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E89C9C" w14:textId="77777777" w:rsidR="001F7B7F" w:rsidRDefault="001F7B7F">
      <w:pPr>
        <w:spacing w:line="360" w:lineRule="auto"/>
        <w:jc w:val="center"/>
        <w:rPr>
          <w:b/>
          <w:sz w:val="36"/>
          <w:szCs w:val="36"/>
          <w:lang w:val="en-GB"/>
        </w:rPr>
      </w:pPr>
    </w:p>
    <w:p w14:paraId="654DDF7F" w14:textId="2FB2EADB" w:rsidR="001D59B9" w:rsidRPr="0048465B" w:rsidRDefault="00703A05">
      <w:pPr>
        <w:spacing w:line="360" w:lineRule="auto"/>
        <w:jc w:val="center"/>
        <w:rPr>
          <w:b/>
          <w:sz w:val="36"/>
          <w:szCs w:val="36"/>
          <w:lang w:val="en-GB"/>
        </w:rPr>
      </w:pPr>
      <w:r w:rsidRPr="0048465B">
        <w:rPr>
          <w:b/>
          <w:noProof/>
          <w:sz w:val="28"/>
          <w:szCs w:val="28"/>
          <w:lang w:val="en-GB" w:eastAsia="zh-CN"/>
        </w:rPr>
        <w:drawing>
          <wp:inline distT="114300" distB="114300" distL="114300" distR="114300" wp14:anchorId="5792E8D6" wp14:editId="39FB3A53">
            <wp:extent cx="1638300" cy="1638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38300" cy="1638300"/>
                    </a:xfrm>
                    <a:prstGeom prst="rect">
                      <a:avLst/>
                    </a:prstGeom>
                    <a:ln/>
                  </pic:spPr>
                </pic:pic>
              </a:graphicData>
            </a:graphic>
          </wp:inline>
        </w:drawing>
      </w:r>
    </w:p>
    <w:p w14:paraId="144B817A" w14:textId="77777777" w:rsidR="001F7B7F" w:rsidRPr="0048465B" w:rsidRDefault="001F7B7F">
      <w:pPr>
        <w:spacing w:line="360" w:lineRule="auto"/>
        <w:jc w:val="left"/>
        <w:rPr>
          <w:b/>
          <w:sz w:val="36"/>
          <w:szCs w:val="36"/>
          <w:lang w:val="en-GB"/>
        </w:rPr>
      </w:pPr>
    </w:p>
    <w:p w14:paraId="1BCE6728" w14:textId="77777777" w:rsidR="001D59B9" w:rsidRPr="0048465B" w:rsidRDefault="00703A05">
      <w:pPr>
        <w:spacing w:line="360" w:lineRule="auto"/>
        <w:jc w:val="center"/>
        <w:rPr>
          <w:b/>
          <w:sz w:val="36"/>
          <w:szCs w:val="36"/>
          <w:lang w:val="en-GB"/>
        </w:rPr>
      </w:pPr>
      <w:r w:rsidRPr="0048465B">
        <w:rPr>
          <w:b/>
          <w:sz w:val="36"/>
          <w:szCs w:val="36"/>
          <w:lang w:val="en-GB"/>
        </w:rPr>
        <w:t xml:space="preserve">The Search for Home: </w:t>
      </w:r>
    </w:p>
    <w:p w14:paraId="58582732" w14:textId="77777777" w:rsidR="001D59B9" w:rsidRPr="0048465B" w:rsidRDefault="00703A05">
      <w:pPr>
        <w:spacing w:line="360" w:lineRule="auto"/>
        <w:jc w:val="center"/>
        <w:rPr>
          <w:b/>
          <w:sz w:val="28"/>
          <w:szCs w:val="28"/>
          <w:lang w:val="en-GB"/>
        </w:rPr>
      </w:pPr>
      <w:r w:rsidRPr="0048465B">
        <w:rPr>
          <w:b/>
          <w:sz w:val="28"/>
          <w:szCs w:val="28"/>
          <w:lang w:val="en-GB"/>
        </w:rPr>
        <w:t>Conflict and Connection in the Narratives of the Israeli-Palestinian Conflict</w:t>
      </w:r>
    </w:p>
    <w:p w14:paraId="48E495CF" w14:textId="77777777" w:rsidR="001D59B9" w:rsidRPr="0048465B" w:rsidRDefault="001D59B9">
      <w:pPr>
        <w:spacing w:line="360" w:lineRule="auto"/>
        <w:jc w:val="center"/>
        <w:rPr>
          <w:b/>
          <w:lang w:val="en-GB"/>
        </w:rPr>
      </w:pPr>
    </w:p>
    <w:p w14:paraId="0AA23585" w14:textId="77777777" w:rsidR="001D59B9" w:rsidRPr="0048465B" w:rsidRDefault="001D59B9">
      <w:pPr>
        <w:spacing w:line="360" w:lineRule="auto"/>
        <w:jc w:val="center"/>
        <w:rPr>
          <w:b/>
          <w:lang w:val="en-GB"/>
        </w:rPr>
      </w:pPr>
    </w:p>
    <w:p w14:paraId="0BEBD323" w14:textId="77777777" w:rsidR="001D59B9" w:rsidRPr="0048465B" w:rsidRDefault="00703A05">
      <w:pPr>
        <w:spacing w:line="360" w:lineRule="auto"/>
        <w:jc w:val="center"/>
        <w:rPr>
          <w:b/>
          <w:sz w:val="28"/>
          <w:szCs w:val="28"/>
          <w:lang w:val="en-GB"/>
        </w:rPr>
      </w:pPr>
      <w:r w:rsidRPr="0048465B">
        <w:rPr>
          <w:b/>
          <w:sz w:val="28"/>
          <w:szCs w:val="28"/>
          <w:lang w:val="en-GB"/>
        </w:rPr>
        <w:t>Xa Aram White</w:t>
      </w:r>
    </w:p>
    <w:p w14:paraId="710F9272" w14:textId="77777777" w:rsidR="001D59B9" w:rsidRPr="0048465B" w:rsidRDefault="00703A05">
      <w:pPr>
        <w:spacing w:line="360" w:lineRule="auto"/>
        <w:jc w:val="center"/>
        <w:rPr>
          <w:b/>
          <w:sz w:val="28"/>
          <w:szCs w:val="28"/>
          <w:lang w:val="en-GB"/>
        </w:rPr>
      </w:pPr>
      <w:r w:rsidRPr="0048465B">
        <w:rPr>
          <w:b/>
          <w:sz w:val="28"/>
          <w:szCs w:val="28"/>
          <w:lang w:val="en-GB"/>
        </w:rPr>
        <w:t>(170136570)</w:t>
      </w:r>
    </w:p>
    <w:p w14:paraId="7D720A1C" w14:textId="77777777" w:rsidR="001D59B9" w:rsidRPr="0048465B" w:rsidRDefault="00703A05">
      <w:pPr>
        <w:spacing w:line="360" w:lineRule="auto"/>
        <w:jc w:val="center"/>
        <w:rPr>
          <w:b/>
          <w:sz w:val="28"/>
          <w:szCs w:val="28"/>
          <w:lang w:val="en-GB"/>
        </w:rPr>
      </w:pPr>
      <w:r w:rsidRPr="0048465B">
        <w:rPr>
          <w:b/>
          <w:sz w:val="28"/>
          <w:szCs w:val="28"/>
          <w:lang w:val="en-GB"/>
        </w:rPr>
        <w:t>PhD</w:t>
      </w:r>
    </w:p>
    <w:p w14:paraId="1AFAC730" w14:textId="5F2BBAD1" w:rsidR="001D59B9" w:rsidRDefault="00703A05">
      <w:pPr>
        <w:spacing w:line="360" w:lineRule="auto"/>
        <w:jc w:val="center"/>
        <w:rPr>
          <w:b/>
          <w:sz w:val="28"/>
          <w:szCs w:val="28"/>
          <w:lang w:val="en-GB"/>
        </w:rPr>
      </w:pPr>
      <w:r w:rsidRPr="0048465B">
        <w:rPr>
          <w:b/>
          <w:sz w:val="28"/>
          <w:szCs w:val="28"/>
          <w:lang w:val="en-GB"/>
        </w:rPr>
        <w:t>School of English</w:t>
      </w:r>
    </w:p>
    <w:p w14:paraId="2BAACEB3" w14:textId="5D4A1C43" w:rsidR="00ED1632" w:rsidRDefault="00ED1632">
      <w:pPr>
        <w:spacing w:line="360" w:lineRule="auto"/>
        <w:jc w:val="center"/>
        <w:rPr>
          <w:b/>
          <w:sz w:val="28"/>
          <w:szCs w:val="28"/>
          <w:lang w:val="en-GB"/>
        </w:rPr>
      </w:pPr>
      <w:r>
        <w:rPr>
          <w:b/>
          <w:sz w:val="28"/>
          <w:szCs w:val="28"/>
          <w:lang w:val="en-GB"/>
        </w:rPr>
        <w:t>The University of Sheffield</w:t>
      </w:r>
    </w:p>
    <w:p w14:paraId="3B30EE3A" w14:textId="5F2FFAFD" w:rsidR="00ED1632" w:rsidRDefault="00ED1632">
      <w:pPr>
        <w:spacing w:line="360" w:lineRule="auto"/>
        <w:jc w:val="center"/>
        <w:rPr>
          <w:b/>
          <w:sz w:val="28"/>
          <w:szCs w:val="28"/>
          <w:lang w:val="en-GB"/>
        </w:rPr>
      </w:pPr>
    </w:p>
    <w:p w14:paraId="4EBCA688" w14:textId="77777777" w:rsidR="00ED1632" w:rsidRPr="0048465B" w:rsidRDefault="00ED1632">
      <w:pPr>
        <w:spacing w:line="360" w:lineRule="auto"/>
        <w:jc w:val="center"/>
        <w:rPr>
          <w:b/>
          <w:sz w:val="28"/>
          <w:szCs w:val="28"/>
          <w:lang w:val="en-GB"/>
        </w:rPr>
      </w:pPr>
    </w:p>
    <w:p w14:paraId="21B84F63" w14:textId="77777777" w:rsidR="001D59B9" w:rsidRPr="0048465B" w:rsidRDefault="00703A05">
      <w:pPr>
        <w:spacing w:line="360" w:lineRule="auto"/>
        <w:jc w:val="center"/>
        <w:rPr>
          <w:b/>
          <w:sz w:val="28"/>
          <w:szCs w:val="28"/>
          <w:lang w:val="en-GB"/>
        </w:rPr>
      </w:pPr>
      <w:r w:rsidRPr="0048465B">
        <w:rPr>
          <w:b/>
          <w:sz w:val="28"/>
          <w:szCs w:val="28"/>
          <w:lang w:val="en-GB"/>
        </w:rPr>
        <w:t>March 2021</w:t>
      </w:r>
    </w:p>
    <w:p w14:paraId="36CA3F5D" w14:textId="77777777" w:rsidR="001D59B9" w:rsidRPr="0048465B" w:rsidRDefault="001D59B9">
      <w:pPr>
        <w:spacing w:line="360" w:lineRule="auto"/>
        <w:jc w:val="center"/>
        <w:rPr>
          <w:b/>
          <w:sz w:val="28"/>
          <w:szCs w:val="28"/>
          <w:lang w:val="en-GB"/>
        </w:rPr>
      </w:pPr>
    </w:p>
    <w:p w14:paraId="07EDA7AF" w14:textId="77777777" w:rsidR="001D59B9" w:rsidRPr="0048465B" w:rsidRDefault="001D59B9">
      <w:pPr>
        <w:spacing w:line="360" w:lineRule="auto"/>
        <w:jc w:val="center"/>
        <w:rPr>
          <w:b/>
          <w:sz w:val="28"/>
          <w:szCs w:val="28"/>
          <w:lang w:val="en-GB"/>
        </w:rPr>
      </w:pPr>
    </w:p>
    <w:p w14:paraId="43469055" w14:textId="77777777" w:rsidR="001D59B9" w:rsidRPr="0048465B" w:rsidRDefault="00703A05">
      <w:pPr>
        <w:spacing w:line="360" w:lineRule="auto"/>
        <w:jc w:val="center"/>
        <w:rPr>
          <w:lang w:val="en-GB"/>
        </w:rPr>
      </w:pPr>
      <w:r w:rsidRPr="0048465B">
        <w:rPr>
          <w:lang w:val="en-GB"/>
        </w:rPr>
        <w:t xml:space="preserve">Thesis submitted in partial fulfilment of the requirements for </w:t>
      </w:r>
    </w:p>
    <w:p w14:paraId="18C51FC1" w14:textId="23A3019A" w:rsidR="0048465B" w:rsidRDefault="00703A05" w:rsidP="00ED1632">
      <w:pPr>
        <w:spacing w:line="360" w:lineRule="auto"/>
        <w:jc w:val="center"/>
        <w:rPr>
          <w:lang w:val="en-GB"/>
        </w:rPr>
      </w:pPr>
      <w:r w:rsidRPr="0048465B">
        <w:rPr>
          <w:lang w:val="en-GB"/>
        </w:rPr>
        <w:t>the degree of Doctor of Philosophy</w:t>
      </w:r>
    </w:p>
    <w:p w14:paraId="6EAA219A" w14:textId="31BC8A86" w:rsidR="001D59B9" w:rsidRDefault="001D59B9">
      <w:pPr>
        <w:spacing w:line="360" w:lineRule="auto"/>
        <w:jc w:val="left"/>
        <w:rPr>
          <w:lang w:val="en-GB"/>
        </w:rPr>
      </w:pPr>
    </w:p>
    <w:p w14:paraId="291AFAA4" w14:textId="77777777" w:rsidR="00ED1632" w:rsidRDefault="00ED1632">
      <w:pPr>
        <w:spacing w:line="360" w:lineRule="auto"/>
        <w:jc w:val="left"/>
        <w:rPr>
          <w:b/>
          <w:lang w:val="en-GB"/>
        </w:rPr>
      </w:pPr>
    </w:p>
    <w:p w14:paraId="2213117A" w14:textId="77777777" w:rsidR="005E0936" w:rsidRPr="0048465B" w:rsidRDefault="005E0936">
      <w:pPr>
        <w:spacing w:line="360" w:lineRule="auto"/>
        <w:jc w:val="left"/>
        <w:rPr>
          <w:b/>
          <w:lang w:val="en-GB"/>
        </w:rPr>
      </w:pPr>
    </w:p>
    <w:p w14:paraId="0FD81666" w14:textId="77777777" w:rsidR="001D59B9" w:rsidRPr="0048465B" w:rsidRDefault="00703A05">
      <w:pPr>
        <w:spacing w:line="360" w:lineRule="auto"/>
        <w:jc w:val="center"/>
        <w:rPr>
          <w:b/>
          <w:sz w:val="28"/>
          <w:szCs w:val="28"/>
          <w:lang w:val="en-GB"/>
        </w:rPr>
      </w:pPr>
      <w:r w:rsidRPr="0048465B">
        <w:rPr>
          <w:b/>
          <w:sz w:val="28"/>
          <w:szCs w:val="28"/>
          <w:lang w:val="en-GB"/>
        </w:rPr>
        <w:lastRenderedPageBreak/>
        <w:t>Abstract</w:t>
      </w:r>
    </w:p>
    <w:p w14:paraId="6FDFFE6D" w14:textId="77777777" w:rsidR="001D59B9" w:rsidRPr="0048465B" w:rsidRDefault="001D59B9" w:rsidP="00F17A1E">
      <w:pPr>
        <w:spacing w:line="360" w:lineRule="auto"/>
        <w:rPr>
          <w:lang w:val="en-GB"/>
        </w:rPr>
      </w:pPr>
    </w:p>
    <w:p w14:paraId="7F307E5A" w14:textId="45EB1E0F" w:rsidR="001D59B9" w:rsidRPr="0048465B" w:rsidRDefault="00703A05" w:rsidP="008E18FA">
      <w:pPr>
        <w:spacing w:line="420" w:lineRule="auto"/>
        <w:rPr>
          <w:lang w:val="en-GB"/>
        </w:rPr>
      </w:pPr>
      <w:r w:rsidRPr="0048465B">
        <w:rPr>
          <w:lang w:val="en-GB"/>
        </w:rPr>
        <w:t xml:space="preserve">This thesis represents the continuation of a developing area of study within memory and literary studies, that of the exploration of the Israeli-Palestinian conflict. Focusing specifically on the nuances of the relationship between contemporary Palestinian suffering and historical Jewish suffering, this thesis looks at the complexity of applying Holocaust-centric </w:t>
      </w:r>
      <w:r w:rsidR="00F2316C">
        <w:rPr>
          <w:lang w:val="en-GB"/>
        </w:rPr>
        <w:t xml:space="preserve">approaches </w:t>
      </w:r>
      <w:r w:rsidR="006D46F7">
        <w:rPr>
          <w:lang w:val="en-GB"/>
        </w:rPr>
        <w:t xml:space="preserve">in </w:t>
      </w:r>
      <w:r w:rsidR="00F2316C">
        <w:rPr>
          <w:lang w:val="en-GB"/>
        </w:rPr>
        <w:t>memory studies to Palestine</w:t>
      </w:r>
      <w:r w:rsidRPr="0048465B">
        <w:rPr>
          <w:lang w:val="en-GB"/>
        </w:rPr>
        <w:t>, the absence of representations of Palestinian suffering within such approaches, the cultural, social, and political barriers to Israeli-Palestinian unity, and the political reality of the Israeli-Palestinian conflict. Throughout the thesis I engage with a variety of source materials, offering close readings of fictional texts by both Palestinian and Israeli authors, whilst also engaging critically with works of nonfiction in the areas of cultural memory and literary studies</w:t>
      </w:r>
      <w:r w:rsidR="00F2316C">
        <w:rPr>
          <w:lang w:val="en-GB"/>
        </w:rPr>
        <w:t>.</w:t>
      </w:r>
      <w:r w:rsidRPr="0048465B">
        <w:rPr>
          <w:lang w:val="en-GB"/>
        </w:rPr>
        <w:t xml:space="preserve"> </w:t>
      </w:r>
      <w:r w:rsidR="00F2316C">
        <w:rPr>
          <w:lang w:val="en-GB"/>
        </w:rPr>
        <w:t>I also analyse less</w:t>
      </w:r>
      <w:r w:rsidRPr="0048465B">
        <w:rPr>
          <w:lang w:val="en-GB"/>
        </w:rPr>
        <w:t xml:space="preserve"> conventional sources</w:t>
      </w:r>
      <w:r w:rsidR="00F2316C">
        <w:rPr>
          <w:lang w:val="en-GB"/>
        </w:rPr>
        <w:t>,</w:t>
      </w:r>
      <w:r w:rsidRPr="0048465B">
        <w:rPr>
          <w:lang w:val="en-GB"/>
        </w:rPr>
        <w:t xml:space="preserve"> such a</w:t>
      </w:r>
      <w:r w:rsidR="005E0936">
        <w:rPr>
          <w:lang w:val="en-GB"/>
        </w:rPr>
        <w:t>s</w:t>
      </w:r>
      <w:r w:rsidRPr="0048465B">
        <w:rPr>
          <w:lang w:val="en-GB"/>
        </w:rPr>
        <w:t xml:space="preserve"> news articles and political journalism</w:t>
      </w:r>
      <w:r w:rsidR="00F2316C">
        <w:rPr>
          <w:lang w:val="en-GB"/>
        </w:rPr>
        <w:t>,</w:t>
      </w:r>
      <w:r w:rsidRPr="0048465B">
        <w:rPr>
          <w:lang w:val="en-GB"/>
        </w:rPr>
        <w:t xml:space="preserve"> in order </w:t>
      </w:r>
      <w:r w:rsidR="00F2316C">
        <w:rPr>
          <w:lang w:val="en-GB"/>
        </w:rPr>
        <w:t xml:space="preserve">to </w:t>
      </w:r>
      <w:r w:rsidRPr="0048465B">
        <w:rPr>
          <w:lang w:val="en-GB"/>
        </w:rPr>
        <w:t xml:space="preserve">offer analysis of the developments of the Israeli-Palestinian conflict as they have happened. Through bringing all of </w:t>
      </w:r>
      <w:r w:rsidR="003E718A">
        <w:rPr>
          <w:lang w:val="en-GB"/>
        </w:rPr>
        <w:t>these</w:t>
      </w:r>
      <w:r w:rsidRPr="0048465B">
        <w:rPr>
          <w:lang w:val="en-GB"/>
        </w:rPr>
        <w:t xml:space="preserve"> texts together, I not only draw attention to the lacuna within cultural memory </w:t>
      </w:r>
      <w:r w:rsidR="00F2316C">
        <w:rPr>
          <w:lang w:val="en-GB"/>
        </w:rPr>
        <w:t xml:space="preserve">and literary </w:t>
      </w:r>
      <w:r w:rsidRPr="0048465B">
        <w:rPr>
          <w:lang w:val="en-GB"/>
        </w:rPr>
        <w:t>studies specifically, but also work towards filling this gap.</w:t>
      </w:r>
    </w:p>
    <w:p w14:paraId="026C2C20" w14:textId="77777777" w:rsidR="001D59B9" w:rsidRPr="0048465B" w:rsidRDefault="001D59B9" w:rsidP="008E18FA">
      <w:pPr>
        <w:spacing w:line="420" w:lineRule="auto"/>
        <w:rPr>
          <w:lang w:val="en-GB"/>
        </w:rPr>
      </w:pPr>
    </w:p>
    <w:p w14:paraId="312022D3" w14:textId="31A4BDDA" w:rsidR="001D59B9" w:rsidRPr="0048465B" w:rsidRDefault="00703A05" w:rsidP="008E18FA">
      <w:pPr>
        <w:spacing w:line="420" w:lineRule="auto"/>
        <w:rPr>
          <w:lang w:val="en-GB"/>
        </w:rPr>
      </w:pPr>
      <w:r w:rsidRPr="0048465B">
        <w:rPr>
          <w:lang w:val="en-GB"/>
        </w:rPr>
        <w:t>Whilst existing research on Palestine</w:t>
      </w:r>
      <w:r w:rsidR="00F2316C">
        <w:rPr>
          <w:lang w:val="en-GB"/>
        </w:rPr>
        <w:t xml:space="preserve"> in the areas of cultural memory and literary studies is </w:t>
      </w:r>
      <w:r w:rsidRPr="0048465B">
        <w:rPr>
          <w:lang w:val="en-GB"/>
        </w:rPr>
        <w:t>often linked back to the suffering experienced by Jewish people under Nazi rule in the mid-</w:t>
      </w:r>
      <w:r w:rsidR="00270073">
        <w:rPr>
          <w:lang w:val="en-GB"/>
        </w:rPr>
        <w:t>twentieth century,</w:t>
      </w:r>
      <w:r w:rsidRPr="0048465B">
        <w:rPr>
          <w:lang w:val="en-GB"/>
        </w:rPr>
        <w:t xml:space="preserve"> this thesis attempts not only </w:t>
      </w:r>
      <w:r w:rsidR="00A32E66">
        <w:rPr>
          <w:lang w:val="en-GB"/>
        </w:rPr>
        <w:t xml:space="preserve">to </w:t>
      </w:r>
      <w:r w:rsidRPr="0048465B">
        <w:rPr>
          <w:lang w:val="en-GB"/>
        </w:rPr>
        <w:t xml:space="preserve">highlight potential issues with such associations, but to reframe such associations as less </w:t>
      </w:r>
      <w:r w:rsidR="00F2316C">
        <w:rPr>
          <w:lang w:val="en-GB"/>
        </w:rPr>
        <w:t>essential</w:t>
      </w:r>
      <w:r w:rsidRPr="0048465B">
        <w:rPr>
          <w:lang w:val="en-GB"/>
        </w:rPr>
        <w:t xml:space="preserve"> to explorations of Palestinian suffering. Through delving into literary representations of the Palestinian experience, cultural analyses of life in Israel, and political insights into</w:t>
      </w:r>
      <w:r w:rsidR="004D3F67">
        <w:rPr>
          <w:lang w:val="en-GB"/>
        </w:rPr>
        <w:t xml:space="preserve"> both</w:t>
      </w:r>
      <w:r w:rsidRPr="0048465B">
        <w:rPr>
          <w:lang w:val="en-GB"/>
        </w:rPr>
        <w:t xml:space="preserve"> the conflict and </w:t>
      </w:r>
      <w:r w:rsidR="004D3F67">
        <w:rPr>
          <w:lang w:val="en-GB"/>
        </w:rPr>
        <w:t xml:space="preserve">the </w:t>
      </w:r>
      <w:r w:rsidRPr="0048465B">
        <w:rPr>
          <w:lang w:val="en-GB"/>
        </w:rPr>
        <w:t>peace process, this thesis attempts to represent the Israeli-Palestinian conflict in a way that is inclusive and sensitive to the histories of both people, whilst at the same time prioritising the more urgent representation of Palestinian experience</w:t>
      </w:r>
      <w:r w:rsidR="003E718A">
        <w:rPr>
          <w:lang w:val="en-GB"/>
        </w:rPr>
        <w:t>. In doing so, this thesis</w:t>
      </w:r>
      <w:r w:rsidRPr="0048465B">
        <w:rPr>
          <w:lang w:val="en-GB"/>
        </w:rPr>
        <w:t xml:space="preserve"> offer</w:t>
      </w:r>
      <w:r w:rsidR="003E718A">
        <w:rPr>
          <w:lang w:val="en-GB"/>
        </w:rPr>
        <w:t>s</w:t>
      </w:r>
      <w:r w:rsidRPr="0048465B">
        <w:rPr>
          <w:lang w:val="en-GB"/>
        </w:rPr>
        <w:t xml:space="preserve"> a more holistic vision and understanding of the conflict than </w:t>
      </w:r>
      <w:r w:rsidR="00C849A8">
        <w:rPr>
          <w:lang w:val="en-GB"/>
        </w:rPr>
        <w:t>that which is</w:t>
      </w:r>
      <w:r w:rsidRPr="0048465B">
        <w:rPr>
          <w:lang w:val="en-GB"/>
        </w:rPr>
        <w:t xml:space="preserve"> offered in other cultural memory studies and literary approaches, as well as</w:t>
      </w:r>
      <w:r w:rsidR="00F12023">
        <w:rPr>
          <w:lang w:val="en-GB"/>
        </w:rPr>
        <w:t xml:space="preserve"> </w:t>
      </w:r>
      <w:r w:rsidRPr="0048465B">
        <w:rPr>
          <w:lang w:val="en-GB"/>
        </w:rPr>
        <w:t>those confined entirely to the realms of history or politics.</w:t>
      </w:r>
    </w:p>
    <w:p w14:paraId="1130505A" w14:textId="6E0D414A" w:rsidR="00D60D6C" w:rsidRPr="00D60D6C" w:rsidRDefault="00703A05">
      <w:pPr>
        <w:spacing w:line="360" w:lineRule="auto"/>
        <w:jc w:val="center"/>
        <w:rPr>
          <w:lang w:val="en-GB"/>
        </w:rPr>
      </w:pPr>
      <w:r w:rsidRPr="00D60D6C">
        <w:rPr>
          <w:lang w:val="en-GB"/>
        </w:rPr>
        <w:lastRenderedPageBreak/>
        <w:t>Dedicated</w:t>
      </w:r>
      <w:r w:rsidR="00553244" w:rsidRPr="00D60D6C">
        <w:rPr>
          <w:lang w:val="en-GB"/>
        </w:rPr>
        <w:t xml:space="preserve"> </w:t>
      </w:r>
      <w:r w:rsidR="00D60D6C" w:rsidRPr="00D60D6C">
        <w:rPr>
          <w:lang w:val="en-GB"/>
        </w:rPr>
        <w:t xml:space="preserve">to all those </w:t>
      </w:r>
      <w:r w:rsidR="00583CBF">
        <w:rPr>
          <w:lang w:val="en-GB"/>
        </w:rPr>
        <w:t>unable to return</w:t>
      </w:r>
      <w:r w:rsidR="0059202B">
        <w:rPr>
          <w:lang w:val="en-GB"/>
        </w:rPr>
        <w:t xml:space="preserve"> </w:t>
      </w:r>
      <w:r w:rsidR="00583CBF">
        <w:rPr>
          <w:lang w:val="en-GB"/>
        </w:rPr>
        <w:t>home</w:t>
      </w:r>
      <w:r w:rsidR="00D60D6C" w:rsidRPr="00D60D6C">
        <w:rPr>
          <w:lang w:val="en-GB"/>
        </w:rPr>
        <w:t>.</w:t>
      </w:r>
    </w:p>
    <w:p w14:paraId="30458EB4" w14:textId="77777777" w:rsidR="00D60D6C" w:rsidRDefault="00D60D6C">
      <w:pPr>
        <w:spacing w:line="360" w:lineRule="auto"/>
        <w:jc w:val="center"/>
        <w:rPr>
          <w:lang w:val="en-GB"/>
        </w:rPr>
      </w:pPr>
    </w:p>
    <w:p w14:paraId="45014A82" w14:textId="778049AF" w:rsidR="00270073" w:rsidRDefault="00270073" w:rsidP="00D60D6C">
      <w:pPr>
        <w:spacing w:line="360" w:lineRule="auto"/>
        <w:rPr>
          <w:lang w:val="en-GB"/>
        </w:rPr>
      </w:pPr>
    </w:p>
    <w:p w14:paraId="0F97A48E" w14:textId="77777777" w:rsidR="00D60D6C" w:rsidRDefault="00D60D6C" w:rsidP="00D60D6C">
      <w:pPr>
        <w:spacing w:line="360" w:lineRule="auto"/>
        <w:rPr>
          <w:lang w:val="en-GB"/>
        </w:rPr>
      </w:pPr>
    </w:p>
    <w:p w14:paraId="18C107FB" w14:textId="77777777" w:rsidR="00270073" w:rsidRPr="00270073" w:rsidRDefault="00270073" w:rsidP="00270073">
      <w:pPr>
        <w:spacing w:line="360" w:lineRule="auto"/>
        <w:jc w:val="center"/>
        <w:rPr>
          <w:lang w:val="en-GB"/>
        </w:rPr>
      </w:pPr>
    </w:p>
    <w:p w14:paraId="761F85E5" w14:textId="77777777" w:rsidR="001D59B9" w:rsidRPr="0048465B" w:rsidRDefault="001D59B9">
      <w:pPr>
        <w:jc w:val="center"/>
        <w:rPr>
          <w:b/>
          <w:sz w:val="28"/>
          <w:szCs w:val="28"/>
          <w:lang w:val="en-GB"/>
        </w:rPr>
      </w:pPr>
    </w:p>
    <w:p w14:paraId="32608CF7" w14:textId="77777777" w:rsidR="001D59B9" w:rsidRPr="0048465B" w:rsidRDefault="001D59B9">
      <w:pPr>
        <w:jc w:val="center"/>
        <w:rPr>
          <w:b/>
          <w:sz w:val="28"/>
          <w:szCs w:val="28"/>
          <w:lang w:val="en-GB"/>
        </w:rPr>
      </w:pPr>
    </w:p>
    <w:p w14:paraId="3D0CB36D" w14:textId="77777777" w:rsidR="001D59B9" w:rsidRPr="0048465B" w:rsidRDefault="001D59B9">
      <w:pPr>
        <w:jc w:val="center"/>
        <w:rPr>
          <w:b/>
          <w:sz w:val="28"/>
          <w:szCs w:val="28"/>
          <w:lang w:val="en-GB"/>
        </w:rPr>
      </w:pPr>
    </w:p>
    <w:p w14:paraId="2B4C3251" w14:textId="77777777" w:rsidR="001D59B9" w:rsidRPr="0048465B" w:rsidRDefault="001D59B9">
      <w:pPr>
        <w:jc w:val="center"/>
        <w:rPr>
          <w:b/>
          <w:sz w:val="28"/>
          <w:szCs w:val="28"/>
          <w:lang w:val="en-GB"/>
        </w:rPr>
      </w:pPr>
    </w:p>
    <w:p w14:paraId="25331F79" w14:textId="77777777" w:rsidR="001D59B9" w:rsidRPr="0048465B" w:rsidRDefault="001D59B9">
      <w:pPr>
        <w:jc w:val="center"/>
        <w:rPr>
          <w:b/>
          <w:sz w:val="28"/>
          <w:szCs w:val="28"/>
          <w:lang w:val="en-GB"/>
        </w:rPr>
      </w:pPr>
    </w:p>
    <w:p w14:paraId="354B3AD3" w14:textId="77777777" w:rsidR="001D59B9" w:rsidRPr="0048465B" w:rsidRDefault="001D59B9">
      <w:pPr>
        <w:jc w:val="center"/>
        <w:rPr>
          <w:b/>
          <w:sz w:val="28"/>
          <w:szCs w:val="28"/>
          <w:lang w:val="en-GB"/>
        </w:rPr>
      </w:pPr>
    </w:p>
    <w:p w14:paraId="221C90A3" w14:textId="77777777" w:rsidR="001D59B9" w:rsidRPr="0048465B" w:rsidRDefault="001D59B9">
      <w:pPr>
        <w:jc w:val="center"/>
        <w:rPr>
          <w:b/>
          <w:sz w:val="28"/>
          <w:szCs w:val="28"/>
          <w:lang w:val="en-GB"/>
        </w:rPr>
      </w:pPr>
    </w:p>
    <w:p w14:paraId="3CE58AD7" w14:textId="77777777" w:rsidR="001D59B9" w:rsidRPr="0048465B" w:rsidRDefault="001D59B9">
      <w:pPr>
        <w:jc w:val="center"/>
        <w:rPr>
          <w:b/>
          <w:sz w:val="28"/>
          <w:szCs w:val="28"/>
          <w:lang w:val="en-GB"/>
        </w:rPr>
      </w:pPr>
    </w:p>
    <w:p w14:paraId="4D0C3AD6" w14:textId="77777777" w:rsidR="001D59B9" w:rsidRPr="0048465B" w:rsidRDefault="001D59B9">
      <w:pPr>
        <w:jc w:val="center"/>
        <w:rPr>
          <w:b/>
          <w:sz w:val="28"/>
          <w:szCs w:val="28"/>
          <w:lang w:val="en-GB"/>
        </w:rPr>
      </w:pPr>
    </w:p>
    <w:p w14:paraId="693A10B0" w14:textId="77777777" w:rsidR="001D59B9" w:rsidRPr="0048465B" w:rsidRDefault="001D59B9">
      <w:pPr>
        <w:jc w:val="left"/>
        <w:rPr>
          <w:b/>
          <w:sz w:val="28"/>
          <w:szCs w:val="28"/>
          <w:lang w:val="en-GB"/>
        </w:rPr>
      </w:pPr>
    </w:p>
    <w:p w14:paraId="739F0DD2" w14:textId="77777777" w:rsidR="001D59B9" w:rsidRPr="0048465B" w:rsidRDefault="001D59B9">
      <w:pPr>
        <w:jc w:val="left"/>
        <w:rPr>
          <w:b/>
          <w:sz w:val="28"/>
          <w:szCs w:val="28"/>
          <w:lang w:val="en-GB"/>
        </w:rPr>
      </w:pPr>
    </w:p>
    <w:p w14:paraId="37E221FB" w14:textId="77777777" w:rsidR="001D59B9" w:rsidRPr="0048465B" w:rsidRDefault="001D59B9">
      <w:pPr>
        <w:jc w:val="center"/>
        <w:rPr>
          <w:b/>
          <w:sz w:val="28"/>
          <w:szCs w:val="28"/>
          <w:lang w:val="en-GB"/>
        </w:rPr>
      </w:pPr>
    </w:p>
    <w:p w14:paraId="793E7B36" w14:textId="77777777" w:rsidR="001D59B9" w:rsidRPr="0048465B" w:rsidRDefault="001D59B9">
      <w:pPr>
        <w:jc w:val="left"/>
        <w:rPr>
          <w:b/>
          <w:sz w:val="28"/>
          <w:szCs w:val="28"/>
          <w:lang w:val="en-GB"/>
        </w:rPr>
      </w:pPr>
    </w:p>
    <w:p w14:paraId="2C67C93D" w14:textId="0831F4CC" w:rsidR="001D59B9" w:rsidRPr="0048465B" w:rsidRDefault="001D59B9">
      <w:pPr>
        <w:jc w:val="left"/>
        <w:rPr>
          <w:b/>
          <w:sz w:val="28"/>
          <w:szCs w:val="28"/>
          <w:lang w:val="en-GB"/>
        </w:rPr>
      </w:pPr>
    </w:p>
    <w:p w14:paraId="7F88F306" w14:textId="1F5138F0" w:rsidR="0048465B" w:rsidRDefault="0048465B">
      <w:pPr>
        <w:jc w:val="left"/>
        <w:rPr>
          <w:b/>
          <w:sz w:val="28"/>
          <w:szCs w:val="28"/>
          <w:lang w:val="en-GB"/>
        </w:rPr>
      </w:pPr>
    </w:p>
    <w:p w14:paraId="63CEFB31" w14:textId="405BF104" w:rsidR="00270073" w:rsidRDefault="00270073">
      <w:pPr>
        <w:jc w:val="left"/>
        <w:rPr>
          <w:b/>
          <w:sz w:val="28"/>
          <w:szCs w:val="28"/>
          <w:lang w:val="en-GB"/>
        </w:rPr>
      </w:pPr>
    </w:p>
    <w:p w14:paraId="2239EF36" w14:textId="77777777" w:rsidR="00270073" w:rsidRPr="0048465B" w:rsidRDefault="00270073">
      <w:pPr>
        <w:jc w:val="left"/>
        <w:rPr>
          <w:b/>
          <w:sz w:val="28"/>
          <w:szCs w:val="28"/>
          <w:lang w:val="en-GB"/>
        </w:rPr>
      </w:pPr>
    </w:p>
    <w:p w14:paraId="24A00300" w14:textId="77777777" w:rsidR="001D59B9" w:rsidRPr="0048465B" w:rsidRDefault="00703A05">
      <w:pPr>
        <w:jc w:val="center"/>
        <w:rPr>
          <w:lang w:val="en-GB"/>
        </w:rPr>
      </w:pPr>
      <w:r w:rsidRPr="0048465B">
        <w:rPr>
          <w:b/>
          <w:sz w:val="28"/>
          <w:szCs w:val="28"/>
          <w:lang w:val="en-GB"/>
        </w:rPr>
        <w:lastRenderedPageBreak/>
        <w:t>Acknowledgements</w:t>
      </w:r>
    </w:p>
    <w:p w14:paraId="299FE8AC" w14:textId="77777777" w:rsidR="001D59B9" w:rsidRPr="0048465B" w:rsidRDefault="00703A05">
      <w:pPr>
        <w:spacing w:line="360" w:lineRule="auto"/>
        <w:rPr>
          <w:b/>
          <w:sz w:val="28"/>
          <w:szCs w:val="28"/>
          <w:lang w:val="en-GB"/>
        </w:rPr>
      </w:pPr>
      <w:r w:rsidRPr="0048465B">
        <w:rPr>
          <w:lang w:val="en-GB"/>
        </w:rPr>
        <w:t xml:space="preserve">Firstly, I would like to thank the School of English for funding my PhD. The freedom of time and mind enabled by your support is something that most people can only dream of, and has helped me immeasurably in both my studies and my personal life. </w:t>
      </w:r>
    </w:p>
    <w:p w14:paraId="76ADE7DF" w14:textId="77777777" w:rsidR="001D59B9" w:rsidRPr="0048465B" w:rsidRDefault="001D59B9">
      <w:pPr>
        <w:spacing w:line="360" w:lineRule="auto"/>
        <w:rPr>
          <w:b/>
          <w:sz w:val="28"/>
          <w:szCs w:val="28"/>
          <w:lang w:val="en-GB"/>
        </w:rPr>
      </w:pPr>
    </w:p>
    <w:p w14:paraId="08A54A9B" w14:textId="77777777" w:rsidR="001D59B9" w:rsidRPr="0048465B" w:rsidRDefault="00703A05">
      <w:pPr>
        <w:spacing w:line="360" w:lineRule="auto"/>
        <w:rPr>
          <w:lang w:val="en-GB"/>
        </w:rPr>
      </w:pPr>
      <w:r w:rsidRPr="0048465B">
        <w:rPr>
          <w:lang w:val="en-GB"/>
        </w:rPr>
        <w:t>To Sue Vice, your support over the past eight years, from my first encounters with Holocaust Studies to the present day, has been invaluable. Thank you for finding the right balance between academic and emotional support as I worked my way through difficult subjects and challenging times, and for allowing me to follow my interests even as they began to diverge (somewhat) from your own. I will forever be grateful for all that you have given me.</w:t>
      </w:r>
    </w:p>
    <w:p w14:paraId="482BC1B3" w14:textId="77777777" w:rsidR="001D59B9" w:rsidRPr="0048465B" w:rsidRDefault="001D59B9">
      <w:pPr>
        <w:spacing w:line="360" w:lineRule="auto"/>
        <w:rPr>
          <w:lang w:val="en-GB"/>
        </w:rPr>
      </w:pPr>
    </w:p>
    <w:p w14:paraId="51B2BC01" w14:textId="65A72BE7" w:rsidR="001D59B9" w:rsidRPr="0048465B" w:rsidRDefault="00703A05">
      <w:pPr>
        <w:spacing w:line="360" w:lineRule="auto"/>
        <w:rPr>
          <w:lang w:val="en-GB"/>
        </w:rPr>
      </w:pPr>
      <w:r w:rsidRPr="0048465B">
        <w:rPr>
          <w:lang w:val="en-GB"/>
        </w:rPr>
        <w:t>Thank you to Alex Mason, for being one year and several steps ahead of me at every turn. You make the future seem slightly less scary. To undergraduate friends, thank you for making my first three years of University so happy, and for keeping that feeling alive even now. To PhD friends, thank you for making the last three years as enjoyable as they have been</w:t>
      </w:r>
      <w:r w:rsidR="00F2316C">
        <w:rPr>
          <w:lang w:val="en-GB"/>
        </w:rPr>
        <w:t>, and for</w:t>
      </w:r>
      <w:r w:rsidRPr="0048465B">
        <w:rPr>
          <w:lang w:val="en-GB"/>
        </w:rPr>
        <w:t xml:space="preserve"> </w:t>
      </w:r>
      <w:r w:rsidR="00F2316C">
        <w:rPr>
          <w:lang w:val="en-GB"/>
        </w:rPr>
        <w:t>transforming</w:t>
      </w:r>
      <w:r w:rsidRPr="0048465B">
        <w:rPr>
          <w:lang w:val="en-GB"/>
        </w:rPr>
        <w:t xml:space="preserve"> a fundamentally solitary project </w:t>
      </w:r>
      <w:r w:rsidR="00F2316C">
        <w:rPr>
          <w:lang w:val="en-GB"/>
        </w:rPr>
        <w:t xml:space="preserve">into </w:t>
      </w:r>
      <w:r w:rsidRPr="0048465B">
        <w:rPr>
          <w:lang w:val="en-GB"/>
        </w:rPr>
        <w:t>something far less lonesome. To Alba, thank you for always being excited to see me, and for making me go outside every day, even when I don’t want to.</w:t>
      </w:r>
    </w:p>
    <w:p w14:paraId="50E3533F" w14:textId="77777777" w:rsidR="001D59B9" w:rsidRPr="0048465B" w:rsidRDefault="001D59B9">
      <w:pPr>
        <w:spacing w:line="360" w:lineRule="auto"/>
        <w:rPr>
          <w:lang w:val="en-GB"/>
        </w:rPr>
      </w:pPr>
    </w:p>
    <w:p w14:paraId="3BFD6C68" w14:textId="3CD7AE8B" w:rsidR="001D59B9" w:rsidRPr="0048465B" w:rsidRDefault="00703A05">
      <w:pPr>
        <w:spacing w:line="360" w:lineRule="auto"/>
        <w:rPr>
          <w:lang w:val="en-GB"/>
        </w:rPr>
      </w:pPr>
      <w:r w:rsidRPr="0048465B">
        <w:rPr>
          <w:lang w:val="en-GB"/>
        </w:rPr>
        <w:t xml:space="preserve">To Jem and Ela, thank you for teasing me ceaselessly, and for transforming my doing a PhD into a subject of ridicule. Your ability to turn my accomplishments into points of vulnerability, and yet do so in ways that radiate pride and love, is unparalleled. To Mum and Dad, thank you for paving the way, for reading </w:t>
      </w:r>
      <w:r w:rsidR="00E129BD">
        <w:rPr>
          <w:lang w:val="en-GB"/>
        </w:rPr>
        <w:t xml:space="preserve">almost </w:t>
      </w:r>
      <w:r w:rsidRPr="0048465B">
        <w:rPr>
          <w:lang w:val="en-GB"/>
        </w:rPr>
        <w:t>every piece of academic work I have ever written, and for believing that I am good enough, even when I don’t believe it myself. I feel lucky to have you all.</w:t>
      </w:r>
    </w:p>
    <w:p w14:paraId="0434A76E" w14:textId="77777777" w:rsidR="001D59B9" w:rsidRPr="0048465B" w:rsidRDefault="001D59B9">
      <w:pPr>
        <w:spacing w:line="360" w:lineRule="auto"/>
        <w:rPr>
          <w:lang w:val="en-GB"/>
        </w:rPr>
      </w:pPr>
    </w:p>
    <w:p w14:paraId="7307CBAC" w14:textId="7F885B2C" w:rsidR="001D59B9" w:rsidRPr="0048465B" w:rsidRDefault="00703A05">
      <w:pPr>
        <w:spacing w:line="360" w:lineRule="auto"/>
        <w:rPr>
          <w:lang w:val="en-GB"/>
        </w:rPr>
      </w:pPr>
      <w:r w:rsidRPr="0048465B">
        <w:rPr>
          <w:lang w:val="en-GB"/>
        </w:rPr>
        <w:t xml:space="preserve">Finally, to Becca. Thank you for supporting me in more ways than I can mention. Thank you for caring more about me than the content of my research, whilst still showing enough interest for me to feel able to talk about it without boring you. Thank you for knowing better than I do when I need to take a break, for finding balance between work and home when the demands of both have been extreme, and for being kind </w:t>
      </w:r>
      <w:r w:rsidR="001035C5">
        <w:rPr>
          <w:lang w:val="en-GB"/>
        </w:rPr>
        <w:t>even</w:t>
      </w:r>
      <w:r w:rsidR="0063376C">
        <w:rPr>
          <w:lang w:val="en-GB"/>
        </w:rPr>
        <w:t xml:space="preserve"> when</w:t>
      </w:r>
      <w:r w:rsidRPr="0048465B">
        <w:rPr>
          <w:lang w:val="en-GB"/>
        </w:rPr>
        <w:t xml:space="preserve"> </w:t>
      </w:r>
      <w:r w:rsidR="001035C5">
        <w:rPr>
          <w:lang w:val="en-GB"/>
        </w:rPr>
        <w:t>life</w:t>
      </w:r>
      <w:r w:rsidRPr="0048465B">
        <w:rPr>
          <w:lang w:val="en-GB"/>
        </w:rPr>
        <w:t xml:space="preserve"> has been unkind to you. I cannot imagine having done this alongside anyone else.</w:t>
      </w:r>
    </w:p>
    <w:p w14:paraId="40A4426D" w14:textId="26AA4901" w:rsidR="001D59B9" w:rsidRPr="0048465B" w:rsidRDefault="00703A05" w:rsidP="00C60093">
      <w:pPr>
        <w:spacing w:line="360" w:lineRule="auto"/>
        <w:jc w:val="center"/>
        <w:rPr>
          <w:b/>
          <w:sz w:val="28"/>
          <w:szCs w:val="28"/>
          <w:lang w:val="en-GB"/>
        </w:rPr>
      </w:pPr>
      <w:r w:rsidRPr="0048465B">
        <w:rPr>
          <w:b/>
          <w:sz w:val="28"/>
          <w:szCs w:val="28"/>
          <w:lang w:val="en-GB"/>
        </w:rPr>
        <w:lastRenderedPageBreak/>
        <w:t>Contents</w:t>
      </w:r>
    </w:p>
    <w:p w14:paraId="789527B6" w14:textId="7E02B03B" w:rsidR="001D59B9" w:rsidRPr="00C60093" w:rsidRDefault="00703A05">
      <w:pPr>
        <w:spacing w:line="360" w:lineRule="auto"/>
        <w:jc w:val="left"/>
        <w:rPr>
          <w:b/>
          <w:sz w:val="22"/>
          <w:szCs w:val="22"/>
          <w:lang w:val="en-GB"/>
        </w:rPr>
      </w:pPr>
      <w:r w:rsidRPr="00C60093">
        <w:rPr>
          <w:b/>
          <w:sz w:val="22"/>
          <w:szCs w:val="22"/>
          <w:lang w:val="en-GB"/>
        </w:rPr>
        <w:t>Introduction</w:t>
      </w:r>
      <w:r w:rsidR="001C545F">
        <w:rPr>
          <w:b/>
          <w:sz w:val="22"/>
          <w:szCs w:val="22"/>
          <w:lang w:val="en-GB"/>
        </w:rPr>
        <w:tab/>
      </w:r>
      <w:r w:rsidR="001C545F">
        <w:rPr>
          <w:b/>
          <w:sz w:val="22"/>
          <w:szCs w:val="22"/>
          <w:lang w:val="en-GB"/>
        </w:rPr>
        <w:tab/>
      </w:r>
      <w:r w:rsidR="001C545F">
        <w:rPr>
          <w:b/>
          <w:sz w:val="22"/>
          <w:szCs w:val="22"/>
          <w:lang w:val="en-GB"/>
        </w:rPr>
        <w:tab/>
      </w:r>
      <w:r w:rsidR="001C545F">
        <w:rPr>
          <w:b/>
          <w:sz w:val="22"/>
          <w:szCs w:val="22"/>
          <w:lang w:val="en-GB"/>
        </w:rPr>
        <w:tab/>
      </w:r>
      <w:r w:rsidR="001C545F">
        <w:rPr>
          <w:b/>
          <w:sz w:val="22"/>
          <w:szCs w:val="22"/>
          <w:lang w:val="en-GB"/>
        </w:rPr>
        <w:tab/>
      </w:r>
      <w:r w:rsidR="001C545F">
        <w:rPr>
          <w:b/>
          <w:sz w:val="22"/>
          <w:szCs w:val="22"/>
          <w:lang w:val="en-GB"/>
        </w:rPr>
        <w:tab/>
      </w:r>
      <w:r w:rsidR="001C545F">
        <w:rPr>
          <w:b/>
          <w:sz w:val="22"/>
          <w:szCs w:val="22"/>
          <w:lang w:val="en-GB"/>
        </w:rPr>
        <w:tab/>
      </w:r>
      <w:r w:rsidR="001C545F">
        <w:rPr>
          <w:b/>
          <w:sz w:val="22"/>
          <w:szCs w:val="22"/>
          <w:lang w:val="en-GB"/>
        </w:rPr>
        <w:tab/>
      </w:r>
      <w:r w:rsidR="001C545F">
        <w:rPr>
          <w:b/>
          <w:sz w:val="22"/>
          <w:szCs w:val="22"/>
          <w:lang w:val="en-GB"/>
        </w:rPr>
        <w:tab/>
      </w:r>
      <w:r w:rsidR="001C545F">
        <w:rPr>
          <w:b/>
          <w:sz w:val="22"/>
          <w:szCs w:val="22"/>
          <w:lang w:val="en-GB"/>
        </w:rPr>
        <w:tab/>
      </w:r>
      <w:r w:rsidR="001C545F">
        <w:rPr>
          <w:b/>
          <w:sz w:val="22"/>
          <w:szCs w:val="22"/>
          <w:lang w:val="en-GB"/>
        </w:rPr>
        <w:tab/>
      </w:r>
    </w:p>
    <w:p w14:paraId="0D216256" w14:textId="6C27B122" w:rsidR="001D59B9" w:rsidRPr="00C60093" w:rsidRDefault="00703A05">
      <w:pPr>
        <w:spacing w:line="360" w:lineRule="auto"/>
        <w:jc w:val="left"/>
        <w:rPr>
          <w:b/>
          <w:sz w:val="22"/>
          <w:szCs w:val="22"/>
          <w:lang w:val="en-GB"/>
        </w:rPr>
      </w:pPr>
      <w:r w:rsidRPr="00C60093">
        <w:rPr>
          <w:sz w:val="22"/>
          <w:szCs w:val="22"/>
          <w:lang w:val="en-GB"/>
        </w:rPr>
        <w:t>Beginnings</w:t>
      </w:r>
      <w:r w:rsidRPr="00C60093">
        <w:rPr>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00C60093">
        <w:rPr>
          <w:b/>
          <w:sz w:val="22"/>
          <w:szCs w:val="22"/>
          <w:lang w:val="en-GB"/>
        </w:rPr>
        <w:tab/>
      </w:r>
      <w:r w:rsidR="00CD20BF" w:rsidRPr="00C60093">
        <w:rPr>
          <w:bCs/>
          <w:sz w:val="22"/>
          <w:szCs w:val="22"/>
          <w:lang w:val="en-GB"/>
        </w:rPr>
        <w:t>1</w:t>
      </w:r>
    </w:p>
    <w:p w14:paraId="54C64266" w14:textId="77777777" w:rsidR="001D59B9" w:rsidRPr="00C60093" w:rsidRDefault="001D59B9">
      <w:pPr>
        <w:spacing w:line="360" w:lineRule="auto"/>
        <w:jc w:val="left"/>
        <w:rPr>
          <w:b/>
          <w:sz w:val="22"/>
          <w:szCs w:val="22"/>
          <w:lang w:val="en-GB"/>
        </w:rPr>
      </w:pPr>
    </w:p>
    <w:p w14:paraId="54EE35FE" w14:textId="77777777" w:rsidR="001D59B9" w:rsidRPr="00C60093" w:rsidRDefault="00703A05">
      <w:pPr>
        <w:spacing w:line="360" w:lineRule="auto"/>
        <w:jc w:val="left"/>
        <w:rPr>
          <w:b/>
          <w:sz w:val="22"/>
          <w:szCs w:val="22"/>
          <w:lang w:val="en-GB"/>
        </w:rPr>
      </w:pPr>
      <w:r w:rsidRPr="00C60093">
        <w:rPr>
          <w:b/>
          <w:sz w:val="22"/>
          <w:szCs w:val="22"/>
          <w:lang w:val="en-GB"/>
        </w:rPr>
        <w:t>Chapter One</w:t>
      </w:r>
    </w:p>
    <w:p w14:paraId="519A438A" w14:textId="63A22D38" w:rsidR="001D59B9" w:rsidRPr="00C60093" w:rsidRDefault="00703A05">
      <w:pPr>
        <w:spacing w:line="360" w:lineRule="auto"/>
        <w:jc w:val="left"/>
        <w:rPr>
          <w:b/>
          <w:sz w:val="22"/>
          <w:szCs w:val="22"/>
          <w:lang w:val="en-GB"/>
        </w:rPr>
      </w:pPr>
      <w:r w:rsidRPr="00C60093">
        <w:rPr>
          <w:b/>
          <w:sz w:val="22"/>
          <w:szCs w:val="22"/>
          <w:lang w:val="en-GB"/>
        </w:rPr>
        <w:t>Connective Memory, the Holocaust, Israel, Palestine</w:t>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00C60093">
        <w:rPr>
          <w:b/>
          <w:sz w:val="22"/>
          <w:szCs w:val="22"/>
          <w:lang w:val="en-GB"/>
        </w:rPr>
        <w:tab/>
      </w:r>
      <w:r w:rsidRPr="00C60093">
        <w:rPr>
          <w:b/>
          <w:sz w:val="22"/>
          <w:szCs w:val="22"/>
          <w:lang w:val="en-GB"/>
        </w:rPr>
        <w:tab/>
      </w:r>
      <w:r w:rsidR="00CD20BF" w:rsidRPr="00C60093">
        <w:rPr>
          <w:b/>
          <w:sz w:val="22"/>
          <w:szCs w:val="22"/>
          <w:lang w:val="en-GB"/>
        </w:rPr>
        <w:t>2</w:t>
      </w:r>
      <w:r w:rsidR="003B6638">
        <w:rPr>
          <w:b/>
          <w:sz w:val="22"/>
          <w:szCs w:val="22"/>
          <w:lang w:val="en-GB"/>
        </w:rPr>
        <w:t>4</w:t>
      </w:r>
    </w:p>
    <w:p w14:paraId="261DDF0C" w14:textId="230646CE" w:rsidR="001D59B9" w:rsidRPr="00C60093" w:rsidRDefault="006616D1">
      <w:pPr>
        <w:spacing w:line="360" w:lineRule="auto"/>
        <w:jc w:val="left"/>
        <w:rPr>
          <w:bCs/>
          <w:sz w:val="22"/>
          <w:szCs w:val="22"/>
          <w:lang w:val="en-GB"/>
        </w:rPr>
      </w:pPr>
      <w:r w:rsidRPr="00C60093">
        <w:rPr>
          <w:bCs/>
          <w:sz w:val="22"/>
          <w:szCs w:val="22"/>
          <w:lang w:val="en-GB"/>
        </w:rPr>
        <w:t>An Introduction to, and Evaluation of, Connective Approaches to Memory</w:t>
      </w:r>
      <w:r w:rsidRPr="00C60093">
        <w:rPr>
          <w:bCs/>
          <w:sz w:val="22"/>
          <w:szCs w:val="22"/>
          <w:lang w:val="en-GB"/>
        </w:rPr>
        <w:tab/>
      </w:r>
      <w:r w:rsidR="00703A05" w:rsidRPr="00C60093">
        <w:rPr>
          <w:bCs/>
          <w:sz w:val="22"/>
          <w:szCs w:val="22"/>
          <w:lang w:val="en-GB"/>
        </w:rPr>
        <w:tab/>
      </w:r>
      <w:r w:rsidR="00703A05" w:rsidRPr="00C60093">
        <w:rPr>
          <w:bCs/>
          <w:sz w:val="22"/>
          <w:szCs w:val="22"/>
          <w:lang w:val="en-GB"/>
        </w:rPr>
        <w:tab/>
      </w:r>
      <w:r w:rsidR="00CD20BF" w:rsidRPr="00C60093">
        <w:rPr>
          <w:bCs/>
          <w:sz w:val="22"/>
          <w:szCs w:val="22"/>
          <w:lang w:val="en-GB"/>
        </w:rPr>
        <w:t>2</w:t>
      </w:r>
      <w:r w:rsidR="003B6638">
        <w:rPr>
          <w:bCs/>
          <w:sz w:val="22"/>
          <w:szCs w:val="22"/>
          <w:lang w:val="en-GB"/>
        </w:rPr>
        <w:t>4</w:t>
      </w:r>
    </w:p>
    <w:p w14:paraId="6302A7FF" w14:textId="5277F214" w:rsidR="001D59B9" w:rsidRPr="00C60093" w:rsidRDefault="00703A05">
      <w:pPr>
        <w:spacing w:line="360" w:lineRule="auto"/>
        <w:jc w:val="left"/>
        <w:rPr>
          <w:sz w:val="22"/>
          <w:szCs w:val="22"/>
          <w:lang w:val="en-GB"/>
        </w:rPr>
      </w:pPr>
      <w:r w:rsidRPr="00C60093">
        <w:rPr>
          <w:sz w:val="22"/>
          <w:szCs w:val="22"/>
          <w:lang w:val="en-GB"/>
        </w:rPr>
        <w:t>Connective Memory in the Israeli-Palestinian Conflict</w:t>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00C60093">
        <w:rPr>
          <w:sz w:val="22"/>
          <w:szCs w:val="22"/>
          <w:lang w:val="en-GB"/>
        </w:rPr>
        <w:tab/>
      </w:r>
      <w:r w:rsidRPr="00C60093">
        <w:rPr>
          <w:sz w:val="22"/>
          <w:szCs w:val="22"/>
          <w:lang w:val="en-GB"/>
        </w:rPr>
        <w:tab/>
      </w:r>
      <w:r w:rsidR="00CD20BF" w:rsidRPr="00C60093">
        <w:rPr>
          <w:sz w:val="22"/>
          <w:szCs w:val="22"/>
          <w:lang w:val="en-GB"/>
        </w:rPr>
        <w:t>5</w:t>
      </w:r>
      <w:r w:rsidR="003B6638">
        <w:rPr>
          <w:sz w:val="22"/>
          <w:szCs w:val="22"/>
          <w:lang w:val="en-GB"/>
        </w:rPr>
        <w:t>8</w:t>
      </w:r>
    </w:p>
    <w:p w14:paraId="77F3DD44" w14:textId="4C5A9230" w:rsidR="001D59B9" w:rsidRPr="00C60093" w:rsidRDefault="00703A05">
      <w:pPr>
        <w:spacing w:line="360" w:lineRule="auto"/>
        <w:jc w:val="left"/>
        <w:rPr>
          <w:sz w:val="22"/>
          <w:szCs w:val="22"/>
          <w:lang w:val="en-GB"/>
        </w:rPr>
      </w:pPr>
      <w:r w:rsidRPr="00C60093">
        <w:rPr>
          <w:sz w:val="22"/>
          <w:szCs w:val="22"/>
          <w:lang w:val="en-GB"/>
        </w:rPr>
        <w:t>The Centrality of the Holocaust within Israeli Political Discourse on the Conflict</w:t>
      </w:r>
      <w:r w:rsidRPr="00C60093">
        <w:rPr>
          <w:sz w:val="22"/>
          <w:szCs w:val="22"/>
          <w:lang w:val="en-GB"/>
        </w:rPr>
        <w:tab/>
      </w:r>
      <w:r w:rsidRPr="00C60093">
        <w:rPr>
          <w:sz w:val="22"/>
          <w:szCs w:val="22"/>
          <w:lang w:val="en-GB"/>
        </w:rPr>
        <w:tab/>
      </w:r>
      <w:r w:rsidR="00C60093">
        <w:rPr>
          <w:sz w:val="22"/>
          <w:szCs w:val="22"/>
          <w:lang w:val="en-GB"/>
        </w:rPr>
        <w:tab/>
      </w:r>
      <w:r w:rsidR="003B6638">
        <w:rPr>
          <w:sz w:val="22"/>
          <w:szCs w:val="22"/>
          <w:lang w:val="en-GB"/>
        </w:rPr>
        <w:t>81</w:t>
      </w:r>
    </w:p>
    <w:p w14:paraId="617C6EAA" w14:textId="77777777" w:rsidR="001D59B9" w:rsidRPr="00C60093" w:rsidRDefault="001D59B9">
      <w:pPr>
        <w:spacing w:line="360" w:lineRule="auto"/>
        <w:jc w:val="left"/>
        <w:rPr>
          <w:b/>
          <w:sz w:val="22"/>
          <w:szCs w:val="22"/>
          <w:lang w:val="en-GB"/>
        </w:rPr>
      </w:pPr>
    </w:p>
    <w:p w14:paraId="7DAE5E6C" w14:textId="77777777" w:rsidR="001D59B9" w:rsidRPr="00C60093" w:rsidRDefault="00703A05">
      <w:pPr>
        <w:spacing w:line="360" w:lineRule="auto"/>
        <w:jc w:val="left"/>
        <w:rPr>
          <w:b/>
          <w:sz w:val="22"/>
          <w:szCs w:val="22"/>
          <w:lang w:val="en-GB"/>
        </w:rPr>
      </w:pPr>
      <w:r w:rsidRPr="00C60093">
        <w:rPr>
          <w:b/>
          <w:sz w:val="22"/>
          <w:szCs w:val="22"/>
          <w:lang w:val="en-GB"/>
        </w:rPr>
        <w:t>Chapter Two</w:t>
      </w:r>
    </w:p>
    <w:p w14:paraId="56A0489B" w14:textId="2A63B0E8" w:rsidR="001D59B9" w:rsidRPr="00C60093" w:rsidRDefault="00F13356">
      <w:pPr>
        <w:spacing w:line="360" w:lineRule="auto"/>
        <w:jc w:val="left"/>
        <w:rPr>
          <w:b/>
          <w:sz w:val="22"/>
          <w:szCs w:val="22"/>
          <w:lang w:val="en-GB"/>
        </w:rPr>
      </w:pPr>
      <w:r w:rsidRPr="00C60093">
        <w:rPr>
          <w:b/>
          <w:sz w:val="22"/>
          <w:szCs w:val="22"/>
          <w:lang w:val="en-GB"/>
        </w:rPr>
        <w:t>First-hand</w:t>
      </w:r>
      <w:r w:rsidR="00703A05" w:rsidRPr="00C60093">
        <w:rPr>
          <w:b/>
          <w:sz w:val="22"/>
          <w:szCs w:val="22"/>
          <w:lang w:val="en-GB"/>
        </w:rPr>
        <w:t xml:space="preserve"> Fiction: Palestinian and Israeli Perceptions of the Nakba and the Holocaust</w:t>
      </w:r>
      <w:r w:rsidR="00703A05" w:rsidRPr="00C60093">
        <w:rPr>
          <w:b/>
          <w:sz w:val="22"/>
          <w:szCs w:val="22"/>
          <w:lang w:val="en-GB"/>
        </w:rPr>
        <w:tab/>
      </w:r>
      <w:r w:rsidR="00CD20BF" w:rsidRPr="00C60093">
        <w:rPr>
          <w:b/>
          <w:sz w:val="22"/>
          <w:szCs w:val="22"/>
          <w:lang w:val="en-GB"/>
        </w:rPr>
        <w:t>9</w:t>
      </w:r>
      <w:r w:rsidR="003B6638">
        <w:rPr>
          <w:b/>
          <w:sz w:val="22"/>
          <w:szCs w:val="22"/>
          <w:lang w:val="en-GB"/>
        </w:rPr>
        <w:t>9</w:t>
      </w:r>
    </w:p>
    <w:p w14:paraId="5E0E4BF5" w14:textId="671A08B6" w:rsidR="001D59B9" w:rsidRPr="00C60093" w:rsidRDefault="00703A05">
      <w:pPr>
        <w:spacing w:line="360" w:lineRule="auto"/>
        <w:jc w:val="left"/>
        <w:rPr>
          <w:sz w:val="22"/>
          <w:szCs w:val="22"/>
          <w:lang w:val="en-GB"/>
        </w:rPr>
      </w:pPr>
      <w:r w:rsidRPr="00C60093">
        <w:rPr>
          <w:sz w:val="22"/>
          <w:szCs w:val="22"/>
          <w:lang w:val="en-GB"/>
        </w:rPr>
        <w:t>Palestinian Representations</w:t>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00CD20BF" w:rsidRPr="00C60093">
        <w:rPr>
          <w:sz w:val="22"/>
          <w:szCs w:val="22"/>
          <w:lang w:val="en-GB"/>
        </w:rPr>
        <w:t>1</w:t>
      </w:r>
      <w:r w:rsidR="003B6638">
        <w:rPr>
          <w:sz w:val="22"/>
          <w:szCs w:val="22"/>
          <w:lang w:val="en-GB"/>
        </w:rPr>
        <w:t>15</w:t>
      </w:r>
    </w:p>
    <w:p w14:paraId="6584D430" w14:textId="1257E0ED" w:rsidR="001D59B9" w:rsidRPr="00C60093" w:rsidRDefault="00703A05">
      <w:pPr>
        <w:spacing w:line="360" w:lineRule="auto"/>
        <w:jc w:val="left"/>
        <w:rPr>
          <w:b/>
          <w:sz w:val="22"/>
          <w:szCs w:val="22"/>
          <w:lang w:val="en-GB"/>
        </w:rPr>
      </w:pPr>
      <w:r w:rsidRPr="00C60093">
        <w:rPr>
          <w:sz w:val="22"/>
          <w:szCs w:val="22"/>
          <w:lang w:val="en-GB"/>
        </w:rPr>
        <w:t>Israeli Representations</w:t>
      </w:r>
      <w:r w:rsidRPr="00C60093">
        <w:rPr>
          <w:sz w:val="22"/>
          <w:szCs w:val="22"/>
          <w:lang w:val="en-GB"/>
        </w:rPr>
        <w:tab/>
      </w:r>
      <w:r w:rsidRPr="00C60093">
        <w:rPr>
          <w:sz w:val="22"/>
          <w:szCs w:val="22"/>
          <w:lang w:val="en-GB"/>
        </w:rPr>
        <w:tab/>
      </w:r>
      <w:r w:rsidRPr="00C60093">
        <w:rPr>
          <w:sz w:val="22"/>
          <w:szCs w:val="22"/>
          <w:lang w:val="en-GB"/>
        </w:rPr>
        <w:tab/>
      </w:r>
      <w:r w:rsid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00CD20BF" w:rsidRPr="00C60093">
        <w:rPr>
          <w:sz w:val="22"/>
          <w:szCs w:val="22"/>
          <w:lang w:val="en-GB"/>
        </w:rPr>
        <w:t>14</w:t>
      </w:r>
      <w:r w:rsidR="003B6638">
        <w:rPr>
          <w:sz w:val="22"/>
          <w:szCs w:val="22"/>
          <w:lang w:val="en-GB"/>
        </w:rPr>
        <w:t>7</w:t>
      </w:r>
    </w:p>
    <w:p w14:paraId="33CD1BA4" w14:textId="77777777" w:rsidR="001D59B9" w:rsidRPr="00C60093" w:rsidRDefault="001D59B9">
      <w:pPr>
        <w:spacing w:line="360" w:lineRule="auto"/>
        <w:jc w:val="left"/>
        <w:rPr>
          <w:b/>
          <w:sz w:val="22"/>
          <w:szCs w:val="22"/>
          <w:lang w:val="en-GB"/>
        </w:rPr>
      </w:pPr>
    </w:p>
    <w:p w14:paraId="5EAA3320" w14:textId="77777777" w:rsidR="001D59B9" w:rsidRPr="00C60093" w:rsidRDefault="00703A05">
      <w:pPr>
        <w:spacing w:line="360" w:lineRule="auto"/>
        <w:jc w:val="left"/>
        <w:rPr>
          <w:b/>
          <w:sz w:val="22"/>
          <w:szCs w:val="22"/>
          <w:lang w:val="en-GB"/>
        </w:rPr>
      </w:pPr>
      <w:r w:rsidRPr="00C60093">
        <w:rPr>
          <w:b/>
          <w:sz w:val="22"/>
          <w:szCs w:val="22"/>
          <w:lang w:val="en-GB"/>
        </w:rPr>
        <w:t>Chapter Three</w:t>
      </w:r>
    </w:p>
    <w:p w14:paraId="42783694" w14:textId="4BC27475" w:rsidR="001D59B9" w:rsidRPr="00C60093" w:rsidRDefault="00703A05">
      <w:pPr>
        <w:spacing w:line="360" w:lineRule="auto"/>
        <w:jc w:val="left"/>
        <w:rPr>
          <w:b/>
          <w:sz w:val="22"/>
          <w:szCs w:val="22"/>
          <w:lang w:val="en-GB"/>
        </w:rPr>
      </w:pPr>
      <w:r w:rsidRPr="00C60093">
        <w:rPr>
          <w:b/>
          <w:sz w:val="22"/>
          <w:szCs w:val="22"/>
          <w:lang w:val="en-GB"/>
        </w:rPr>
        <w:t>Israel Holds the Cards: Forms of Control in Israeli Culture, Media, and Literature</w:t>
      </w:r>
      <w:r w:rsidRPr="00C60093">
        <w:rPr>
          <w:b/>
          <w:sz w:val="22"/>
          <w:szCs w:val="22"/>
          <w:lang w:val="en-GB"/>
        </w:rPr>
        <w:tab/>
      </w:r>
      <w:r w:rsidR="00C60093">
        <w:rPr>
          <w:b/>
          <w:sz w:val="22"/>
          <w:szCs w:val="22"/>
          <w:lang w:val="en-GB"/>
        </w:rPr>
        <w:tab/>
      </w:r>
      <w:r w:rsidR="00CD20BF" w:rsidRPr="00C60093">
        <w:rPr>
          <w:b/>
          <w:sz w:val="22"/>
          <w:szCs w:val="22"/>
          <w:lang w:val="en-GB"/>
        </w:rPr>
        <w:t>1</w:t>
      </w:r>
      <w:r w:rsidR="003B6638">
        <w:rPr>
          <w:b/>
          <w:sz w:val="22"/>
          <w:szCs w:val="22"/>
          <w:lang w:val="en-GB"/>
        </w:rPr>
        <w:t>76</w:t>
      </w:r>
    </w:p>
    <w:p w14:paraId="18D2B172" w14:textId="01CFECE8" w:rsidR="001D59B9" w:rsidRPr="00C60093" w:rsidRDefault="00703A05">
      <w:pPr>
        <w:spacing w:line="360" w:lineRule="auto"/>
        <w:jc w:val="left"/>
        <w:rPr>
          <w:sz w:val="22"/>
          <w:szCs w:val="22"/>
          <w:lang w:val="en-GB"/>
        </w:rPr>
      </w:pPr>
      <w:r w:rsidRPr="00C60093">
        <w:rPr>
          <w:sz w:val="22"/>
          <w:szCs w:val="22"/>
          <w:lang w:val="en-GB"/>
        </w:rPr>
        <w:t>Mizrahi Jews: Central, or Decentralised?</w:t>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00C60093">
        <w:rPr>
          <w:sz w:val="22"/>
          <w:szCs w:val="22"/>
          <w:lang w:val="en-GB"/>
        </w:rPr>
        <w:tab/>
      </w:r>
      <w:r w:rsidR="00CD20BF" w:rsidRPr="00C60093">
        <w:rPr>
          <w:sz w:val="22"/>
          <w:szCs w:val="22"/>
          <w:lang w:val="en-GB"/>
        </w:rPr>
        <w:t>1</w:t>
      </w:r>
      <w:r w:rsidR="003B6638">
        <w:rPr>
          <w:sz w:val="22"/>
          <w:szCs w:val="22"/>
          <w:lang w:val="en-GB"/>
        </w:rPr>
        <w:t>79</w:t>
      </w:r>
    </w:p>
    <w:p w14:paraId="65EE288C" w14:textId="0A8294A7" w:rsidR="001D59B9" w:rsidRPr="00C60093" w:rsidRDefault="00703A05">
      <w:pPr>
        <w:spacing w:line="360" w:lineRule="auto"/>
        <w:jc w:val="left"/>
        <w:rPr>
          <w:sz w:val="22"/>
          <w:szCs w:val="22"/>
          <w:lang w:val="en-GB"/>
        </w:rPr>
      </w:pPr>
      <w:r w:rsidRPr="00C60093">
        <w:rPr>
          <w:sz w:val="22"/>
          <w:szCs w:val="22"/>
          <w:lang w:val="en-GB"/>
        </w:rPr>
        <w:t>Israeli Approaches to Interfaith Marriage in Politics and Media</w:t>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00C60093">
        <w:rPr>
          <w:sz w:val="22"/>
          <w:szCs w:val="22"/>
          <w:lang w:val="en-GB"/>
        </w:rPr>
        <w:tab/>
      </w:r>
      <w:r w:rsidR="00CD20BF" w:rsidRPr="00C60093">
        <w:rPr>
          <w:sz w:val="22"/>
          <w:szCs w:val="22"/>
          <w:lang w:val="en-GB"/>
        </w:rPr>
        <w:t>19</w:t>
      </w:r>
      <w:r w:rsidR="003B6638">
        <w:rPr>
          <w:sz w:val="22"/>
          <w:szCs w:val="22"/>
          <w:lang w:val="en-GB"/>
        </w:rPr>
        <w:t>7</w:t>
      </w:r>
    </w:p>
    <w:p w14:paraId="2F860FAA" w14:textId="6F2FFF93" w:rsidR="001D59B9" w:rsidRPr="00C60093" w:rsidRDefault="00703A05">
      <w:pPr>
        <w:spacing w:line="360" w:lineRule="auto"/>
        <w:jc w:val="left"/>
        <w:rPr>
          <w:sz w:val="22"/>
          <w:szCs w:val="22"/>
          <w:lang w:val="en-GB"/>
        </w:rPr>
      </w:pPr>
      <w:r w:rsidRPr="00C60093">
        <w:rPr>
          <w:sz w:val="22"/>
          <w:szCs w:val="22"/>
          <w:lang w:val="en-GB"/>
        </w:rPr>
        <w:t>The Inescapable Intersection: Dual-Heritage Children and Their Parents, in Israel and Abroad</w:t>
      </w:r>
      <w:r w:rsidRPr="00C60093">
        <w:rPr>
          <w:sz w:val="22"/>
          <w:szCs w:val="22"/>
          <w:lang w:val="en-GB"/>
        </w:rPr>
        <w:tab/>
      </w:r>
      <w:r w:rsidR="00CD20BF" w:rsidRPr="00C60093">
        <w:rPr>
          <w:sz w:val="22"/>
          <w:szCs w:val="22"/>
          <w:lang w:val="en-GB"/>
        </w:rPr>
        <w:t>2</w:t>
      </w:r>
      <w:r w:rsidR="003B6638">
        <w:rPr>
          <w:sz w:val="22"/>
          <w:szCs w:val="22"/>
          <w:lang w:val="en-GB"/>
        </w:rPr>
        <w:t>23</w:t>
      </w:r>
    </w:p>
    <w:p w14:paraId="4513CBB1" w14:textId="77777777" w:rsidR="001D59B9" w:rsidRPr="00C60093" w:rsidRDefault="001D59B9">
      <w:pPr>
        <w:spacing w:line="360" w:lineRule="auto"/>
        <w:jc w:val="left"/>
        <w:rPr>
          <w:b/>
          <w:sz w:val="22"/>
          <w:szCs w:val="22"/>
          <w:lang w:val="en-GB"/>
        </w:rPr>
      </w:pPr>
    </w:p>
    <w:p w14:paraId="237A2476" w14:textId="77777777" w:rsidR="001D59B9" w:rsidRPr="00C60093" w:rsidRDefault="00703A05">
      <w:pPr>
        <w:spacing w:line="360" w:lineRule="auto"/>
        <w:jc w:val="left"/>
        <w:rPr>
          <w:b/>
          <w:sz w:val="22"/>
          <w:szCs w:val="22"/>
          <w:lang w:val="en-GB"/>
        </w:rPr>
      </w:pPr>
      <w:r w:rsidRPr="00C60093">
        <w:rPr>
          <w:b/>
          <w:sz w:val="22"/>
          <w:szCs w:val="22"/>
          <w:lang w:val="en-GB"/>
        </w:rPr>
        <w:t>Chapter Four</w:t>
      </w:r>
    </w:p>
    <w:p w14:paraId="1FD59092" w14:textId="5C4CDE9C" w:rsidR="001D59B9" w:rsidRPr="00C60093" w:rsidRDefault="00703A05">
      <w:pPr>
        <w:spacing w:line="360" w:lineRule="auto"/>
        <w:jc w:val="left"/>
        <w:rPr>
          <w:b/>
          <w:sz w:val="22"/>
          <w:szCs w:val="22"/>
          <w:lang w:val="en-GB"/>
        </w:rPr>
      </w:pPr>
      <w:r w:rsidRPr="00C60093">
        <w:rPr>
          <w:b/>
          <w:sz w:val="22"/>
          <w:szCs w:val="22"/>
          <w:lang w:val="en-GB"/>
        </w:rPr>
        <w:t>Where Do We Go From Here?</w:t>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00C60093" w:rsidRPr="00C60093">
        <w:rPr>
          <w:b/>
          <w:sz w:val="22"/>
          <w:szCs w:val="22"/>
          <w:lang w:val="en-GB"/>
        </w:rPr>
        <w:t>2</w:t>
      </w:r>
      <w:r w:rsidR="003B6638">
        <w:rPr>
          <w:b/>
          <w:sz w:val="22"/>
          <w:szCs w:val="22"/>
          <w:lang w:val="en-GB"/>
        </w:rPr>
        <w:t>46</w:t>
      </w:r>
    </w:p>
    <w:p w14:paraId="5F17F260" w14:textId="0267D4F7" w:rsidR="001D59B9" w:rsidRPr="00C60093" w:rsidRDefault="00703A05">
      <w:pPr>
        <w:spacing w:line="360" w:lineRule="auto"/>
        <w:jc w:val="left"/>
        <w:rPr>
          <w:sz w:val="22"/>
          <w:szCs w:val="22"/>
          <w:lang w:val="en-GB"/>
        </w:rPr>
      </w:pPr>
      <w:r w:rsidRPr="00C60093">
        <w:rPr>
          <w:sz w:val="22"/>
          <w:szCs w:val="22"/>
          <w:lang w:val="en-GB"/>
        </w:rPr>
        <w:t>Israel’s Creation, the Sovereign Exception, and the International Community</w:t>
      </w:r>
      <w:r w:rsidRPr="00C60093">
        <w:rPr>
          <w:sz w:val="22"/>
          <w:szCs w:val="22"/>
          <w:lang w:val="en-GB"/>
        </w:rPr>
        <w:tab/>
      </w:r>
      <w:r w:rsidR="00C60093">
        <w:rPr>
          <w:sz w:val="22"/>
          <w:szCs w:val="22"/>
          <w:lang w:val="en-GB"/>
        </w:rPr>
        <w:tab/>
      </w:r>
      <w:r w:rsidRPr="00C60093">
        <w:rPr>
          <w:sz w:val="22"/>
          <w:szCs w:val="22"/>
          <w:lang w:val="en-GB"/>
        </w:rPr>
        <w:tab/>
      </w:r>
      <w:r w:rsidR="00C60093" w:rsidRPr="00C60093">
        <w:rPr>
          <w:sz w:val="22"/>
          <w:szCs w:val="22"/>
          <w:lang w:val="en-GB"/>
        </w:rPr>
        <w:t>2</w:t>
      </w:r>
      <w:r w:rsidR="003B6638">
        <w:rPr>
          <w:sz w:val="22"/>
          <w:szCs w:val="22"/>
          <w:lang w:val="en-GB"/>
        </w:rPr>
        <w:t>49</w:t>
      </w:r>
    </w:p>
    <w:p w14:paraId="34BA35B3" w14:textId="7F09CCD5" w:rsidR="001D59B9" w:rsidRPr="00C60093" w:rsidRDefault="00703A05">
      <w:pPr>
        <w:spacing w:line="360" w:lineRule="auto"/>
        <w:jc w:val="left"/>
        <w:rPr>
          <w:sz w:val="22"/>
          <w:szCs w:val="22"/>
          <w:lang w:val="en-GB"/>
        </w:rPr>
      </w:pPr>
      <w:r w:rsidRPr="00C60093">
        <w:rPr>
          <w:sz w:val="22"/>
          <w:szCs w:val="22"/>
          <w:lang w:val="en-GB"/>
        </w:rPr>
        <w:t>America, Trump, Peace to Prosperity, and Normali</w:t>
      </w:r>
      <w:r w:rsidR="00EB441E">
        <w:rPr>
          <w:sz w:val="22"/>
          <w:szCs w:val="22"/>
          <w:lang w:val="en-GB"/>
        </w:rPr>
        <w:t>s</w:t>
      </w:r>
      <w:r w:rsidRPr="00C60093">
        <w:rPr>
          <w:sz w:val="22"/>
          <w:szCs w:val="22"/>
          <w:lang w:val="en-GB"/>
        </w:rPr>
        <w:t>ation</w:t>
      </w:r>
      <w:r w:rsidRPr="00C60093">
        <w:rPr>
          <w:sz w:val="22"/>
          <w:szCs w:val="22"/>
          <w:lang w:val="en-GB"/>
        </w:rPr>
        <w:tab/>
      </w:r>
      <w:r w:rsidRPr="00C60093">
        <w:rPr>
          <w:sz w:val="22"/>
          <w:szCs w:val="22"/>
          <w:lang w:val="en-GB"/>
        </w:rPr>
        <w:tab/>
      </w:r>
      <w:r w:rsidRPr="00C60093">
        <w:rPr>
          <w:sz w:val="22"/>
          <w:szCs w:val="22"/>
          <w:lang w:val="en-GB"/>
        </w:rPr>
        <w:tab/>
      </w:r>
      <w:r w:rsidR="00C60093">
        <w:rPr>
          <w:sz w:val="22"/>
          <w:szCs w:val="22"/>
          <w:lang w:val="en-GB"/>
        </w:rPr>
        <w:tab/>
      </w:r>
      <w:r w:rsidRPr="00C60093">
        <w:rPr>
          <w:sz w:val="22"/>
          <w:szCs w:val="22"/>
          <w:lang w:val="en-GB"/>
        </w:rPr>
        <w:tab/>
      </w:r>
      <w:r w:rsidRPr="00C60093">
        <w:rPr>
          <w:sz w:val="22"/>
          <w:szCs w:val="22"/>
          <w:lang w:val="en-GB"/>
        </w:rPr>
        <w:tab/>
      </w:r>
      <w:r w:rsidR="00C60093" w:rsidRPr="00C60093">
        <w:rPr>
          <w:sz w:val="22"/>
          <w:szCs w:val="22"/>
          <w:lang w:val="en-GB"/>
        </w:rPr>
        <w:t>2</w:t>
      </w:r>
      <w:r w:rsidR="003B6638">
        <w:rPr>
          <w:sz w:val="22"/>
          <w:szCs w:val="22"/>
          <w:lang w:val="en-GB"/>
        </w:rPr>
        <w:t>60</w:t>
      </w:r>
    </w:p>
    <w:p w14:paraId="20ED2D94" w14:textId="77777777" w:rsidR="00C60093" w:rsidRPr="00C60093" w:rsidRDefault="00C60093" w:rsidP="00C60093">
      <w:pPr>
        <w:spacing w:line="360" w:lineRule="auto"/>
        <w:jc w:val="left"/>
        <w:rPr>
          <w:bCs/>
          <w:sz w:val="22"/>
          <w:szCs w:val="22"/>
          <w:lang w:val="en-GB"/>
        </w:rPr>
      </w:pPr>
      <w:r w:rsidRPr="00C60093">
        <w:rPr>
          <w:bCs/>
          <w:sz w:val="22"/>
          <w:szCs w:val="22"/>
          <w:lang w:val="en-GB"/>
        </w:rPr>
        <w:t>Biden: More of the Same, or a New Hope?</w:t>
      </w:r>
    </w:p>
    <w:p w14:paraId="644D79DE" w14:textId="3BA693A5" w:rsidR="00C60093" w:rsidRDefault="00C60093">
      <w:pPr>
        <w:spacing w:line="360" w:lineRule="auto"/>
        <w:jc w:val="left"/>
        <w:rPr>
          <w:bCs/>
          <w:sz w:val="22"/>
          <w:szCs w:val="22"/>
          <w:lang w:val="en-GB"/>
        </w:rPr>
      </w:pPr>
      <w:r w:rsidRPr="00C60093">
        <w:rPr>
          <w:bCs/>
          <w:sz w:val="22"/>
          <w:szCs w:val="22"/>
          <w:lang w:val="en-GB"/>
        </w:rPr>
        <w:t>The Future of American Intervention, Lessons from Namibia, and the Question of Iran</w:t>
      </w:r>
      <w:r>
        <w:rPr>
          <w:bCs/>
          <w:sz w:val="22"/>
          <w:szCs w:val="22"/>
          <w:lang w:val="en-GB"/>
        </w:rPr>
        <w:tab/>
      </w:r>
      <w:r w:rsidRPr="00C60093">
        <w:rPr>
          <w:bCs/>
          <w:sz w:val="22"/>
          <w:szCs w:val="22"/>
          <w:lang w:val="en-GB"/>
        </w:rPr>
        <w:tab/>
        <w:t>2</w:t>
      </w:r>
      <w:r w:rsidR="003B6638">
        <w:rPr>
          <w:bCs/>
          <w:sz w:val="22"/>
          <w:szCs w:val="22"/>
          <w:lang w:val="en-GB"/>
        </w:rPr>
        <w:t>69</w:t>
      </w:r>
    </w:p>
    <w:p w14:paraId="007AFB76" w14:textId="1FAB6E28" w:rsidR="003B6638" w:rsidRPr="00C60093" w:rsidRDefault="003B6638">
      <w:pPr>
        <w:spacing w:line="360" w:lineRule="auto"/>
        <w:jc w:val="left"/>
        <w:rPr>
          <w:sz w:val="22"/>
          <w:szCs w:val="22"/>
          <w:lang w:val="en-GB"/>
        </w:rPr>
      </w:pPr>
      <w:r>
        <w:rPr>
          <w:bCs/>
          <w:sz w:val="22"/>
          <w:szCs w:val="22"/>
          <w:lang w:val="en-GB"/>
        </w:rPr>
        <w:t xml:space="preserve">A Note on Hamas </w:t>
      </w:r>
      <w:r>
        <w:rPr>
          <w:bCs/>
          <w:sz w:val="22"/>
          <w:szCs w:val="22"/>
          <w:lang w:val="en-GB"/>
        </w:rPr>
        <w:tab/>
      </w:r>
      <w:r>
        <w:rPr>
          <w:bCs/>
          <w:sz w:val="22"/>
          <w:szCs w:val="22"/>
          <w:lang w:val="en-GB"/>
        </w:rPr>
        <w:tab/>
      </w:r>
      <w:r>
        <w:rPr>
          <w:bCs/>
          <w:sz w:val="22"/>
          <w:szCs w:val="22"/>
          <w:lang w:val="en-GB"/>
        </w:rPr>
        <w:tab/>
      </w:r>
      <w:r>
        <w:rPr>
          <w:bCs/>
          <w:sz w:val="22"/>
          <w:szCs w:val="22"/>
          <w:lang w:val="en-GB"/>
        </w:rPr>
        <w:tab/>
      </w:r>
      <w:r>
        <w:rPr>
          <w:bCs/>
          <w:sz w:val="22"/>
          <w:szCs w:val="22"/>
          <w:lang w:val="en-GB"/>
        </w:rPr>
        <w:tab/>
      </w:r>
      <w:r>
        <w:rPr>
          <w:bCs/>
          <w:sz w:val="22"/>
          <w:szCs w:val="22"/>
          <w:lang w:val="en-GB"/>
        </w:rPr>
        <w:tab/>
      </w:r>
      <w:r>
        <w:rPr>
          <w:bCs/>
          <w:sz w:val="22"/>
          <w:szCs w:val="22"/>
          <w:lang w:val="en-GB"/>
        </w:rPr>
        <w:tab/>
      </w:r>
      <w:r>
        <w:rPr>
          <w:bCs/>
          <w:sz w:val="22"/>
          <w:szCs w:val="22"/>
          <w:lang w:val="en-GB"/>
        </w:rPr>
        <w:tab/>
      </w:r>
      <w:r>
        <w:rPr>
          <w:bCs/>
          <w:sz w:val="22"/>
          <w:szCs w:val="22"/>
          <w:lang w:val="en-GB"/>
        </w:rPr>
        <w:tab/>
      </w:r>
      <w:r>
        <w:rPr>
          <w:bCs/>
          <w:sz w:val="22"/>
          <w:szCs w:val="22"/>
          <w:lang w:val="en-GB"/>
        </w:rPr>
        <w:tab/>
        <w:t>278</w:t>
      </w:r>
    </w:p>
    <w:p w14:paraId="66AAF249" w14:textId="6C566CBE" w:rsidR="001D59B9" w:rsidRPr="00C60093" w:rsidRDefault="00703A05">
      <w:pPr>
        <w:spacing w:line="360" w:lineRule="auto"/>
        <w:jc w:val="left"/>
        <w:rPr>
          <w:sz w:val="22"/>
          <w:szCs w:val="22"/>
          <w:lang w:val="en-GB"/>
        </w:rPr>
      </w:pPr>
      <w:r w:rsidRPr="00C60093">
        <w:rPr>
          <w:sz w:val="22"/>
          <w:szCs w:val="22"/>
          <w:lang w:val="en-GB"/>
        </w:rPr>
        <w:t>Boycott, Divestment, Sanctions, and the Accusation of Antisemitism</w:t>
      </w:r>
      <w:r w:rsid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00C60093" w:rsidRPr="00C60093">
        <w:rPr>
          <w:sz w:val="22"/>
          <w:szCs w:val="22"/>
          <w:lang w:val="en-GB"/>
        </w:rPr>
        <w:t>2</w:t>
      </w:r>
      <w:r w:rsidR="003B6638">
        <w:rPr>
          <w:sz w:val="22"/>
          <w:szCs w:val="22"/>
          <w:lang w:val="en-GB"/>
        </w:rPr>
        <w:t>81</w:t>
      </w:r>
    </w:p>
    <w:p w14:paraId="471DC7B1" w14:textId="26772136" w:rsidR="001D59B9" w:rsidRPr="00C60093" w:rsidRDefault="00703A05">
      <w:pPr>
        <w:spacing w:line="360" w:lineRule="auto"/>
        <w:jc w:val="left"/>
        <w:rPr>
          <w:sz w:val="22"/>
          <w:szCs w:val="22"/>
          <w:lang w:val="en-GB"/>
        </w:rPr>
      </w:pPr>
      <w:r w:rsidRPr="00C60093">
        <w:rPr>
          <w:sz w:val="22"/>
          <w:szCs w:val="22"/>
          <w:lang w:val="en-GB"/>
        </w:rPr>
        <w:t>Two States or One</w:t>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003B6638">
        <w:rPr>
          <w:sz w:val="22"/>
          <w:szCs w:val="22"/>
          <w:lang w:val="en-GB"/>
        </w:rPr>
        <w:t>303</w:t>
      </w:r>
    </w:p>
    <w:p w14:paraId="5C829DBA" w14:textId="4FD577AA" w:rsidR="001D59B9" w:rsidRPr="00C60093" w:rsidRDefault="00703A05">
      <w:pPr>
        <w:spacing w:line="360" w:lineRule="auto"/>
        <w:jc w:val="left"/>
        <w:rPr>
          <w:sz w:val="22"/>
          <w:szCs w:val="22"/>
          <w:lang w:val="en-GB"/>
        </w:rPr>
      </w:pPr>
      <w:r w:rsidRPr="00C60093">
        <w:rPr>
          <w:sz w:val="22"/>
          <w:szCs w:val="22"/>
          <w:lang w:val="en-GB"/>
        </w:rPr>
        <w:t>Lessons for the Future</w:t>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003B6638">
        <w:rPr>
          <w:sz w:val="22"/>
          <w:szCs w:val="22"/>
          <w:lang w:val="en-GB"/>
        </w:rPr>
        <w:t>327</w:t>
      </w:r>
    </w:p>
    <w:p w14:paraId="19E9CCE7" w14:textId="77777777" w:rsidR="001D59B9" w:rsidRPr="00C60093" w:rsidRDefault="001D59B9">
      <w:pPr>
        <w:spacing w:line="360" w:lineRule="auto"/>
        <w:jc w:val="left"/>
        <w:rPr>
          <w:b/>
          <w:sz w:val="22"/>
          <w:szCs w:val="22"/>
          <w:lang w:val="en-GB"/>
        </w:rPr>
      </w:pPr>
    </w:p>
    <w:p w14:paraId="396675B6" w14:textId="77777777" w:rsidR="001D59B9" w:rsidRPr="00C60093" w:rsidRDefault="00703A05">
      <w:pPr>
        <w:spacing w:line="360" w:lineRule="auto"/>
        <w:jc w:val="left"/>
        <w:rPr>
          <w:b/>
          <w:sz w:val="22"/>
          <w:szCs w:val="22"/>
          <w:lang w:val="en-GB"/>
        </w:rPr>
      </w:pPr>
      <w:r w:rsidRPr="00C60093">
        <w:rPr>
          <w:b/>
          <w:sz w:val="22"/>
          <w:szCs w:val="22"/>
          <w:lang w:val="en-GB"/>
        </w:rPr>
        <w:t>Coda</w:t>
      </w:r>
    </w:p>
    <w:p w14:paraId="4EFA0D14" w14:textId="15525647" w:rsidR="001D59B9" w:rsidRPr="003B6638" w:rsidRDefault="00703A05">
      <w:pPr>
        <w:spacing w:line="360" w:lineRule="auto"/>
        <w:jc w:val="left"/>
        <w:rPr>
          <w:sz w:val="22"/>
          <w:szCs w:val="22"/>
          <w:lang w:val="en-GB"/>
        </w:rPr>
      </w:pPr>
      <w:r w:rsidRPr="00C60093">
        <w:rPr>
          <w:sz w:val="22"/>
          <w:szCs w:val="22"/>
          <w:lang w:val="en-GB"/>
        </w:rPr>
        <w:t>Final Thoughts, Future Examinations</w:t>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Pr="00C60093">
        <w:rPr>
          <w:sz w:val="22"/>
          <w:szCs w:val="22"/>
          <w:lang w:val="en-GB"/>
        </w:rPr>
        <w:tab/>
      </w:r>
      <w:r w:rsidR="00C60093" w:rsidRPr="00C60093">
        <w:rPr>
          <w:sz w:val="22"/>
          <w:szCs w:val="22"/>
          <w:lang w:val="en-GB"/>
        </w:rPr>
        <w:t>3</w:t>
      </w:r>
      <w:r w:rsidR="003B6638">
        <w:rPr>
          <w:sz w:val="22"/>
          <w:szCs w:val="22"/>
          <w:lang w:val="en-GB"/>
        </w:rPr>
        <w:t>30</w:t>
      </w:r>
    </w:p>
    <w:p w14:paraId="69D4A330" w14:textId="77777777" w:rsidR="001D59B9" w:rsidRPr="0063376C" w:rsidRDefault="00703A05">
      <w:pPr>
        <w:spacing w:line="360" w:lineRule="auto"/>
        <w:jc w:val="center"/>
        <w:rPr>
          <w:b/>
          <w:sz w:val="28"/>
          <w:szCs w:val="28"/>
          <w:lang w:val="en-GB"/>
        </w:rPr>
      </w:pPr>
      <w:r w:rsidRPr="0063376C">
        <w:rPr>
          <w:b/>
          <w:sz w:val="28"/>
          <w:szCs w:val="28"/>
          <w:lang w:val="en-GB"/>
        </w:rPr>
        <w:lastRenderedPageBreak/>
        <w:t>References</w:t>
      </w:r>
    </w:p>
    <w:p w14:paraId="1D8549FF" w14:textId="77777777" w:rsidR="001D59B9" w:rsidRPr="00C60093" w:rsidRDefault="001D59B9">
      <w:pPr>
        <w:spacing w:line="360" w:lineRule="auto"/>
        <w:jc w:val="center"/>
        <w:rPr>
          <w:b/>
          <w:sz w:val="22"/>
          <w:szCs w:val="22"/>
          <w:lang w:val="en-GB"/>
        </w:rPr>
      </w:pPr>
    </w:p>
    <w:p w14:paraId="1D748226" w14:textId="3A205F88" w:rsidR="001D59B9" w:rsidRPr="00C60093" w:rsidRDefault="00703A05">
      <w:pPr>
        <w:spacing w:line="360" w:lineRule="auto"/>
        <w:jc w:val="left"/>
        <w:rPr>
          <w:b/>
          <w:sz w:val="22"/>
          <w:szCs w:val="22"/>
          <w:lang w:val="en-GB"/>
        </w:rPr>
      </w:pPr>
      <w:r w:rsidRPr="00C60093">
        <w:rPr>
          <w:b/>
          <w:sz w:val="22"/>
          <w:szCs w:val="22"/>
          <w:lang w:val="en-GB"/>
        </w:rPr>
        <w:t xml:space="preserve">Filmography </w:t>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00C60093" w:rsidRPr="00C60093">
        <w:rPr>
          <w:b/>
          <w:sz w:val="22"/>
          <w:szCs w:val="22"/>
          <w:lang w:val="en-GB"/>
        </w:rPr>
        <w:t>3</w:t>
      </w:r>
      <w:r w:rsidR="003B6638">
        <w:rPr>
          <w:b/>
          <w:sz w:val="22"/>
          <w:szCs w:val="22"/>
          <w:lang w:val="en-GB"/>
        </w:rPr>
        <w:t>38</w:t>
      </w:r>
    </w:p>
    <w:p w14:paraId="19B19C5C" w14:textId="77777777" w:rsidR="001D59B9" w:rsidRPr="00C60093" w:rsidRDefault="001D59B9">
      <w:pPr>
        <w:spacing w:line="360" w:lineRule="auto"/>
        <w:jc w:val="left"/>
        <w:rPr>
          <w:b/>
          <w:sz w:val="22"/>
          <w:szCs w:val="22"/>
          <w:lang w:val="en-GB"/>
        </w:rPr>
      </w:pPr>
    </w:p>
    <w:p w14:paraId="4DC843DF" w14:textId="70B9629F" w:rsidR="001D59B9" w:rsidRPr="00C60093" w:rsidRDefault="00703A05">
      <w:pPr>
        <w:spacing w:line="360" w:lineRule="auto"/>
        <w:jc w:val="left"/>
        <w:rPr>
          <w:b/>
          <w:sz w:val="22"/>
          <w:szCs w:val="22"/>
          <w:lang w:val="en-GB"/>
        </w:rPr>
      </w:pPr>
      <w:r w:rsidRPr="00C60093">
        <w:rPr>
          <w:b/>
          <w:sz w:val="22"/>
          <w:szCs w:val="22"/>
          <w:lang w:val="en-GB"/>
        </w:rPr>
        <w:t xml:space="preserve">Bibliography </w:t>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Pr="00C60093">
        <w:rPr>
          <w:b/>
          <w:sz w:val="22"/>
          <w:szCs w:val="22"/>
          <w:lang w:val="en-GB"/>
        </w:rPr>
        <w:tab/>
      </w:r>
      <w:r w:rsidR="00C60093" w:rsidRPr="00C60093">
        <w:rPr>
          <w:b/>
          <w:sz w:val="22"/>
          <w:szCs w:val="22"/>
          <w:lang w:val="en-GB"/>
        </w:rPr>
        <w:t>3</w:t>
      </w:r>
      <w:r w:rsidR="003B6638">
        <w:rPr>
          <w:b/>
          <w:sz w:val="22"/>
          <w:szCs w:val="22"/>
          <w:lang w:val="en-GB"/>
        </w:rPr>
        <w:t>39</w:t>
      </w:r>
    </w:p>
    <w:p w14:paraId="16E0A2AC" w14:textId="77777777" w:rsidR="001D59B9" w:rsidRPr="0048465B" w:rsidRDefault="001D59B9">
      <w:pPr>
        <w:spacing w:line="360" w:lineRule="auto"/>
        <w:jc w:val="left"/>
        <w:rPr>
          <w:b/>
          <w:sz w:val="28"/>
          <w:szCs w:val="28"/>
          <w:lang w:val="en-GB"/>
        </w:rPr>
      </w:pPr>
    </w:p>
    <w:p w14:paraId="42CD6019" w14:textId="77777777" w:rsidR="001D59B9" w:rsidRPr="0048465B" w:rsidRDefault="001D59B9">
      <w:pPr>
        <w:spacing w:line="360" w:lineRule="auto"/>
        <w:jc w:val="center"/>
        <w:rPr>
          <w:b/>
          <w:sz w:val="28"/>
          <w:szCs w:val="28"/>
          <w:lang w:val="en-GB"/>
        </w:rPr>
      </w:pPr>
    </w:p>
    <w:p w14:paraId="5BEC8116" w14:textId="77777777" w:rsidR="001D59B9" w:rsidRPr="0048465B" w:rsidRDefault="001D59B9">
      <w:pPr>
        <w:spacing w:line="360" w:lineRule="auto"/>
        <w:jc w:val="center"/>
        <w:rPr>
          <w:b/>
          <w:sz w:val="28"/>
          <w:szCs w:val="28"/>
          <w:lang w:val="en-GB"/>
        </w:rPr>
      </w:pPr>
    </w:p>
    <w:p w14:paraId="1B211950" w14:textId="77777777" w:rsidR="001D59B9" w:rsidRPr="0048465B" w:rsidRDefault="001D59B9">
      <w:pPr>
        <w:spacing w:line="360" w:lineRule="auto"/>
        <w:jc w:val="left"/>
        <w:rPr>
          <w:b/>
          <w:sz w:val="28"/>
          <w:szCs w:val="28"/>
          <w:lang w:val="en-GB"/>
        </w:rPr>
      </w:pPr>
    </w:p>
    <w:p w14:paraId="5FD4D040" w14:textId="77777777" w:rsidR="001D59B9" w:rsidRPr="0048465B" w:rsidRDefault="001D59B9">
      <w:pPr>
        <w:spacing w:line="360" w:lineRule="auto"/>
        <w:jc w:val="left"/>
        <w:rPr>
          <w:b/>
          <w:sz w:val="28"/>
          <w:szCs w:val="28"/>
          <w:lang w:val="en-GB"/>
        </w:rPr>
      </w:pPr>
    </w:p>
    <w:p w14:paraId="02461E51" w14:textId="77777777" w:rsidR="001D59B9" w:rsidRPr="0048465B" w:rsidRDefault="001D59B9">
      <w:pPr>
        <w:spacing w:line="360" w:lineRule="auto"/>
        <w:jc w:val="left"/>
        <w:rPr>
          <w:b/>
          <w:sz w:val="28"/>
          <w:szCs w:val="28"/>
          <w:lang w:val="en-GB"/>
        </w:rPr>
      </w:pPr>
    </w:p>
    <w:p w14:paraId="5705AE97" w14:textId="77777777" w:rsidR="001D59B9" w:rsidRPr="0048465B" w:rsidRDefault="001D59B9">
      <w:pPr>
        <w:spacing w:line="360" w:lineRule="auto"/>
        <w:jc w:val="left"/>
        <w:rPr>
          <w:b/>
          <w:sz w:val="28"/>
          <w:szCs w:val="28"/>
          <w:lang w:val="en-GB"/>
        </w:rPr>
      </w:pPr>
    </w:p>
    <w:p w14:paraId="1007B44C" w14:textId="77777777" w:rsidR="001D59B9" w:rsidRPr="0048465B" w:rsidRDefault="001D59B9">
      <w:pPr>
        <w:spacing w:line="360" w:lineRule="auto"/>
        <w:jc w:val="left"/>
        <w:rPr>
          <w:b/>
          <w:sz w:val="28"/>
          <w:szCs w:val="28"/>
          <w:lang w:val="en-GB"/>
        </w:rPr>
      </w:pPr>
    </w:p>
    <w:p w14:paraId="129C7F22" w14:textId="77777777" w:rsidR="001D59B9" w:rsidRPr="0048465B" w:rsidRDefault="001D59B9">
      <w:pPr>
        <w:spacing w:line="360" w:lineRule="auto"/>
        <w:jc w:val="left"/>
        <w:rPr>
          <w:b/>
          <w:sz w:val="28"/>
          <w:szCs w:val="28"/>
          <w:lang w:val="en-GB"/>
        </w:rPr>
      </w:pPr>
    </w:p>
    <w:p w14:paraId="18C605AF" w14:textId="77777777" w:rsidR="001D59B9" w:rsidRPr="0048465B" w:rsidRDefault="001D59B9">
      <w:pPr>
        <w:spacing w:line="360" w:lineRule="auto"/>
        <w:jc w:val="left"/>
        <w:rPr>
          <w:b/>
          <w:sz w:val="28"/>
          <w:szCs w:val="28"/>
          <w:lang w:val="en-GB"/>
        </w:rPr>
      </w:pPr>
    </w:p>
    <w:p w14:paraId="7FD4C53D" w14:textId="77777777" w:rsidR="001D59B9" w:rsidRPr="0048465B" w:rsidRDefault="001D59B9">
      <w:pPr>
        <w:spacing w:line="360" w:lineRule="auto"/>
        <w:jc w:val="left"/>
        <w:rPr>
          <w:b/>
          <w:sz w:val="28"/>
          <w:szCs w:val="28"/>
          <w:lang w:val="en-GB"/>
        </w:rPr>
      </w:pPr>
    </w:p>
    <w:p w14:paraId="209FBDFB" w14:textId="77777777" w:rsidR="001D59B9" w:rsidRPr="0048465B" w:rsidRDefault="001D59B9">
      <w:pPr>
        <w:spacing w:line="360" w:lineRule="auto"/>
        <w:jc w:val="left"/>
        <w:rPr>
          <w:b/>
          <w:sz w:val="28"/>
          <w:szCs w:val="28"/>
          <w:lang w:val="en-GB"/>
        </w:rPr>
      </w:pPr>
    </w:p>
    <w:p w14:paraId="2B4813BC" w14:textId="77777777" w:rsidR="001D59B9" w:rsidRPr="0048465B" w:rsidRDefault="001D59B9">
      <w:pPr>
        <w:spacing w:line="360" w:lineRule="auto"/>
        <w:jc w:val="left"/>
        <w:rPr>
          <w:b/>
          <w:sz w:val="28"/>
          <w:szCs w:val="28"/>
          <w:lang w:val="en-GB"/>
        </w:rPr>
      </w:pPr>
    </w:p>
    <w:p w14:paraId="0729ED11" w14:textId="77777777" w:rsidR="001D59B9" w:rsidRPr="0048465B" w:rsidRDefault="001D59B9">
      <w:pPr>
        <w:spacing w:line="360" w:lineRule="auto"/>
        <w:jc w:val="left"/>
        <w:rPr>
          <w:b/>
          <w:sz w:val="28"/>
          <w:szCs w:val="28"/>
          <w:lang w:val="en-GB"/>
        </w:rPr>
      </w:pPr>
    </w:p>
    <w:p w14:paraId="6E784983" w14:textId="77777777" w:rsidR="001D59B9" w:rsidRPr="0048465B" w:rsidRDefault="001D59B9">
      <w:pPr>
        <w:spacing w:line="360" w:lineRule="auto"/>
        <w:jc w:val="left"/>
        <w:rPr>
          <w:b/>
          <w:sz w:val="28"/>
          <w:szCs w:val="28"/>
          <w:lang w:val="en-GB"/>
        </w:rPr>
      </w:pPr>
    </w:p>
    <w:p w14:paraId="17A92A77" w14:textId="6DBF686D" w:rsidR="001D59B9" w:rsidRDefault="001D59B9">
      <w:pPr>
        <w:spacing w:line="360" w:lineRule="auto"/>
        <w:jc w:val="left"/>
        <w:rPr>
          <w:b/>
          <w:sz w:val="28"/>
          <w:szCs w:val="28"/>
          <w:lang w:val="en-GB"/>
        </w:rPr>
      </w:pPr>
    </w:p>
    <w:p w14:paraId="63161F39" w14:textId="62B8B0D6" w:rsidR="00C60093" w:rsidRDefault="00C60093">
      <w:pPr>
        <w:spacing w:line="360" w:lineRule="auto"/>
        <w:jc w:val="left"/>
        <w:rPr>
          <w:b/>
          <w:sz w:val="28"/>
          <w:szCs w:val="28"/>
          <w:lang w:val="en-GB"/>
        </w:rPr>
      </w:pPr>
    </w:p>
    <w:p w14:paraId="6264E77E" w14:textId="5411C03D" w:rsidR="00C60093" w:rsidRDefault="00C60093">
      <w:pPr>
        <w:spacing w:line="360" w:lineRule="auto"/>
        <w:jc w:val="left"/>
        <w:rPr>
          <w:b/>
          <w:sz w:val="28"/>
          <w:szCs w:val="28"/>
          <w:lang w:val="en-GB"/>
        </w:rPr>
      </w:pPr>
    </w:p>
    <w:p w14:paraId="4808BA7A" w14:textId="11E6BDC1" w:rsidR="00C60093" w:rsidRDefault="00C60093">
      <w:pPr>
        <w:spacing w:line="360" w:lineRule="auto"/>
        <w:jc w:val="left"/>
        <w:rPr>
          <w:b/>
          <w:sz w:val="28"/>
          <w:szCs w:val="28"/>
          <w:lang w:val="en-GB"/>
        </w:rPr>
      </w:pPr>
    </w:p>
    <w:p w14:paraId="5C0A4A03" w14:textId="11C63813" w:rsidR="00C60093" w:rsidRDefault="00C60093">
      <w:pPr>
        <w:spacing w:line="360" w:lineRule="auto"/>
        <w:jc w:val="left"/>
        <w:rPr>
          <w:b/>
          <w:sz w:val="28"/>
          <w:szCs w:val="28"/>
          <w:lang w:val="en-GB"/>
        </w:rPr>
      </w:pPr>
    </w:p>
    <w:p w14:paraId="7C61E25A" w14:textId="77777777" w:rsidR="00C60093" w:rsidRPr="0048465B" w:rsidRDefault="00C60093">
      <w:pPr>
        <w:spacing w:line="360" w:lineRule="auto"/>
        <w:jc w:val="left"/>
        <w:rPr>
          <w:b/>
          <w:sz w:val="28"/>
          <w:szCs w:val="28"/>
          <w:lang w:val="en-GB"/>
        </w:rPr>
      </w:pPr>
    </w:p>
    <w:p w14:paraId="4F3725E7" w14:textId="43E020DE" w:rsidR="001D59B9" w:rsidRPr="0048465B" w:rsidRDefault="001D59B9">
      <w:pPr>
        <w:spacing w:line="360" w:lineRule="auto"/>
        <w:jc w:val="left"/>
        <w:rPr>
          <w:b/>
          <w:sz w:val="28"/>
          <w:szCs w:val="28"/>
          <w:lang w:val="en-GB"/>
        </w:rPr>
      </w:pPr>
    </w:p>
    <w:p w14:paraId="0859CFE0" w14:textId="77777777" w:rsidR="0048465B" w:rsidRPr="0048465B" w:rsidRDefault="0048465B">
      <w:pPr>
        <w:spacing w:line="360" w:lineRule="auto"/>
        <w:jc w:val="left"/>
        <w:rPr>
          <w:b/>
          <w:sz w:val="28"/>
          <w:szCs w:val="28"/>
          <w:lang w:val="en-GB"/>
        </w:rPr>
      </w:pPr>
    </w:p>
    <w:p w14:paraId="11B5EF81" w14:textId="77777777" w:rsidR="001D59B9" w:rsidRPr="0048465B" w:rsidRDefault="00703A05">
      <w:pPr>
        <w:spacing w:line="360" w:lineRule="auto"/>
        <w:jc w:val="center"/>
        <w:rPr>
          <w:b/>
          <w:sz w:val="28"/>
          <w:szCs w:val="28"/>
          <w:lang w:val="en-GB"/>
        </w:rPr>
      </w:pPr>
      <w:r w:rsidRPr="0048465B">
        <w:rPr>
          <w:b/>
          <w:sz w:val="28"/>
          <w:szCs w:val="28"/>
          <w:lang w:val="en-GB"/>
        </w:rPr>
        <w:lastRenderedPageBreak/>
        <w:t>List of Figures</w:t>
      </w:r>
    </w:p>
    <w:p w14:paraId="0BB1E083" w14:textId="77777777" w:rsidR="001D59B9" w:rsidRPr="0048465B" w:rsidRDefault="001D59B9">
      <w:pPr>
        <w:spacing w:line="360" w:lineRule="auto"/>
        <w:jc w:val="center"/>
        <w:rPr>
          <w:b/>
          <w:sz w:val="28"/>
          <w:szCs w:val="28"/>
          <w:lang w:val="en-GB"/>
        </w:rPr>
      </w:pPr>
    </w:p>
    <w:p w14:paraId="41FEC15B" w14:textId="77777777" w:rsidR="001D59B9" w:rsidRPr="0048465B" w:rsidRDefault="00703A05">
      <w:pPr>
        <w:spacing w:line="360" w:lineRule="auto"/>
        <w:jc w:val="left"/>
        <w:rPr>
          <w:lang w:val="en-GB"/>
        </w:rPr>
      </w:pPr>
      <w:r w:rsidRPr="0048465B">
        <w:rPr>
          <w:b/>
          <w:lang w:val="en-GB"/>
        </w:rPr>
        <w:t>Figure 1:</w:t>
      </w:r>
      <w:r w:rsidRPr="0048465B">
        <w:rPr>
          <w:lang w:val="en-GB"/>
        </w:rPr>
        <w:t xml:space="preserve"> Photo of ‘The Ramp’ at Auschwitz-Birkenau </w:t>
      </w:r>
    </w:p>
    <w:p w14:paraId="654C89A3" w14:textId="77777777" w:rsidR="001D59B9" w:rsidRPr="0048465B" w:rsidRDefault="00703A05">
      <w:pPr>
        <w:spacing w:line="360" w:lineRule="auto"/>
        <w:ind w:left="720"/>
        <w:jc w:val="left"/>
        <w:rPr>
          <w:lang w:val="en-GB"/>
        </w:rPr>
      </w:pPr>
      <w:r w:rsidRPr="0048465B">
        <w:rPr>
          <w:lang w:val="en-GB"/>
        </w:rPr>
        <w:t xml:space="preserve">&lt;https://www.yadvashem.org/yv/en/exhibitions/album_auschwitz/images/selection/268_22.jpg&gt; </w:t>
      </w:r>
    </w:p>
    <w:p w14:paraId="259F4415" w14:textId="77777777" w:rsidR="0063376C" w:rsidRDefault="0063376C">
      <w:pPr>
        <w:spacing w:line="360" w:lineRule="auto"/>
        <w:jc w:val="left"/>
        <w:rPr>
          <w:b/>
          <w:lang w:val="en-GB"/>
        </w:rPr>
      </w:pPr>
    </w:p>
    <w:p w14:paraId="44491A4A" w14:textId="136505E1" w:rsidR="001D59B9" w:rsidRPr="0048465B" w:rsidRDefault="00703A05">
      <w:pPr>
        <w:spacing w:line="360" w:lineRule="auto"/>
        <w:jc w:val="left"/>
        <w:rPr>
          <w:lang w:val="en-GB"/>
        </w:rPr>
      </w:pPr>
      <w:r w:rsidRPr="0048465B">
        <w:rPr>
          <w:b/>
          <w:lang w:val="en-GB"/>
        </w:rPr>
        <w:t>Figure 2:</w:t>
      </w:r>
      <w:r w:rsidRPr="0048465B">
        <w:rPr>
          <w:lang w:val="en-GB"/>
        </w:rPr>
        <w:t xml:space="preserve"> Photo of a checkpoint in </w:t>
      </w:r>
      <w:proofErr w:type="spellStart"/>
      <w:r w:rsidRPr="0048465B">
        <w:rPr>
          <w:lang w:val="en-GB"/>
        </w:rPr>
        <w:t>Huwara</w:t>
      </w:r>
      <w:proofErr w:type="spellEnd"/>
      <w:r w:rsidRPr="0048465B">
        <w:rPr>
          <w:lang w:val="en-GB"/>
        </w:rPr>
        <w:t xml:space="preserve">, West Bank </w:t>
      </w:r>
    </w:p>
    <w:p w14:paraId="43826E30" w14:textId="77777777" w:rsidR="001D59B9" w:rsidRPr="0048465B" w:rsidRDefault="00703A05">
      <w:pPr>
        <w:spacing w:line="360" w:lineRule="auto"/>
        <w:ind w:left="720"/>
        <w:jc w:val="left"/>
        <w:rPr>
          <w:lang w:val="en-GB"/>
        </w:rPr>
      </w:pPr>
      <w:r w:rsidRPr="0048465B">
        <w:rPr>
          <w:lang w:val="en-GB"/>
        </w:rPr>
        <w:t>&lt;https://www.icrc.org/en/doc/assets/files/other/0941_002_dignity_denied_ot_palestine.pdf&gt;</w:t>
      </w:r>
    </w:p>
    <w:p w14:paraId="2A39DD94" w14:textId="77777777" w:rsidR="0063376C" w:rsidRDefault="0063376C">
      <w:pPr>
        <w:spacing w:line="360" w:lineRule="auto"/>
        <w:jc w:val="left"/>
        <w:rPr>
          <w:b/>
          <w:lang w:val="en-GB"/>
        </w:rPr>
      </w:pPr>
    </w:p>
    <w:p w14:paraId="7DC9F117" w14:textId="6A03AE12" w:rsidR="001D59B9" w:rsidRPr="0048465B" w:rsidRDefault="00703A05">
      <w:pPr>
        <w:spacing w:line="360" w:lineRule="auto"/>
        <w:jc w:val="left"/>
        <w:rPr>
          <w:lang w:val="en-GB"/>
        </w:rPr>
      </w:pPr>
      <w:r w:rsidRPr="0048465B">
        <w:rPr>
          <w:b/>
          <w:lang w:val="en-GB"/>
        </w:rPr>
        <w:t>Figure 3:</w:t>
      </w:r>
      <w:r w:rsidRPr="0048465B">
        <w:rPr>
          <w:lang w:val="en-GB"/>
        </w:rPr>
        <w:t xml:space="preserve"> ‘The Boy in the Photo?’, Photo of the Warsaw Ghetto Boy</w:t>
      </w:r>
    </w:p>
    <w:p w14:paraId="4732EE66" w14:textId="77777777" w:rsidR="001D59B9" w:rsidRPr="0048465B" w:rsidRDefault="00703A05">
      <w:pPr>
        <w:spacing w:line="360" w:lineRule="auto"/>
        <w:ind w:firstLine="720"/>
        <w:jc w:val="left"/>
        <w:rPr>
          <w:lang w:val="en-GB"/>
        </w:rPr>
      </w:pPr>
      <w:r w:rsidRPr="0048465B">
        <w:rPr>
          <w:lang w:val="en-GB"/>
        </w:rPr>
        <w:t>&lt;http://www.holocaustresearchproject.org/nazioccupation/boy.html&gt;</w:t>
      </w:r>
    </w:p>
    <w:p w14:paraId="6AE6EE58" w14:textId="77777777" w:rsidR="0063376C" w:rsidRDefault="0063376C">
      <w:pPr>
        <w:spacing w:line="360" w:lineRule="auto"/>
        <w:jc w:val="left"/>
        <w:rPr>
          <w:b/>
          <w:lang w:val="en-GB"/>
        </w:rPr>
      </w:pPr>
    </w:p>
    <w:p w14:paraId="07F0A064" w14:textId="08F645F8" w:rsidR="001D59B9" w:rsidRPr="0048465B" w:rsidRDefault="00703A05">
      <w:pPr>
        <w:spacing w:line="360" w:lineRule="auto"/>
        <w:jc w:val="left"/>
        <w:rPr>
          <w:lang w:val="en-GB"/>
        </w:rPr>
      </w:pPr>
      <w:r w:rsidRPr="0048465B">
        <w:rPr>
          <w:b/>
          <w:lang w:val="en-GB"/>
        </w:rPr>
        <w:t>Figure 4:</w:t>
      </w:r>
      <w:r w:rsidRPr="0048465B">
        <w:rPr>
          <w:lang w:val="en-GB"/>
        </w:rPr>
        <w:t xml:space="preserve"> Screenshots from ‘Alan </w:t>
      </w:r>
      <w:proofErr w:type="spellStart"/>
      <w:r w:rsidRPr="0048465B">
        <w:rPr>
          <w:lang w:val="en-GB"/>
        </w:rPr>
        <w:t>Schechner</w:t>
      </w:r>
      <w:proofErr w:type="spellEnd"/>
      <w:r w:rsidRPr="0048465B">
        <w:rPr>
          <w:lang w:val="en-GB"/>
        </w:rPr>
        <w:t xml:space="preserve">: The Legacy </w:t>
      </w:r>
      <w:r w:rsidR="00F13356" w:rsidRPr="0048465B">
        <w:rPr>
          <w:lang w:val="en-GB"/>
        </w:rPr>
        <w:t>of</w:t>
      </w:r>
      <w:r w:rsidRPr="0048465B">
        <w:rPr>
          <w:lang w:val="en-GB"/>
        </w:rPr>
        <w:t xml:space="preserve"> Abused Children: From Poland to </w:t>
      </w:r>
    </w:p>
    <w:p w14:paraId="3545CDEE" w14:textId="77777777" w:rsidR="001D59B9" w:rsidRPr="0048465B" w:rsidRDefault="00703A05">
      <w:pPr>
        <w:spacing w:line="360" w:lineRule="auto"/>
        <w:ind w:firstLine="720"/>
        <w:jc w:val="left"/>
        <w:rPr>
          <w:lang w:val="en-GB"/>
        </w:rPr>
      </w:pPr>
      <w:r w:rsidRPr="0048465B">
        <w:rPr>
          <w:lang w:val="en-GB"/>
        </w:rPr>
        <w:t>Palestine’, originally found, but no longer available, at</w:t>
      </w:r>
    </w:p>
    <w:p w14:paraId="7EA9DE0E" w14:textId="77777777" w:rsidR="009953FE" w:rsidRDefault="00703A05">
      <w:pPr>
        <w:spacing w:line="360" w:lineRule="auto"/>
        <w:ind w:firstLine="720"/>
        <w:jc w:val="left"/>
        <w:rPr>
          <w:lang w:val="en-GB"/>
        </w:rPr>
        <w:sectPr w:rsidR="009953FE" w:rsidSect="009953FE">
          <w:headerReference w:type="even" r:id="rId8"/>
          <w:headerReference w:type="default" r:id="rId9"/>
          <w:footnotePr>
            <w:numRestart w:val="eachSect"/>
          </w:footnotePr>
          <w:pgSz w:w="12240" w:h="15840"/>
          <w:pgMar w:top="1440" w:right="1440" w:bottom="1440" w:left="1440" w:header="720" w:footer="720" w:gutter="0"/>
          <w:cols w:space="720"/>
        </w:sectPr>
      </w:pPr>
      <w:r w:rsidRPr="0048465B">
        <w:rPr>
          <w:lang w:val="en-GB"/>
        </w:rPr>
        <w:t>&lt;http://www.dottycommies.com/holocaust10.html&gt;</w:t>
      </w:r>
    </w:p>
    <w:p w14:paraId="15042E8B" w14:textId="6D2AC8FC" w:rsidR="00FC331F" w:rsidRPr="0048465B" w:rsidRDefault="00FC331F" w:rsidP="009953FE">
      <w:pPr>
        <w:jc w:val="center"/>
        <w:rPr>
          <w:b/>
          <w:sz w:val="28"/>
          <w:szCs w:val="28"/>
          <w:lang w:val="en-GB"/>
        </w:rPr>
      </w:pPr>
      <w:r w:rsidRPr="0048465B">
        <w:rPr>
          <w:b/>
          <w:sz w:val="28"/>
          <w:szCs w:val="28"/>
          <w:lang w:val="en-GB"/>
        </w:rPr>
        <w:lastRenderedPageBreak/>
        <w:t>Introduction</w:t>
      </w:r>
    </w:p>
    <w:p w14:paraId="5C7A4B75" w14:textId="77777777" w:rsidR="00FC331F" w:rsidRPr="0048465B" w:rsidRDefault="00FC331F" w:rsidP="00FC331F">
      <w:pPr>
        <w:jc w:val="center"/>
        <w:rPr>
          <w:b/>
          <w:sz w:val="28"/>
          <w:szCs w:val="28"/>
          <w:lang w:val="en-GB"/>
        </w:rPr>
      </w:pPr>
    </w:p>
    <w:p w14:paraId="5AADB3D9" w14:textId="77777777" w:rsidR="00FC331F" w:rsidRPr="0048465B" w:rsidRDefault="00FC331F" w:rsidP="00FC331F">
      <w:pPr>
        <w:jc w:val="center"/>
        <w:rPr>
          <w:b/>
          <w:sz w:val="28"/>
          <w:szCs w:val="28"/>
          <w:lang w:val="en-GB"/>
        </w:rPr>
      </w:pPr>
      <w:r w:rsidRPr="0048465B">
        <w:rPr>
          <w:b/>
          <w:sz w:val="28"/>
          <w:szCs w:val="28"/>
          <w:lang w:val="en-GB"/>
        </w:rPr>
        <w:t>Beginnings</w:t>
      </w:r>
    </w:p>
    <w:p w14:paraId="0BC78468" w14:textId="77777777" w:rsidR="00FC331F" w:rsidRPr="0048465B" w:rsidRDefault="00FC331F" w:rsidP="00FC331F">
      <w:pPr>
        <w:rPr>
          <w:b/>
          <w:lang w:val="en-GB"/>
        </w:rPr>
      </w:pPr>
    </w:p>
    <w:p w14:paraId="002F3BB0" w14:textId="539A67D1" w:rsidR="00FC331F" w:rsidRPr="0048465B" w:rsidRDefault="00FC331F" w:rsidP="00FC331F">
      <w:pPr>
        <w:rPr>
          <w:lang w:val="en-GB"/>
        </w:rPr>
      </w:pPr>
      <w:r w:rsidRPr="0048465B">
        <w:rPr>
          <w:lang w:val="en-GB"/>
        </w:rPr>
        <w:t xml:space="preserve">The origin of this thesis lies in an unfilled space in an otherwise active area of study. Prior to starting this PhD, my background was in Holocaust Studies, having first come into contact with the area eight years ago and retained that initial interest ever since. In that first year, I came across the notion of postmemory, a term coined by second-generation Holocaust survivor, Marianne Hirsch. Postmemory suggests that whilst children born after </w:t>
      </w:r>
      <w:r w:rsidR="008F554C">
        <w:rPr>
          <w:lang w:val="en-GB"/>
        </w:rPr>
        <w:t>a</w:t>
      </w:r>
      <w:r w:rsidR="008F554C" w:rsidRPr="0048465B">
        <w:rPr>
          <w:lang w:val="en-GB"/>
        </w:rPr>
        <w:t xml:space="preserve"> </w:t>
      </w:r>
      <w:r w:rsidRPr="0048465B">
        <w:rPr>
          <w:lang w:val="en-GB"/>
        </w:rPr>
        <w:t>traumatic event may be temporally abstracted from it, the intimate relationship between these children and the stories of their parents, or the silence that replaces these stories, means that the memories of the parent are passed down in a way that bridges the gap between remembered experience and historical event. For the children of postmemory, the history of the Holocaust can never be objective. The stories, silences, and behaviours of the parents who lived through the event lend an emotional affinity to that which might otherwise be seen as impersonal historical fact, and ensure that the enduring trauma of the Holocaust permeates and influences even those lives that began long after its end.</w:t>
      </w:r>
    </w:p>
    <w:p w14:paraId="2F11815E" w14:textId="77777777" w:rsidR="00FC331F" w:rsidRPr="0048465B" w:rsidRDefault="00FC331F" w:rsidP="00FC331F">
      <w:pPr>
        <w:rPr>
          <w:lang w:val="en-GB"/>
        </w:rPr>
      </w:pPr>
    </w:p>
    <w:p w14:paraId="4D9CAFFE" w14:textId="2EE85AD4" w:rsidR="00FC331F" w:rsidRPr="0048465B" w:rsidRDefault="00FC331F" w:rsidP="00FC331F">
      <w:pPr>
        <w:rPr>
          <w:lang w:val="en-GB"/>
        </w:rPr>
      </w:pPr>
      <w:r w:rsidRPr="0048465B">
        <w:rPr>
          <w:lang w:val="en-GB"/>
        </w:rPr>
        <w:t xml:space="preserve">It was in relation to Hirsch’s postmemory that my involvement with Holocaust Studies continued, representing the focal point around which my master’s degree revolved, and thereafter shaping my application for doctoral study. My initial intention for PhD study </w:t>
      </w:r>
      <w:r w:rsidR="006F6603">
        <w:rPr>
          <w:lang w:val="en-GB"/>
        </w:rPr>
        <w:t>–</w:t>
      </w:r>
      <w:r w:rsidRPr="0048465B">
        <w:rPr>
          <w:lang w:val="en-GB"/>
        </w:rPr>
        <w:t xml:space="preserve"> and my accepted proposal </w:t>
      </w:r>
      <w:r w:rsidR="006F6603">
        <w:rPr>
          <w:lang w:val="en-GB"/>
        </w:rPr>
        <w:t>–</w:t>
      </w:r>
      <w:r w:rsidRPr="0048465B">
        <w:rPr>
          <w:lang w:val="en-GB"/>
        </w:rPr>
        <w:t xml:space="preserve"> revolved around the exploration of memory across geographical borders, an investigation of whether the study of the suffering of another people, with a similar history, could help develop an understanding of one’s own relationship to a traumatic history too painful to explore directly. It </w:t>
      </w:r>
      <w:r w:rsidRPr="0048465B">
        <w:rPr>
          <w:lang w:val="en-GB"/>
        </w:rPr>
        <w:lastRenderedPageBreak/>
        <w:t xml:space="preserve">was in researching this area that I came across Michael Rothberg’s </w:t>
      </w:r>
      <w:r w:rsidRPr="0048465B">
        <w:rPr>
          <w:i/>
          <w:lang w:val="en-GB"/>
        </w:rPr>
        <w:t>Multidirectional Memory: Remembering the Holocaust in the Age of Decolonization</w:t>
      </w:r>
      <w:r w:rsidRPr="0048465B">
        <w:rPr>
          <w:lang w:val="en-GB"/>
        </w:rPr>
        <w:t>, a study of memorial connections between diverse instances of traumatic memory, revolving around the Holocaust specifically.</w:t>
      </w:r>
      <w:r w:rsidRPr="0048465B">
        <w:rPr>
          <w:vertAlign w:val="superscript"/>
          <w:lang w:val="en-GB"/>
        </w:rPr>
        <w:footnoteReference w:id="1"/>
      </w:r>
      <w:r w:rsidRPr="0048465B">
        <w:rPr>
          <w:lang w:val="en-GB"/>
        </w:rPr>
        <w:t xml:space="preserve"> It was in reading </w:t>
      </w:r>
      <w:r w:rsidRPr="0048465B">
        <w:rPr>
          <w:i/>
          <w:lang w:val="en-GB"/>
        </w:rPr>
        <w:t>Multidirectional Memory</w:t>
      </w:r>
      <w:r w:rsidRPr="0048465B">
        <w:rPr>
          <w:lang w:val="en-GB"/>
        </w:rPr>
        <w:t xml:space="preserve"> that I realised there was an area of </w:t>
      </w:r>
      <w:r w:rsidR="00415C82">
        <w:rPr>
          <w:lang w:val="en-GB"/>
        </w:rPr>
        <w:t>discussion</w:t>
      </w:r>
      <w:r w:rsidRPr="0048465B">
        <w:rPr>
          <w:lang w:val="en-GB"/>
        </w:rPr>
        <w:t xml:space="preserve"> that tended to be avoided when exploring the memory of the Holocaust and its connective capacities. In</w:t>
      </w:r>
      <w:r w:rsidR="009A7B72">
        <w:rPr>
          <w:lang w:val="en-GB"/>
        </w:rPr>
        <w:t xml:space="preserve"> both </w:t>
      </w:r>
      <w:r w:rsidRPr="0048465B">
        <w:rPr>
          <w:lang w:val="en-GB"/>
        </w:rPr>
        <w:t>Rothberg’s work</w:t>
      </w:r>
      <w:r w:rsidR="009A7B72">
        <w:rPr>
          <w:lang w:val="en-GB"/>
        </w:rPr>
        <w:t xml:space="preserve"> and</w:t>
      </w:r>
      <w:r w:rsidRPr="0048465B">
        <w:rPr>
          <w:lang w:val="en-GB"/>
        </w:rPr>
        <w:t xml:space="preserve"> the other texts I had read within the field of </w:t>
      </w:r>
      <w:r w:rsidR="001035C5">
        <w:rPr>
          <w:lang w:val="en-GB"/>
        </w:rPr>
        <w:t xml:space="preserve">connective </w:t>
      </w:r>
      <w:r w:rsidRPr="0048465B">
        <w:rPr>
          <w:lang w:val="en-GB"/>
        </w:rPr>
        <w:t>memory</w:t>
      </w:r>
      <w:r w:rsidR="001035C5">
        <w:rPr>
          <w:lang w:val="en-GB"/>
        </w:rPr>
        <w:t xml:space="preserve"> studies</w:t>
      </w:r>
      <w:r w:rsidRPr="0048465B">
        <w:rPr>
          <w:lang w:val="en-GB"/>
        </w:rPr>
        <w:t>,</w:t>
      </w:r>
      <w:r w:rsidR="00415C82">
        <w:rPr>
          <w:lang w:val="en-GB"/>
        </w:rPr>
        <w:t xml:space="preserve"> </w:t>
      </w:r>
      <w:r w:rsidR="009A7B72">
        <w:rPr>
          <w:lang w:val="en-GB"/>
        </w:rPr>
        <w:t>as well as</w:t>
      </w:r>
      <w:r w:rsidR="00415C82">
        <w:rPr>
          <w:lang w:val="en-GB"/>
        </w:rPr>
        <w:t xml:space="preserve"> </w:t>
      </w:r>
      <w:r w:rsidR="009A7B72">
        <w:rPr>
          <w:lang w:val="en-GB"/>
        </w:rPr>
        <w:t>in</w:t>
      </w:r>
      <w:r w:rsidR="00415C82">
        <w:rPr>
          <w:lang w:val="en-GB"/>
        </w:rPr>
        <w:t xml:space="preserve"> comparative literature more generally,</w:t>
      </w:r>
      <w:r w:rsidRPr="0048465B">
        <w:rPr>
          <w:lang w:val="en-GB"/>
        </w:rPr>
        <w:t xml:space="preserve"> </w:t>
      </w:r>
      <w:r w:rsidR="00415C82">
        <w:rPr>
          <w:lang w:val="en-GB"/>
        </w:rPr>
        <w:t>very few people</w:t>
      </w:r>
      <w:r w:rsidRPr="0048465B">
        <w:rPr>
          <w:lang w:val="en-GB"/>
        </w:rPr>
        <w:t xml:space="preserve"> </w:t>
      </w:r>
      <w:r w:rsidR="00415C82">
        <w:rPr>
          <w:lang w:val="en-GB"/>
        </w:rPr>
        <w:t>were</w:t>
      </w:r>
      <w:r w:rsidRPr="0048465B">
        <w:rPr>
          <w:lang w:val="en-GB"/>
        </w:rPr>
        <w:t xml:space="preserve"> focusing on Palestine.</w:t>
      </w:r>
    </w:p>
    <w:p w14:paraId="0F187805" w14:textId="77777777" w:rsidR="00FC331F" w:rsidRPr="0048465B" w:rsidRDefault="00FC331F" w:rsidP="00FC331F">
      <w:pPr>
        <w:rPr>
          <w:lang w:val="en-GB"/>
        </w:rPr>
      </w:pPr>
    </w:p>
    <w:p w14:paraId="38C11C00" w14:textId="5CBFB993" w:rsidR="00FC331F" w:rsidRPr="0048465B" w:rsidRDefault="00FC331F" w:rsidP="00FC331F">
      <w:pPr>
        <w:rPr>
          <w:lang w:val="en-GB"/>
        </w:rPr>
      </w:pPr>
      <w:r w:rsidRPr="0048465B">
        <w:rPr>
          <w:lang w:val="en-GB"/>
        </w:rPr>
        <w:t>I feel that it is in part due to my own heritage that my focus was drawn so intensely to this lacuna. When I first happened upon postmemory, it resonated with me so powerfully because it was the first time that I had a context within which to situate the feelings that I had relating to my maternal grandfather, Miraj din Dogar, and his experiences of the British-led partition of India. Born in</w:t>
      </w:r>
      <w:r w:rsidR="00DF4E41">
        <w:rPr>
          <w:lang w:val="en-GB"/>
        </w:rPr>
        <w:t xml:space="preserve"> the mid-1920s</w:t>
      </w:r>
      <w:r w:rsidRPr="0048465B">
        <w:rPr>
          <w:lang w:val="en-GB"/>
        </w:rPr>
        <w:t xml:space="preserve">, Miraj was not yet twenty-one when interreligious violence stoked by India’s partition forced him to flee his childhood home in Northern India, and walk to the newfound nation of Pakistan. Postmemory provided me with a means of understanding the intense emotional attachment I have to both my grandfather and his story. More precisely, it provided me with a framework within which I could explore the more abstract feelings that I suspected might have their origins in India’s partition, complex feelings of being overwhelmed by the disparity between my historical origins and my </w:t>
      </w:r>
      <w:r w:rsidR="0048465B" w:rsidRPr="0048465B">
        <w:rPr>
          <w:lang w:val="en-GB"/>
        </w:rPr>
        <w:t>modern-day</w:t>
      </w:r>
      <w:r w:rsidRPr="0048465B">
        <w:rPr>
          <w:lang w:val="en-GB"/>
        </w:rPr>
        <w:t xml:space="preserve"> existence, sporadic feelings of apathy to matters non-existential, feelings of not fully belonging in the white-British world, but of insecurity in my claims to belonging to the brown-South-Asian one.</w:t>
      </w:r>
    </w:p>
    <w:p w14:paraId="635C1114" w14:textId="77777777" w:rsidR="00FC331F" w:rsidRPr="0048465B" w:rsidRDefault="00FC331F" w:rsidP="00FC331F">
      <w:pPr>
        <w:rPr>
          <w:lang w:val="en-GB"/>
        </w:rPr>
      </w:pPr>
    </w:p>
    <w:p w14:paraId="5E080760" w14:textId="22F13582" w:rsidR="00FC331F" w:rsidRPr="0048465B" w:rsidRDefault="00FC331F" w:rsidP="00FC331F">
      <w:pPr>
        <w:rPr>
          <w:lang w:val="en-GB"/>
        </w:rPr>
      </w:pPr>
      <w:r w:rsidRPr="0048465B">
        <w:rPr>
          <w:lang w:val="en-GB"/>
        </w:rPr>
        <w:lastRenderedPageBreak/>
        <w:t xml:space="preserve">This personal emotional investment enabled a deeper connection to the Holocaust-centric notion of postmemory, and allowed me to empathise with the children of postmemory still suffering from the post-traumatic effects of the Jewish genocide, many of whom now live in Israel. Yet, at the very same time, I could not help but see the parallels between the </w:t>
      </w:r>
      <w:r w:rsidR="008F554C">
        <w:rPr>
          <w:lang w:val="en-GB"/>
        </w:rPr>
        <w:t>p</w:t>
      </w:r>
      <w:r w:rsidRPr="0048465B">
        <w:rPr>
          <w:lang w:val="en-GB"/>
        </w:rPr>
        <w:t>artition of India and Palestinian exile. Both events concerned interreligious discontent, both places were under British colonial control until the late 1940s, both remain victims of the emotional</w:t>
      </w:r>
      <w:r w:rsidR="0085767C">
        <w:rPr>
          <w:lang w:val="en-GB"/>
        </w:rPr>
        <w:t>ly</w:t>
      </w:r>
      <w:r w:rsidRPr="0048465B">
        <w:rPr>
          <w:lang w:val="en-GB"/>
        </w:rPr>
        <w:t xml:space="preserve"> and politically detached practice of partition. Whilst my grandfather’s stories gave me an intimate understanding of the ways in which the Holocaust continues to affect contemporary Jewish and Jewish</w:t>
      </w:r>
      <w:r w:rsidR="00BC374E">
        <w:rPr>
          <w:lang w:val="en-GB"/>
        </w:rPr>
        <w:t xml:space="preserve"> </w:t>
      </w:r>
      <w:r w:rsidRPr="0048465B">
        <w:rPr>
          <w:lang w:val="en-GB"/>
        </w:rPr>
        <w:t>Israeli lives, they gave me at the same time an insight into the feeling of exile experienced by the Palestinian people, the sense of longing to return to a land no longer theirs. My grandfather, now in his mid-nineties, has never been able to return to the land he once called ‘home’.</w:t>
      </w:r>
    </w:p>
    <w:p w14:paraId="750FE947" w14:textId="77777777" w:rsidR="00FC331F" w:rsidRPr="0048465B" w:rsidRDefault="00FC331F" w:rsidP="00FC331F">
      <w:pPr>
        <w:rPr>
          <w:lang w:val="en-GB"/>
        </w:rPr>
      </w:pPr>
    </w:p>
    <w:p w14:paraId="7E754F36" w14:textId="136E10F8" w:rsidR="00FC331F" w:rsidRPr="0048465B" w:rsidRDefault="00FC331F" w:rsidP="00FC331F">
      <w:pPr>
        <w:rPr>
          <w:lang w:val="en-GB"/>
        </w:rPr>
      </w:pPr>
      <w:r w:rsidRPr="0048465B">
        <w:rPr>
          <w:lang w:val="en-GB"/>
        </w:rPr>
        <w:t xml:space="preserve">If it was this unique position of empathy for both peoples, yet direct connection to neither (I am neither Jewish, Muslim, Israeli, </w:t>
      </w:r>
      <w:r w:rsidR="00C22CEE">
        <w:rPr>
          <w:lang w:val="en-GB"/>
        </w:rPr>
        <w:t>n</w:t>
      </w:r>
      <w:r w:rsidRPr="0048465B">
        <w:rPr>
          <w:lang w:val="en-GB"/>
        </w:rPr>
        <w:t>or Palestinian) that drew my attention to the Israeli-Palestinian conflict, it was the death of sixty-two Palestinian protestors just a few weeks later, and the beginning of the 2018-19 Gaza Border Protests, that solidified this focus. The Palestinians at the Gaza border that day were protesting the seventieth year of Palestinian exile. Yet, at the same time, the</w:t>
      </w:r>
      <w:r w:rsidR="00415C82">
        <w:rPr>
          <w:lang w:val="en-GB"/>
        </w:rPr>
        <w:t xml:space="preserve"> soldiers of the</w:t>
      </w:r>
      <w:r w:rsidRPr="0048465B">
        <w:rPr>
          <w:lang w:val="en-GB"/>
        </w:rPr>
        <w:t xml:space="preserve"> Israeli Defence Forces may well have seen their role in this violence as</w:t>
      </w:r>
      <w:r w:rsidR="00415C82">
        <w:rPr>
          <w:lang w:val="en-GB"/>
        </w:rPr>
        <w:t xml:space="preserve"> constituting</w:t>
      </w:r>
      <w:r w:rsidRPr="0048465B">
        <w:rPr>
          <w:lang w:val="en-GB"/>
        </w:rPr>
        <w:t xml:space="preserve"> the protection of a Jewish people consistently under threat since before World War II. It is the combined complexity of both of these competing claims, and the central position of the Holocaust in memory studies more generally, that for a long time caused the discursive and academic erasure of the Palestinian. This erasure is beginning to come to an end. This work constitutes a continuation, and progression, of that movement.</w:t>
      </w:r>
    </w:p>
    <w:p w14:paraId="756CC5B9" w14:textId="77777777" w:rsidR="00FC331F" w:rsidRPr="0048465B" w:rsidRDefault="00FC331F" w:rsidP="00FC331F">
      <w:pPr>
        <w:rPr>
          <w:lang w:val="en-GB"/>
        </w:rPr>
      </w:pPr>
    </w:p>
    <w:p w14:paraId="68EA34D4" w14:textId="77777777" w:rsidR="00FC331F" w:rsidRPr="0048465B" w:rsidRDefault="00FC331F" w:rsidP="00FC331F">
      <w:pPr>
        <w:jc w:val="center"/>
        <w:rPr>
          <w:b/>
          <w:lang w:val="en-GB"/>
        </w:rPr>
      </w:pPr>
      <w:r w:rsidRPr="0048465B">
        <w:rPr>
          <w:b/>
          <w:lang w:val="en-GB"/>
        </w:rPr>
        <w:t>The Israeli-Palestinian Conflict: An Extremely Brief Overview</w:t>
      </w:r>
    </w:p>
    <w:p w14:paraId="7BF99522" w14:textId="77777777" w:rsidR="00FC331F" w:rsidRPr="0048465B" w:rsidRDefault="00FC331F" w:rsidP="00FC331F">
      <w:pPr>
        <w:rPr>
          <w:b/>
          <w:lang w:val="en-GB"/>
        </w:rPr>
      </w:pPr>
    </w:p>
    <w:p w14:paraId="30DB3DAD" w14:textId="47F2AAA9" w:rsidR="00FC331F" w:rsidRPr="0048465B" w:rsidRDefault="00FC331F" w:rsidP="00FC331F">
      <w:pPr>
        <w:rPr>
          <w:lang w:val="en-GB"/>
        </w:rPr>
      </w:pPr>
      <w:r w:rsidRPr="0048465B">
        <w:rPr>
          <w:lang w:val="en-GB"/>
        </w:rPr>
        <w:t xml:space="preserve">Defined by mistrust, competing claims to land, and both historical and contemporary suffering, the Israeli-Palestinian conflict is commonly identified as one of the more </w:t>
      </w:r>
      <w:r w:rsidR="00A6358B">
        <w:rPr>
          <w:lang w:val="en-GB"/>
        </w:rPr>
        <w:t>polarized</w:t>
      </w:r>
      <w:r w:rsidRPr="0048465B">
        <w:rPr>
          <w:lang w:val="en-GB"/>
        </w:rPr>
        <w:t xml:space="preserve"> disputes within global politics. Whilst the surface content of the conflict is politically intricate and seemingly intractable, beneath this lie yet further complications, long and complex histories of genocide, exile, and disenfranchisement, as well as the shared desire to belong.</w:t>
      </w:r>
    </w:p>
    <w:p w14:paraId="65D9E74B" w14:textId="77777777" w:rsidR="00FC331F" w:rsidRPr="0048465B" w:rsidRDefault="00FC331F" w:rsidP="00FC331F">
      <w:pPr>
        <w:rPr>
          <w:lang w:val="en-GB"/>
        </w:rPr>
      </w:pPr>
    </w:p>
    <w:p w14:paraId="738B1317" w14:textId="77777777" w:rsidR="00FC331F" w:rsidRPr="0048465B" w:rsidRDefault="00FC331F" w:rsidP="00FC331F">
      <w:pPr>
        <w:rPr>
          <w:lang w:val="en-GB"/>
        </w:rPr>
      </w:pPr>
      <w:r w:rsidRPr="0048465B">
        <w:rPr>
          <w:lang w:val="en-GB"/>
        </w:rPr>
        <w:t>To give a detailed overview of this conflict is impossible in such a short amount of space, yet to give some sense of its historical and sentimental complexity is necessary. Whilst this overview is by no means comprehensive, and refrains from delving too deeply into the contrasting claims of various nations, it nonetheless provides enough detail for the rest of this thesis to be understood without additional research.</w:t>
      </w:r>
    </w:p>
    <w:p w14:paraId="39685A4F" w14:textId="77777777" w:rsidR="00FC331F" w:rsidRPr="0048465B" w:rsidRDefault="00FC331F" w:rsidP="00FC331F">
      <w:pPr>
        <w:rPr>
          <w:lang w:val="en-GB"/>
        </w:rPr>
      </w:pPr>
    </w:p>
    <w:p w14:paraId="5E5573ED" w14:textId="40C18DDE" w:rsidR="00FC331F" w:rsidRDefault="00FC331F" w:rsidP="00FC331F">
      <w:pPr>
        <w:rPr>
          <w:lang w:val="en-GB"/>
        </w:rPr>
      </w:pPr>
      <w:r w:rsidRPr="0048465B">
        <w:rPr>
          <w:lang w:val="en-GB"/>
        </w:rPr>
        <w:t xml:space="preserve">The simplest way to describe the Israeli-Palestinian conflict is through </w:t>
      </w:r>
      <w:r w:rsidR="0048465B" w:rsidRPr="0048465B">
        <w:rPr>
          <w:lang w:val="en-GB"/>
        </w:rPr>
        <w:t>centring</w:t>
      </w:r>
      <w:r w:rsidRPr="0048465B">
        <w:rPr>
          <w:lang w:val="en-GB"/>
        </w:rPr>
        <w:t xml:space="preserve"> it around land. Specifically, </w:t>
      </w:r>
      <w:r w:rsidR="00415DE5">
        <w:rPr>
          <w:lang w:val="en-GB"/>
        </w:rPr>
        <w:t>the conflict</w:t>
      </w:r>
      <w:r w:rsidRPr="0048465B">
        <w:rPr>
          <w:lang w:val="en-GB"/>
        </w:rPr>
        <w:t xml:space="preserve"> concerns the long stretch of land enclosed by Lebanon and Syria to the North, Jordan to the East, Egypt to the South, and the Mediterranean Sea to the West. In the aftermath of the First World War, Palestine became the British Mandate of Palestine, with Britain in administrative control of all Palestinian territories. It was under this control, prior to World War II, that the British made the decision to establish a Jewish home</w:t>
      </w:r>
      <w:r w:rsidR="00E2665A">
        <w:rPr>
          <w:lang w:val="en-GB"/>
        </w:rPr>
        <w:t>land</w:t>
      </w:r>
      <w:r w:rsidRPr="0048465B">
        <w:rPr>
          <w:lang w:val="en-GB"/>
        </w:rPr>
        <w:t xml:space="preserve"> in Palestine. This decision aligned with the desires of many Jews, a number of whom had been migrating to Palestine since the late </w:t>
      </w:r>
      <w:r w:rsidR="002E63BA">
        <w:rPr>
          <w:lang w:val="en-GB"/>
        </w:rPr>
        <w:t>nineteenth century</w:t>
      </w:r>
      <w:r w:rsidR="002E63BA" w:rsidRPr="0048465B">
        <w:rPr>
          <w:lang w:val="en-GB"/>
        </w:rPr>
        <w:t xml:space="preserve"> </w:t>
      </w:r>
      <w:r w:rsidRPr="0048465B">
        <w:rPr>
          <w:lang w:val="en-GB"/>
        </w:rPr>
        <w:t xml:space="preserve">as part of the Zionist movement popularised by Theodor Herzl, who </w:t>
      </w:r>
      <w:r w:rsidRPr="0048465B">
        <w:rPr>
          <w:lang w:val="en-GB"/>
        </w:rPr>
        <w:lastRenderedPageBreak/>
        <w:t>sought Jewish return to the land of Palestine</w:t>
      </w:r>
      <w:r w:rsidR="00415DE5">
        <w:rPr>
          <w:lang w:val="en-GB"/>
        </w:rPr>
        <w:t>,</w:t>
      </w:r>
      <w:r w:rsidRPr="0048465B">
        <w:rPr>
          <w:lang w:val="en-GB"/>
        </w:rPr>
        <w:t xml:space="preserve"> and re-establishment of a Jewish state. The vision of a Jewish home in Palestine was in part due to the religious significance of the land </w:t>
      </w:r>
      <w:r w:rsidR="006F6603">
        <w:rPr>
          <w:lang w:val="en-GB"/>
        </w:rPr>
        <w:t>–</w:t>
      </w:r>
      <w:r w:rsidRPr="0048465B">
        <w:rPr>
          <w:lang w:val="en-GB"/>
        </w:rPr>
        <w:t xml:space="preserve"> Jerusalem, for example, is considered one of the holiest places in Judaism, where the creation of the world began </w:t>
      </w:r>
      <w:r w:rsidR="006F6603">
        <w:rPr>
          <w:lang w:val="en-GB"/>
        </w:rPr>
        <w:t>–</w:t>
      </w:r>
      <w:r w:rsidRPr="0048465B">
        <w:rPr>
          <w:lang w:val="en-GB"/>
        </w:rPr>
        <w:t xml:space="preserve"> but also due to Jewish historical claims to the land of Palestine (or historical Judea), as the Jewish people</w:t>
      </w:r>
      <w:r w:rsidR="00415DE5">
        <w:rPr>
          <w:lang w:val="en-GB"/>
        </w:rPr>
        <w:t xml:space="preserve"> </w:t>
      </w:r>
      <w:r w:rsidRPr="0048465B">
        <w:rPr>
          <w:lang w:val="en-GB"/>
        </w:rPr>
        <w:t>were exiled from the land</w:t>
      </w:r>
      <w:r w:rsidR="002E63BA">
        <w:rPr>
          <w:lang w:val="en-GB"/>
        </w:rPr>
        <w:t xml:space="preserve"> almost two</w:t>
      </w:r>
      <w:r w:rsidRPr="0048465B">
        <w:rPr>
          <w:lang w:val="en-GB"/>
        </w:rPr>
        <w:t xml:space="preserve"> thousand years prior.</w:t>
      </w:r>
    </w:p>
    <w:p w14:paraId="3E7F5894" w14:textId="77777777" w:rsidR="00252807" w:rsidRPr="00252807" w:rsidRDefault="00252807" w:rsidP="00252807">
      <w:pPr>
        <w:spacing w:line="240" w:lineRule="auto"/>
        <w:jc w:val="left"/>
        <w:rPr>
          <w:lang w:val="en-GB"/>
        </w:rPr>
      </w:pPr>
    </w:p>
    <w:p w14:paraId="36760B85" w14:textId="46BF8DD2" w:rsidR="00252807" w:rsidRPr="00252807" w:rsidRDefault="00252807" w:rsidP="00252807">
      <w:pPr>
        <w:rPr>
          <w:lang w:val="en-GB"/>
        </w:rPr>
      </w:pPr>
      <w:r w:rsidRPr="00252807">
        <w:rPr>
          <w:color w:val="000000"/>
          <w:lang w:val="en-GB"/>
        </w:rPr>
        <w:t xml:space="preserve">It was in this context, one of post-exodus ‘return’ to a land of religious and historical importance, one of escape from European antisemitism, and one largely divorced from the colonial practices of the contemporary Israeli state, that Jewish immigration to Palestine began. </w:t>
      </w:r>
      <w:r>
        <w:rPr>
          <w:color w:val="000000"/>
          <w:lang w:val="en-GB"/>
        </w:rPr>
        <w:t>However, w</w:t>
      </w:r>
      <w:r w:rsidRPr="00252807">
        <w:rPr>
          <w:color w:val="000000"/>
          <w:lang w:val="en-GB"/>
        </w:rPr>
        <w:t xml:space="preserve">ith the British in power, </w:t>
      </w:r>
      <w:r>
        <w:rPr>
          <w:color w:val="000000"/>
          <w:lang w:val="en-GB"/>
        </w:rPr>
        <w:t xml:space="preserve">and </w:t>
      </w:r>
      <w:r w:rsidRPr="00252807">
        <w:rPr>
          <w:color w:val="000000"/>
          <w:lang w:val="en-GB"/>
        </w:rPr>
        <w:t xml:space="preserve">the legal obligations of the mandate system that compelled Britain to guide the indigenous Palestinian population to independence disregarded, the prospect of a Jewish homeland in Palestine became </w:t>
      </w:r>
      <w:r>
        <w:rPr>
          <w:color w:val="000000"/>
          <w:lang w:val="en-GB"/>
        </w:rPr>
        <w:t>more feasible</w:t>
      </w:r>
      <w:r w:rsidRPr="00252807">
        <w:rPr>
          <w:color w:val="000000"/>
          <w:lang w:val="en-GB"/>
        </w:rPr>
        <w:t>. In spite of the legal claims and protestations of the Arab majority, in 1922 the British passed into law The Mandate for Palestine, a document that explicitly acknowledged the national rights of the Jewish minority</w:t>
      </w:r>
      <w:r>
        <w:rPr>
          <w:color w:val="000000"/>
          <w:lang w:val="en-GB"/>
        </w:rPr>
        <w:t xml:space="preserve">, </w:t>
      </w:r>
      <w:r w:rsidRPr="00252807">
        <w:rPr>
          <w:color w:val="000000"/>
          <w:lang w:val="en-GB"/>
        </w:rPr>
        <w:t xml:space="preserve">at the very same time as it negated the existence of </w:t>
      </w:r>
      <w:r>
        <w:rPr>
          <w:color w:val="000000"/>
          <w:lang w:val="en-GB"/>
        </w:rPr>
        <w:t>the</w:t>
      </w:r>
      <w:r w:rsidR="007522DD">
        <w:rPr>
          <w:color w:val="000000"/>
          <w:lang w:val="en-GB"/>
        </w:rPr>
        <w:t xml:space="preserve"> Arab</w:t>
      </w:r>
      <w:r w:rsidRPr="00252807">
        <w:rPr>
          <w:color w:val="000000"/>
          <w:lang w:val="en-GB"/>
        </w:rPr>
        <w:t xml:space="preserve"> Palestinian </w:t>
      </w:r>
      <w:r w:rsidR="007522DD">
        <w:rPr>
          <w:color w:val="000000"/>
          <w:lang w:val="en-GB"/>
        </w:rPr>
        <w:t>majority</w:t>
      </w:r>
      <w:r w:rsidRPr="00252807">
        <w:rPr>
          <w:color w:val="000000"/>
          <w:lang w:val="en-GB"/>
        </w:rPr>
        <w:t xml:space="preserve"> by </w:t>
      </w:r>
      <w:r>
        <w:rPr>
          <w:color w:val="000000"/>
          <w:lang w:val="en-GB"/>
        </w:rPr>
        <w:t>depicting them</w:t>
      </w:r>
      <w:r w:rsidR="00EA70A2">
        <w:rPr>
          <w:color w:val="000000"/>
          <w:lang w:val="en-GB"/>
        </w:rPr>
        <w:t xml:space="preserve"> only </w:t>
      </w:r>
      <w:r w:rsidRPr="00252807">
        <w:rPr>
          <w:color w:val="000000"/>
          <w:lang w:val="en-GB"/>
        </w:rPr>
        <w:t>as the ‘“non-Jewish”’ population.</w:t>
      </w:r>
      <w:r w:rsidR="007522DD">
        <w:rPr>
          <w:rStyle w:val="FootnoteReference"/>
          <w:color w:val="000000"/>
          <w:lang w:val="en-GB"/>
        </w:rPr>
        <w:footnoteReference w:id="2"/>
      </w:r>
      <w:r w:rsidRPr="00252807">
        <w:rPr>
          <w:b/>
          <w:bCs/>
          <w:color w:val="000000"/>
          <w:lang w:val="en-GB"/>
        </w:rPr>
        <w:t xml:space="preserve"> </w:t>
      </w:r>
      <w:r w:rsidRPr="00252807">
        <w:rPr>
          <w:color w:val="000000"/>
          <w:lang w:val="en-GB"/>
        </w:rPr>
        <w:t>Despite having discussed drafts of the mandate on numerous occasions with various Zionist organisations, no Arabs were consulted throughout the drafting process.</w:t>
      </w:r>
      <w:r w:rsidR="00F76E25">
        <w:rPr>
          <w:rStyle w:val="FootnoteReference"/>
          <w:color w:val="000000"/>
          <w:lang w:val="en-GB"/>
        </w:rPr>
        <w:footnoteReference w:id="3"/>
      </w:r>
    </w:p>
    <w:p w14:paraId="69A4BA6A" w14:textId="77777777" w:rsidR="00252807" w:rsidRPr="00252807" w:rsidRDefault="00252807" w:rsidP="00252807">
      <w:pPr>
        <w:spacing w:line="240" w:lineRule="auto"/>
        <w:jc w:val="left"/>
        <w:rPr>
          <w:lang w:val="en-GB"/>
        </w:rPr>
      </w:pPr>
    </w:p>
    <w:p w14:paraId="6F907130" w14:textId="262D48F3" w:rsidR="00252807" w:rsidRPr="00252807" w:rsidRDefault="00252807" w:rsidP="00252807">
      <w:pPr>
        <w:rPr>
          <w:lang w:val="en-GB"/>
        </w:rPr>
      </w:pPr>
      <w:r w:rsidRPr="00252807">
        <w:rPr>
          <w:color w:val="000000"/>
          <w:lang w:val="en-GB"/>
        </w:rPr>
        <w:t xml:space="preserve">With the Arab population isolated from power and fearful of their erasure, protests grew, and tensions between Arabs and Jews escalated into riots. Arab attacks on Jewish populations occurred in Tel Hai and Jerusalem in 1920, in Jaffa in 1921 (where internecine Jewish fighting was mistakenly perceived by Arab communities as an attack on Jaffa’s Arab population), and in 1929, </w:t>
      </w:r>
      <w:r w:rsidRPr="00252807">
        <w:rPr>
          <w:color w:val="000000"/>
          <w:lang w:val="en-GB"/>
        </w:rPr>
        <w:lastRenderedPageBreak/>
        <w:t>where disputes over access to Jerusalem’s Western Wall spilled over into violence, primarily in the shape of Arab attacks on Jewish people and Arab destruction of Jewish property. By the mid-1930s, Palestinian discontent had developed into a nationwide uprising, primarily targeted at British forces, in response to the</w:t>
      </w:r>
      <w:r w:rsidR="00EA70A2">
        <w:rPr>
          <w:color w:val="000000"/>
          <w:lang w:val="en-GB"/>
        </w:rPr>
        <w:t xml:space="preserve"> British</w:t>
      </w:r>
      <w:r w:rsidRPr="00252807">
        <w:rPr>
          <w:color w:val="000000"/>
          <w:lang w:val="en-GB"/>
        </w:rPr>
        <w:t xml:space="preserve"> goal of establishing a Jewish national home in Palestine. Yet, even as Palestine became increasingly turbulent</w:t>
      </w:r>
      <w:r w:rsidR="00EA70A2">
        <w:rPr>
          <w:color w:val="000000"/>
          <w:lang w:val="en-GB"/>
        </w:rPr>
        <w:t xml:space="preserve">, </w:t>
      </w:r>
      <w:r w:rsidRPr="00252807">
        <w:rPr>
          <w:color w:val="000000"/>
          <w:lang w:val="en-GB"/>
        </w:rPr>
        <w:t xml:space="preserve">Nazi persecution in Europe ensured that Jewish immigration to Palestine </w:t>
      </w:r>
      <w:r w:rsidR="00C63191">
        <w:rPr>
          <w:color w:val="000000"/>
          <w:lang w:val="en-GB"/>
        </w:rPr>
        <w:t>remained consistent</w:t>
      </w:r>
      <w:r w:rsidRPr="00252807">
        <w:rPr>
          <w:color w:val="000000"/>
          <w:lang w:val="en-GB"/>
        </w:rPr>
        <w:t>, with more Jews arriving in Palestine between 1932 and 1938</w:t>
      </w:r>
      <w:r w:rsidR="00EA70A2">
        <w:rPr>
          <w:color w:val="000000"/>
          <w:lang w:val="en-GB"/>
        </w:rPr>
        <w:t xml:space="preserve"> – </w:t>
      </w:r>
      <w:r w:rsidR="00C63191">
        <w:rPr>
          <w:color w:val="000000"/>
          <w:lang w:val="en-GB"/>
        </w:rPr>
        <w:t>two years of which were during</w:t>
      </w:r>
      <w:r w:rsidR="00EA70A2">
        <w:rPr>
          <w:color w:val="000000"/>
          <w:lang w:val="en-GB"/>
        </w:rPr>
        <w:t xml:space="preserve"> the height of the Palestinian revolt –</w:t>
      </w:r>
      <w:r w:rsidRPr="00252807">
        <w:rPr>
          <w:color w:val="000000"/>
          <w:lang w:val="en-GB"/>
        </w:rPr>
        <w:t xml:space="preserve"> than in the previous forty years</w:t>
      </w:r>
      <w:r w:rsidR="00C63191">
        <w:rPr>
          <w:color w:val="000000"/>
          <w:lang w:val="en-GB"/>
        </w:rPr>
        <w:t>.</w:t>
      </w:r>
      <w:r w:rsidR="00C63191">
        <w:rPr>
          <w:rStyle w:val="FootnoteReference"/>
          <w:color w:val="000000"/>
          <w:lang w:val="en-GB"/>
        </w:rPr>
        <w:footnoteReference w:id="4"/>
      </w:r>
    </w:p>
    <w:p w14:paraId="135321DF" w14:textId="77777777" w:rsidR="00252807" w:rsidRPr="00252807" w:rsidRDefault="00252807" w:rsidP="00252807">
      <w:pPr>
        <w:spacing w:line="240" w:lineRule="auto"/>
        <w:jc w:val="left"/>
        <w:rPr>
          <w:lang w:val="en-GB"/>
        </w:rPr>
      </w:pPr>
    </w:p>
    <w:p w14:paraId="77471CFC" w14:textId="49612FC2" w:rsidR="00252807" w:rsidRPr="00252807" w:rsidRDefault="00252807" w:rsidP="00252807">
      <w:pPr>
        <w:rPr>
          <w:lang w:val="en-GB"/>
        </w:rPr>
      </w:pPr>
      <w:r w:rsidRPr="00252807">
        <w:rPr>
          <w:color w:val="000000"/>
          <w:lang w:val="en-GB"/>
        </w:rPr>
        <w:t>When the revolt was finally quelled in 1939, the British commissioned the 1939 White Paper, which found that ‘unfettered Jewish immigration and land acquisition with a view to the establishment of a national home for the Jews was a mistaken policy’, further recommending that Jewish immigration be restricted and that the land not be partitioned.</w:t>
      </w:r>
      <w:r w:rsidR="00C63191">
        <w:rPr>
          <w:rStyle w:val="FootnoteReference"/>
          <w:color w:val="000000"/>
          <w:lang w:val="en-GB"/>
        </w:rPr>
        <w:footnoteReference w:id="5"/>
      </w:r>
      <w:r w:rsidRPr="00252807">
        <w:rPr>
          <w:color w:val="000000"/>
          <w:lang w:val="en-GB"/>
        </w:rPr>
        <w:t xml:space="preserve"> Yet the White Paper did little to alter Britain’s original intentions, and with the Palestinians disenfranchised and unwilling to give up their demands for full independence, the Jewish population unwilling to be governed by an Arab population that had at times responded to their growing presence with violence, and the political need for a resolution to the post-war Jewish refugee crisis, the recommendation that Palestine remain a unified land was disregarded, and Resolution 181, partitioning Palestine into Arab and Jewish states, was passed on November 29, 1947.</w:t>
      </w:r>
    </w:p>
    <w:p w14:paraId="7E2FD97E" w14:textId="77777777" w:rsidR="00252807" w:rsidRPr="00252807" w:rsidRDefault="00252807" w:rsidP="00252807">
      <w:pPr>
        <w:spacing w:line="240" w:lineRule="auto"/>
        <w:jc w:val="left"/>
        <w:rPr>
          <w:lang w:val="en-GB"/>
        </w:rPr>
      </w:pPr>
    </w:p>
    <w:p w14:paraId="0CB7B0FC" w14:textId="3B22C180" w:rsidR="00252807" w:rsidRPr="00252807" w:rsidRDefault="00252807" w:rsidP="00252807">
      <w:pPr>
        <w:rPr>
          <w:lang w:val="en-GB"/>
        </w:rPr>
      </w:pPr>
      <w:r w:rsidRPr="00252807">
        <w:rPr>
          <w:color w:val="000000"/>
          <w:lang w:val="en-GB"/>
        </w:rPr>
        <w:t xml:space="preserve">Arabs, unhappy with the partitioning of a land that had previously been predominantly under their ownership, and who were provided with just 45 percent of the land despite still representing 70 </w:t>
      </w:r>
      <w:r w:rsidRPr="00252807">
        <w:rPr>
          <w:color w:val="000000"/>
          <w:lang w:val="en-GB"/>
        </w:rPr>
        <w:lastRenderedPageBreak/>
        <w:t>percent of the population, rejected this partition and waged war upon the soon-to-be state of Israel.</w:t>
      </w:r>
      <w:r w:rsidR="007B14FD">
        <w:rPr>
          <w:rStyle w:val="FootnoteReference"/>
          <w:color w:val="000000"/>
          <w:lang w:val="en-GB"/>
        </w:rPr>
        <w:footnoteReference w:id="6"/>
      </w:r>
      <w:r w:rsidR="007B14FD">
        <w:rPr>
          <w:color w:val="000000"/>
          <w:lang w:val="en-GB"/>
        </w:rPr>
        <w:t xml:space="preserve"> </w:t>
      </w:r>
      <w:r w:rsidRPr="00252807">
        <w:rPr>
          <w:color w:val="000000"/>
          <w:lang w:val="en-GB"/>
        </w:rPr>
        <w:t xml:space="preserve">With the British having established, financed, and armed a number of Jewish police and counter-insurgency units since the mid-1930s in order to quell the Palestinian revolt, Jewish paramilitary groups </w:t>
      </w:r>
      <w:r w:rsidR="00EA70A2">
        <w:rPr>
          <w:color w:val="000000"/>
          <w:lang w:val="en-GB"/>
        </w:rPr>
        <w:t>were</w:t>
      </w:r>
      <w:r w:rsidRPr="00252807">
        <w:rPr>
          <w:color w:val="000000"/>
          <w:lang w:val="en-GB"/>
        </w:rPr>
        <w:t xml:space="preserve"> well-armed at a time when the unauthorised possession of a weapon was punishable by death.</w:t>
      </w:r>
      <w:r w:rsidR="007B14FD">
        <w:rPr>
          <w:rStyle w:val="FootnoteReference"/>
          <w:color w:val="000000"/>
          <w:lang w:val="en-GB"/>
        </w:rPr>
        <w:footnoteReference w:id="7"/>
      </w:r>
      <w:r w:rsidRPr="00252807">
        <w:rPr>
          <w:color w:val="000000"/>
          <w:lang w:val="en-GB"/>
        </w:rPr>
        <w:t xml:space="preserve"> The Jewish paramilitary forces, who became the unified IDF after Israel declared independence</w:t>
      </w:r>
      <w:r w:rsidR="00EA70A2">
        <w:rPr>
          <w:color w:val="000000"/>
          <w:lang w:val="en-GB"/>
        </w:rPr>
        <w:t xml:space="preserve"> on the 14</w:t>
      </w:r>
      <w:r w:rsidR="00EA70A2" w:rsidRPr="00EA70A2">
        <w:rPr>
          <w:color w:val="000000"/>
          <w:vertAlign w:val="superscript"/>
          <w:lang w:val="en-GB"/>
        </w:rPr>
        <w:t>th</w:t>
      </w:r>
      <w:r w:rsidR="00EA70A2">
        <w:rPr>
          <w:color w:val="000000"/>
          <w:lang w:val="en-GB"/>
        </w:rPr>
        <w:t xml:space="preserve"> May 1948</w:t>
      </w:r>
      <w:r w:rsidRPr="00252807">
        <w:rPr>
          <w:color w:val="000000"/>
          <w:lang w:val="en-GB"/>
        </w:rPr>
        <w:t>, defeated the Arab forces, not only winning the Arab-Israeli War, but expanding their territories</w:t>
      </w:r>
      <w:r w:rsidR="00EA70A2">
        <w:rPr>
          <w:color w:val="000000"/>
          <w:lang w:val="en-GB"/>
        </w:rPr>
        <w:t>,</w:t>
      </w:r>
      <w:r w:rsidRPr="00252807">
        <w:rPr>
          <w:color w:val="000000"/>
          <w:lang w:val="en-GB"/>
        </w:rPr>
        <w:t xml:space="preserve"> and creating hundreds of thousands of Palestinian refugees in the process.</w:t>
      </w:r>
    </w:p>
    <w:p w14:paraId="2182AF57" w14:textId="77777777" w:rsidR="00FC331F" w:rsidRPr="0048465B" w:rsidRDefault="00FC331F" w:rsidP="00FC331F">
      <w:pPr>
        <w:rPr>
          <w:lang w:val="en-GB"/>
        </w:rPr>
      </w:pPr>
    </w:p>
    <w:p w14:paraId="2D8D56D4" w14:textId="5DD5B497" w:rsidR="00FC331F" w:rsidRPr="0048465B" w:rsidRDefault="00FC331F" w:rsidP="00FC331F">
      <w:pPr>
        <w:rPr>
          <w:lang w:val="en-GB"/>
        </w:rPr>
      </w:pPr>
      <w:r w:rsidRPr="0048465B">
        <w:rPr>
          <w:lang w:val="en-GB"/>
        </w:rPr>
        <w:t xml:space="preserve">The territories claimed as part of this first war are </w:t>
      </w:r>
      <w:r w:rsidR="004655B2" w:rsidRPr="0048465B">
        <w:rPr>
          <w:lang w:val="en-GB"/>
        </w:rPr>
        <w:t xml:space="preserve">not </w:t>
      </w:r>
      <w:r w:rsidR="004655B2">
        <w:rPr>
          <w:lang w:val="en-GB"/>
        </w:rPr>
        <w:t>typically</w:t>
      </w:r>
      <w:r w:rsidRPr="0048465B">
        <w:rPr>
          <w:lang w:val="en-GB"/>
        </w:rPr>
        <w:t xml:space="preserve"> the subject of political debate. However, Israel claimed further Palestinian territor</w:t>
      </w:r>
      <w:r w:rsidR="00415DE5">
        <w:rPr>
          <w:lang w:val="en-GB"/>
        </w:rPr>
        <w:t>ies</w:t>
      </w:r>
      <w:r w:rsidRPr="0048465B">
        <w:rPr>
          <w:lang w:val="en-GB"/>
        </w:rPr>
        <w:t xml:space="preserve"> during the Six-Day War of 1967, wherein Israel launched a military offensive </w:t>
      </w:r>
      <w:r w:rsidR="006F6603">
        <w:rPr>
          <w:lang w:val="en-GB"/>
        </w:rPr>
        <w:t>–</w:t>
      </w:r>
      <w:r w:rsidRPr="0048465B">
        <w:rPr>
          <w:lang w:val="en-GB"/>
        </w:rPr>
        <w:t xml:space="preserve"> defined by Israel as </w:t>
      </w:r>
      <w:r w:rsidR="0048465B" w:rsidRPr="0048465B">
        <w:rPr>
          <w:lang w:val="en-GB"/>
        </w:rPr>
        <w:t>pre-emptive</w:t>
      </w:r>
      <w:r w:rsidRPr="0048465B">
        <w:rPr>
          <w:lang w:val="en-GB"/>
        </w:rPr>
        <w:t xml:space="preserve">, but seen by others as unprovoked </w:t>
      </w:r>
      <w:r w:rsidR="006F6603">
        <w:rPr>
          <w:lang w:val="en-GB"/>
        </w:rPr>
        <w:t>–</w:t>
      </w:r>
      <w:r w:rsidRPr="0048465B">
        <w:rPr>
          <w:lang w:val="en-GB"/>
        </w:rPr>
        <w:t xml:space="preserve"> which culminated in Israel’s occupation of Gaza, the Sinai Peninsula, the West Bank, East Jerusalem, and the Golan Heights (a Syrian territory). Whilst the Egypt-Israel peace treaty of 1979 saw Israeli withdrawal from the Sinai Peninsula over the following three years, the Palestinian, and Syrian, territories gained by Israel during the Six-Day War remain under Israeli control today. Even Gaza, from which Israel officially withdrew</w:t>
      </w:r>
      <w:r w:rsidR="00CF1337">
        <w:rPr>
          <w:lang w:val="en-GB"/>
        </w:rPr>
        <w:t xml:space="preserve"> in</w:t>
      </w:r>
      <w:r w:rsidRPr="0048465B">
        <w:rPr>
          <w:lang w:val="en-GB"/>
        </w:rPr>
        <w:t xml:space="preserve"> 2005, remains under Israeli </w:t>
      </w:r>
      <w:r w:rsidR="00415DE5">
        <w:rPr>
          <w:lang w:val="en-GB"/>
        </w:rPr>
        <w:t>influence</w:t>
      </w:r>
      <w:r w:rsidRPr="0048465B">
        <w:rPr>
          <w:lang w:val="en-GB"/>
        </w:rPr>
        <w:t xml:space="preserve"> due to Israel’s </w:t>
      </w:r>
      <w:r w:rsidR="00D820DE">
        <w:rPr>
          <w:lang w:val="en-GB"/>
        </w:rPr>
        <w:t xml:space="preserve">control over Gaza’s </w:t>
      </w:r>
      <w:r w:rsidR="00D820DE" w:rsidRPr="0048465B">
        <w:rPr>
          <w:lang w:val="en-GB"/>
        </w:rPr>
        <w:t>airspace</w:t>
      </w:r>
      <w:r w:rsidR="00D820DE">
        <w:rPr>
          <w:lang w:val="en-GB"/>
        </w:rPr>
        <w:t xml:space="preserve"> and </w:t>
      </w:r>
      <w:r w:rsidR="00D820DE" w:rsidRPr="0048465B">
        <w:rPr>
          <w:lang w:val="en-GB"/>
        </w:rPr>
        <w:t>coastline</w:t>
      </w:r>
      <w:r w:rsidR="00D820DE">
        <w:rPr>
          <w:lang w:val="en-GB"/>
        </w:rPr>
        <w:t>, as well as its regulation of</w:t>
      </w:r>
      <w:r w:rsidRPr="0048465B">
        <w:rPr>
          <w:lang w:val="en-GB"/>
        </w:rPr>
        <w:t xml:space="preserve"> </w:t>
      </w:r>
      <w:r w:rsidR="00D820DE">
        <w:rPr>
          <w:lang w:val="en-GB"/>
        </w:rPr>
        <w:t>the movement of</w:t>
      </w:r>
      <w:r w:rsidR="00D820DE" w:rsidRPr="0048465B">
        <w:rPr>
          <w:lang w:val="en-GB"/>
        </w:rPr>
        <w:t xml:space="preserve"> </w:t>
      </w:r>
      <w:r w:rsidR="00D820DE">
        <w:rPr>
          <w:lang w:val="en-GB"/>
        </w:rPr>
        <w:t xml:space="preserve">both </w:t>
      </w:r>
      <w:r w:rsidR="00D820DE" w:rsidRPr="0048465B">
        <w:rPr>
          <w:lang w:val="en-GB"/>
        </w:rPr>
        <w:t xml:space="preserve">goods and people in and out of </w:t>
      </w:r>
      <w:r w:rsidR="00D820DE">
        <w:rPr>
          <w:lang w:val="en-GB"/>
        </w:rPr>
        <w:t>Gaza’s borders</w:t>
      </w:r>
      <w:r w:rsidRPr="0048465B">
        <w:rPr>
          <w:lang w:val="en-GB"/>
        </w:rPr>
        <w:t>. Broadly speaking, it is the Palestinian territories specifically, the West Bank, Gaza,</w:t>
      </w:r>
      <w:r w:rsidR="00415DE5">
        <w:rPr>
          <w:lang w:val="en-GB"/>
        </w:rPr>
        <w:t xml:space="preserve"> and</w:t>
      </w:r>
      <w:r w:rsidRPr="0048465B">
        <w:rPr>
          <w:lang w:val="en-GB"/>
        </w:rPr>
        <w:t xml:space="preserve"> East Jerusalem, that are in question when this thesis refers to the ‘Occupied Territories’ hereafter.</w:t>
      </w:r>
    </w:p>
    <w:p w14:paraId="2248BBAA" w14:textId="77777777" w:rsidR="00FC331F" w:rsidRPr="0048465B" w:rsidRDefault="00FC331F" w:rsidP="00FC331F">
      <w:pPr>
        <w:rPr>
          <w:lang w:val="en-GB"/>
        </w:rPr>
      </w:pPr>
    </w:p>
    <w:p w14:paraId="5B542885" w14:textId="306B90A5" w:rsidR="00FC331F" w:rsidRPr="0048465B" w:rsidRDefault="00FC331F" w:rsidP="00FC331F">
      <w:pPr>
        <w:rPr>
          <w:lang w:val="en-GB"/>
        </w:rPr>
      </w:pPr>
      <w:r w:rsidRPr="0048465B">
        <w:rPr>
          <w:lang w:val="en-GB"/>
        </w:rPr>
        <w:t>The 1967 borders, or more specifically the June 4th</w:t>
      </w:r>
      <w:r w:rsidR="0048465B" w:rsidRPr="0048465B">
        <w:rPr>
          <w:lang w:val="en-GB"/>
        </w:rPr>
        <w:t>, 1967</w:t>
      </w:r>
      <w:r w:rsidRPr="0048465B">
        <w:rPr>
          <w:lang w:val="en-GB"/>
        </w:rPr>
        <w:t xml:space="preserve"> borders (before the Six-Day war) are those</w:t>
      </w:r>
      <w:r w:rsidR="00415DE5">
        <w:rPr>
          <w:lang w:val="en-GB"/>
        </w:rPr>
        <w:t xml:space="preserve"> which</w:t>
      </w:r>
      <w:r w:rsidRPr="0048465B">
        <w:rPr>
          <w:lang w:val="en-GB"/>
        </w:rPr>
        <w:t xml:space="preserve"> hopes for a Palestinian state tend to revolve around.</w:t>
      </w:r>
      <w:r w:rsidR="00415DE5">
        <w:rPr>
          <w:lang w:val="en-GB"/>
        </w:rPr>
        <w:t xml:space="preserve"> It is</w:t>
      </w:r>
      <w:r w:rsidRPr="0048465B">
        <w:rPr>
          <w:lang w:val="en-GB"/>
        </w:rPr>
        <w:t xml:space="preserve"> largely Israeli withdrawal to these borders, albeit in relation to relative land share rather than their specific shape, that has been the primary aim of the majority of political peace processes over the years. Israel claims, in the case of Gaza, that it is no longer an occupying power, and that in the other territories its presence is due to reasons relating to self-defence rather than conquest. In 2000, Israel began construction on the West Bank wall, a wall running around the West Bank but constructed largely within the West Bank itself, thus annexing somewhere in the region of </w:t>
      </w:r>
      <w:r w:rsidR="002A5FAE">
        <w:rPr>
          <w:lang w:val="en-GB"/>
        </w:rPr>
        <w:t>10</w:t>
      </w:r>
      <w:r w:rsidR="00AE6D44">
        <w:rPr>
          <w:lang w:val="en-GB"/>
        </w:rPr>
        <w:t xml:space="preserve"> percent</w:t>
      </w:r>
      <w:r w:rsidRPr="0048465B">
        <w:rPr>
          <w:lang w:val="en-GB"/>
        </w:rPr>
        <w:t xml:space="preserve"> of the West Bank. Whilst the International Court of Justice declared the illegality of this wall in 2004, Israel has since continued its construction.</w:t>
      </w:r>
    </w:p>
    <w:p w14:paraId="46A36642" w14:textId="77777777" w:rsidR="00FC331F" w:rsidRPr="0048465B" w:rsidRDefault="00FC331F" w:rsidP="00FC331F">
      <w:pPr>
        <w:rPr>
          <w:lang w:val="en-GB"/>
        </w:rPr>
      </w:pPr>
    </w:p>
    <w:p w14:paraId="0596DA0E" w14:textId="6494D764" w:rsidR="00FC331F" w:rsidRPr="0048465B" w:rsidRDefault="00FC331F" w:rsidP="00FC331F">
      <w:pPr>
        <w:rPr>
          <w:lang w:val="en-GB"/>
        </w:rPr>
      </w:pPr>
      <w:r w:rsidRPr="0048465B">
        <w:rPr>
          <w:lang w:val="en-GB"/>
        </w:rPr>
        <w:t xml:space="preserve">Yet it is only when the histories of the two people, especially that of </w:t>
      </w:r>
      <w:r w:rsidR="001C4995">
        <w:rPr>
          <w:lang w:val="en-GB"/>
        </w:rPr>
        <w:t>Jewish genocide</w:t>
      </w:r>
      <w:r w:rsidRPr="0048465B">
        <w:rPr>
          <w:lang w:val="en-GB"/>
        </w:rPr>
        <w:t>, are incorporated into contemporary understandings of the conflict that it</w:t>
      </w:r>
      <w:r w:rsidR="00415DE5">
        <w:rPr>
          <w:lang w:val="en-GB"/>
        </w:rPr>
        <w:t>s true complexity is revealed</w:t>
      </w:r>
      <w:r w:rsidRPr="0048465B">
        <w:rPr>
          <w:lang w:val="en-GB"/>
        </w:rPr>
        <w:t xml:space="preserve">. Whilst the Israeli state was not created in response to the Holocaust, the temporal proximity of the two events certainly had an effect on the manner in which the Israeli state was created, and more importantly has affected Israel’s political conduct, which has consistently been both presented and </w:t>
      </w:r>
      <w:r w:rsidR="001C4995">
        <w:rPr>
          <w:lang w:val="en-GB"/>
        </w:rPr>
        <w:t>perceived</w:t>
      </w:r>
      <w:r w:rsidRPr="0048465B">
        <w:rPr>
          <w:lang w:val="en-GB"/>
        </w:rPr>
        <w:t xml:space="preserve"> in light of its status as the homeland of those who survived genocidal Nazi intentions. As such, claims that might otherwise be easily disregarded, such as the suggestion that Israeli military aggression is a form of self-defence, become less simply dismissed. Similarly, Palestinian claims to victimhood, whilst simple in isolation, become less straightforward when considering the contingent identification of those who victimise them, the representatives of a people still reeling from the after-effects of the Holocaust.</w:t>
      </w:r>
    </w:p>
    <w:p w14:paraId="07380A08" w14:textId="77777777" w:rsidR="00FC331F" w:rsidRPr="0048465B" w:rsidRDefault="00FC331F" w:rsidP="00FC331F">
      <w:pPr>
        <w:rPr>
          <w:lang w:val="en-GB"/>
        </w:rPr>
      </w:pPr>
    </w:p>
    <w:p w14:paraId="7D410534" w14:textId="4A0EDA69" w:rsidR="00FC331F" w:rsidRDefault="00FC331F" w:rsidP="00FC331F">
      <w:pPr>
        <w:rPr>
          <w:lang w:val="en-GB"/>
        </w:rPr>
      </w:pPr>
      <w:r w:rsidRPr="0048465B">
        <w:rPr>
          <w:lang w:val="en-GB"/>
        </w:rPr>
        <w:t>It is the</w:t>
      </w:r>
      <w:r w:rsidR="001C4995">
        <w:rPr>
          <w:lang w:val="en-GB"/>
        </w:rPr>
        <w:t xml:space="preserve"> coming together of the</w:t>
      </w:r>
      <w:r w:rsidRPr="0048465B">
        <w:rPr>
          <w:lang w:val="en-GB"/>
        </w:rPr>
        <w:t xml:space="preserve">se issues, </w:t>
      </w:r>
      <w:r w:rsidR="001C4995">
        <w:rPr>
          <w:lang w:val="en-GB"/>
        </w:rPr>
        <w:t>those of</w:t>
      </w:r>
      <w:r w:rsidRPr="0048465B">
        <w:rPr>
          <w:lang w:val="en-GB"/>
        </w:rPr>
        <w:t xml:space="preserve"> extreme sensitiv</w:t>
      </w:r>
      <w:r w:rsidR="001C4995">
        <w:rPr>
          <w:lang w:val="en-GB"/>
        </w:rPr>
        <w:t>ity and</w:t>
      </w:r>
      <w:r w:rsidRPr="0048465B">
        <w:rPr>
          <w:lang w:val="en-GB"/>
        </w:rPr>
        <w:t xml:space="preserve"> inescapab</w:t>
      </w:r>
      <w:r w:rsidR="001C4995">
        <w:rPr>
          <w:lang w:val="en-GB"/>
        </w:rPr>
        <w:t>ility</w:t>
      </w:r>
      <w:r w:rsidRPr="0048465B">
        <w:rPr>
          <w:lang w:val="en-GB"/>
        </w:rPr>
        <w:t xml:space="preserve">, </w:t>
      </w:r>
      <w:r w:rsidR="006D50B4">
        <w:rPr>
          <w:lang w:val="en-GB"/>
        </w:rPr>
        <w:t xml:space="preserve">as well </w:t>
      </w:r>
      <w:r w:rsidR="008F554C">
        <w:rPr>
          <w:lang w:val="en-GB"/>
        </w:rPr>
        <w:t xml:space="preserve">as </w:t>
      </w:r>
      <w:r w:rsidR="006D50B4">
        <w:rPr>
          <w:lang w:val="en-GB"/>
        </w:rPr>
        <w:t>those regarding histories of suffering and their influence on contemporary discourse,</w:t>
      </w:r>
      <w:r w:rsidRPr="0048465B">
        <w:rPr>
          <w:lang w:val="en-GB"/>
        </w:rPr>
        <w:t xml:space="preserve"> that this thesis explores.</w:t>
      </w:r>
    </w:p>
    <w:p w14:paraId="13B123C4" w14:textId="77777777" w:rsidR="005722EE" w:rsidRPr="0048465B" w:rsidRDefault="005722EE" w:rsidP="00FC331F">
      <w:pPr>
        <w:rPr>
          <w:lang w:val="en-GB"/>
        </w:rPr>
      </w:pPr>
    </w:p>
    <w:p w14:paraId="4271A370" w14:textId="77777777" w:rsidR="00FC331F" w:rsidRPr="0048465B" w:rsidRDefault="00FC331F" w:rsidP="00FC331F">
      <w:pPr>
        <w:jc w:val="center"/>
        <w:rPr>
          <w:b/>
          <w:lang w:val="en-GB"/>
        </w:rPr>
      </w:pPr>
      <w:r w:rsidRPr="0048465B">
        <w:rPr>
          <w:b/>
          <w:lang w:val="en-GB"/>
        </w:rPr>
        <w:t>Chapter Breakdown and Choice of Texts</w:t>
      </w:r>
    </w:p>
    <w:p w14:paraId="1C97C9CB" w14:textId="77777777" w:rsidR="00FC331F" w:rsidRPr="0048465B" w:rsidRDefault="00FC331F" w:rsidP="00FC331F">
      <w:pPr>
        <w:rPr>
          <w:b/>
          <w:lang w:val="en-GB"/>
        </w:rPr>
      </w:pPr>
    </w:p>
    <w:p w14:paraId="06253CE1" w14:textId="07A8D327" w:rsidR="00FC331F" w:rsidRPr="0048465B" w:rsidRDefault="00FC331F" w:rsidP="00FC331F">
      <w:pPr>
        <w:rPr>
          <w:lang w:val="en-GB"/>
        </w:rPr>
      </w:pPr>
      <w:r w:rsidRPr="0048465B">
        <w:rPr>
          <w:lang w:val="en-GB"/>
        </w:rPr>
        <w:t>In order to contextualise the explorations of the Palestinian viewpoint in Chapter</w:t>
      </w:r>
      <w:r w:rsidR="00E46050">
        <w:rPr>
          <w:lang w:val="en-GB"/>
        </w:rPr>
        <w:t>s</w:t>
      </w:r>
      <w:r w:rsidRPr="0048465B">
        <w:rPr>
          <w:lang w:val="en-GB"/>
        </w:rPr>
        <w:t xml:space="preserve"> Two and Three, Chapter One first provides the context of the aforementioned absence of Palestinian suffering in connective memory studies, specifically, within the seminal connective memories text, Michael Rothberg’s </w:t>
      </w:r>
      <w:r w:rsidRPr="0048465B">
        <w:rPr>
          <w:i/>
          <w:lang w:val="en-GB"/>
        </w:rPr>
        <w:t>Multidirectional Memory</w:t>
      </w:r>
      <w:r w:rsidRPr="0048465B">
        <w:rPr>
          <w:lang w:val="en-GB"/>
        </w:rPr>
        <w:t>. Whilst it was the absence of analysis of this perspective within Rothberg’s monograph that initially captured my attention, Chapter One develops upon this absence, identifying it as not just evidence of a reluctance to engage with</w:t>
      </w:r>
      <w:r w:rsidR="00057474">
        <w:rPr>
          <w:lang w:val="en-GB"/>
        </w:rPr>
        <w:t xml:space="preserve"> the</w:t>
      </w:r>
      <w:r w:rsidRPr="0048465B">
        <w:rPr>
          <w:lang w:val="en-GB"/>
        </w:rPr>
        <w:t xml:space="preserve"> subject matter, but </w:t>
      </w:r>
      <w:r w:rsidR="006D50B4">
        <w:rPr>
          <w:lang w:val="en-GB"/>
        </w:rPr>
        <w:t xml:space="preserve">as </w:t>
      </w:r>
      <w:r w:rsidRPr="0048465B">
        <w:rPr>
          <w:lang w:val="en-GB"/>
        </w:rPr>
        <w:t xml:space="preserve">symptomatic of a number of intricacies that complicate connective analyses of the Holocaust and Palestinian suffering. The chronological ties between the Holocaust, the creation of Israel, and the subsequent disenfranchisement and exile of Palestinians problematises the connection between these two instances of suffering, stimulating precarious parallels that complicate the otherwise stable notions of victim and perpetrator. Similarly, the ethical demands of post-Holocaust reasoning become seemingly malleable when applied to the Israeli-Palestinian conflict, and sometimes propose wildly contradictory actions from each group. Even the affirmation of one’s own suffering becomes a complex act when these two events are brought together, as the identification of one group’s victimhood </w:t>
      </w:r>
      <w:r w:rsidR="006D50B4">
        <w:rPr>
          <w:lang w:val="en-GB"/>
        </w:rPr>
        <w:t xml:space="preserve">holds connotations for </w:t>
      </w:r>
      <w:r w:rsidRPr="0048465B">
        <w:rPr>
          <w:lang w:val="en-GB"/>
        </w:rPr>
        <w:t>the group identity of the other.</w:t>
      </w:r>
    </w:p>
    <w:p w14:paraId="5D9D25D4" w14:textId="77777777" w:rsidR="00FC331F" w:rsidRPr="0048465B" w:rsidRDefault="00FC331F" w:rsidP="00FC331F">
      <w:pPr>
        <w:rPr>
          <w:lang w:val="en-GB"/>
        </w:rPr>
      </w:pPr>
    </w:p>
    <w:p w14:paraId="70C128A7" w14:textId="5F16BF73" w:rsidR="00FC331F" w:rsidRPr="0048465B" w:rsidRDefault="00FC331F" w:rsidP="00FC331F">
      <w:pPr>
        <w:rPr>
          <w:lang w:val="en-GB"/>
        </w:rPr>
      </w:pPr>
      <w:r w:rsidRPr="0048465B">
        <w:rPr>
          <w:lang w:val="en-GB"/>
        </w:rPr>
        <w:lastRenderedPageBreak/>
        <w:t>Such issues become increasingly clear when they arise in other connective approaches. Whilst Marianne Hirsch’s notion of postmemory largely escapes these concerns through its</w:t>
      </w:r>
      <w:r w:rsidR="004655B2">
        <w:rPr>
          <w:lang w:val="en-GB"/>
        </w:rPr>
        <w:t xml:space="preserve"> initial</w:t>
      </w:r>
      <w:r w:rsidRPr="0048465B">
        <w:rPr>
          <w:lang w:val="en-GB"/>
        </w:rPr>
        <w:t xml:space="preserve"> dependency on the familial link, Max Silverman’s similarly Holocaust-centric connective memory study </w:t>
      </w:r>
      <w:r w:rsidRPr="0048465B">
        <w:rPr>
          <w:i/>
          <w:lang w:val="en-GB"/>
        </w:rPr>
        <w:t>Palimpsestic Memory</w:t>
      </w:r>
      <w:r w:rsidRPr="0048465B">
        <w:rPr>
          <w:lang w:val="en-GB"/>
        </w:rPr>
        <w:t>, whilst offering both context and support for Rothberg’s multidirectional approach, further highlights the complexities proposed by the Israeli-Palestinian conflict.</w:t>
      </w:r>
      <w:r w:rsidRPr="0048465B">
        <w:rPr>
          <w:vertAlign w:val="superscript"/>
          <w:lang w:val="en-GB"/>
        </w:rPr>
        <w:footnoteReference w:id="8"/>
      </w:r>
      <w:r w:rsidRPr="0048465B">
        <w:rPr>
          <w:lang w:val="en-GB"/>
        </w:rPr>
        <w:t xml:space="preserve"> Whilst Rothberg himself attempts to revisit the area in his 2011 paper ‘From Gaza to Warsaw: Mapping Multidirectionality’, Chapter One argues that </w:t>
      </w:r>
      <w:r w:rsidR="001F7D8B">
        <w:rPr>
          <w:lang w:val="en-GB"/>
        </w:rPr>
        <w:t>although</w:t>
      </w:r>
      <w:r w:rsidR="001F7D8B" w:rsidRPr="0048465B">
        <w:rPr>
          <w:lang w:val="en-GB"/>
        </w:rPr>
        <w:t xml:space="preserve"> </w:t>
      </w:r>
      <w:r w:rsidRPr="0048465B">
        <w:rPr>
          <w:lang w:val="en-GB"/>
        </w:rPr>
        <w:t>absence of analysis was of initial concern, even deliberate focus on the Israeli-Palestinian conflict as a site of connective memory does not necessarily solve the issues inherent in such approaches.</w:t>
      </w:r>
      <w:r w:rsidRPr="0048465B">
        <w:rPr>
          <w:vertAlign w:val="superscript"/>
          <w:lang w:val="en-GB"/>
        </w:rPr>
        <w:footnoteReference w:id="9"/>
      </w:r>
    </w:p>
    <w:p w14:paraId="3D418B6D" w14:textId="77777777" w:rsidR="00FC331F" w:rsidRPr="0048465B" w:rsidRDefault="00FC331F" w:rsidP="00FC331F">
      <w:pPr>
        <w:rPr>
          <w:lang w:val="en-GB"/>
        </w:rPr>
      </w:pPr>
    </w:p>
    <w:p w14:paraId="168E98B6" w14:textId="0B3BD620" w:rsidR="00FC331F" w:rsidRPr="0048465B" w:rsidRDefault="006D50B4" w:rsidP="00FC331F">
      <w:pPr>
        <w:rPr>
          <w:lang w:val="en-GB"/>
        </w:rPr>
      </w:pPr>
      <w:r>
        <w:rPr>
          <w:lang w:val="en-GB"/>
        </w:rPr>
        <w:t>Initially focusing</w:t>
      </w:r>
      <w:r w:rsidR="00FC331F" w:rsidRPr="0048465B">
        <w:rPr>
          <w:lang w:val="en-GB"/>
        </w:rPr>
        <w:t xml:space="preserve"> on the connective theoretical approaches of Rothberg and Silverman in isolation as a means of identifying their objective value, Chapter One subsequently applies these notions to the Israeli-Palestinian conflict more specifically, exposing the complications therein. This analysis is supported by a broad range of texts that either expose or are </w:t>
      </w:r>
      <w:r w:rsidR="00E46050">
        <w:rPr>
          <w:lang w:val="en-GB"/>
        </w:rPr>
        <w:t>co</w:t>
      </w:r>
      <w:r w:rsidR="00FC331F" w:rsidRPr="0048465B">
        <w:rPr>
          <w:lang w:val="en-GB"/>
        </w:rPr>
        <w:t xml:space="preserve">mplicit in the silencing of Palestinian perspectives. Works by author Caryl Phillips, director Stephen </w:t>
      </w:r>
      <w:r w:rsidR="00F13356">
        <w:rPr>
          <w:lang w:val="en-GB"/>
        </w:rPr>
        <w:t>Apkon</w:t>
      </w:r>
      <w:r w:rsidR="00FC331F" w:rsidRPr="0048465B">
        <w:rPr>
          <w:lang w:val="en-GB"/>
        </w:rPr>
        <w:t xml:space="preserve">, and academic Gilbert Achcar </w:t>
      </w:r>
      <w:r>
        <w:rPr>
          <w:lang w:val="en-GB"/>
        </w:rPr>
        <w:t>identify</w:t>
      </w:r>
      <w:r w:rsidR="00FC331F" w:rsidRPr="0048465B">
        <w:rPr>
          <w:lang w:val="en-GB"/>
        </w:rPr>
        <w:t xml:space="preserve"> the </w:t>
      </w:r>
      <w:r>
        <w:rPr>
          <w:lang w:val="en-GB"/>
        </w:rPr>
        <w:t>complexities</w:t>
      </w:r>
      <w:r w:rsidR="00FC331F" w:rsidRPr="0048465B">
        <w:rPr>
          <w:lang w:val="en-GB"/>
        </w:rPr>
        <w:t xml:space="preserve"> that arise when the two peoples come together both in literature and in life, and demonstrate the breadth of possible responses to these intersections. Perspectives from Israeli academics and a number of news articles further serve as a means of exploring the position of the Holocaust within memory studies, and assessing the potential effects of its centrality.</w:t>
      </w:r>
    </w:p>
    <w:p w14:paraId="778535DC" w14:textId="77777777" w:rsidR="00FC331F" w:rsidRPr="0048465B" w:rsidRDefault="00FC331F" w:rsidP="00FC331F">
      <w:pPr>
        <w:rPr>
          <w:lang w:val="en-GB"/>
        </w:rPr>
      </w:pPr>
    </w:p>
    <w:p w14:paraId="4C703E85" w14:textId="6B11D4B4" w:rsidR="00FC331F" w:rsidRPr="0048465B" w:rsidRDefault="00FC331F" w:rsidP="00FC331F">
      <w:pPr>
        <w:rPr>
          <w:lang w:val="en-GB"/>
        </w:rPr>
      </w:pPr>
      <w:r w:rsidRPr="0048465B">
        <w:rPr>
          <w:lang w:val="en-GB"/>
        </w:rPr>
        <w:lastRenderedPageBreak/>
        <w:t xml:space="preserve">In the aftermath of identifying the potential complications of Holocaust-centric connective approaches to the Israeli-Palestinian conflict, Chapter Two turns towards explorations of Palestinian suffering more specifically. Offering both Palestinian and Israeli authored representations of this suffering, these works of fiction and fictionalised autobiography explore individual relationships first between Palestinians and </w:t>
      </w:r>
      <w:r w:rsidR="004D2C7E">
        <w:rPr>
          <w:lang w:val="en-GB"/>
        </w:rPr>
        <w:t>the</w:t>
      </w:r>
      <w:r w:rsidRPr="0048465B">
        <w:rPr>
          <w:lang w:val="en-GB"/>
        </w:rPr>
        <w:t xml:space="preserve"> Nakba (the exile of Palestinians in 1948) and thereafter, as well as between Israelis and some of the more notorious instances of Palestinian suffering. </w:t>
      </w:r>
    </w:p>
    <w:p w14:paraId="091B4910" w14:textId="77777777" w:rsidR="00FC331F" w:rsidRPr="0048465B" w:rsidRDefault="00FC331F" w:rsidP="00FC331F">
      <w:pPr>
        <w:rPr>
          <w:lang w:val="en-GB"/>
        </w:rPr>
      </w:pPr>
    </w:p>
    <w:p w14:paraId="721C51B6" w14:textId="7F8BA7DA" w:rsidR="00FC331F" w:rsidRDefault="00FC331F" w:rsidP="00FC331F">
      <w:pPr>
        <w:rPr>
          <w:lang w:val="en-GB"/>
        </w:rPr>
      </w:pPr>
      <w:r w:rsidRPr="0048465B">
        <w:rPr>
          <w:lang w:val="en-GB"/>
        </w:rPr>
        <w:t xml:space="preserve">First setting the scene through exploring Edward W. Said’s demand for a more detailed understanding of Palestinian lives, the chapter thereafter explores the works of Palestinian authors Susan Abulhawa, Ghassan Kanafani, Emile Habiby, and </w:t>
      </w:r>
      <w:proofErr w:type="spellStart"/>
      <w:r w:rsidRPr="0048465B">
        <w:rPr>
          <w:lang w:val="en-GB"/>
        </w:rPr>
        <w:t>Rabai</w:t>
      </w:r>
      <w:proofErr w:type="spellEnd"/>
      <w:r w:rsidRPr="0048465B">
        <w:rPr>
          <w:lang w:val="en-GB"/>
        </w:rPr>
        <w:t xml:space="preserve"> al-</w:t>
      </w:r>
      <w:proofErr w:type="spellStart"/>
      <w:r w:rsidRPr="0048465B">
        <w:rPr>
          <w:lang w:val="en-GB"/>
        </w:rPr>
        <w:t>Madhoun</w:t>
      </w:r>
      <w:proofErr w:type="spellEnd"/>
      <w:r w:rsidRPr="0048465B">
        <w:rPr>
          <w:lang w:val="en-GB"/>
        </w:rPr>
        <w:t xml:space="preserve">. These authors offer an insight into the multiplicity of Palestinian existence, whilst also highlighting the manner in which these diverse perspectives are united by experiences of exile. These texts are subsequently contrasted against a series of </w:t>
      </w:r>
      <w:r w:rsidR="00923704">
        <w:rPr>
          <w:lang w:val="en-GB"/>
        </w:rPr>
        <w:t>works</w:t>
      </w:r>
      <w:r w:rsidRPr="0048465B">
        <w:rPr>
          <w:lang w:val="en-GB"/>
        </w:rPr>
        <w:t xml:space="preserve"> that explore Palestinian suffering from Israeli perspectives. Written primarily by Jewish</w:t>
      </w:r>
      <w:r w:rsidR="00BC374E">
        <w:rPr>
          <w:lang w:val="en-GB"/>
        </w:rPr>
        <w:t xml:space="preserve"> </w:t>
      </w:r>
      <w:r w:rsidRPr="0048465B">
        <w:rPr>
          <w:lang w:val="en-GB"/>
        </w:rPr>
        <w:t xml:space="preserve">Israelis who were directly involved in harrowing instances of Israeli-Palestinian violence, works by S. Yizhar and Noam </w:t>
      </w:r>
      <w:proofErr w:type="spellStart"/>
      <w:r w:rsidRPr="0048465B">
        <w:rPr>
          <w:lang w:val="en-GB"/>
        </w:rPr>
        <w:t>Chayut</w:t>
      </w:r>
      <w:proofErr w:type="spellEnd"/>
      <w:r w:rsidRPr="0048465B">
        <w:rPr>
          <w:lang w:val="en-GB"/>
        </w:rPr>
        <w:t xml:space="preserve">, as well as Ari Folman’s film </w:t>
      </w:r>
      <w:r w:rsidRPr="0048465B">
        <w:rPr>
          <w:i/>
          <w:lang w:val="en-GB"/>
        </w:rPr>
        <w:t>Waltz with Bashir</w:t>
      </w:r>
      <w:r w:rsidRPr="0048465B">
        <w:rPr>
          <w:lang w:val="en-GB"/>
        </w:rPr>
        <w:t xml:space="preserve"> draw attention not only to Israeli discomfort when confronted by Palestinian pain, but also explore the manner in which the act of taking ownership of guilt and complicity is complicated by the legacy of Jewish suffering.</w:t>
      </w:r>
      <w:r w:rsidRPr="0048465B">
        <w:rPr>
          <w:vertAlign w:val="superscript"/>
          <w:lang w:val="en-GB"/>
        </w:rPr>
        <w:footnoteReference w:id="10"/>
      </w:r>
      <w:r w:rsidRPr="0048465B">
        <w:rPr>
          <w:lang w:val="en-GB"/>
        </w:rPr>
        <w:t xml:space="preserve"> Through placing such narratives alongside one another, Chapter Two not only rei</w:t>
      </w:r>
      <w:r w:rsidR="004D2C7E">
        <w:rPr>
          <w:lang w:val="en-GB"/>
        </w:rPr>
        <w:t>nforces the analytical findings of</w:t>
      </w:r>
      <w:r w:rsidRPr="0048465B">
        <w:rPr>
          <w:lang w:val="en-GB"/>
        </w:rPr>
        <w:t xml:space="preserve"> Chapter One, but also demonstrates </w:t>
      </w:r>
      <w:r w:rsidR="004D2C7E">
        <w:rPr>
          <w:lang w:val="en-GB"/>
        </w:rPr>
        <w:t>the manner in which the complexities of Chapter One might be circumvented.</w:t>
      </w:r>
    </w:p>
    <w:p w14:paraId="4877ABBA" w14:textId="77777777" w:rsidR="004D2C7E" w:rsidRPr="0048465B" w:rsidRDefault="004D2C7E" w:rsidP="00FC331F">
      <w:pPr>
        <w:rPr>
          <w:lang w:val="en-GB"/>
        </w:rPr>
      </w:pPr>
    </w:p>
    <w:p w14:paraId="4377B4AB" w14:textId="48A72F5E" w:rsidR="00FC331F" w:rsidRPr="0048465B" w:rsidRDefault="00FC331F" w:rsidP="00FC331F">
      <w:pPr>
        <w:rPr>
          <w:lang w:val="en-GB"/>
        </w:rPr>
      </w:pPr>
      <w:r w:rsidRPr="0048465B">
        <w:rPr>
          <w:lang w:val="en-GB"/>
        </w:rPr>
        <w:lastRenderedPageBreak/>
        <w:t xml:space="preserve">Having explored such representations in isolation, Chapter Three searches for those instances wherein informative connections of Israeli-Palestinian identity may arise, and explores the lessons we might learn from them. The intersections in question are varied, </w:t>
      </w:r>
      <w:r w:rsidR="00213666">
        <w:rPr>
          <w:lang w:val="en-GB"/>
        </w:rPr>
        <w:t>including</w:t>
      </w:r>
      <w:r w:rsidRPr="0048465B">
        <w:rPr>
          <w:lang w:val="en-GB"/>
        </w:rPr>
        <w:t xml:space="preserve"> short stories written by Sami Berdugo and </w:t>
      </w:r>
      <w:proofErr w:type="spellStart"/>
      <w:r w:rsidRPr="0048465B">
        <w:rPr>
          <w:lang w:val="en-GB"/>
        </w:rPr>
        <w:t>Orly</w:t>
      </w:r>
      <w:proofErr w:type="spellEnd"/>
      <w:r w:rsidRPr="0048465B">
        <w:rPr>
          <w:lang w:val="en-GB"/>
        </w:rPr>
        <w:t xml:space="preserve"> Castel-Bloom as a means of analysing the </w:t>
      </w:r>
      <w:r w:rsidR="00735F0A">
        <w:rPr>
          <w:lang w:val="en-GB"/>
        </w:rPr>
        <w:t>particularities of</w:t>
      </w:r>
      <w:r w:rsidRPr="0048465B">
        <w:rPr>
          <w:lang w:val="en-GB"/>
        </w:rPr>
        <w:t xml:space="preserve"> Mizrahi</w:t>
      </w:r>
      <w:r w:rsidR="004D2C7E">
        <w:rPr>
          <w:rStyle w:val="FootnoteReference"/>
          <w:lang w:val="en-GB"/>
        </w:rPr>
        <w:footnoteReference w:id="11"/>
      </w:r>
      <w:r w:rsidR="004D2C7E" w:rsidRPr="0048465B">
        <w:rPr>
          <w:lang w:val="en-GB"/>
        </w:rPr>
        <w:t xml:space="preserve"> </w:t>
      </w:r>
      <w:r w:rsidR="00735F0A">
        <w:rPr>
          <w:lang w:val="en-GB"/>
        </w:rPr>
        <w:t>identity</w:t>
      </w:r>
      <w:r w:rsidRPr="0048465B">
        <w:rPr>
          <w:lang w:val="en-GB"/>
        </w:rPr>
        <w:t xml:space="preserve"> within Israel, and the manner in which this position simultaneously provides and denies access to the Israeli mainstream. Thereafter, the chapter turns its attention to less conventional resources, looking at news articles and first-person accounts of the travails of Israeli-Palestinian romantic relationships within Israel and abroad, as well as exploring Dorit Rabinyan’s controversial novel </w:t>
      </w:r>
      <w:r w:rsidRPr="0048465B">
        <w:rPr>
          <w:i/>
          <w:lang w:val="en-GB"/>
        </w:rPr>
        <w:t>All the Rivers</w:t>
      </w:r>
      <w:r w:rsidRPr="0048465B">
        <w:rPr>
          <w:lang w:val="en-GB"/>
        </w:rPr>
        <w:t xml:space="preserve"> and its reception.</w:t>
      </w:r>
      <w:r w:rsidRPr="0048465B">
        <w:rPr>
          <w:vertAlign w:val="superscript"/>
          <w:lang w:val="en-GB"/>
        </w:rPr>
        <w:footnoteReference w:id="12"/>
      </w:r>
      <w:r w:rsidRPr="0048465B">
        <w:rPr>
          <w:lang w:val="en-GB"/>
        </w:rPr>
        <w:t xml:space="preserve"> Such analyses </w:t>
      </w:r>
      <w:r w:rsidR="004D2C7E">
        <w:rPr>
          <w:lang w:val="en-GB"/>
        </w:rPr>
        <w:t>provide</w:t>
      </w:r>
      <w:r w:rsidRPr="0048465B">
        <w:rPr>
          <w:lang w:val="en-GB"/>
        </w:rPr>
        <w:t xml:space="preserve"> a more detailed understanding of the complexit</w:t>
      </w:r>
      <w:r w:rsidR="004D2C7E">
        <w:rPr>
          <w:lang w:val="en-GB"/>
        </w:rPr>
        <w:t>y</w:t>
      </w:r>
      <w:r w:rsidRPr="0048465B">
        <w:rPr>
          <w:lang w:val="en-GB"/>
        </w:rPr>
        <w:t xml:space="preserve"> </w:t>
      </w:r>
      <w:r w:rsidR="004D2C7E">
        <w:rPr>
          <w:lang w:val="en-GB"/>
        </w:rPr>
        <w:t>of</w:t>
      </w:r>
      <w:r w:rsidRPr="0048465B">
        <w:rPr>
          <w:lang w:val="en-GB"/>
        </w:rPr>
        <w:t xml:space="preserve"> Israeli-Palestinian </w:t>
      </w:r>
      <w:r w:rsidR="004D2C7E">
        <w:rPr>
          <w:lang w:val="en-GB"/>
        </w:rPr>
        <w:t>unity</w:t>
      </w:r>
      <w:r w:rsidRPr="0048465B">
        <w:rPr>
          <w:lang w:val="en-GB"/>
        </w:rPr>
        <w:t xml:space="preserve">, and the manner in which </w:t>
      </w:r>
      <w:r w:rsidR="004D2C7E">
        <w:rPr>
          <w:lang w:val="en-GB"/>
        </w:rPr>
        <w:t>such unity</w:t>
      </w:r>
      <w:r w:rsidRPr="0048465B">
        <w:rPr>
          <w:lang w:val="en-GB"/>
        </w:rPr>
        <w:t xml:space="preserve"> </w:t>
      </w:r>
      <w:r w:rsidR="004D2C7E">
        <w:rPr>
          <w:lang w:val="en-GB"/>
        </w:rPr>
        <w:t>is</w:t>
      </w:r>
      <w:r w:rsidRPr="0048465B">
        <w:rPr>
          <w:lang w:val="en-GB"/>
        </w:rPr>
        <w:t xml:space="preserve"> challenged socially, educationally, and politically. Finally, the third chapter ends with an exploration of dual</w:t>
      </w:r>
      <w:r w:rsidR="004D2C7E">
        <w:rPr>
          <w:lang w:val="en-GB"/>
        </w:rPr>
        <w:t>-</w:t>
      </w:r>
      <w:r w:rsidRPr="0048465B">
        <w:rPr>
          <w:lang w:val="en-GB"/>
        </w:rPr>
        <w:t xml:space="preserve">heritage Israeli-Palestinian children </w:t>
      </w:r>
      <w:r w:rsidR="006F6603">
        <w:rPr>
          <w:lang w:val="en-GB"/>
        </w:rPr>
        <w:t>–</w:t>
      </w:r>
      <w:r w:rsidRPr="0048465B">
        <w:rPr>
          <w:lang w:val="en-GB"/>
        </w:rPr>
        <w:t xml:space="preserve"> the most inescapable intersection </w:t>
      </w:r>
      <w:r w:rsidR="006F6603">
        <w:rPr>
          <w:lang w:val="en-GB"/>
        </w:rPr>
        <w:t>–</w:t>
      </w:r>
      <w:r w:rsidRPr="0048465B">
        <w:rPr>
          <w:lang w:val="en-GB"/>
        </w:rPr>
        <w:t xml:space="preserve"> analysing interviews with mixed-couples and their children, as well as the novel </w:t>
      </w:r>
      <w:r w:rsidRPr="0048465B">
        <w:rPr>
          <w:i/>
          <w:lang w:val="en-GB"/>
        </w:rPr>
        <w:t>Ishmael’s Oranges</w:t>
      </w:r>
      <w:r w:rsidRPr="0048465B">
        <w:rPr>
          <w:lang w:val="en-GB"/>
        </w:rPr>
        <w:t>, written by author of mixed Jewish-Palestinian heritage, Claire Hajaj.</w:t>
      </w:r>
      <w:r w:rsidRPr="0048465B">
        <w:rPr>
          <w:vertAlign w:val="superscript"/>
          <w:lang w:val="en-GB"/>
        </w:rPr>
        <w:footnoteReference w:id="13"/>
      </w:r>
      <w:r w:rsidRPr="0048465B">
        <w:rPr>
          <w:lang w:val="en-GB"/>
        </w:rPr>
        <w:t xml:space="preserve"> Through exploring these works, the third chapter finishes by </w:t>
      </w:r>
      <w:r w:rsidR="001B619D">
        <w:rPr>
          <w:lang w:val="en-GB"/>
        </w:rPr>
        <w:t xml:space="preserve">identifying </w:t>
      </w:r>
      <w:r w:rsidRPr="0048465B">
        <w:rPr>
          <w:lang w:val="en-GB"/>
        </w:rPr>
        <w:t xml:space="preserve">the ways in which </w:t>
      </w:r>
      <w:r w:rsidR="001B619D">
        <w:rPr>
          <w:lang w:val="en-GB"/>
        </w:rPr>
        <w:t>one’s</w:t>
      </w:r>
      <w:r w:rsidRPr="0048465B">
        <w:rPr>
          <w:lang w:val="en-GB"/>
        </w:rPr>
        <w:t xml:space="preserve"> origins can </w:t>
      </w:r>
      <w:r w:rsidR="001B619D">
        <w:rPr>
          <w:lang w:val="en-GB"/>
        </w:rPr>
        <w:t>influence their</w:t>
      </w:r>
      <w:r w:rsidRPr="0048465B">
        <w:rPr>
          <w:lang w:val="en-GB"/>
        </w:rPr>
        <w:t xml:space="preserve"> perspectives</w:t>
      </w:r>
      <w:r w:rsidR="001B619D">
        <w:rPr>
          <w:lang w:val="en-GB"/>
        </w:rPr>
        <w:t xml:space="preserve"> both in childhood and thereafter</w:t>
      </w:r>
      <w:r w:rsidRPr="0048465B">
        <w:rPr>
          <w:lang w:val="en-GB"/>
        </w:rPr>
        <w:t>.</w:t>
      </w:r>
    </w:p>
    <w:p w14:paraId="625AE035" w14:textId="77777777" w:rsidR="00FC331F" w:rsidRPr="0048465B" w:rsidRDefault="00FC331F" w:rsidP="00FC331F">
      <w:pPr>
        <w:rPr>
          <w:lang w:val="en-GB"/>
        </w:rPr>
      </w:pPr>
    </w:p>
    <w:p w14:paraId="53583429" w14:textId="0D3AE80E" w:rsidR="00FC331F" w:rsidRPr="0048465B" w:rsidRDefault="00FC331F" w:rsidP="00FC331F">
      <w:pPr>
        <w:rPr>
          <w:lang w:val="en-GB"/>
        </w:rPr>
      </w:pPr>
      <w:r w:rsidRPr="0048465B">
        <w:rPr>
          <w:lang w:val="en-GB"/>
        </w:rPr>
        <w:t>Chapter Four, whilst continuing to explore the Israeli-Palestinian conflict, moves away from conventional literary perspectives and instead focuses on legal discourse, political analysis, and Israeli and Palestinian editorials</w:t>
      </w:r>
      <w:r w:rsidR="001B619D">
        <w:rPr>
          <w:lang w:val="en-GB"/>
        </w:rPr>
        <w:t>,</w:t>
      </w:r>
      <w:r w:rsidRPr="0048465B">
        <w:rPr>
          <w:lang w:val="en-GB"/>
        </w:rPr>
        <w:t xml:space="preserve"> as it turns towards contemporary Israel and asks how we might envision the future. Whilst the absence of fictional texts in this chapter may seem anomalous at </w:t>
      </w:r>
      <w:r w:rsidRPr="0048465B">
        <w:rPr>
          <w:lang w:val="en-GB"/>
        </w:rPr>
        <w:lastRenderedPageBreak/>
        <w:t>first glance, this transition is a means of attending to the two equally important components of the Israeli-Palestinian conflict, the emotional and the political. As mentioned in the introduction to the conflict, whilst the historical and political facts alone are particularly complex, the emotional</w:t>
      </w:r>
      <w:r w:rsidR="004977C1">
        <w:rPr>
          <w:lang w:val="en-GB"/>
        </w:rPr>
        <w:t xml:space="preserve"> </w:t>
      </w:r>
      <w:r w:rsidRPr="0048465B">
        <w:rPr>
          <w:lang w:val="en-GB"/>
        </w:rPr>
        <w:t>aspects of the Israeli-Palestinian conflict demand a similar focus, and it is these twin components that this thesis aims to attend to in its entirety.</w:t>
      </w:r>
    </w:p>
    <w:p w14:paraId="79D5D9BD" w14:textId="77777777" w:rsidR="00FC331F" w:rsidRPr="0048465B" w:rsidRDefault="00FC331F" w:rsidP="00FC331F">
      <w:pPr>
        <w:rPr>
          <w:lang w:val="en-GB"/>
        </w:rPr>
      </w:pPr>
    </w:p>
    <w:p w14:paraId="6F639D62" w14:textId="33A35912" w:rsidR="001B619D" w:rsidRPr="00C91361" w:rsidRDefault="00FC331F" w:rsidP="00FC331F">
      <w:pPr>
        <w:rPr>
          <w:lang w:val="en-GB"/>
        </w:rPr>
      </w:pPr>
      <w:r w:rsidRPr="0048465B">
        <w:rPr>
          <w:lang w:val="en-GB"/>
        </w:rPr>
        <w:t xml:space="preserve">After explorations of the powers and vulnerabilities of international law, from the British Mandate to the present day, Chapter Four looks at the influence of the USA under Trump and assesses what change Biden may bring. Thereafter, this chapter looks at the capacity of </w:t>
      </w:r>
      <w:r w:rsidR="00984B5C">
        <w:rPr>
          <w:lang w:val="en-GB"/>
        </w:rPr>
        <w:t xml:space="preserve">the </w:t>
      </w:r>
      <w:r w:rsidRPr="0048465B">
        <w:rPr>
          <w:lang w:val="en-GB"/>
        </w:rPr>
        <w:t>grassroots BDS movement, and attempts to break</w:t>
      </w:r>
      <w:r w:rsidR="00574252">
        <w:rPr>
          <w:lang w:val="en-GB"/>
        </w:rPr>
        <w:t xml:space="preserve"> </w:t>
      </w:r>
      <w:r w:rsidRPr="0048465B">
        <w:rPr>
          <w:lang w:val="en-GB"/>
        </w:rPr>
        <w:t>down the relationship between criticism of Israel and accusation</w:t>
      </w:r>
      <w:r w:rsidR="00381A4E">
        <w:rPr>
          <w:lang w:val="en-GB"/>
        </w:rPr>
        <w:t>s</w:t>
      </w:r>
      <w:r w:rsidRPr="0048465B">
        <w:rPr>
          <w:lang w:val="en-GB"/>
        </w:rPr>
        <w:t xml:space="preserve"> of antisemitism. Finally, it inspects the one-state solution as an alternative to two-state peace. Informed by each of these explorations, the final chapter ends with a checklist of sorts, of the features that I personally deem essential to any prospective peace.</w:t>
      </w:r>
    </w:p>
    <w:p w14:paraId="3373273C" w14:textId="77777777" w:rsidR="001B619D" w:rsidRPr="0048465B" w:rsidRDefault="001B619D" w:rsidP="00FC331F">
      <w:pPr>
        <w:rPr>
          <w:b/>
          <w:lang w:val="en-GB"/>
        </w:rPr>
      </w:pPr>
    </w:p>
    <w:p w14:paraId="75B1B0AE" w14:textId="63B50927" w:rsidR="00FC331F" w:rsidRPr="0048465B" w:rsidRDefault="00FC331F" w:rsidP="00FC331F">
      <w:pPr>
        <w:jc w:val="center"/>
        <w:rPr>
          <w:lang w:val="en-GB"/>
        </w:rPr>
      </w:pPr>
      <w:r w:rsidRPr="0048465B">
        <w:rPr>
          <w:b/>
          <w:lang w:val="en-GB"/>
        </w:rPr>
        <w:t>Personal Limitations, and Texts Left Out</w:t>
      </w:r>
    </w:p>
    <w:p w14:paraId="3CD3EDAF" w14:textId="77777777" w:rsidR="00FC331F" w:rsidRPr="0048465B" w:rsidRDefault="00FC331F" w:rsidP="00FC331F">
      <w:pPr>
        <w:rPr>
          <w:lang w:val="en-GB"/>
        </w:rPr>
      </w:pPr>
    </w:p>
    <w:p w14:paraId="295230C3" w14:textId="1A3FD638" w:rsidR="00FC331F" w:rsidRPr="0048465B" w:rsidRDefault="00FC331F" w:rsidP="00FC331F">
      <w:pPr>
        <w:rPr>
          <w:lang w:val="en-GB"/>
        </w:rPr>
      </w:pPr>
      <w:r w:rsidRPr="0048465B">
        <w:rPr>
          <w:lang w:val="en-GB"/>
        </w:rPr>
        <w:t xml:space="preserve">I have tried to avoid fictional texts written by those without direct ties to the Israeli-Palestinian conflict specifically, or which are derived more from imagination than experience. Said’s work </w:t>
      </w:r>
      <w:r w:rsidRPr="0048465B">
        <w:rPr>
          <w:i/>
          <w:lang w:val="en-GB"/>
        </w:rPr>
        <w:t>The Question of Palestine</w:t>
      </w:r>
      <w:r w:rsidRPr="0048465B">
        <w:rPr>
          <w:lang w:val="en-GB"/>
        </w:rPr>
        <w:t xml:space="preserve"> made me particularly conscious of the history of Palestinians being spoken for, rather than speaking for themselves.</w:t>
      </w:r>
      <w:r w:rsidRPr="0048465B">
        <w:rPr>
          <w:vertAlign w:val="superscript"/>
          <w:lang w:val="en-GB"/>
        </w:rPr>
        <w:footnoteReference w:id="14"/>
      </w:r>
      <w:r w:rsidRPr="0048465B">
        <w:rPr>
          <w:lang w:val="en-GB"/>
        </w:rPr>
        <w:t xml:space="preserve"> As such, </w:t>
      </w:r>
      <w:r w:rsidR="001B619D">
        <w:rPr>
          <w:lang w:val="en-GB"/>
        </w:rPr>
        <w:t xml:space="preserve">and especially </w:t>
      </w:r>
      <w:r w:rsidRPr="0048465B">
        <w:rPr>
          <w:lang w:val="en-GB"/>
        </w:rPr>
        <w:t>from Chapter Two onwards</w:t>
      </w:r>
      <w:r w:rsidR="001B619D">
        <w:rPr>
          <w:lang w:val="en-GB"/>
        </w:rPr>
        <w:t>,</w:t>
      </w:r>
      <w:r w:rsidRPr="0048465B">
        <w:rPr>
          <w:lang w:val="en-GB"/>
        </w:rPr>
        <w:t xml:space="preserve"> I try to </w:t>
      </w:r>
      <w:r w:rsidR="001B619D">
        <w:rPr>
          <w:lang w:val="en-GB"/>
        </w:rPr>
        <w:t>centre</w:t>
      </w:r>
      <w:r w:rsidRPr="0048465B">
        <w:rPr>
          <w:lang w:val="en-GB"/>
        </w:rPr>
        <w:t xml:space="preserve"> Palestinian</w:t>
      </w:r>
      <w:r w:rsidR="001B619D">
        <w:rPr>
          <w:lang w:val="en-GB"/>
        </w:rPr>
        <w:t xml:space="preserve"> and Israeli</w:t>
      </w:r>
      <w:r w:rsidRPr="0048465B">
        <w:rPr>
          <w:lang w:val="en-GB"/>
        </w:rPr>
        <w:t xml:space="preserve"> voices as much as possible, since it is only truly the</w:t>
      </w:r>
      <w:r w:rsidR="001B619D">
        <w:rPr>
          <w:lang w:val="en-GB"/>
        </w:rPr>
        <w:t xml:space="preserve">se </w:t>
      </w:r>
      <w:r w:rsidRPr="0048465B">
        <w:rPr>
          <w:lang w:val="en-GB"/>
        </w:rPr>
        <w:t xml:space="preserve">people who are able to accurately represent the nuances of their </w:t>
      </w:r>
      <w:r w:rsidR="001B619D">
        <w:rPr>
          <w:lang w:val="en-GB"/>
        </w:rPr>
        <w:t>experience</w:t>
      </w:r>
      <w:r w:rsidRPr="0048465B">
        <w:rPr>
          <w:lang w:val="en-GB"/>
        </w:rPr>
        <w:t xml:space="preserve">. Whilst </w:t>
      </w:r>
      <w:r w:rsidRPr="0048465B">
        <w:rPr>
          <w:lang w:val="en-GB"/>
        </w:rPr>
        <w:lastRenderedPageBreak/>
        <w:t xml:space="preserve">geographical and emotional distance from the conflict itself allows a certain neutrality of insight </w:t>
      </w:r>
      <w:r w:rsidR="006F6603">
        <w:rPr>
          <w:lang w:val="en-GB"/>
        </w:rPr>
        <w:t>–</w:t>
      </w:r>
      <w:r w:rsidRPr="0048465B">
        <w:rPr>
          <w:lang w:val="en-GB"/>
        </w:rPr>
        <w:t xml:space="preserve"> that which I hope to embody </w:t>
      </w:r>
      <w:r w:rsidR="006F6603">
        <w:rPr>
          <w:lang w:val="en-GB"/>
        </w:rPr>
        <w:t>–</w:t>
      </w:r>
      <w:r w:rsidRPr="0048465B">
        <w:rPr>
          <w:lang w:val="en-GB"/>
        </w:rPr>
        <w:t xml:space="preserve"> the location of the mid-point between Jewish</w:t>
      </w:r>
      <w:r w:rsidR="00BC374E">
        <w:rPr>
          <w:lang w:val="en-GB"/>
        </w:rPr>
        <w:t xml:space="preserve"> </w:t>
      </w:r>
      <w:r w:rsidRPr="0048465B">
        <w:rPr>
          <w:lang w:val="en-GB"/>
        </w:rPr>
        <w:t>Israeli and Palestinian emotions and demands can only be found if we have an accurate understanding of these demands as represented by these people directly.</w:t>
      </w:r>
    </w:p>
    <w:p w14:paraId="512568AE" w14:textId="77777777" w:rsidR="00FC331F" w:rsidRPr="0048465B" w:rsidRDefault="00FC331F" w:rsidP="00FC331F">
      <w:pPr>
        <w:rPr>
          <w:lang w:val="en-GB"/>
        </w:rPr>
      </w:pPr>
    </w:p>
    <w:p w14:paraId="232DABC3" w14:textId="7619F709" w:rsidR="00FC331F" w:rsidRPr="0048465B" w:rsidRDefault="001035C5" w:rsidP="00FC331F">
      <w:pPr>
        <w:rPr>
          <w:lang w:val="en-GB"/>
        </w:rPr>
      </w:pPr>
      <w:r>
        <w:rPr>
          <w:lang w:val="en-GB"/>
        </w:rPr>
        <w:t>T</w:t>
      </w:r>
      <w:r w:rsidR="00FC331F" w:rsidRPr="0048465B">
        <w:rPr>
          <w:lang w:val="en-GB"/>
        </w:rPr>
        <w:t xml:space="preserve">his has complex ramifications for me as this thesis’ author, who speaks neither Arabic nor Hebrew, yet seeks to uncover new truths about the relationship between largely Arabic and Hebrew speaking peoples. All of the texts cited in this work have been read in translation, a necessity that places clear limitations on the texts I was able to read, particularly in relation to Palestinian texts, where the structural disparity between Israel and Palestine in terms of </w:t>
      </w:r>
      <w:r w:rsidR="00EA5299">
        <w:rPr>
          <w:lang w:val="en-GB"/>
        </w:rPr>
        <w:t>services</w:t>
      </w:r>
      <w:r w:rsidR="001B619D">
        <w:rPr>
          <w:lang w:val="en-GB"/>
        </w:rPr>
        <w:t xml:space="preserve"> such as </w:t>
      </w:r>
      <w:r w:rsidR="00FC331F" w:rsidRPr="0048465B">
        <w:rPr>
          <w:lang w:val="en-GB"/>
        </w:rPr>
        <w:t>education</w:t>
      </w:r>
      <w:r w:rsidR="00C91361">
        <w:rPr>
          <w:lang w:val="en-GB"/>
        </w:rPr>
        <w:t>,</w:t>
      </w:r>
      <w:r w:rsidR="00FC331F" w:rsidRPr="0048465B">
        <w:rPr>
          <w:lang w:val="en-GB"/>
        </w:rPr>
        <w:t xml:space="preserve"> </w:t>
      </w:r>
      <w:r w:rsidR="00EA5299">
        <w:rPr>
          <w:lang w:val="en-GB"/>
        </w:rPr>
        <w:t>as well as</w:t>
      </w:r>
      <w:r w:rsidR="00FC331F" w:rsidRPr="0048465B">
        <w:rPr>
          <w:lang w:val="en-GB"/>
        </w:rPr>
        <w:t xml:space="preserve"> the simple possibility of writing </w:t>
      </w:r>
      <w:r w:rsidR="006E24CA">
        <w:rPr>
          <w:lang w:val="en-GB"/>
        </w:rPr>
        <w:t>and publication</w:t>
      </w:r>
      <w:r w:rsidR="00C91361">
        <w:rPr>
          <w:lang w:val="en-GB"/>
        </w:rPr>
        <w:t>,</w:t>
      </w:r>
      <w:r w:rsidR="006E24CA">
        <w:rPr>
          <w:lang w:val="en-GB"/>
        </w:rPr>
        <w:t xml:space="preserve"> </w:t>
      </w:r>
      <w:r w:rsidR="00FC331F" w:rsidRPr="0048465B">
        <w:rPr>
          <w:lang w:val="en-GB"/>
        </w:rPr>
        <w:t xml:space="preserve">means that Palestinian perspectives are far less likely to make their way in front of an English-speaking audience. This does, however, add another element to this thesis’ analysis of textual representations of Palestinian suffering. Since my own observations are confined by my linguistic abilities, the thesis itself </w:t>
      </w:r>
      <w:r w:rsidR="00EA5299">
        <w:rPr>
          <w:lang w:val="en-GB"/>
        </w:rPr>
        <w:t>serves as</w:t>
      </w:r>
      <w:r w:rsidR="00FC331F" w:rsidRPr="0048465B">
        <w:rPr>
          <w:lang w:val="en-GB"/>
        </w:rPr>
        <w:t xml:space="preserve"> evidence of the complexity of uncovering Palestinian viewpoints from an English-speaking perspective. </w:t>
      </w:r>
      <w:r w:rsidR="00EA5299">
        <w:rPr>
          <w:lang w:val="en-GB"/>
        </w:rPr>
        <w:t>It</w:t>
      </w:r>
      <w:r w:rsidR="00FC331F" w:rsidRPr="0048465B">
        <w:rPr>
          <w:lang w:val="en-GB"/>
        </w:rPr>
        <w:t xml:space="preserve"> is</w:t>
      </w:r>
      <w:r w:rsidR="00EA5299">
        <w:rPr>
          <w:lang w:val="en-GB"/>
        </w:rPr>
        <w:t xml:space="preserve"> in part</w:t>
      </w:r>
      <w:r w:rsidR="00FC331F" w:rsidRPr="0048465B">
        <w:rPr>
          <w:lang w:val="en-GB"/>
        </w:rPr>
        <w:t xml:space="preserve"> this very question of how best we might uncover the Palestinian experience from </w:t>
      </w:r>
      <w:r w:rsidR="00CB0F0F">
        <w:rPr>
          <w:lang w:val="en-GB"/>
        </w:rPr>
        <w:t>such a</w:t>
      </w:r>
      <w:r w:rsidR="00FC331F" w:rsidRPr="0048465B">
        <w:rPr>
          <w:lang w:val="en-GB"/>
        </w:rPr>
        <w:t xml:space="preserve"> perspective, that this thesis seeks</w:t>
      </w:r>
      <w:r w:rsidR="00EA5299">
        <w:rPr>
          <w:lang w:val="en-GB"/>
        </w:rPr>
        <w:t xml:space="preserve"> </w:t>
      </w:r>
      <w:r w:rsidR="00FC331F" w:rsidRPr="0048465B">
        <w:rPr>
          <w:lang w:val="en-GB"/>
        </w:rPr>
        <w:t xml:space="preserve">to answer. </w:t>
      </w:r>
    </w:p>
    <w:p w14:paraId="2A23156F" w14:textId="77777777" w:rsidR="00FC331F" w:rsidRPr="0048465B" w:rsidRDefault="00FC331F" w:rsidP="00FC331F">
      <w:pPr>
        <w:rPr>
          <w:lang w:val="en-GB"/>
        </w:rPr>
      </w:pPr>
    </w:p>
    <w:p w14:paraId="1EFA02A4" w14:textId="3C8DAF3F" w:rsidR="00FC331F" w:rsidRPr="0048465B" w:rsidRDefault="00FC331F" w:rsidP="00FC331F">
      <w:pPr>
        <w:rPr>
          <w:lang w:val="en-GB"/>
        </w:rPr>
      </w:pPr>
      <w:r w:rsidRPr="0048465B">
        <w:rPr>
          <w:lang w:val="en-GB"/>
        </w:rPr>
        <w:t xml:space="preserve">I have also chosen not to include Michael Rothberg’s most recent work, </w:t>
      </w:r>
      <w:r w:rsidRPr="0048465B">
        <w:rPr>
          <w:i/>
          <w:lang w:val="en-GB"/>
        </w:rPr>
        <w:t>The Implicated Subject: Beyond Victims and Perpetrators</w:t>
      </w:r>
      <w:r w:rsidRPr="0048465B">
        <w:rPr>
          <w:lang w:val="en-GB"/>
        </w:rPr>
        <w:t>, which argues that such terms are too simplistic to be applied to global injustices.</w:t>
      </w:r>
      <w:r w:rsidRPr="0048465B">
        <w:rPr>
          <w:vertAlign w:val="superscript"/>
          <w:lang w:val="en-GB"/>
        </w:rPr>
        <w:footnoteReference w:id="15"/>
      </w:r>
      <w:r w:rsidRPr="0048465B">
        <w:rPr>
          <w:lang w:val="en-GB"/>
        </w:rPr>
        <w:t xml:space="preserve"> As my first chapter has a particularly heavy focus on two works by Rothberg, I was unwilling to include a third in this thesis. Moreover, whilst </w:t>
      </w:r>
      <w:r w:rsidRPr="0048465B">
        <w:rPr>
          <w:i/>
          <w:lang w:val="en-GB"/>
        </w:rPr>
        <w:t>The Implicated Subject</w:t>
      </w:r>
      <w:r w:rsidRPr="0048465B">
        <w:rPr>
          <w:lang w:val="en-GB"/>
        </w:rPr>
        <w:t xml:space="preserve"> does </w:t>
      </w:r>
      <w:r w:rsidRPr="0048465B">
        <w:rPr>
          <w:lang w:val="en-GB"/>
        </w:rPr>
        <w:lastRenderedPageBreak/>
        <w:t>include a section on Palestine entitled ‘From Gaza to Warsaw: Multidirectional Memory and the Perpetuator’, this section is very similar in shape and content to Rothberg’s earlier work ‘From Gaza to Warsaw: Mapping Multidirectionality’, which I do explore in the first chapter of this thesis.</w:t>
      </w:r>
    </w:p>
    <w:p w14:paraId="784413B5" w14:textId="77777777" w:rsidR="00FC331F" w:rsidRPr="0048465B" w:rsidRDefault="00FC331F" w:rsidP="00FC331F">
      <w:pPr>
        <w:jc w:val="center"/>
        <w:rPr>
          <w:b/>
          <w:lang w:val="en-GB"/>
        </w:rPr>
      </w:pPr>
    </w:p>
    <w:p w14:paraId="66B5078E" w14:textId="77777777" w:rsidR="00FC331F" w:rsidRPr="0048465B" w:rsidRDefault="00FC331F" w:rsidP="00FC331F">
      <w:pPr>
        <w:jc w:val="center"/>
        <w:rPr>
          <w:b/>
          <w:lang w:val="en-GB"/>
        </w:rPr>
      </w:pPr>
      <w:r w:rsidRPr="0048465B">
        <w:rPr>
          <w:b/>
          <w:lang w:val="en-GB"/>
        </w:rPr>
        <w:t>Terminology</w:t>
      </w:r>
    </w:p>
    <w:p w14:paraId="49EFB5B7" w14:textId="77777777" w:rsidR="00FC331F" w:rsidRPr="0048465B" w:rsidRDefault="00FC331F" w:rsidP="00FC331F">
      <w:pPr>
        <w:rPr>
          <w:b/>
          <w:lang w:val="en-GB"/>
        </w:rPr>
      </w:pPr>
    </w:p>
    <w:p w14:paraId="0C1B133D" w14:textId="77777777" w:rsidR="00FC331F" w:rsidRPr="0048465B" w:rsidRDefault="00FC331F" w:rsidP="00FC331F">
      <w:pPr>
        <w:rPr>
          <w:lang w:val="en-GB"/>
        </w:rPr>
      </w:pPr>
      <w:r w:rsidRPr="0048465B">
        <w:rPr>
          <w:lang w:val="en-GB"/>
        </w:rPr>
        <w:t xml:space="preserve">Due to the volatile nature of the Israeli-Palestinian conflict, it is necessary to have an understanding not only of the meaning of the words we use when discussing the conflict, but also of their origins, the meanings of these origins, and of the potential complications inherent in the use of some of these words. </w:t>
      </w:r>
    </w:p>
    <w:p w14:paraId="05BDB1E7" w14:textId="77777777" w:rsidR="00FC331F" w:rsidRPr="0048465B" w:rsidRDefault="00FC331F" w:rsidP="00FC331F">
      <w:pPr>
        <w:rPr>
          <w:lang w:val="en-GB"/>
        </w:rPr>
      </w:pPr>
    </w:p>
    <w:p w14:paraId="595E9ADF" w14:textId="1AF6B2A2" w:rsidR="00FC331F" w:rsidRPr="0048465B" w:rsidRDefault="00FC331F" w:rsidP="00FC331F">
      <w:pPr>
        <w:rPr>
          <w:lang w:val="en-GB"/>
        </w:rPr>
      </w:pPr>
      <w:r w:rsidRPr="0048465B">
        <w:rPr>
          <w:lang w:val="en-GB"/>
        </w:rPr>
        <w:t xml:space="preserve">In his </w:t>
      </w:r>
      <w:r w:rsidR="00057474">
        <w:rPr>
          <w:lang w:val="en-GB"/>
        </w:rPr>
        <w:t>monograph</w:t>
      </w:r>
      <w:r w:rsidR="00057474" w:rsidRPr="0048465B">
        <w:rPr>
          <w:lang w:val="en-GB"/>
        </w:rPr>
        <w:t xml:space="preserve"> </w:t>
      </w:r>
      <w:r w:rsidRPr="0048465B">
        <w:rPr>
          <w:i/>
          <w:lang w:val="en-GB"/>
        </w:rPr>
        <w:t>The Arabs and the Holocaust</w:t>
      </w:r>
      <w:r w:rsidRPr="0048465B">
        <w:rPr>
          <w:lang w:val="en-GB"/>
        </w:rPr>
        <w:t xml:space="preserve">, Gilbert Achcar observes the importance of this exact subject in relation to the various words we use to refer to the systematic Nazi persecution and mass murder of primarily Jewish people in the mid-twentieth century. </w:t>
      </w:r>
      <w:r w:rsidR="00F13356" w:rsidRPr="0048465B">
        <w:rPr>
          <w:lang w:val="en-GB"/>
        </w:rPr>
        <w:t>Most commonly known as the ‘Holocaust’, there are various words that people use for this genocide, including those that tie it more specifically to Jewishness, such as the Hebrew word ‘</w:t>
      </w:r>
      <w:r w:rsidR="00F13356">
        <w:rPr>
          <w:lang w:val="en-GB"/>
        </w:rPr>
        <w:t>S</w:t>
      </w:r>
      <w:r w:rsidR="00F13356" w:rsidRPr="0048465B">
        <w:rPr>
          <w:lang w:val="en-GB"/>
        </w:rPr>
        <w:t>hoah’ or the Yiddish word ‘</w:t>
      </w:r>
      <w:proofErr w:type="spellStart"/>
      <w:r w:rsidR="00F13356" w:rsidRPr="0048465B">
        <w:rPr>
          <w:lang w:val="en-GB"/>
        </w:rPr>
        <w:t>churban</w:t>
      </w:r>
      <w:proofErr w:type="spellEnd"/>
      <w:r w:rsidR="00F13356" w:rsidRPr="0048465B">
        <w:rPr>
          <w:lang w:val="en-GB"/>
        </w:rPr>
        <w:t xml:space="preserve">’, and also those that avoid engaging with Judeo-specific language, yet specify Jewish suffering nonetheless, such as the ‘Jewish genocide’. </w:t>
      </w:r>
      <w:r w:rsidRPr="0048465B">
        <w:rPr>
          <w:lang w:val="en-GB"/>
        </w:rPr>
        <w:t>Achcar argues that it is this latter term that is ‘[t]he most satisfactory</w:t>
      </w:r>
      <w:r w:rsidR="000C3FB4">
        <w:rPr>
          <w:lang w:val="en-GB"/>
        </w:rPr>
        <w:t xml:space="preserve"> […] </w:t>
      </w:r>
      <w:r w:rsidRPr="0048465B">
        <w:rPr>
          <w:lang w:val="en-GB"/>
        </w:rPr>
        <w:t xml:space="preserve">an expression that makes use of the generic term </w:t>
      </w:r>
      <w:r w:rsidR="004977C1">
        <w:rPr>
          <w:lang w:val="en-GB"/>
        </w:rPr>
        <w:t>“</w:t>
      </w:r>
      <w:r w:rsidRPr="0048465B">
        <w:rPr>
          <w:lang w:val="en-GB"/>
        </w:rPr>
        <w:t>genocide</w:t>
      </w:r>
      <w:r w:rsidR="004977C1">
        <w:rPr>
          <w:lang w:val="en-GB"/>
        </w:rPr>
        <w:t>”</w:t>
      </w:r>
      <w:r w:rsidRPr="0048465B">
        <w:rPr>
          <w:lang w:val="en-GB"/>
        </w:rPr>
        <w:t xml:space="preserve"> while particularizing it by invoking the identity of the victims’.</w:t>
      </w:r>
      <w:r w:rsidRPr="0048465B">
        <w:rPr>
          <w:vertAlign w:val="superscript"/>
          <w:lang w:val="en-GB"/>
        </w:rPr>
        <w:footnoteReference w:id="16"/>
      </w:r>
      <w:r w:rsidRPr="0048465B">
        <w:rPr>
          <w:lang w:val="en-GB"/>
        </w:rPr>
        <w:t xml:space="preserve"> </w:t>
      </w:r>
    </w:p>
    <w:p w14:paraId="1D684072" w14:textId="77777777" w:rsidR="00FC331F" w:rsidRPr="0048465B" w:rsidRDefault="00FC331F" w:rsidP="00FC331F">
      <w:pPr>
        <w:rPr>
          <w:lang w:val="en-GB"/>
        </w:rPr>
      </w:pPr>
    </w:p>
    <w:p w14:paraId="437D0A50" w14:textId="3257AA58" w:rsidR="00FC331F" w:rsidRPr="0048465B" w:rsidRDefault="00FC331F" w:rsidP="00FC331F">
      <w:pPr>
        <w:rPr>
          <w:lang w:val="en-GB"/>
        </w:rPr>
      </w:pPr>
      <w:r w:rsidRPr="0048465B">
        <w:rPr>
          <w:lang w:val="en-GB"/>
        </w:rPr>
        <w:lastRenderedPageBreak/>
        <w:t>There are numerous complications with each of these words. The term ‘Holocaust’ derives from the Greek word ‘</w:t>
      </w:r>
      <w:proofErr w:type="spellStart"/>
      <w:r w:rsidRPr="0048465B">
        <w:rPr>
          <w:lang w:val="en-GB"/>
        </w:rPr>
        <w:t>holokaustos</w:t>
      </w:r>
      <w:proofErr w:type="spellEnd"/>
      <w:r w:rsidRPr="0048465B">
        <w:rPr>
          <w:lang w:val="en-GB"/>
        </w:rPr>
        <w:t>’, meaning ‘entirely consumed by fire’, and was used in Greek translations of the Hebrew bible instead of the word ‘</w:t>
      </w:r>
      <w:proofErr w:type="spellStart"/>
      <w:r w:rsidRPr="0048465B">
        <w:rPr>
          <w:lang w:val="en-GB"/>
        </w:rPr>
        <w:t>olah</w:t>
      </w:r>
      <w:proofErr w:type="spellEnd"/>
      <w:r w:rsidRPr="0048465B">
        <w:rPr>
          <w:lang w:val="en-GB"/>
        </w:rPr>
        <w:t>’, which was used to describe animals ‘entirely consumed by fire’ as a means of ‘sacrificial offering’.</w:t>
      </w:r>
      <w:r w:rsidRPr="0048465B">
        <w:rPr>
          <w:vertAlign w:val="superscript"/>
          <w:lang w:val="en-GB"/>
        </w:rPr>
        <w:footnoteReference w:id="17"/>
      </w:r>
      <w:r w:rsidRPr="0048465B">
        <w:rPr>
          <w:lang w:val="en-GB"/>
        </w:rPr>
        <w:t xml:space="preserve"> Such origins have clearly problematic associations when applying the word Holocaust to the genocide of the Jewish people, since to do so risks aligning Nazi mass murder of Jews with the Hebrew biblical terminology for sacrificial offering. Moreover, use of the word Holocaust more generally, as well as use of all the aforementioned terms, designates a focus on the persecution of Jewish people specifically. Whilst the primary intention of the Nazi genocide was the systematic erasure of Jewish life, the Nazi party also targeted Roma and Sinti people with similarly </w:t>
      </w:r>
      <w:proofErr w:type="spellStart"/>
      <w:r w:rsidRPr="0048465B">
        <w:rPr>
          <w:lang w:val="en-GB"/>
        </w:rPr>
        <w:t>annihilatory</w:t>
      </w:r>
      <w:proofErr w:type="spellEnd"/>
      <w:r w:rsidRPr="0048465B">
        <w:rPr>
          <w:lang w:val="en-GB"/>
        </w:rPr>
        <w:t xml:space="preserve"> intentions, as well as targeting in less explicitly genocidal, yet still horrific ways, homosexual people, those with both physical and mental disabilities, and members of the political opposition, none of whom are incorporated into the meaning of the word ‘Holocaust’.</w:t>
      </w:r>
      <w:r w:rsidRPr="0048465B">
        <w:rPr>
          <w:vertAlign w:val="superscript"/>
          <w:lang w:val="en-GB"/>
        </w:rPr>
        <w:footnoteReference w:id="18"/>
      </w:r>
      <w:r w:rsidRPr="0048465B">
        <w:rPr>
          <w:lang w:val="en-GB"/>
        </w:rPr>
        <w:t xml:space="preserve"> In line with this</w:t>
      </w:r>
      <w:r w:rsidR="004977C1">
        <w:rPr>
          <w:lang w:val="en-GB"/>
        </w:rPr>
        <w:t xml:space="preserve"> exclusion</w:t>
      </w:r>
      <w:r w:rsidRPr="0048465B">
        <w:rPr>
          <w:lang w:val="en-GB"/>
        </w:rPr>
        <w:t xml:space="preserve">, and prefigurative of the explorations of Chapter One, the use of the word ‘Holocaust’, with a capital ‘H’ </w:t>
      </w:r>
      <w:r w:rsidR="006F6603">
        <w:rPr>
          <w:lang w:val="en-GB"/>
        </w:rPr>
        <w:t>–</w:t>
      </w:r>
      <w:r w:rsidRPr="0048465B">
        <w:rPr>
          <w:lang w:val="en-GB"/>
        </w:rPr>
        <w:t xml:space="preserve"> as well as the less commonly used ‘Shoah’ </w:t>
      </w:r>
      <w:r w:rsidR="006F6603">
        <w:rPr>
          <w:lang w:val="en-GB"/>
        </w:rPr>
        <w:t>–</w:t>
      </w:r>
      <w:r w:rsidRPr="0048465B">
        <w:rPr>
          <w:lang w:val="en-GB"/>
        </w:rPr>
        <w:t xml:space="preserve"> contribute to controversial depictions of the </w:t>
      </w:r>
      <w:r w:rsidR="0043197D">
        <w:rPr>
          <w:lang w:val="en-GB"/>
        </w:rPr>
        <w:t>distinctive</w:t>
      </w:r>
      <w:r w:rsidRPr="0048465B">
        <w:rPr>
          <w:lang w:val="en-GB"/>
        </w:rPr>
        <w:t xml:space="preserve"> status of the Jewish genocide</w:t>
      </w:r>
      <w:r w:rsidR="001700B5">
        <w:rPr>
          <w:lang w:val="en-GB"/>
        </w:rPr>
        <w:t>.</w:t>
      </w:r>
      <w:r w:rsidR="00790241">
        <w:rPr>
          <w:lang w:val="en-GB"/>
        </w:rPr>
        <w:t xml:space="preserve"> </w:t>
      </w:r>
      <w:r w:rsidR="0043197D">
        <w:rPr>
          <w:lang w:val="en-GB"/>
        </w:rPr>
        <w:t>It is these same</w:t>
      </w:r>
      <w:r w:rsidR="00790241">
        <w:rPr>
          <w:lang w:val="en-GB"/>
        </w:rPr>
        <w:t xml:space="preserve"> depictions</w:t>
      </w:r>
      <w:r w:rsidRPr="0048465B">
        <w:rPr>
          <w:lang w:val="en-GB"/>
        </w:rPr>
        <w:t xml:space="preserve"> </w:t>
      </w:r>
      <w:r w:rsidR="0043197D">
        <w:rPr>
          <w:lang w:val="en-GB"/>
        </w:rPr>
        <w:t xml:space="preserve">that </w:t>
      </w:r>
      <w:r w:rsidRPr="0048465B">
        <w:rPr>
          <w:lang w:val="en-GB"/>
        </w:rPr>
        <w:t xml:space="preserve">promote the metaphorical use of the term ‘Holocaust’, wherein the word is used not as a way of referring to the genocide of Jews, but as a means of indicating the extremity of an instance of suffering, regardless of its similarity to the </w:t>
      </w:r>
      <w:r w:rsidR="00FE12C3">
        <w:rPr>
          <w:lang w:val="en-GB"/>
        </w:rPr>
        <w:t>Jewish genocide</w:t>
      </w:r>
      <w:r w:rsidRPr="0048465B">
        <w:rPr>
          <w:lang w:val="en-GB"/>
        </w:rPr>
        <w:t>.</w:t>
      </w:r>
    </w:p>
    <w:p w14:paraId="2F01820B" w14:textId="77777777" w:rsidR="00FC331F" w:rsidRPr="0048465B" w:rsidRDefault="00FC331F" w:rsidP="00FC331F">
      <w:pPr>
        <w:rPr>
          <w:lang w:val="en-GB"/>
        </w:rPr>
      </w:pPr>
    </w:p>
    <w:p w14:paraId="67E6B7CF" w14:textId="0723845F" w:rsidR="00FC331F" w:rsidRPr="0048465B" w:rsidRDefault="00FC331F" w:rsidP="00FC331F">
      <w:pPr>
        <w:rPr>
          <w:lang w:val="en-GB"/>
        </w:rPr>
      </w:pPr>
      <w:r w:rsidRPr="0048465B">
        <w:rPr>
          <w:lang w:val="en-GB"/>
        </w:rPr>
        <w:lastRenderedPageBreak/>
        <w:t>Whilst none of these terms are ideal, ‘Holocaust’ is certainly the most commonly used in both fictional and analytical texts, including the title of Achcar’s monograph itself. In order to remain both clear and consistent, it is thus the term used most regularly within this work.</w:t>
      </w:r>
    </w:p>
    <w:p w14:paraId="19267BE9" w14:textId="77777777" w:rsidR="00FC331F" w:rsidRPr="0048465B" w:rsidRDefault="00FC331F" w:rsidP="00FC331F">
      <w:pPr>
        <w:rPr>
          <w:lang w:val="en-GB"/>
        </w:rPr>
      </w:pPr>
    </w:p>
    <w:p w14:paraId="746C48D9" w14:textId="052FB7AA" w:rsidR="00FC331F" w:rsidRPr="0048465B" w:rsidRDefault="00FC331F" w:rsidP="00FC331F">
      <w:pPr>
        <w:rPr>
          <w:lang w:val="en-GB"/>
        </w:rPr>
      </w:pPr>
      <w:r w:rsidRPr="0048465B">
        <w:rPr>
          <w:lang w:val="en-GB"/>
        </w:rPr>
        <w:t xml:space="preserve">When searching for the terminology used to refer to the exile and disenfranchisement of the Palestinian people, the variety of words is, symptomatically, less extensive. The word ‘Nakba’, an Arabic word meaning ‘disaster’, or ‘catastrophe’, is the word typically used when referring to the expulsion of Palestinian people from their homes in 1948, as well as related events in the years immediately preceding and following that event. It is perhaps because the suffering of the Palestinian people holds a less central place in Western epistemological discourse that there is less debate surrounding this word, or perhaps because the atrocity occurred in a single region amongst a people who largely shared a single language. Regardless, the word ‘Nakba’, with a capital ‘N’, is the word that will be used in this thesis to refer to the exile and persecution of Palestinians occurring in the years 1947-1949 specifically. When referring to the oppression of Palestinian people thereafter, this work either does so explicitly with unambiguous language, or </w:t>
      </w:r>
      <w:r w:rsidR="006F6603">
        <w:rPr>
          <w:lang w:val="en-GB"/>
        </w:rPr>
        <w:t>–</w:t>
      </w:r>
      <w:r w:rsidRPr="0048465B">
        <w:rPr>
          <w:lang w:val="en-GB"/>
        </w:rPr>
        <w:t xml:space="preserve"> in certain cases </w:t>
      </w:r>
      <w:r w:rsidR="006F6603">
        <w:rPr>
          <w:lang w:val="en-GB"/>
        </w:rPr>
        <w:t>–</w:t>
      </w:r>
      <w:r w:rsidRPr="0048465B">
        <w:rPr>
          <w:lang w:val="en-GB"/>
        </w:rPr>
        <w:t xml:space="preserve"> picks up and replicates terminology offered within Palestinian authored texts, the most notable example of which is the notion of a ‘never-ending 1948’. This refers to the feeling, amongst some Palestinians, that </w:t>
      </w:r>
      <w:r w:rsidR="00310F93">
        <w:rPr>
          <w:lang w:val="en-GB"/>
        </w:rPr>
        <w:t xml:space="preserve">contemporary </w:t>
      </w:r>
      <w:r w:rsidRPr="0048465B">
        <w:rPr>
          <w:lang w:val="en-GB"/>
        </w:rPr>
        <w:t>oppression represents a continuation of that initial dispossession during the 1947-1949 Palestine War, known in Israel as the War of Independence.</w:t>
      </w:r>
    </w:p>
    <w:p w14:paraId="7933974D" w14:textId="77777777" w:rsidR="00FC331F" w:rsidRPr="0048465B" w:rsidRDefault="00FC331F" w:rsidP="00FC331F">
      <w:pPr>
        <w:rPr>
          <w:lang w:val="en-GB"/>
        </w:rPr>
      </w:pPr>
    </w:p>
    <w:p w14:paraId="4B406985" w14:textId="77777777" w:rsidR="00FC331F" w:rsidRPr="0048465B" w:rsidRDefault="00FC331F" w:rsidP="00FC331F">
      <w:pPr>
        <w:rPr>
          <w:lang w:val="en-GB"/>
        </w:rPr>
      </w:pPr>
      <w:r w:rsidRPr="0048465B">
        <w:rPr>
          <w:lang w:val="en-GB"/>
        </w:rPr>
        <w:t xml:space="preserve">When these two instances of suffering come together, yet more linguistic complications come to the fore. Whilst certain terms, such as ‘Mizrahi’ and ‘Sephardi’ are explained as and when they </w:t>
      </w:r>
      <w:r w:rsidRPr="0048465B">
        <w:rPr>
          <w:lang w:val="en-GB"/>
        </w:rPr>
        <w:lastRenderedPageBreak/>
        <w:t>occur in this work and therefore do not demand further explanation, the most essential of these terms demands investigation here, in order to avoid misinterpretation later in the thesis.</w:t>
      </w:r>
    </w:p>
    <w:p w14:paraId="011CF999" w14:textId="77777777" w:rsidR="00FC331F" w:rsidRPr="0048465B" w:rsidRDefault="00FC331F" w:rsidP="00FC331F">
      <w:pPr>
        <w:rPr>
          <w:lang w:val="en-GB"/>
        </w:rPr>
      </w:pPr>
    </w:p>
    <w:p w14:paraId="4FA013BC" w14:textId="53C7EAEE" w:rsidR="00FC331F" w:rsidRPr="0048465B" w:rsidRDefault="00FC331F" w:rsidP="00FC331F">
      <w:pPr>
        <w:rPr>
          <w:lang w:val="en-GB"/>
        </w:rPr>
      </w:pPr>
      <w:r w:rsidRPr="0048465B">
        <w:rPr>
          <w:lang w:val="en-GB"/>
        </w:rPr>
        <w:t xml:space="preserve">The first of these is the word ‘Zionism’. The complication with the use of the word Zionism is that its implications vary from exceedingly positive to strikingly negative depending on the individual who uses, or hears, it. Definitions of Zionism vary dramatically, from those that depict Zionism as a more generalised ‘feeling’ of Jewish belonging within the historic Land of Israel (with no demands for specific borders), to those who identify Zionism as a repatriative call for an exclusively Jewish state in this same land, to those who define Zionism as a colonial movement that targets Palestinian lands. This term, or more accurately its absence, becomes even more complicated when one observes the replacement of the ideological </w:t>
      </w:r>
      <w:r w:rsidR="00027D78">
        <w:rPr>
          <w:lang w:val="en-GB"/>
        </w:rPr>
        <w:t>adjective</w:t>
      </w:r>
      <w:r w:rsidRPr="0048465B">
        <w:rPr>
          <w:lang w:val="en-GB"/>
        </w:rPr>
        <w:t xml:space="preserve"> ‘Zionist’ with the ethno-religious identifier ‘Jewish’, in both Arab and Jewish</w:t>
      </w:r>
      <w:r w:rsidR="00BC374E">
        <w:rPr>
          <w:lang w:val="en-GB"/>
        </w:rPr>
        <w:t xml:space="preserve"> </w:t>
      </w:r>
      <w:r w:rsidRPr="0048465B">
        <w:rPr>
          <w:lang w:val="en-GB"/>
        </w:rPr>
        <w:t>Israel</w:t>
      </w:r>
      <w:r w:rsidR="00FE12C3">
        <w:rPr>
          <w:lang w:val="en-GB"/>
        </w:rPr>
        <w:t>i</w:t>
      </w:r>
      <w:r w:rsidRPr="0048465B">
        <w:rPr>
          <w:lang w:val="en-GB"/>
        </w:rPr>
        <w:t xml:space="preserve"> discourse. Such replacements alone are testament to the complexity of this term, since Arab and Jewish</w:t>
      </w:r>
      <w:r w:rsidR="00BC374E">
        <w:rPr>
          <w:lang w:val="en-GB"/>
        </w:rPr>
        <w:t xml:space="preserve"> </w:t>
      </w:r>
      <w:r w:rsidRPr="0048465B">
        <w:rPr>
          <w:lang w:val="en-GB"/>
        </w:rPr>
        <w:t xml:space="preserve">Israeli references to ‘Jews’ as opposed to ‘Zionists’ often mean completely different things, one offensively aligning all Jews with the colonial aspects of Zionism, and the other offensively assuming that one cannot be Jewish without at the same time supporting the Jewish nation state. </w:t>
      </w:r>
    </w:p>
    <w:p w14:paraId="4B21F322" w14:textId="77777777" w:rsidR="00FC331F" w:rsidRPr="0048465B" w:rsidRDefault="00FC331F" w:rsidP="00FC331F">
      <w:pPr>
        <w:rPr>
          <w:lang w:val="en-GB"/>
        </w:rPr>
      </w:pPr>
    </w:p>
    <w:p w14:paraId="70792A81" w14:textId="10F97E01" w:rsidR="00FC331F" w:rsidRPr="0048465B" w:rsidRDefault="00FC331F" w:rsidP="00FC331F">
      <w:pPr>
        <w:rPr>
          <w:lang w:val="en-GB"/>
        </w:rPr>
      </w:pPr>
      <w:r w:rsidRPr="0048465B">
        <w:rPr>
          <w:lang w:val="en-GB"/>
        </w:rPr>
        <w:t xml:space="preserve">The history of the word ‘Zionism’ within </w:t>
      </w:r>
      <w:r w:rsidR="00FE12C3">
        <w:rPr>
          <w:lang w:val="en-GB"/>
        </w:rPr>
        <w:t xml:space="preserve">the </w:t>
      </w:r>
      <w:r w:rsidRPr="0048465B">
        <w:rPr>
          <w:lang w:val="en-GB"/>
        </w:rPr>
        <w:t>Israel</w:t>
      </w:r>
      <w:r w:rsidR="00FE12C3">
        <w:rPr>
          <w:lang w:val="en-GB"/>
        </w:rPr>
        <w:t>i</w:t>
      </w:r>
      <w:r w:rsidRPr="0048465B">
        <w:rPr>
          <w:lang w:val="en-GB"/>
        </w:rPr>
        <w:t>-Palestin</w:t>
      </w:r>
      <w:r w:rsidR="00FE12C3">
        <w:rPr>
          <w:lang w:val="en-GB"/>
        </w:rPr>
        <w:t>ian conflict</w:t>
      </w:r>
      <w:r w:rsidRPr="0048465B">
        <w:rPr>
          <w:lang w:val="en-GB"/>
        </w:rPr>
        <w:t xml:space="preserve"> has seen the UN determine in 1975 that ‘Zionism is a form of racism and racial discrimination’, and has seen this same decision revoked in 1991 as part of ongoing peace processes in Madrid.</w:t>
      </w:r>
      <w:r w:rsidRPr="0048465B">
        <w:rPr>
          <w:vertAlign w:val="superscript"/>
          <w:lang w:val="en-GB"/>
        </w:rPr>
        <w:footnoteReference w:id="19"/>
      </w:r>
      <w:r w:rsidRPr="0048465B">
        <w:rPr>
          <w:lang w:val="en-GB"/>
        </w:rPr>
        <w:t xml:space="preserve"> Therefore, whilst the term anti-Zionism is increasingly used as a means of identifying one’s opposition to the crimes of the Israeli state, rather than its existence altogether, it could also be misconceived as meaning anti-</w:t>
      </w:r>
      <w:r w:rsidRPr="0048465B">
        <w:rPr>
          <w:lang w:val="en-GB"/>
        </w:rPr>
        <w:lastRenderedPageBreak/>
        <w:t>colonialism more generally, or even anti-Jewish-belonging. Whilst this anti-colonial perspective holds no particular focus on religion, and therefore identifies anti-Zionism as non-antisemitic, the ambiguity of the term ensures that one cannot use it without inviting uncertainty. In order to avoid such uncertainty, this work tries to avoid the use of the word Zionism when possible (quotations make this impossible to do entirely), and clarifies which specific usage is being adopted when the word is used.</w:t>
      </w:r>
    </w:p>
    <w:p w14:paraId="736077D1" w14:textId="77777777" w:rsidR="00FC331F" w:rsidRPr="0048465B" w:rsidRDefault="00FC331F" w:rsidP="00FC331F">
      <w:pPr>
        <w:rPr>
          <w:lang w:val="en-GB"/>
        </w:rPr>
      </w:pPr>
    </w:p>
    <w:p w14:paraId="56E18EED" w14:textId="1E66F3CA" w:rsidR="00FC331F" w:rsidRPr="0048465B" w:rsidRDefault="00FC331F" w:rsidP="00FC331F">
      <w:pPr>
        <w:rPr>
          <w:lang w:val="en-GB"/>
        </w:rPr>
      </w:pPr>
      <w:r w:rsidRPr="0048465B">
        <w:rPr>
          <w:lang w:val="en-GB"/>
        </w:rPr>
        <w:t>Similar issues are found with the application of the word ‘apartheid’ to contemporary Israel. The word ‘apartheid’ refers to the systemic practices of anti-black racism that existed in South Africa from 1948 until the early 1990s, specifically referring to the legal barriers that enforced political and economic segregation between black and white people. In spite of the absence of such a focus on race specifically, there are certainly similarities between apartheid-era South Africa and contemporary Israel, with Jewish</w:t>
      </w:r>
      <w:r w:rsidR="00BC374E">
        <w:rPr>
          <w:lang w:val="en-GB"/>
        </w:rPr>
        <w:t xml:space="preserve"> </w:t>
      </w:r>
      <w:r w:rsidRPr="0048465B">
        <w:rPr>
          <w:lang w:val="en-GB"/>
        </w:rPr>
        <w:t>Israelis privy to more rights within Israel than any other group, and with Israel’s control over the Occupied Territories meaning that Israel-Palestine operates entirely under the power of the Israeli government, thus magnifying the legal inequalities between Jewish</w:t>
      </w:r>
      <w:r w:rsidR="00BC374E">
        <w:rPr>
          <w:lang w:val="en-GB"/>
        </w:rPr>
        <w:t xml:space="preserve"> </w:t>
      </w:r>
      <w:r w:rsidRPr="0048465B">
        <w:rPr>
          <w:lang w:val="en-GB"/>
        </w:rPr>
        <w:t>Israelis and their Palestinian counterparts.</w:t>
      </w:r>
    </w:p>
    <w:p w14:paraId="2634F9A2" w14:textId="77777777" w:rsidR="00FC331F" w:rsidRPr="0048465B" w:rsidRDefault="00FC331F" w:rsidP="00FC331F">
      <w:pPr>
        <w:rPr>
          <w:lang w:val="en-GB"/>
        </w:rPr>
      </w:pPr>
    </w:p>
    <w:p w14:paraId="59598608" w14:textId="76314E9D" w:rsidR="00FC331F" w:rsidRPr="00023FE1" w:rsidRDefault="00FC331F" w:rsidP="00FC331F">
      <w:pPr>
        <w:rPr>
          <w:lang w:val="en-GB"/>
        </w:rPr>
      </w:pPr>
      <w:r w:rsidRPr="0048465B">
        <w:rPr>
          <w:lang w:val="en-GB"/>
        </w:rPr>
        <w:t xml:space="preserve">Yet, whilst there are undeniable connections between apartheid-era South-Africa and modern Israel-Palestine, the application of the term to Israel’s oppressive practices often leads to convoluted analyses of the particular differences </w:t>
      </w:r>
      <w:r w:rsidR="005722EE">
        <w:rPr>
          <w:lang w:val="en-GB"/>
        </w:rPr>
        <w:t>between</w:t>
      </w:r>
      <w:r w:rsidRPr="0048465B">
        <w:rPr>
          <w:lang w:val="en-GB"/>
        </w:rPr>
        <w:t xml:space="preserve"> the two forms of oppression, and redirects focus away from the persecutory practices in question. Nonetheless, the use of the word ‘apartheid’ is an effective way of contextualising Israel’s </w:t>
      </w:r>
      <w:proofErr w:type="spellStart"/>
      <w:r w:rsidRPr="0048465B">
        <w:rPr>
          <w:lang w:val="en-GB"/>
        </w:rPr>
        <w:t>segregatory</w:t>
      </w:r>
      <w:proofErr w:type="spellEnd"/>
      <w:r w:rsidRPr="0048465B">
        <w:rPr>
          <w:lang w:val="en-GB"/>
        </w:rPr>
        <w:t xml:space="preserve"> control of Palestinian lands</w:t>
      </w:r>
      <w:r w:rsidR="00FE12C3">
        <w:rPr>
          <w:lang w:val="en-GB"/>
        </w:rPr>
        <w:t xml:space="preserve"> within a more culturally familiar history of inequality and dispossession</w:t>
      </w:r>
      <w:r w:rsidRPr="0048465B">
        <w:rPr>
          <w:lang w:val="en-GB"/>
        </w:rPr>
        <w:t xml:space="preserve">, and thus has a place </w:t>
      </w:r>
      <w:r w:rsidRPr="0048465B">
        <w:rPr>
          <w:lang w:val="en-GB"/>
        </w:rPr>
        <w:lastRenderedPageBreak/>
        <w:t xml:space="preserve">within discourse on the Israeli-Palestinian conflict, but should be used in a way that forecloses such complications. My own method of avoiding this particular obstacle is to refer instead to ‘quasi-apartheid’. </w:t>
      </w:r>
      <w:r w:rsidR="00F13356" w:rsidRPr="0048465B">
        <w:rPr>
          <w:lang w:val="en-GB"/>
        </w:rPr>
        <w:t>Here, the prefix ‘quasi’, meaning ‘having some but not all</w:t>
      </w:r>
      <w:r w:rsidR="00057474">
        <w:rPr>
          <w:lang w:val="en-GB"/>
        </w:rPr>
        <w:t xml:space="preserve"> of</w:t>
      </w:r>
      <w:r w:rsidR="00F13356" w:rsidRPr="0048465B">
        <w:rPr>
          <w:lang w:val="en-GB"/>
        </w:rPr>
        <w:t xml:space="preserve"> the </w:t>
      </w:r>
      <w:r w:rsidR="00057474">
        <w:rPr>
          <w:lang w:val="en-GB"/>
        </w:rPr>
        <w:t>properties</w:t>
      </w:r>
      <w:r w:rsidR="00057474" w:rsidRPr="0048465B">
        <w:rPr>
          <w:lang w:val="en-GB"/>
        </w:rPr>
        <w:t xml:space="preserve"> </w:t>
      </w:r>
      <w:r w:rsidR="00F13356" w:rsidRPr="0048465B">
        <w:rPr>
          <w:lang w:val="en-GB"/>
        </w:rPr>
        <w:t>of’, allows much of the weight and generalised meaning of apartheid to remain applicable, whilst simultaneously ensuring that such a critique is not obviated by redirection towards an analysis of the particular differences between the two forms of oppression.</w:t>
      </w:r>
      <w:r w:rsidR="00F13356" w:rsidRPr="0048465B">
        <w:rPr>
          <w:vertAlign w:val="superscript"/>
          <w:lang w:val="en-GB"/>
        </w:rPr>
        <w:footnoteReference w:id="20"/>
      </w:r>
      <w:r w:rsidR="00F13356" w:rsidRPr="0048465B">
        <w:rPr>
          <w:lang w:val="en-GB"/>
        </w:rPr>
        <w:t xml:space="preserve"> Moreover, the introduction of the term ‘quasi-apartheid’ in this specific context delays the instinctive rhetorical associations conjured by the word ‘apartheid’, allowing me to shape the meaning of this new term through detailed critique of Israel’s crimes specifically, rather than simply gesturing more generally </w:t>
      </w:r>
      <w:r w:rsidR="00F13356" w:rsidRPr="00023FE1">
        <w:rPr>
          <w:lang w:val="en-GB"/>
        </w:rPr>
        <w:t>towards the moral and political shorthand inherent in the word ‘apartheid’ alone.</w:t>
      </w:r>
    </w:p>
    <w:p w14:paraId="5A77B400" w14:textId="0289DCBC" w:rsidR="00FC331F" w:rsidRPr="00023FE1" w:rsidRDefault="00FC331F" w:rsidP="00FC331F">
      <w:pPr>
        <w:rPr>
          <w:lang w:val="en-GB"/>
        </w:rPr>
      </w:pPr>
      <w:r w:rsidRPr="00023FE1">
        <w:rPr>
          <w:lang w:val="en-GB"/>
        </w:rPr>
        <w:t xml:space="preserve"> </w:t>
      </w:r>
    </w:p>
    <w:p w14:paraId="4E766A64" w14:textId="5296F7C3" w:rsidR="00023FE1" w:rsidRPr="00023FE1" w:rsidRDefault="00023FE1" w:rsidP="00023FE1">
      <w:pPr>
        <w:rPr>
          <w:lang w:val="en-GB"/>
        </w:rPr>
      </w:pPr>
      <w:r w:rsidRPr="00023FE1">
        <w:rPr>
          <w:color w:val="000000"/>
          <w:lang w:val="en-GB"/>
        </w:rPr>
        <w:t>Another word that demands clear definition is ‘antisemitism’. The Oxford English Dictionary defines ‘anti-Semitism’ as ‘Prejudice, hostility, or discrimination towards Jewish people on religious, cultural, or ethnic grounds’, whilst the IHRA working definition of antisemitism defines it as ‘a certain perception of Jews, which may be expressed as hatred toward Jews’.</w:t>
      </w:r>
      <w:r w:rsidR="00FB3A93">
        <w:rPr>
          <w:rStyle w:val="FootnoteReference"/>
          <w:color w:val="000000"/>
          <w:lang w:val="en-GB"/>
        </w:rPr>
        <w:footnoteReference w:id="21"/>
      </w:r>
      <w:r w:rsidRPr="00023FE1">
        <w:rPr>
          <w:color w:val="000000"/>
          <w:lang w:val="en-GB"/>
        </w:rPr>
        <w:t xml:space="preserve"> The IHRA elaborates that both ‘Rhetorical and physical manifestations of antisemitism are directed toward Jewish or non-Jewish individuals and/or their property, [and] toward Jewish community institutions and religious facilities’, and also provides examples of things that it </w:t>
      </w:r>
      <w:r>
        <w:rPr>
          <w:color w:val="000000"/>
          <w:lang w:val="en-GB"/>
        </w:rPr>
        <w:t>identifies as</w:t>
      </w:r>
      <w:r w:rsidRPr="00023FE1">
        <w:rPr>
          <w:color w:val="000000"/>
          <w:lang w:val="en-GB"/>
        </w:rPr>
        <w:t xml:space="preserve"> </w:t>
      </w:r>
      <w:r w:rsidRPr="00023FE1">
        <w:rPr>
          <w:color w:val="000000"/>
          <w:lang w:val="en-GB"/>
        </w:rPr>
        <w:lastRenderedPageBreak/>
        <w:t xml:space="preserve">antisemitic, such as the claim that ‘the existence of a State of Israel is a racist endeavour’ and the drawing of comparisons between ‘Israeli policy </w:t>
      </w:r>
      <w:r w:rsidRPr="00023FE1">
        <w:rPr>
          <w:lang w:val="en-GB"/>
        </w:rPr>
        <w:t xml:space="preserve">[… and …] </w:t>
      </w:r>
      <w:r w:rsidRPr="00023FE1">
        <w:rPr>
          <w:color w:val="000000"/>
          <w:lang w:val="en-GB"/>
        </w:rPr>
        <w:t>that of the Nazis’.</w:t>
      </w:r>
    </w:p>
    <w:p w14:paraId="2FDC5C11" w14:textId="77777777" w:rsidR="00023FE1" w:rsidRPr="00023FE1" w:rsidRDefault="00023FE1" w:rsidP="00023FE1">
      <w:pPr>
        <w:spacing w:line="240" w:lineRule="auto"/>
        <w:jc w:val="left"/>
        <w:rPr>
          <w:lang w:val="en-GB"/>
        </w:rPr>
      </w:pPr>
    </w:p>
    <w:p w14:paraId="33C4B492" w14:textId="067E3D5B" w:rsidR="00023FE1" w:rsidRPr="00023FE1" w:rsidRDefault="00023FE1" w:rsidP="00023FE1">
      <w:pPr>
        <w:rPr>
          <w:lang w:val="en-GB"/>
        </w:rPr>
      </w:pPr>
      <w:r w:rsidRPr="00023FE1">
        <w:rPr>
          <w:color w:val="000000"/>
          <w:lang w:val="en-GB"/>
        </w:rPr>
        <w:t>Whilst the examples provided by the IHRA may be designed to assist those trying to understand the extent of antisemitic hatred that exists today, they ultimately complicate the use and understanding of the term ‘antisemitism’ by redirecting focus away from Jewishness and towards Israel. Whilst many perceive criticism of Israel as directly tied to criticism of Jewish</w:t>
      </w:r>
      <w:r>
        <w:rPr>
          <w:color w:val="000000"/>
          <w:lang w:val="en-GB"/>
        </w:rPr>
        <w:t>ness</w:t>
      </w:r>
      <w:r w:rsidRPr="00023FE1">
        <w:rPr>
          <w:color w:val="000000"/>
          <w:lang w:val="en-GB"/>
        </w:rPr>
        <w:t xml:space="preserve"> due to Israel’s identity as</w:t>
      </w:r>
      <w:r>
        <w:rPr>
          <w:color w:val="000000"/>
          <w:lang w:val="en-GB"/>
        </w:rPr>
        <w:t xml:space="preserve"> the</w:t>
      </w:r>
      <w:r w:rsidRPr="00023FE1">
        <w:rPr>
          <w:color w:val="000000"/>
          <w:lang w:val="en-GB"/>
        </w:rPr>
        <w:t xml:space="preserve"> Nation-State of the Jewish people, the defining feature of antisemitism </w:t>
      </w:r>
      <w:r>
        <w:rPr>
          <w:color w:val="000000"/>
          <w:lang w:val="en-GB"/>
        </w:rPr>
        <w:t>is</w:t>
      </w:r>
      <w:r w:rsidRPr="00023FE1">
        <w:rPr>
          <w:color w:val="000000"/>
          <w:lang w:val="en-GB"/>
        </w:rPr>
        <w:t xml:space="preserve">, in line with other forms of ethnic and religious </w:t>
      </w:r>
      <w:r w:rsidR="00962447">
        <w:rPr>
          <w:color w:val="000000"/>
          <w:lang w:val="en-GB"/>
        </w:rPr>
        <w:t>intolerance</w:t>
      </w:r>
      <w:r w:rsidRPr="00023FE1">
        <w:rPr>
          <w:color w:val="000000"/>
          <w:lang w:val="en-GB"/>
        </w:rPr>
        <w:t xml:space="preserve">, that the </w:t>
      </w:r>
      <w:r>
        <w:rPr>
          <w:color w:val="000000"/>
          <w:lang w:val="en-GB"/>
        </w:rPr>
        <w:t xml:space="preserve">origin of the </w:t>
      </w:r>
      <w:r w:rsidR="00962447">
        <w:rPr>
          <w:color w:val="000000"/>
          <w:lang w:val="en-GB"/>
        </w:rPr>
        <w:t>prejudice</w:t>
      </w:r>
      <w:r>
        <w:rPr>
          <w:color w:val="000000"/>
          <w:lang w:val="en-GB"/>
        </w:rPr>
        <w:t xml:space="preserve"> lies in the </w:t>
      </w:r>
      <w:r w:rsidRPr="00023FE1">
        <w:rPr>
          <w:color w:val="000000"/>
          <w:lang w:val="en-GB"/>
        </w:rPr>
        <w:t>ethnic or religious status of the victim. That is,</w:t>
      </w:r>
      <w:r w:rsidR="00962447">
        <w:rPr>
          <w:color w:val="000000"/>
          <w:lang w:val="en-GB"/>
        </w:rPr>
        <w:t xml:space="preserve"> if the hatred exists due to the Jewishness of the individual, group, or nation, then it is antisemitic.</w:t>
      </w:r>
      <w:r w:rsidRPr="00023FE1">
        <w:rPr>
          <w:color w:val="000000"/>
          <w:lang w:val="en-GB"/>
        </w:rPr>
        <w:t xml:space="preserve"> </w:t>
      </w:r>
      <w:r w:rsidR="00962447">
        <w:rPr>
          <w:color w:val="000000"/>
          <w:lang w:val="en-GB"/>
        </w:rPr>
        <w:t xml:space="preserve">If, however, </w:t>
      </w:r>
      <w:r w:rsidRPr="00023FE1">
        <w:rPr>
          <w:color w:val="000000"/>
          <w:lang w:val="en-GB"/>
        </w:rPr>
        <w:t>criticism</w:t>
      </w:r>
      <w:r w:rsidR="00962447">
        <w:rPr>
          <w:color w:val="000000"/>
          <w:lang w:val="en-GB"/>
        </w:rPr>
        <w:t xml:space="preserve"> or resentment aimed towards</w:t>
      </w:r>
      <w:r w:rsidRPr="00023FE1">
        <w:rPr>
          <w:color w:val="000000"/>
          <w:lang w:val="en-GB"/>
        </w:rPr>
        <w:t xml:space="preserve"> a Jewish individual, or indeed </w:t>
      </w:r>
      <w:r w:rsidR="00962447">
        <w:rPr>
          <w:color w:val="000000"/>
          <w:lang w:val="en-GB"/>
        </w:rPr>
        <w:t>towards the practices of a</w:t>
      </w:r>
      <w:r w:rsidRPr="00023FE1">
        <w:rPr>
          <w:color w:val="000000"/>
          <w:lang w:val="en-GB"/>
        </w:rPr>
        <w:t xml:space="preserve"> Jewish Nation-State, </w:t>
      </w:r>
      <w:r w:rsidR="00962447">
        <w:rPr>
          <w:color w:val="000000"/>
          <w:lang w:val="en-GB"/>
        </w:rPr>
        <w:t>are</w:t>
      </w:r>
      <w:r w:rsidRPr="00023FE1">
        <w:rPr>
          <w:color w:val="000000"/>
          <w:lang w:val="en-GB"/>
        </w:rPr>
        <w:t xml:space="preserve"> wholly and genuinely unrelated to their Jewish</w:t>
      </w:r>
      <w:r w:rsidR="00962447">
        <w:rPr>
          <w:color w:val="000000"/>
          <w:lang w:val="en-GB"/>
        </w:rPr>
        <w:t>ness</w:t>
      </w:r>
      <w:r w:rsidRPr="00023FE1">
        <w:rPr>
          <w:color w:val="000000"/>
          <w:lang w:val="en-GB"/>
        </w:rPr>
        <w:t xml:space="preserve">, then </w:t>
      </w:r>
      <w:r w:rsidR="00962447">
        <w:rPr>
          <w:color w:val="000000"/>
          <w:lang w:val="en-GB"/>
        </w:rPr>
        <w:t>such things</w:t>
      </w:r>
      <w:r w:rsidRPr="00023FE1">
        <w:rPr>
          <w:color w:val="000000"/>
          <w:lang w:val="en-GB"/>
        </w:rPr>
        <w:t xml:space="preserve"> should not be thought of as antisemitic.</w:t>
      </w:r>
    </w:p>
    <w:p w14:paraId="1C5007F4" w14:textId="77777777" w:rsidR="00023FE1" w:rsidRPr="00023FE1" w:rsidRDefault="00023FE1" w:rsidP="00023FE1">
      <w:pPr>
        <w:spacing w:line="240" w:lineRule="auto"/>
        <w:jc w:val="left"/>
        <w:rPr>
          <w:lang w:val="en-GB"/>
        </w:rPr>
      </w:pPr>
    </w:p>
    <w:p w14:paraId="454DD6FC" w14:textId="77777777" w:rsidR="00023FE1" w:rsidRPr="00023FE1" w:rsidRDefault="00023FE1" w:rsidP="00023FE1">
      <w:pPr>
        <w:rPr>
          <w:lang w:val="en-GB"/>
        </w:rPr>
      </w:pPr>
      <w:r w:rsidRPr="00023FE1">
        <w:rPr>
          <w:color w:val="000000"/>
          <w:lang w:val="en-GB"/>
        </w:rPr>
        <w:t>Therefore, whilst Chapter Four provides a more nuanced exploration of the meaning of antisemitism, an early definition of antisemitism, adapted from that provided by the OED, is as follows:</w:t>
      </w:r>
    </w:p>
    <w:p w14:paraId="563D55FD" w14:textId="77777777" w:rsidR="00023FE1" w:rsidRPr="00023FE1" w:rsidRDefault="00023FE1" w:rsidP="00023FE1">
      <w:pPr>
        <w:spacing w:line="240" w:lineRule="auto"/>
        <w:jc w:val="left"/>
        <w:rPr>
          <w:lang w:val="en-GB"/>
        </w:rPr>
      </w:pPr>
    </w:p>
    <w:p w14:paraId="0A18BFF4" w14:textId="77777777" w:rsidR="00023FE1" w:rsidRPr="00023FE1" w:rsidRDefault="00023FE1" w:rsidP="00023FE1">
      <w:pPr>
        <w:ind w:left="720"/>
        <w:rPr>
          <w:lang w:val="en-GB"/>
        </w:rPr>
      </w:pPr>
      <w:r w:rsidRPr="00023FE1">
        <w:rPr>
          <w:color w:val="000000"/>
          <w:lang w:val="en-GB"/>
        </w:rPr>
        <w:t>Antisemitism is prejudice, hostility, or discrimination towards an individual, or group, due to their being Jewish.</w:t>
      </w:r>
    </w:p>
    <w:p w14:paraId="72889C79" w14:textId="77777777" w:rsidR="00023FE1" w:rsidRPr="00023FE1" w:rsidRDefault="00023FE1" w:rsidP="00023FE1">
      <w:pPr>
        <w:spacing w:line="240" w:lineRule="auto"/>
        <w:jc w:val="left"/>
        <w:rPr>
          <w:lang w:val="en-GB"/>
        </w:rPr>
      </w:pPr>
    </w:p>
    <w:p w14:paraId="7DE7CDEE" w14:textId="67A88C38" w:rsidR="00023FE1" w:rsidRPr="00023FE1" w:rsidRDefault="00023FE1" w:rsidP="00023FE1">
      <w:pPr>
        <w:rPr>
          <w:lang w:val="en-GB"/>
        </w:rPr>
      </w:pPr>
      <w:r w:rsidRPr="00023FE1">
        <w:rPr>
          <w:color w:val="000000"/>
          <w:lang w:val="en-GB"/>
        </w:rPr>
        <w:t>This definition, whilst short, is clear and unequivocal regarding the motives behind antisemitism, and avoids reinforc</w:t>
      </w:r>
      <w:r w:rsidR="00962447">
        <w:rPr>
          <w:color w:val="000000"/>
          <w:lang w:val="en-GB"/>
        </w:rPr>
        <w:t>ing</w:t>
      </w:r>
      <w:r w:rsidRPr="00023FE1">
        <w:rPr>
          <w:color w:val="000000"/>
          <w:lang w:val="en-GB"/>
        </w:rPr>
        <w:t xml:space="preserve"> reductive understandings of ‘Jewishness’ and ‘Israeliness’ as terms synonymous with one another.</w:t>
      </w:r>
    </w:p>
    <w:p w14:paraId="40D42CF4" w14:textId="77777777" w:rsidR="00023FE1" w:rsidRPr="00023FE1" w:rsidRDefault="00023FE1" w:rsidP="00023FE1">
      <w:pPr>
        <w:spacing w:line="240" w:lineRule="auto"/>
        <w:jc w:val="left"/>
        <w:rPr>
          <w:lang w:val="en-GB"/>
        </w:rPr>
      </w:pPr>
    </w:p>
    <w:p w14:paraId="4A597888" w14:textId="1D4CA8E9" w:rsidR="00EC569C" w:rsidRDefault="00023FE1" w:rsidP="00FC331F">
      <w:pPr>
        <w:rPr>
          <w:lang w:val="en-GB"/>
        </w:rPr>
      </w:pPr>
      <w:r w:rsidRPr="00023FE1">
        <w:rPr>
          <w:color w:val="000000"/>
          <w:lang w:val="en-GB"/>
        </w:rPr>
        <w:t>As a final note</w:t>
      </w:r>
      <w:r w:rsidR="00962447">
        <w:rPr>
          <w:color w:val="000000"/>
          <w:lang w:val="en-GB"/>
        </w:rPr>
        <w:t xml:space="preserve"> on ‘antisemitism’</w:t>
      </w:r>
      <w:r w:rsidRPr="00023FE1">
        <w:rPr>
          <w:color w:val="000000"/>
          <w:lang w:val="en-GB"/>
        </w:rPr>
        <w:t>, this work spell</w:t>
      </w:r>
      <w:r w:rsidR="00962447">
        <w:rPr>
          <w:color w:val="000000"/>
          <w:lang w:val="en-GB"/>
        </w:rPr>
        <w:t>s</w:t>
      </w:r>
      <w:r w:rsidRPr="00023FE1">
        <w:rPr>
          <w:color w:val="000000"/>
          <w:lang w:val="en-GB"/>
        </w:rPr>
        <w:t xml:space="preserve"> the word without a hyphen and without capitalisation of the ‘S’ in ‘Semitism’, since both alterations place an imprecise emphasis on the word ‘Semitism’, meaning that which relates</w:t>
      </w:r>
      <w:r w:rsidR="00EC569C">
        <w:rPr>
          <w:color w:val="000000"/>
          <w:lang w:val="en-GB"/>
        </w:rPr>
        <w:t xml:space="preserve"> to Semitic languages of peoples of Middle Eastern origin, rather than focusing on Jewish people of all origins, as should be the case.</w:t>
      </w:r>
    </w:p>
    <w:p w14:paraId="5A37EFC4" w14:textId="77777777" w:rsidR="00EC569C" w:rsidRPr="00EC569C" w:rsidRDefault="00EC569C" w:rsidP="00FC331F">
      <w:pPr>
        <w:rPr>
          <w:lang w:val="en-GB"/>
        </w:rPr>
      </w:pPr>
    </w:p>
    <w:p w14:paraId="5B1F3252" w14:textId="3AAB6EEB" w:rsidR="00DE5698" w:rsidRDefault="00FC331F" w:rsidP="00FC331F">
      <w:pPr>
        <w:rPr>
          <w:lang w:val="en-GB"/>
        </w:rPr>
      </w:pPr>
      <w:r w:rsidRPr="00EC569C">
        <w:rPr>
          <w:lang w:val="en-GB"/>
        </w:rPr>
        <w:t>Some closing terminological clarifications that seem necessary are tho</w:t>
      </w:r>
      <w:r w:rsidRPr="0048465B">
        <w:rPr>
          <w:lang w:val="en-GB"/>
        </w:rPr>
        <w:t>se of the terms ‘Israeli</w:t>
      </w:r>
      <w:r w:rsidR="001C47C6">
        <w:rPr>
          <w:lang w:val="en-GB"/>
        </w:rPr>
        <w:t xml:space="preserve"> </w:t>
      </w:r>
      <w:r w:rsidRPr="0048465B">
        <w:rPr>
          <w:lang w:val="en-GB"/>
        </w:rPr>
        <w:t>Arab’, ‘Palestinian Citizen of Israel’, ‘Israeli’, and ‘Palestinian’. Whilst various authors, analysts, and politicians refer to the Palestinian citizens still residing in Israel as ‘Israeli</w:t>
      </w:r>
      <w:r w:rsidR="00027D78">
        <w:rPr>
          <w:lang w:val="en-GB"/>
        </w:rPr>
        <w:t xml:space="preserve"> </w:t>
      </w:r>
      <w:r w:rsidRPr="0048465B">
        <w:rPr>
          <w:lang w:val="en-GB"/>
        </w:rPr>
        <w:t>Arabs’, this definition overlooks not only those non-Jewish Israeli citizens born in Arab nations outside of pre-war Palestine, but also Jewish</w:t>
      </w:r>
      <w:r w:rsidR="00BD26D3">
        <w:rPr>
          <w:lang w:val="en-GB"/>
        </w:rPr>
        <w:t xml:space="preserve"> </w:t>
      </w:r>
      <w:r w:rsidRPr="0048465B">
        <w:rPr>
          <w:lang w:val="en-GB"/>
        </w:rPr>
        <w:t>Israelis who hail from Arab nations, as a significant percentage of Israeli</w:t>
      </w:r>
      <w:r w:rsidR="00B45635">
        <w:rPr>
          <w:lang w:val="en-GB"/>
        </w:rPr>
        <w:t xml:space="preserve"> </w:t>
      </w:r>
      <w:r w:rsidRPr="0048465B">
        <w:rPr>
          <w:lang w:val="en-GB"/>
        </w:rPr>
        <w:t>Jews do. As such, the utmost effort has been made to refrain from use of the term ‘Israeli</w:t>
      </w:r>
      <w:r w:rsidR="001C47C6">
        <w:rPr>
          <w:lang w:val="en-GB"/>
        </w:rPr>
        <w:t xml:space="preserve"> </w:t>
      </w:r>
      <w:r w:rsidRPr="0048465B">
        <w:rPr>
          <w:lang w:val="en-GB"/>
        </w:rPr>
        <w:t>Arab’ when referring to those citizens of Israel who are of Palestinian heritage, with ‘Palestinian citizens of Israel’</w:t>
      </w:r>
      <w:r w:rsidR="0023678C">
        <w:rPr>
          <w:lang w:val="en-GB"/>
        </w:rPr>
        <w:t>, or</w:t>
      </w:r>
      <w:r w:rsidR="00B45635">
        <w:rPr>
          <w:lang w:val="en-GB"/>
        </w:rPr>
        <w:t>, occasionally,</w:t>
      </w:r>
      <w:r w:rsidR="0023678C">
        <w:rPr>
          <w:lang w:val="en-GB"/>
        </w:rPr>
        <w:t xml:space="preserve"> ‘Palestinian</w:t>
      </w:r>
      <w:r w:rsidR="00B45635">
        <w:rPr>
          <w:lang w:val="en-GB"/>
        </w:rPr>
        <w:t xml:space="preserve"> </w:t>
      </w:r>
      <w:r w:rsidR="0023678C">
        <w:rPr>
          <w:lang w:val="en-GB"/>
        </w:rPr>
        <w:t>Israeli’,</w:t>
      </w:r>
      <w:r w:rsidRPr="0048465B">
        <w:rPr>
          <w:lang w:val="en-GB"/>
        </w:rPr>
        <w:t xml:space="preserve"> being the preferred term</w:t>
      </w:r>
      <w:r w:rsidR="0023678C">
        <w:rPr>
          <w:lang w:val="en-GB"/>
        </w:rPr>
        <w:t>s</w:t>
      </w:r>
      <w:r w:rsidRPr="0048465B">
        <w:rPr>
          <w:lang w:val="en-GB"/>
        </w:rPr>
        <w:t xml:space="preserve">. </w:t>
      </w:r>
    </w:p>
    <w:p w14:paraId="10BE4135" w14:textId="77777777" w:rsidR="00DE5698" w:rsidRDefault="00DE5698" w:rsidP="00FC331F">
      <w:pPr>
        <w:rPr>
          <w:lang w:val="en-GB"/>
        </w:rPr>
      </w:pPr>
    </w:p>
    <w:p w14:paraId="3D414EB3" w14:textId="2351F460" w:rsidR="00FC331F" w:rsidRPr="0048465B" w:rsidRDefault="00FC331F" w:rsidP="00FC331F">
      <w:pPr>
        <w:rPr>
          <w:lang w:val="en-GB"/>
        </w:rPr>
      </w:pPr>
      <w:r w:rsidRPr="0048465B">
        <w:rPr>
          <w:lang w:val="en-GB"/>
        </w:rPr>
        <w:t xml:space="preserve">Whilst such people ensure that the demographic makeup of Israel contains numerous religious backgrounds, the use of the term ‘Israeli’ within this thesis refers primarily to Jewish people living in Israel, simply due to the prevalence of Jewish people within Israel, and due to the legally enforced Jewish nature of the Israeli state. The meaning of the term ‘Palestinians’ is more variable, referring as it does to those in the Occupied Territories and Palestinian citizens of Israel, as well as those living in exile in countries across the globe. In this particular case, the meaning most commonly refers to Palestinians living outside of Israel proper, but at times, either mentioned explicitly or deducible by context, refers also to those Palestinians living within Israel’s accepted borders. </w:t>
      </w:r>
    </w:p>
    <w:p w14:paraId="0D74F5AF" w14:textId="77777777" w:rsidR="00FC331F" w:rsidRPr="0048465B" w:rsidRDefault="00FC331F" w:rsidP="00FC331F">
      <w:pPr>
        <w:rPr>
          <w:lang w:val="en-GB"/>
        </w:rPr>
      </w:pPr>
    </w:p>
    <w:p w14:paraId="5B01E715" w14:textId="77777777" w:rsidR="00FC331F" w:rsidRPr="0048465B" w:rsidRDefault="00FC331F" w:rsidP="00FC331F">
      <w:pPr>
        <w:rPr>
          <w:lang w:val="en-GB"/>
        </w:rPr>
      </w:pPr>
      <w:r w:rsidRPr="0048465B">
        <w:rPr>
          <w:lang w:val="en-GB"/>
        </w:rPr>
        <w:t>Finally, when using the terms ‘Israeli-Palestinian conflict’ or ‘the conflict’, I do so in reference to the ideological, political, social, cultural, and military clashes between Israel and Palestine since 1948. These terms are not intended to refer exclusively to literal combat or warfare between the two peoples, but as more general terms referring to the ongoing friction that has defined interactions between Israel and Palestine for much of the past seven decades and more.</w:t>
      </w:r>
    </w:p>
    <w:p w14:paraId="666C76EE" w14:textId="77777777" w:rsidR="00DE5698" w:rsidRPr="0048465B" w:rsidRDefault="00DE5698" w:rsidP="00FC331F">
      <w:pPr>
        <w:rPr>
          <w:lang w:val="en-GB"/>
        </w:rPr>
      </w:pPr>
    </w:p>
    <w:p w14:paraId="04369641" w14:textId="77777777" w:rsidR="00FC331F" w:rsidRPr="0048465B" w:rsidRDefault="00FC331F" w:rsidP="00FC331F">
      <w:pPr>
        <w:jc w:val="center"/>
        <w:rPr>
          <w:b/>
          <w:lang w:val="en-GB"/>
        </w:rPr>
      </w:pPr>
      <w:r w:rsidRPr="0048465B">
        <w:rPr>
          <w:b/>
          <w:lang w:val="en-GB"/>
        </w:rPr>
        <w:t>Historical standpoint</w:t>
      </w:r>
    </w:p>
    <w:p w14:paraId="3D2EE6FF" w14:textId="77777777" w:rsidR="00FC331F" w:rsidRPr="0048465B" w:rsidRDefault="00FC331F" w:rsidP="00FC331F">
      <w:pPr>
        <w:rPr>
          <w:lang w:val="en-GB"/>
        </w:rPr>
      </w:pPr>
    </w:p>
    <w:p w14:paraId="4B60A4FE" w14:textId="69628E97" w:rsidR="00FC331F" w:rsidRPr="0048465B" w:rsidRDefault="00FC331F" w:rsidP="00FC331F">
      <w:pPr>
        <w:rPr>
          <w:lang w:val="en-GB"/>
        </w:rPr>
      </w:pPr>
      <w:r w:rsidRPr="0048465B">
        <w:rPr>
          <w:lang w:val="en-GB"/>
        </w:rPr>
        <w:t xml:space="preserve">Due to the ongoing nature of the conflict, there are some sections of this thesis, especially in the final chapter, which attempt to respond to or anticipate events and their impact. The attempt to comment upon the presidency of Donald Trump, his recent departure, and the new presidency of Joe Biden has been of particular complexity. Whilst this thesis was written primarily during the Donald Trump </w:t>
      </w:r>
      <w:r w:rsidR="008321D4">
        <w:rPr>
          <w:lang w:val="en-GB"/>
        </w:rPr>
        <w:t>p</w:t>
      </w:r>
      <w:r w:rsidRPr="0048465B">
        <w:rPr>
          <w:lang w:val="en-GB"/>
        </w:rPr>
        <w:t>residency, the majority of the editing process took place in the period of time immediately preceding Joe Biden’s inauguration in January of 2021, and in its aftermath. Whilst th</w:t>
      </w:r>
      <w:r w:rsidR="00DE5698">
        <w:rPr>
          <w:lang w:val="en-GB"/>
        </w:rPr>
        <w:t xml:space="preserve">is </w:t>
      </w:r>
      <w:r w:rsidRPr="0048465B">
        <w:rPr>
          <w:lang w:val="en-GB"/>
        </w:rPr>
        <w:t>thesis is</w:t>
      </w:r>
      <w:r w:rsidR="00DE5698">
        <w:rPr>
          <w:lang w:val="en-GB"/>
        </w:rPr>
        <w:t xml:space="preserve"> largely</w:t>
      </w:r>
      <w:r w:rsidRPr="0048465B">
        <w:rPr>
          <w:lang w:val="en-GB"/>
        </w:rPr>
        <w:t xml:space="preserve"> unaffected by these particularities, explorations of how a Biden </w:t>
      </w:r>
      <w:r w:rsidR="008321D4">
        <w:rPr>
          <w:lang w:val="en-GB"/>
        </w:rPr>
        <w:t>p</w:t>
      </w:r>
      <w:r w:rsidRPr="0048465B">
        <w:rPr>
          <w:lang w:val="en-GB"/>
        </w:rPr>
        <w:t>residency might follow on from Trump are necessarily anticipatory, and thus subject to change</w:t>
      </w:r>
      <w:r w:rsidR="00964A76">
        <w:rPr>
          <w:lang w:val="en-GB"/>
        </w:rPr>
        <w:t>, as are briefly tendered insights into Israeli responses to the Coronavirus pandemic</w:t>
      </w:r>
      <w:r w:rsidRPr="0048465B">
        <w:rPr>
          <w:lang w:val="en-GB"/>
        </w:rPr>
        <w:t xml:space="preserve">. </w:t>
      </w:r>
      <w:r w:rsidR="00964A76">
        <w:rPr>
          <w:lang w:val="en-GB"/>
        </w:rPr>
        <w:t>Both of these</w:t>
      </w:r>
      <w:r w:rsidRPr="0048465B">
        <w:rPr>
          <w:lang w:val="en-GB"/>
        </w:rPr>
        <w:t xml:space="preserve"> section</w:t>
      </w:r>
      <w:r w:rsidR="00964A76">
        <w:rPr>
          <w:lang w:val="en-GB"/>
        </w:rPr>
        <w:t>s</w:t>
      </w:r>
      <w:r w:rsidRPr="0048465B">
        <w:rPr>
          <w:lang w:val="en-GB"/>
        </w:rPr>
        <w:t xml:space="preserve"> ha</w:t>
      </w:r>
      <w:r w:rsidR="00964A76">
        <w:rPr>
          <w:lang w:val="en-GB"/>
        </w:rPr>
        <w:t>ve</w:t>
      </w:r>
      <w:r w:rsidRPr="0048465B">
        <w:rPr>
          <w:lang w:val="en-GB"/>
        </w:rPr>
        <w:t xml:space="preserve"> been edited to remain as up to date as possible, but in an ever-changing political environment, where Biden</w:t>
      </w:r>
      <w:r w:rsidR="00964A76">
        <w:rPr>
          <w:lang w:val="en-GB"/>
        </w:rPr>
        <w:t xml:space="preserve"> </w:t>
      </w:r>
      <w:r w:rsidRPr="0048465B">
        <w:rPr>
          <w:lang w:val="en-GB"/>
        </w:rPr>
        <w:t>is likely to want to make his intentions known in the opening months of his presidency, there may be discrepancies between the current state of affairs at the time of writing and the time of reading.</w:t>
      </w:r>
    </w:p>
    <w:p w14:paraId="55A694BD" w14:textId="77777777" w:rsidR="00FC331F" w:rsidRPr="0048465B" w:rsidRDefault="00FC331F" w:rsidP="00FC331F">
      <w:pPr>
        <w:rPr>
          <w:lang w:val="en-GB"/>
        </w:rPr>
      </w:pPr>
    </w:p>
    <w:p w14:paraId="18C918FD" w14:textId="1D7CBEDB" w:rsidR="00AF18FC" w:rsidRDefault="00AF18FC" w:rsidP="00AF18FC">
      <w:pPr>
        <w:rPr>
          <w:lang w:val="en-GB"/>
        </w:rPr>
        <w:sectPr w:rsidR="00AF18FC" w:rsidSect="009953FE">
          <w:headerReference w:type="default" r:id="rId10"/>
          <w:footnotePr>
            <w:numRestart w:val="eachSect"/>
          </w:footnotePr>
          <w:pgSz w:w="12240" w:h="15840"/>
          <w:pgMar w:top="1440" w:right="1440" w:bottom="1440" w:left="1440" w:header="720" w:footer="720" w:gutter="0"/>
          <w:pgNumType w:start="1"/>
          <w:cols w:space="720"/>
        </w:sectPr>
      </w:pPr>
    </w:p>
    <w:p w14:paraId="0112A475" w14:textId="27291A33" w:rsidR="00FC331F" w:rsidRPr="00AF18FC" w:rsidRDefault="00FC331F" w:rsidP="00AF18FC">
      <w:pPr>
        <w:jc w:val="center"/>
        <w:rPr>
          <w:lang w:val="en-GB"/>
        </w:rPr>
      </w:pPr>
      <w:r w:rsidRPr="0048465B">
        <w:rPr>
          <w:b/>
          <w:sz w:val="28"/>
          <w:szCs w:val="28"/>
          <w:lang w:val="en-GB"/>
        </w:rPr>
        <w:lastRenderedPageBreak/>
        <w:t>Chapter One</w:t>
      </w:r>
    </w:p>
    <w:p w14:paraId="433BCBC9" w14:textId="77777777" w:rsidR="00FC331F" w:rsidRPr="0048465B" w:rsidRDefault="00FC331F" w:rsidP="00FC331F">
      <w:pPr>
        <w:jc w:val="center"/>
        <w:rPr>
          <w:b/>
          <w:sz w:val="28"/>
          <w:szCs w:val="28"/>
          <w:lang w:val="en-GB"/>
        </w:rPr>
      </w:pPr>
    </w:p>
    <w:p w14:paraId="6805A919" w14:textId="77777777" w:rsidR="00FC331F" w:rsidRPr="0048465B" w:rsidRDefault="00FC331F" w:rsidP="00FC331F">
      <w:pPr>
        <w:jc w:val="center"/>
        <w:rPr>
          <w:sz w:val="28"/>
          <w:szCs w:val="28"/>
          <w:lang w:val="en-GB"/>
        </w:rPr>
      </w:pPr>
      <w:r w:rsidRPr="0048465B">
        <w:rPr>
          <w:b/>
          <w:sz w:val="28"/>
          <w:szCs w:val="28"/>
          <w:lang w:val="en-GB"/>
        </w:rPr>
        <w:t>Connective Memory, the Holocaust, Israel, Palestine</w:t>
      </w:r>
      <w:r w:rsidRPr="0048465B">
        <w:rPr>
          <w:sz w:val="28"/>
          <w:szCs w:val="28"/>
          <w:lang w:val="en-GB"/>
        </w:rPr>
        <w:t xml:space="preserve"> </w:t>
      </w:r>
    </w:p>
    <w:p w14:paraId="3C350989" w14:textId="77777777" w:rsidR="00FC331F" w:rsidRPr="0048465B" w:rsidRDefault="00FC331F" w:rsidP="00FC331F">
      <w:pPr>
        <w:rPr>
          <w:lang w:val="en-GB"/>
        </w:rPr>
      </w:pPr>
    </w:p>
    <w:p w14:paraId="59BBA45C" w14:textId="46F5D11D" w:rsidR="00FC331F" w:rsidRPr="0048465B" w:rsidRDefault="00FC331F" w:rsidP="00FC331F">
      <w:pPr>
        <w:jc w:val="center"/>
        <w:rPr>
          <w:b/>
          <w:lang w:val="en-GB"/>
        </w:rPr>
      </w:pPr>
      <w:r w:rsidRPr="0048465B">
        <w:rPr>
          <w:b/>
          <w:lang w:val="en-GB"/>
        </w:rPr>
        <w:t xml:space="preserve">An </w:t>
      </w:r>
      <w:r w:rsidR="000A6BB0">
        <w:rPr>
          <w:b/>
          <w:lang w:val="en-GB"/>
        </w:rPr>
        <w:t>Introduction</w:t>
      </w:r>
      <w:r w:rsidR="006616D1">
        <w:rPr>
          <w:b/>
          <w:lang w:val="en-GB"/>
        </w:rPr>
        <w:t xml:space="preserve"> to</w:t>
      </w:r>
      <w:r w:rsidR="000A6BB0">
        <w:rPr>
          <w:b/>
          <w:lang w:val="en-GB"/>
        </w:rPr>
        <w:t xml:space="preserve">, and </w:t>
      </w:r>
      <w:r w:rsidRPr="0048465B">
        <w:rPr>
          <w:b/>
          <w:lang w:val="en-GB"/>
        </w:rPr>
        <w:t>Evaluation of</w:t>
      </w:r>
      <w:r w:rsidR="006616D1">
        <w:rPr>
          <w:b/>
          <w:lang w:val="en-GB"/>
        </w:rPr>
        <w:t>,</w:t>
      </w:r>
      <w:r w:rsidRPr="0048465B">
        <w:rPr>
          <w:b/>
          <w:lang w:val="en-GB"/>
        </w:rPr>
        <w:t xml:space="preserve"> Connective Approaches to Memory</w:t>
      </w:r>
    </w:p>
    <w:p w14:paraId="0E9D443A" w14:textId="77777777" w:rsidR="00FC331F" w:rsidRPr="0048465B" w:rsidRDefault="00FC331F" w:rsidP="00FC331F">
      <w:pPr>
        <w:rPr>
          <w:lang w:val="en-GB"/>
        </w:rPr>
      </w:pPr>
    </w:p>
    <w:p w14:paraId="424F20A3" w14:textId="1318A35A" w:rsidR="00FC331F" w:rsidRPr="0048465B" w:rsidRDefault="00FC331F" w:rsidP="00FC331F">
      <w:pPr>
        <w:rPr>
          <w:lang w:val="en-GB"/>
        </w:rPr>
      </w:pPr>
      <w:r w:rsidRPr="0048465B">
        <w:rPr>
          <w:lang w:val="en-GB"/>
        </w:rPr>
        <w:t xml:space="preserve">Whilst postmemory remains one of the seminal theories within both memory studies and Holocaust studies, recent years have seen the studies of both memory and the Holocaust move towards increasingly indirect forms of connection and meaning, growing to include traumatic events other than the Holocaust itself, and moving beyond the necessity of a familial link. Marianne Hirsch’s  monograph, </w:t>
      </w:r>
      <w:r w:rsidRPr="0048465B">
        <w:rPr>
          <w:i/>
          <w:lang w:val="en-GB"/>
        </w:rPr>
        <w:t>The Generation of Postmemory: Writing and Visual Culture After the Holocaust</w:t>
      </w:r>
      <w:r w:rsidRPr="0048465B">
        <w:rPr>
          <w:lang w:val="en-GB"/>
        </w:rPr>
        <w:t>,</w:t>
      </w:r>
      <w:r w:rsidR="002210C5">
        <w:rPr>
          <w:rStyle w:val="FootnoteReference"/>
          <w:lang w:val="en-GB"/>
        </w:rPr>
        <w:footnoteReference w:id="22"/>
      </w:r>
      <w:r w:rsidRPr="0048465B">
        <w:rPr>
          <w:lang w:val="en-GB"/>
        </w:rPr>
        <w:t xml:space="preserve"> attends to this development, as Hirsch ponders ‘other traumatic histories’,</w:t>
      </w:r>
      <w:r w:rsidRPr="0048465B">
        <w:rPr>
          <w:vertAlign w:val="superscript"/>
          <w:lang w:val="en-GB"/>
        </w:rPr>
        <w:footnoteReference w:id="23"/>
      </w:r>
      <w:r w:rsidRPr="0048465B">
        <w:rPr>
          <w:lang w:val="en-GB"/>
        </w:rPr>
        <w:t xml:space="preserve"> and acknowledges the ways in which her work is ‘in dialogue with numerous other contexts of traumatic transfer that can be understood as postmemory’.</w:t>
      </w:r>
      <w:r w:rsidRPr="0048465B">
        <w:rPr>
          <w:vertAlign w:val="superscript"/>
          <w:lang w:val="en-GB"/>
        </w:rPr>
        <w:footnoteReference w:id="24"/>
      </w:r>
      <w:r w:rsidRPr="0048465B">
        <w:rPr>
          <w:lang w:val="en-GB"/>
        </w:rPr>
        <w:t xml:space="preserve"> Indeed, the seed of postmemory – Hirsch’s realisation that the suffering of a single person or people can have reverberations that extend long into the future – arose from Toni Morrison’s </w:t>
      </w:r>
      <w:r w:rsidRPr="0048465B">
        <w:rPr>
          <w:i/>
          <w:lang w:val="en-GB"/>
        </w:rPr>
        <w:t>Beloved</w:t>
      </w:r>
      <w:r w:rsidRPr="0048465B">
        <w:rPr>
          <w:lang w:val="en-GB"/>
        </w:rPr>
        <w:t>, a slave narrative that, in Hirsch’s words, ‘dramatized the haunting, transgenerational reach of trauma’ and conveyed the ‘impacts and effects [of slavery] more powerfully than contemporary accounts’.</w:t>
      </w:r>
      <w:r w:rsidRPr="0048465B">
        <w:rPr>
          <w:vertAlign w:val="superscript"/>
          <w:lang w:val="en-GB"/>
        </w:rPr>
        <w:footnoteReference w:id="25"/>
      </w:r>
      <w:r w:rsidRPr="0048465B">
        <w:rPr>
          <w:lang w:val="en-GB"/>
        </w:rPr>
        <w:t xml:space="preserve"> This moment of realisation for Hirsch, and the fact that the predominantly Holocaust-centric theory of postmemory was born out of </w:t>
      </w:r>
      <w:r w:rsidR="00FD546C">
        <w:rPr>
          <w:lang w:val="en-GB"/>
        </w:rPr>
        <w:t xml:space="preserve">a </w:t>
      </w:r>
      <w:r w:rsidRPr="0048465B">
        <w:rPr>
          <w:lang w:val="en-GB"/>
        </w:rPr>
        <w:t xml:space="preserve">fictionalised African-American slave narrative, is itself an example of the potential function of this new </w:t>
      </w:r>
      <w:r w:rsidRPr="0048465B">
        <w:rPr>
          <w:lang w:val="en-GB"/>
        </w:rPr>
        <w:lastRenderedPageBreak/>
        <w:t>connective type of memory, a type of memory that is spatially, culturally, and temporally removed from the event it explores, yet remains connected to the event through imbrications of experience or emotion.</w:t>
      </w:r>
    </w:p>
    <w:p w14:paraId="70A3F690" w14:textId="77777777" w:rsidR="00FC331F" w:rsidRPr="0048465B" w:rsidRDefault="00FC331F" w:rsidP="00FC331F">
      <w:pPr>
        <w:rPr>
          <w:lang w:val="en-GB"/>
        </w:rPr>
      </w:pPr>
    </w:p>
    <w:p w14:paraId="5D36DAFC" w14:textId="4BBD43D4" w:rsidR="00FC331F" w:rsidRPr="0048465B" w:rsidRDefault="00FC331F" w:rsidP="00FC331F">
      <w:pPr>
        <w:rPr>
          <w:lang w:val="en-GB"/>
        </w:rPr>
      </w:pPr>
      <w:r w:rsidRPr="0048465B">
        <w:rPr>
          <w:lang w:val="en-GB"/>
        </w:rPr>
        <w:t>The first and most widely cited</w:t>
      </w:r>
      <w:r w:rsidRPr="0048465B">
        <w:rPr>
          <w:vertAlign w:val="superscript"/>
          <w:lang w:val="en-GB"/>
        </w:rPr>
        <w:footnoteReference w:id="26"/>
      </w:r>
      <w:r w:rsidRPr="0048465B">
        <w:rPr>
          <w:lang w:val="en-GB"/>
        </w:rPr>
        <w:t xml:space="preserve"> iteration of this connective understanding of memory, and the variant that this chapter explores in most detail, is Michael Rothberg’s </w:t>
      </w:r>
      <w:r w:rsidRPr="0048465B">
        <w:rPr>
          <w:i/>
          <w:lang w:val="en-GB"/>
        </w:rPr>
        <w:t>Multidirectional Memory: Remembering the Holocaust in the Age of Decolonization</w:t>
      </w:r>
      <w:r w:rsidRPr="0048465B">
        <w:rPr>
          <w:lang w:val="en-GB"/>
        </w:rPr>
        <w:t>.</w:t>
      </w:r>
      <w:r w:rsidRPr="0048465B">
        <w:rPr>
          <w:vertAlign w:val="superscript"/>
          <w:lang w:val="en-GB"/>
        </w:rPr>
        <w:footnoteReference w:id="27"/>
      </w:r>
      <w:r w:rsidRPr="0048465B">
        <w:rPr>
          <w:lang w:val="en-GB"/>
        </w:rPr>
        <w:t xml:space="preserve"> Rothberg’s monograph develops postmemory’s deconstruction of mnemonic boundaries, taking the notion of memory as temporally unregulated and expanding it even further. Whilst postmemory is similar to these more broadly connective forms of memory in that both are ‘open to connective approaches and affiliations</w:t>
      </w:r>
      <w:r w:rsidR="000C3FB4">
        <w:rPr>
          <w:lang w:val="en-GB"/>
        </w:rPr>
        <w:t xml:space="preserve"> […] </w:t>
      </w:r>
      <w:r w:rsidRPr="0048465B">
        <w:rPr>
          <w:lang w:val="en-GB"/>
        </w:rPr>
        <w:t>thinking different historical experiences in relation to one another to see what vantage points they might share or offer each other for confronting the past’,</w:t>
      </w:r>
      <w:r w:rsidRPr="0048465B">
        <w:rPr>
          <w:vertAlign w:val="superscript"/>
          <w:lang w:val="en-GB"/>
        </w:rPr>
        <w:footnoteReference w:id="28"/>
      </w:r>
      <w:r w:rsidRPr="0048465B">
        <w:rPr>
          <w:lang w:val="en-GB"/>
        </w:rPr>
        <w:t xml:space="preserve"> Hirsch acknowledges that postmemory is ‘a form of heteropathic memory in which the self and other are more closely connected through  familial or group relation</w:t>
      </w:r>
      <w:r w:rsidR="000C3FB4">
        <w:rPr>
          <w:lang w:val="en-GB"/>
        </w:rPr>
        <w:t xml:space="preserve"> […] </w:t>
      </w:r>
      <w:r w:rsidRPr="0048465B">
        <w:rPr>
          <w:lang w:val="en-GB"/>
        </w:rPr>
        <w:t>through what it means to be Jewish or of African descent, for example’.</w:t>
      </w:r>
      <w:r w:rsidRPr="0048465B">
        <w:rPr>
          <w:vertAlign w:val="superscript"/>
          <w:lang w:val="en-GB"/>
        </w:rPr>
        <w:footnoteReference w:id="29"/>
      </w:r>
      <w:r w:rsidRPr="0048465B">
        <w:rPr>
          <w:lang w:val="en-GB"/>
        </w:rPr>
        <w:t xml:space="preserve"> Both multidirectional memory and Max Silverman’s </w:t>
      </w:r>
      <w:r w:rsidRPr="0048465B">
        <w:rPr>
          <w:i/>
          <w:lang w:val="en-GB"/>
        </w:rPr>
        <w:t>Palimpsestic Memory</w:t>
      </w:r>
      <w:r w:rsidRPr="0048465B">
        <w:rPr>
          <w:lang w:val="en-GB"/>
        </w:rPr>
        <w:t xml:space="preserve"> </w:t>
      </w:r>
      <w:r w:rsidR="006F6603">
        <w:rPr>
          <w:lang w:val="en-GB"/>
        </w:rPr>
        <w:t>–</w:t>
      </w:r>
      <w:r w:rsidRPr="0048465B">
        <w:rPr>
          <w:lang w:val="en-GB"/>
        </w:rPr>
        <w:t xml:space="preserve"> a similarly Holocaust-centric connective theory, revolving instead around French and Francophone works </w:t>
      </w:r>
      <w:r w:rsidR="006F6603">
        <w:rPr>
          <w:lang w:val="en-GB"/>
        </w:rPr>
        <w:t>–</w:t>
      </w:r>
      <w:r w:rsidRPr="0048465B">
        <w:rPr>
          <w:lang w:val="en-GB"/>
        </w:rPr>
        <w:t xml:space="preserve"> </w:t>
      </w:r>
      <w:r w:rsidR="001C47C6">
        <w:rPr>
          <w:lang w:val="en-GB"/>
        </w:rPr>
        <w:t>reject</w:t>
      </w:r>
      <w:r w:rsidRPr="0048465B">
        <w:rPr>
          <w:lang w:val="en-GB"/>
        </w:rPr>
        <w:t xml:space="preserve"> these ethno-cultural subject positions in favour of ‘an imaginary</w:t>
      </w:r>
      <w:r w:rsidR="000C3FB4">
        <w:rPr>
          <w:lang w:val="en-GB"/>
        </w:rPr>
        <w:t xml:space="preserve"> […] </w:t>
      </w:r>
      <w:r w:rsidRPr="0048465B">
        <w:rPr>
          <w:lang w:val="en-GB"/>
        </w:rPr>
        <w:t>in which colonial and fascist “spaces” are overlapping, intertwined and inextricable’.</w:t>
      </w:r>
      <w:r w:rsidR="00891D2E" w:rsidRPr="0048465B">
        <w:rPr>
          <w:vertAlign w:val="superscript"/>
          <w:lang w:val="en-GB"/>
        </w:rPr>
        <w:footnoteReference w:id="30"/>
      </w:r>
      <w:r w:rsidRPr="0048465B">
        <w:rPr>
          <w:lang w:val="en-GB"/>
        </w:rPr>
        <w:t xml:space="preserve"> Rothberg, similarly, describes the narratives of suffering that multidirectional memory analyses as being component</w:t>
      </w:r>
      <w:r w:rsidR="004C125C">
        <w:rPr>
          <w:lang w:val="en-GB"/>
        </w:rPr>
        <w:t>s</w:t>
      </w:r>
      <w:r w:rsidRPr="0048465B">
        <w:rPr>
          <w:lang w:val="en-GB"/>
        </w:rPr>
        <w:t xml:space="preserve"> </w:t>
      </w:r>
      <w:r w:rsidRPr="0048465B">
        <w:rPr>
          <w:lang w:val="en-GB"/>
        </w:rPr>
        <w:lastRenderedPageBreak/>
        <w:t>in ‘a multidirectional excavation of intersecting histories’ that functions regardless of ethno-cultural origin.</w:t>
      </w:r>
      <w:r w:rsidRPr="0048465B">
        <w:rPr>
          <w:vertAlign w:val="superscript"/>
          <w:lang w:val="en-GB"/>
        </w:rPr>
        <w:footnoteReference w:id="31"/>
      </w:r>
    </w:p>
    <w:p w14:paraId="1C7BEC50" w14:textId="77777777" w:rsidR="00FC331F" w:rsidRPr="0048465B" w:rsidRDefault="00FC331F" w:rsidP="00FC331F">
      <w:pPr>
        <w:rPr>
          <w:lang w:val="en-GB"/>
        </w:rPr>
      </w:pPr>
    </w:p>
    <w:p w14:paraId="592568B7" w14:textId="4BF2A12F" w:rsidR="00FC331F" w:rsidRPr="0048465B" w:rsidRDefault="00FC331F" w:rsidP="00FC331F">
      <w:pPr>
        <w:rPr>
          <w:lang w:val="en-GB"/>
        </w:rPr>
      </w:pPr>
      <w:r w:rsidRPr="0048465B">
        <w:rPr>
          <w:lang w:val="en-GB"/>
        </w:rPr>
        <w:t xml:space="preserve">The connective approaches to memory that Rothberg and Silverman offer are, whilst by no means identical, united by coinciding analyses as well as a number of core principles. Both choose to centre their recalibration of memory studies </w:t>
      </w:r>
      <w:r w:rsidR="00296345">
        <w:rPr>
          <w:lang w:val="en-GB"/>
        </w:rPr>
        <w:t>on</w:t>
      </w:r>
      <w:r w:rsidR="00296345" w:rsidRPr="0048465B">
        <w:rPr>
          <w:lang w:val="en-GB"/>
        </w:rPr>
        <w:t xml:space="preserve"> </w:t>
      </w:r>
      <w:r w:rsidRPr="0048465B">
        <w:rPr>
          <w:lang w:val="en-GB"/>
        </w:rPr>
        <w:t xml:space="preserve">the Holocaust, both situate this analysis within the broader analytical field of colonial violence across the ages, both </w:t>
      </w:r>
      <w:r w:rsidR="00031C15">
        <w:rPr>
          <w:lang w:val="en-GB"/>
        </w:rPr>
        <w:t>focus</w:t>
      </w:r>
      <w:r w:rsidRPr="0048465B">
        <w:rPr>
          <w:lang w:val="en-GB"/>
        </w:rPr>
        <w:t xml:space="preserve"> early explanations of their respective theorisations of connective memory upon Freud’s ‘screen memory’, and both identify the Michael Haneke film </w:t>
      </w:r>
      <w:r w:rsidRPr="0048465B">
        <w:rPr>
          <w:i/>
          <w:lang w:val="en-GB"/>
        </w:rPr>
        <w:t>Caché</w:t>
      </w:r>
      <w:r w:rsidRPr="0048465B">
        <w:rPr>
          <w:lang w:val="en-GB"/>
        </w:rPr>
        <w:t xml:space="preserve"> </w:t>
      </w:r>
      <w:r w:rsidR="001C47C6">
        <w:rPr>
          <w:lang w:val="en-GB"/>
        </w:rPr>
        <w:t xml:space="preserve">(2005) </w:t>
      </w:r>
      <w:r w:rsidRPr="0048465B">
        <w:rPr>
          <w:lang w:val="en-GB"/>
        </w:rPr>
        <w:t xml:space="preserve">as an effective example of their respective arguments. </w:t>
      </w:r>
      <w:r w:rsidR="00145F46">
        <w:rPr>
          <w:lang w:val="en-GB"/>
        </w:rPr>
        <w:t>Descriptions</w:t>
      </w:r>
      <w:r w:rsidRPr="0048465B">
        <w:rPr>
          <w:lang w:val="en-GB"/>
        </w:rPr>
        <w:t xml:space="preserve"> of their respective approaches to </w:t>
      </w:r>
      <w:r w:rsidR="00145F46">
        <w:rPr>
          <w:lang w:val="en-GB"/>
        </w:rPr>
        <w:t xml:space="preserve">connective </w:t>
      </w:r>
      <w:r w:rsidRPr="0048465B">
        <w:rPr>
          <w:lang w:val="en-GB"/>
        </w:rPr>
        <w:t>memory are further comparable. Whilst Silverman describes palimpsestic memory as functioning ‘according to a complex process of interconnection, interaction, substitution and displacement of memory traces’,</w:t>
      </w:r>
      <w:r w:rsidRPr="0048465B">
        <w:rPr>
          <w:vertAlign w:val="superscript"/>
          <w:lang w:val="en-GB"/>
        </w:rPr>
        <w:footnoteReference w:id="32"/>
      </w:r>
      <w:r w:rsidRPr="0048465B">
        <w:rPr>
          <w:lang w:val="en-GB"/>
        </w:rPr>
        <w:t xml:space="preserve"> Rothberg describes multidirectional memory as being embodied by the ‘intercultural dynamic’ produced by the ‘interaction of different historical memories’.</w:t>
      </w:r>
      <w:r w:rsidRPr="0048465B">
        <w:rPr>
          <w:vertAlign w:val="superscript"/>
          <w:lang w:val="en-GB"/>
        </w:rPr>
        <w:footnoteReference w:id="33"/>
      </w:r>
      <w:r w:rsidRPr="0048465B">
        <w:rPr>
          <w:lang w:val="en-GB"/>
        </w:rPr>
        <w:t xml:space="preserve"> Where Rothberg describes multidirectional memory as ‘</w:t>
      </w:r>
      <w:proofErr w:type="spellStart"/>
      <w:r w:rsidRPr="0048465B">
        <w:rPr>
          <w:lang w:val="en-GB"/>
        </w:rPr>
        <w:t>acknowledg</w:t>
      </w:r>
      <w:proofErr w:type="spellEnd"/>
      <w:r w:rsidRPr="0048465B">
        <w:rPr>
          <w:lang w:val="en-GB"/>
        </w:rPr>
        <w:t>[</w:t>
      </w:r>
      <w:proofErr w:type="spellStart"/>
      <w:r w:rsidRPr="0048465B">
        <w:rPr>
          <w:lang w:val="en-GB"/>
        </w:rPr>
        <w:t>ing</w:t>
      </w:r>
      <w:proofErr w:type="spellEnd"/>
      <w:r w:rsidRPr="0048465B">
        <w:rPr>
          <w:lang w:val="en-GB"/>
        </w:rPr>
        <w:t>] how remembrance both cuts across and binds together diverse spatial, temporal, and cultural sites’,</w:t>
      </w:r>
      <w:r w:rsidRPr="0048465B">
        <w:rPr>
          <w:vertAlign w:val="superscript"/>
          <w:lang w:val="en-GB"/>
        </w:rPr>
        <w:footnoteReference w:id="34"/>
      </w:r>
      <w:r w:rsidRPr="0048465B">
        <w:rPr>
          <w:lang w:val="en-GB"/>
        </w:rPr>
        <w:t xml:space="preserve"> there are undeniable similarities in Silverman’s depiction of palimpsestic memory as exploring the space ‘between apparently “different” </w:t>
      </w:r>
      <w:proofErr w:type="spellStart"/>
      <w:r w:rsidRPr="0048465B">
        <w:rPr>
          <w:lang w:val="en-GB"/>
        </w:rPr>
        <w:t>spatio</w:t>
      </w:r>
      <w:proofErr w:type="spellEnd"/>
      <w:r w:rsidRPr="0048465B">
        <w:rPr>
          <w:lang w:val="en-GB"/>
        </w:rPr>
        <w:t>-temporal sites’ of remembrance.</w:t>
      </w:r>
      <w:r w:rsidRPr="0048465B">
        <w:rPr>
          <w:vertAlign w:val="superscript"/>
          <w:lang w:val="en-GB"/>
        </w:rPr>
        <w:footnoteReference w:id="35"/>
      </w:r>
      <w:r w:rsidRPr="0048465B">
        <w:rPr>
          <w:lang w:val="en-GB"/>
        </w:rPr>
        <w:t xml:space="preserve"> Whilst this chapter focuses primarily on a number of Rothberg’s works </w:t>
      </w:r>
      <w:r w:rsidR="006F6603">
        <w:rPr>
          <w:lang w:val="en-GB"/>
        </w:rPr>
        <w:t>–</w:t>
      </w:r>
      <w:r w:rsidRPr="0048465B">
        <w:rPr>
          <w:lang w:val="en-GB"/>
        </w:rPr>
        <w:t xml:space="preserve"> both due to the antecedence of Rothberg’s monograph and the variety of works he has produced on the topic </w:t>
      </w:r>
      <w:r w:rsidR="006F6603">
        <w:rPr>
          <w:lang w:val="en-GB"/>
        </w:rPr>
        <w:t>–</w:t>
      </w:r>
      <w:r w:rsidRPr="0048465B">
        <w:rPr>
          <w:lang w:val="en-GB"/>
        </w:rPr>
        <w:t xml:space="preserve"> Silverman’s palimpsestic memory serves as supplementary evidence of the more </w:t>
      </w:r>
      <w:r w:rsidRPr="0048465B">
        <w:rPr>
          <w:lang w:val="en-GB"/>
        </w:rPr>
        <w:lastRenderedPageBreak/>
        <w:t xml:space="preserve">fundamental tendencies that represent ‘connective’ approaches to, or forms of, memory more generally. </w:t>
      </w:r>
    </w:p>
    <w:p w14:paraId="0B2F2267" w14:textId="77777777" w:rsidR="00FC331F" w:rsidRPr="0048465B" w:rsidRDefault="00FC331F" w:rsidP="00FC331F">
      <w:pPr>
        <w:rPr>
          <w:lang w:val="en-GB"/>
        </w:rPr>
      </w:pPr>
    </w:p>
    <w:p w14:paraId="2A478ECE" w14:textId="14F46E5D" w:rsidR="00FC331F" w:rsidRPr="00891D2E" w:rsidRDefault="00FC331F" w:rsidP="00FC331F">
      <w:pPr>
        <w:rPr>
          <w:vertAlign w:val="superscript"/>
          <w:lang w:val="en-GB"/>
        </w:rPr>
      </w:pPr>
      <w:r w:rsidRPr="0048465B">
        <w:rPr>
          <w:lang w:val="en-GB"/>
        </w:rPr>
        <w:t>The connective excavations of both authors depend on a rejection of the ‘zero-sum’ logic that often inhibits explorations of the shared features of different instances of mass suffering. Rothberg states that ‘many people assume that the public sphere in which collective memories are articulated is a scarce resource and that the interaction of different collective memories within that sphere takes the form of a zero-sum struggle for pre-eminence’.</w:t>
      </w:r>
      <w:r w:rsidRPr="0048465B">
        <w:rPr>
          <w:vertAlign w:val="superscript"/>
          <w:lang w:val="en-GB"/>
        </w:rPr>
        <w:footnoteReference w:id="36"/>
      </w:r>
      <w:r w:rsidRPr="0048465B">
        <w:rPr>
          <w:lang w:val="en-GB"/>
        </w:rPr>
        <w:t xml:space="preserve"> Such zero-sum understandings tend to view traumatic remembrance as a public resource that exists in a predetermined </w:t>
      </w:r>
      <w:r w:rsidR="001C47C6">
        <w:rPr>
          <w:lang w:val="en-GB"/>
        </w:rPr>
        <w:t>quantity</w:t>
      </w:r>
      <w:r w:rsidRPr="0048465B">
        <w:rPr>
          <w:lang w:val="en-GB"/>
        </w:rPr>
        <w:t>, and thus believe that when new memories and remembrances come into public view, those already present in the public eye must become less visible as a consequence. This understanding of memory, seen by many as a means of defending the uniqueness of their own experience, ultimately functions to reinforce divisions between traumatic experiences, and thus risks establishing echelons of suffering through engaging in ‘a competition for recognition and victim status’, rather than searching for points of connection either between their own distinct experiences, or in the practices of their oppressors.</w:t>
      </w:r>
      <w:r w:rsidRPr="0048465B">
        <w:rPr>
          <w:vertAlign w:val="superscript"/>
          <w:lang w:val="en-GB"/>
        </w:rPr>
        <w:footnoteReference w:id="37"/>
      </w:r>
      <w:r w:rsidRPr="0048465B">
        <w:rPr>
          <w:lang w:val="en-GB"/>
        </w:rPr>
        <w:t xml:space="preserve"> Rothberg argues that such thinking neglects the unregulated nature of memory, that ‘[m]</w:t>
      </w:r>
      <w:proofErr w:type="spellStart"/>
      <w:r w:rsidRPr="0048465B">
        <w:rPr>
          <w:lang w:val="en-GB"/>
        </w:rPr>
        <w:t>emories</w:t>
      </w:r>
      <w:proofErr w:type="spellEnd"/>
      <w:r w:rsidRPr="0048465B">
        <w:rPr>
          <w:lang w:val="en-GB"/>
        </w:rPr>
        <w:t xml:space="preserve"> are not owned by groups </w:t>
      </w:r>
      <w:r w:rsidR="0029114E">
        <w:rPr>
          <w:lang w:val="en-GB"/>
        </w:rPr>
        <w:t>-</w:t>
      </w:r>
      <w:r w:rsidRPr="0048465B">
        <w:rPr>
          <w:lang w:val="en-GB"/>
        </w:rPr>
        <w:t xml:space="preserve"> nor are groups “owned” by memories’,</w:t>
      </w:r>
      <w:r w:rsidR="00891D2E" w:rsidRPr="0048465B">
        <w:rPr>
          <w:vertAlign w:val="superscript"/>
          <w:lang w:val="en-GB"/>
        </w:rPr>
        <w:footnoteReference w:id="38"/>
      </w:r>
      <w:r w:rsidRPr="0048465B">
        <w:rPr>
          <w:lang w:val="en-GB"/>
        </w:rPr>
        <w:t xml:space="preserve"> and that th</w:t>
      </w:r>
      <w:r w:rsidR="00891D2E">
        <w:rPr>
          <w:lang w:val="en-GB"/>
        </w:rPr>
        <w:t>e</w:t>
      </w:r>
      <w:r w:rsidRPr="0048465B">
        <w:rPr>
          <w:lang w:val="en-GB"/>
        </w:rPr>
        <w:t xml:space="preserve"> struggle for ascendancy not only ‘pit[s] “survivors against each other’, but further ‘</w:t>
      </w:r>
      <w:proofErr w:type="spellStart"/>
      <w:r w:rsidRPr="0048465B">
        <w:rPr>
          <w:lang w:val="en-GB"/>
        </w:rPr>
        <w:t>reif</w:t>
      </w:r>
      <w:proofErr w:type="spellEnd"/>
      <w:r w:rsidRPr="0048465B">
        <w:rPr>
          <w:lang w:val="en-GB"/>
        </w:rPr>
        <w:t>[</w:t>
      </w:r>
      <w:proofErr w:type="spellStart"/>
      <w:r w:rsidRPr="0048465B">
        <w:rPr>
          <w:lang w:val="en-GB"/>
        </w:rPr>
        <w:t>ies</w:t>
      </w:r>
      <w:proofErr w:type="spellEnd"/>
      <w:r w:rsidRPr="0048465B">
        <w:rPr>
          <w:lang w:val="en-GB"/>
        </w:rPr>
        <w:t>] the oppressors’ innocence and control”’.</w:t>
      </w:r>
      <w:r w:rsidRPr="0048465B">
        <w:rPr>
          <w:vertAlign w:val="superscript"/>
          <w:lang w:val="en-GB"/>
        </w:rPr>
        <w:footnoteReference w:id="39"/>
      </w:r>
      <w:r w:rsidRPr="0048465B">
        <w:rPr>
          <w:lang w:val="en-GB"/>
        </w:rPr>
        <w:t xml:space="preserve"> </w:t>
      </w:r>
    </w:p>
    <w:p w14:paraId="163E2FF5" w14:textId="77777777" w:rsidR="00FC331F" w:rsidRPr="0048465B" w:rsidRDefault="00FC331F" w:rsidP="00FC331F">
      <w:pPr>
        <w:rPr>
          <w:lang w:val="en-GB"/>
        </w:rPr>
      </w:pPr>
    </w:p>
    <w:p w14:paraId="6AC2898A" w14:textId="07A3E63C" w:rsidR="00FC331F" w:rsidRPr="0048465B" w:rsidRDefault="00FC331F" w:rsidP="00FC331F">
      <w:pPr>
        <w:rPr>
          <w:lang w:val="en-GB"/>
        </w:rPr>
      </w:pPr>
      <w:r w:rsidRPr="0048465B">
        <w:rPr>
          <w:lang w:val="en-GB"/>
        </w:rPr>
        <w:lastRenderedPageBreak/>
        <w:t xml:space="preserve">This reification of the oppressor is supported by Silverman’s invocation of Theodor Adorno and Max Horkheimer, who suggest that the oppressed peoples in question are ‘“interchangeable” </w:t>
      </w:r>
      <w:r w:rsidR="00145F46" w:rsidRPr="0048465B">
        <w:rPr>
          <w:lang w:val="en-GB"/>
        </w:rPr>
        <w:t>victims</w:t>
      </w:r>
      <w:r w:rsidR="00145F46">
        <w:rPr>
          <w:lang w:val="en-GB"/>
        </w:rPr>
        <w:t>’</w:t>
      </w:r>
      <w:r w:rsidRPr="0048465B">
        <w:rPr>
          <w:lang w:val="en-GB"/>
        </w:rPr>
        <w:t xml:space="preserve">. </w:t>
      </w:r>
      <w:r w:rsidR="00145F46">
        <w:rPr>
          <w:lang w:val="en-GB"/>
        </w:rPr>
        <w:t>‘</w:t>
      </w:r>
      <w:r w:rsidRPr="0048465B">
        <w:rPr>
          <w:lang w:val="en-GB"/>
        </w:rPr>
        <w:t xml:space="preserve">“Frenchman, Negro, or Jew”’, Silverman argues, </w:t>
      </w:r>
      <w:r w:rsidR="006A070D">
        <w:rPr>
          <w:lang w:val="en-GB"/>
        </w:rPr>
        <w:t xml:space="preserve">are </w:t>
      </w:r>
      <w:r w:rsidRPr="0048465B">
        <w:rPr>
          <w:lang w:val="en-GB"/>
        </w:rPr>
        <w:t>all subject positions that have been created by the interdependent oppressive powers of ‘[c]</w:t>
      </w:r>
      <w:proofErr w:type="spellStart"/>
      <w:r w:rsidRPr="0048465B">
        <w:rPr>
          <w:lang w:val="en-GB"/>
        </w:rPr>
        <w:t>apitalism</w:t>
      </w:r>
      <w:proofErr w:type="spellEnd"/>
      <w:r w:rsidRPr="0048465B">
        <w:rPr>
          <w:lang w:val="en-GB"/>
        </w:rPr>
        <w:t>, imperialism, the rise of the modern nation-state and racial theory’.</w:t>
      </w:r>
      <w:r w:rsidRPr="0048465B">
        <w:rPr>
          <w:vertAlign w:val="superscript"/>
          <w:lang w:val="en-GB"/>
        </w:rPr>
        <w:footnoteReference w:id="40"/>
      </w:r>
      <w:r w:rsidRPr="0048465B">
        <w:rPr>
          <w:lang w:val="en-GB"/>
        </w:rPr>
        <w:t xml:space="preserve"> Such assessments of the victim position align with </w:t>
      </w:r>
      <w:proofErr w:type="spellStart"/>
      <w:r w:rsidRPr="0048465B">
        <w:rPr>
          <w:lang w:val="en-GB"/>
        </w:rPr>
        <w:t>Sartrean</w:t>
      </w:r>
      <w:proofErr w:type="spellEnd"/>
      <w:r w:rsidRPr="0048465B">
        <w:rPr>
          <w:lang w:val="en-GB"/>
        </w:rPr>
        <w:t xml:space="preserve"> understandings of freedom and free choice, which suggest that Jews who find themselves living amongst </w:t>
      </w:r>
      <w:proofErr w:type="spellStart"/>
      <w:r w:rsidRPr="0048465B">
        <w:rPr>
          <w:lang w:val="en-GB"/>
        </w:rPr>
        <w:t>antisemites</w:t>
      </w:r>
      <w:proofErr w:type="spellEnd"/>
      <w:r w:rsidRPr="0048465B">
        <w:rPr>
          <w:lang w:val="en-GB"/>
        </w:rPr>
        <w:t xml:space="preserve"> have a false choice between either obscuring their Jewish identity or being subjected to antisemitic caricature, actions that are entirely contained ‘within the perspectives set by this problem’.</w:t>
      </w:r>
      <w:r w:rsidRPr="0048465B">
        <w:rPr>
          <w:vertAlign w:val="superscript"/>
          <w:lang w:val="en-GB"/>
        </w:rPr>
        <w:footnoteReference w:id="41"/>
      </w:r>
      <w:r w:rsidRPr="0048465B">
        <w:rPr>
          <w:lang w:val="en-GB"/>
        </w:rPr>
        <w:t xml:space="preserve"> With the self-identification of oneself as member of an oppressed group seemingly predicated on a similar kind of false choice </w:t>
      </w:r>
      <w:r w:rsidR="006F6603">
        <w:rPr>
          <w:lang w:val="en-GB"/>
        </w:rPr>
        <w:t>–</w:t>
      </w:r>
      <w:r w:rsidRPr="0048465B">
        <w:rPr>
          <w:lang w:val="en-GB"/>
        </w:rPr>
        <w:t xml:space="preserve"> either overlook the hardships of one’s people or embrace one’s national/ethnic victimhood </w:t>
      </w:r>
      <w:r w:rsidR="006F6603">
        <w:rPr>
          <w:lang w:val="en-GB"/>
        </w:rPr>
        <w:t>–</w:t>
      </w:r>
      <w:r w:rsidRPr="0048465B">
        <w:rPr>
          <w:lang w:val="en-GB"/>
        </w:rPr>
        <w:t xml:space="preserve"> the embodiment of the victim position can appear to represent a source of power rather than one that obscures the role of the oppressor. Yet through subscribing to a competitive framework that aligns historical oppression and destitution with contemporary cultural prominence and influence, the potential for unity between historically oppressed people is diminished, as the validation of one’s own historical victimhood represents a more conducive means of gaining influence than the identification of oppressive patterns that may in fact underlie, and therefore validate, the victimisations of others as well as oneself. </w:t>
      </w:r>
    </w:p>
    <w:p w14:paraId="44237489" w14:textId="77777777" w:rsidR="00FC331F" w:rsidRPr="0048465B" w:rsidRDefault="00FC331F" w:rsidP="00FC331F">
      <w:pPr>
        <w:rPr>
          <w:lang w:val="en-GB"/>
        </w:rPr>
      </w:pPr>
    </w:p>
    <w:p w14:paraId="1F3A79D9" w14:textId="654250C9" w:rsidR="00FC331F" w:rsidRPr="0048465B" w:rsidRDefault="00FC331F" w:rsidP="00FC331F">
      <w:pPr>
        <w:rPr>
          <w:lang w:val="en-GB"/>
        </w:rPr>
      </w:pPr>
      <w:r w:rsidRPr="0048465B">
        <w:rPr>
          <w:lang w:val="en-GB"/>
        </w:rPr>
        <w:t xml:space="preserve">It is in the uncovering of such patterns that the </w:t>
      </w:r>
      <w:r w:rsidR="000F5B35">
        <w:rPr>
          <w:lang w:val="en-GB"/>
        </w:rPr>
        <w:t>proclaimed</w:t>
      </w:r>
      <w:r w:rsidRPr="0048465B">
        <w:rPr>
          <w:lang w:val="en-GB"/>
        </w:rPr>
        <w:t xml:space="preserve"> benefits of connective approaches to memory are found. </w:t>
      </w:r>
      <w:r w:rsidR="00F13356" w:rsidRPr="0048465B">
        <w:rPr>
          <w:lang w:val="en-GB"/>
        </w:rPr>
        <w:t>Whilst Hirsch’s postmemory aims to reconcile warring emotions across time,</w:t>
      </w:r>
      <w:r w:rsidR="00F13356">
        <w:rPr>
          <w:lang w:val="en-GB"/>
        </w:rPr>
        <w:t xml:space="preserve"> </w:t>
      </w:r>
      <w:r w:rsidR="00F13356" w:rsidRPr="0048465B">
        <w:rPr>
          <w:lang w:val="en-GB"/>
        </w:rPr>
        <w:t xml:space="preserve">such reconciliation in no way demands the same renunciation of traumatic ascendancy that </w:t>
      </w:r>
      <w:r w:rsidR="00F13356" w:rsidRPr="0048465B">
        <w:rPr>
          <w:lang w:val="en-GB"/>
        </w:rPr>
        <w:lastRenderedPageBreak/>
        <w:t>connective approaches encourage, and in many ways reinforces such notions due to its focus upon the enduring effects of a single event across multiple generations</w:t>
      </w:r>
      <w:r w:rsidR="00891D2E">
        <w:rPr>
          <w:lang w:val="en-GB"/>
        </w:rPr>
        <w:t xml:space="preserve"> of a single people</w:t>
      </w:r>
      <w:r w:rsidR="00F13356" w:rsidRPr="0048465B">
        <w:rPr>
          <w:lang w:val="en-GB"/>
        </w:rPr>
        <w:t xml:space="preserve">. </w:t>
      </w:r>
      <w:r w:rsidRPr="0048465B">
        <w:rPr>
          <w:lang w:val="en-GB"/>
        </w:rPr>
        <w:t xml:space="preserve">On the other hand, the </w:t>
      </w:r>
      <w:proofErr w:type="spellStart"/>
      <w:r w:rsidRPr="0048465B">
        <w:rPr>
          <w:lang w:val="en-GB"/>
        </w:rPr>
        <w:t>spatio</w:t>
      </w:r>
      <w:proofErr w:type="spellEnd"/>
      <w:r w:rsidRPr="0048465B">
        <w:rPr>
          <w:lang w:val="en-GB"/>
        </w:rPr>
        <w:t>-temporal focus provided by multidirectional and palimpsestic memory demands such compromises in order to reap its potential benefits, namely increased understanding of one</w:t>
      </w:r>
      <w:r w:rsidR="006E4B26">
        <w:rPr>
          <w:lang w:val="en-GB"/>
        </w:rPr>
        <w:t>’</w:t>
      </w:r>
      <w:r w:rsidRPr="0048465B">
        <w:rPr>
          <w:lang w:val="en-GB"/>
        </w:rPr>
        <w:t>s own suffering as well as that of others, and an understanding of how the interrelations between seemingly distant events can expose the unjust systems that engendered them. In both his monograph and in an essay published three years later, Rothberg identifies W. E. B</w:t>
      </w:r>
      <w:r w:rsidR="00296345">
        <w:rPr>
          <w:lang w:val="en-GB"/>
        </w:rPr>
        <w:t>.</w:t>
      </w:r>
      <w:r w:rsidRPr="0048465B">
        <w:rPr>
          <w:lang w:val="en-GB"/>
        </w:rPr>
        <w:t xml:space="preserve"> Du </w:t>
      </w:r>
      <w:proofErr w:type="spellStart"/>
      <w:r w:rsidRPr="0048465B">
        <w:rPr>
          <w:lang w:val="en-GB"/>
        </w:rPr>
        <w:t>Bois’</w:t>
      </w:r>
      <w:proofErr w:type="spellEnd"/>
      <w:r w:rsidRPr="0048465B">
        <w:rPr>
          <w:lang w:val="en-GB"/>
        </w:rPr>
        <w:t xml:space="preserve"> </w:t>
      </w:r>
      <w:r w:rsidRPr="0048465B">
        <w:rPr>
          <w:i/>
          <w:lang w:val="en-GB"/>
        </w:rPr>
        <w:t>The Negro and the Warsaw Ghetto</w:t>
      </w:r>
      <w:r w:rsidRPr="0048465B">
        <w:rPr>
          <w:lang w:val="en-GB"/>
        </w:rPr>
        <w:t xml:space="preserve"> </w:t>
      </w:r>
      <w:r w:rsidR="000F5B35">
        <w:rPr>
          <w:lang w:val="en-GB"/>
        </w:rPr>
        <w:t xml:space="preserve">(1952) </w:t>
      </w:r>
      <w:r w:rsidRPr="0048465B">
        <w:rPr>
          <w:lang w:val="en-GB"/>
        </w:rPr>
        <w:t xml:space="preserve">as an example of such benefits. Through Du </w:t>
      </w:r>
      <w:proofErr w:type="spellStart"/>
      <w:r w:rsidRPr="0048465B">
        <w:rPr>
          <w:lang w:val="en-GB"/>
        </w:rPr>
        <w:t>Bois’</w:t>
      </w:r>
      <w:proofErr w:type="spellEnd"/>
      <w:r w:rsidRPr="0048465B">
        <w:rPr>
          <w:lang w:val="en-GB"/>
        </w:rPr>
        <w:t xml:space="preserve"> re-articulation of double</w:t>
      </w:r>
      <w:r w:rsidR="00AB2B01">
        <w:rPr>
          <w:lang w:val="en-GB"/>
        </w:rPr>
        <w:t xml:space="preserve"> </w:t>
      </w:r>
      <w:r w:rsidRPr="0048465B">
        <w:rPr>
          <w:lang w:val="en-GB"/>
        </w:rPr>
        <w:t>consciousness</w:t>
      </w:r>
      <w:r w:rsidR="00AB2B01" w:rsidRPr="0048465B">
        <w:rPr>
          <w:vertAlign w:val="superscript"/>
          <w:lang w:val="en-GB"/>
        </w:rPr>
        <w:footnoteReference w:id="42"/>
      </w:r>
      <w:r w:rsidRPr="0048465B">
        <w:rPr>
          <w:lang w:val="en-GB"/>
        </w:rPr>
        <w:t xml:space="preserve"> after having visited the Warsaw </w:t>
      </w:r>
      <w:r w:rsidR="0027719D">
        <w:rPr>
          <w:lang w:val="en-GB"/>
        </w:rPr>
        <w:t>G</w:t>
      </w:r>
      <w:r w:rsidRPr="0048465B">
        <w:rPr>
          <w:lang w:val="en-GB"/>
        </w:rPr>
        <w:t xml:space="preserve">hetto, Rothberg understands Du </w:t>
      </w:r>
      <w:proofErr w:type="spellStart"/>
      <w:r w:rsidRPr="0048465B">
        <w:rPr>
          <w:lang w:val="en-GB"/>
        </w:rPr>
        <w:t>Bois</w:t>
      </w:r>
      <w:proofErr w:type="spellEnd"/>
      <w:r w:rsidRPr="0048465B">
        <w:rPr>
          <w:lang w:val="en-GB"/>
        </w:rPr>
        <w:t xml:space="preserve"> as having ‘demonstrate[d] how the other’s history and memory can serve as a source of renewal and reconfiguration for the self’.</w:t>
      </w:r>
      <w:r w:rsidRPr="0048465B">
        <w:rPr>
          <w:vertAlign w:val="superscript"/>
          <w:lang w:val="en-GB"/>
        </w:rPr>
        <w:footnoteReference w:id="43"/>
      </w:r>
      <w:r w:rsidRPr="0048465B">
        <w:rPr>
          <w:lang w:val="en-GB"/>
        </w:rPr>
        <w:t xml:space="preserve"> Here, according to Rothberg, double-consciousness has come to represent ‘a more general </w:t>
      </w:r>
      <w:r w:rsidRPr="0048465B">
        <w:rPr>
          <w:i/>
          <w:lang w:val="en-GB"/>
        </w:rPr>
        <w:t>form</w:t>
      </w:r>
      <w:r w:rsidRPr="0048465B">
        <w:rPr>
          <w:lang w:val="en-GB"/>
        </w:rPr>
        <w:t xml:space="preserve"> for the expression of particular relationships between minority and majority culture and between victimization and survival’,</w:t>
      </w:r>
      <w:r w:rsidRPr="0048465B">
        <w:rPr>
          <w:vertAlign w:val="superscript"/>
          <w:lang w:val="en-GB"/>
        </w:rPr>
        <w:footnoteReference w:id="44"/>
      </w:r>
      <w:r w:rsidRPr="0048465B">
        <w:rPr>
          <w:lang w:val="en-GB"/>
        </w:rPr>
        <w:t xml:space="preserve"> no longer exclusively associated with the plight of black Americans with which Du </w:t>
      </w:r>
      <w:proofErr w:type="spellStart"/>
      <w:r w:rsidRPr="0048465B">
        <w:rPr>
          <w:lang w:val="en-GB"/>
        </w:rPr>
        <w:t>Bois</w:t>
      </w:r>
      <w:proofErr w:type="spellEnd"/>
      <w:r w:rsidRPr="0048465B">
        <w:rPr>
          <w:lang w:val="en-GB"/>
        </w:rPr>
        <w:t xml:space="preserve"> originally concerned himself.</w:t>
      </w:r>
    </w:p>
    <w:p w14:paraId="216137A6" w14:textId="77777777" w:rsidR="00FC331F" w:rsidRPr="0048465B" w:rsidRDefault="00FC331F" w:rsidP="00FC331F">
      <w:pPr>
        <w:rPr>
          <w:lang w:val="en-GB"/>
        </w:rPr>
      </w:pPr>
    </w:p>
    <w:p w14:paraId="29A0AF87" w14:textId="68A81CDE" w:rsidR="00FC331F" w:rsidRPr="0048465B" w:rsidRDefault="00FC331F" w:rsidP="00FC331F">
      <w:pPr>
        <w:rPr>
          <w:lang w:val="en-GB"/>
        </w:rPr>
      </w:pPr>
      <w:r w:rsidRPr="0048465B">
        <w:rPr>
          <w:lang w:val="en-GB"/>
        </w:rPr>
        <w:t>If we consent to such an ideology</w:t>
      </w:r>
      <w:r w:rsidR="00C678FA">
        <w:rPr>
          <w:lang w:val="en-GB"/>
        </w:rPr>
        <w:t xml:space="preserve"> of sharing</w:t>
      </w:r>
      <w:r w:rsidRPr="0048465B">
        <w:rPr>
          <w:lang w:val="en-GB"/>
        </w:rPr>
        <w:t xml:space="preserve"> it is not difficult to determine that, whilst temporally abstracted from one another, the most basic of connections exist between the original subjects of Du </w:t>
      </w:r>
      <w:proofErr w:type="spellStart"/>
      <w:r w:rsidRPr="0048465B">
        <w:rPr>
          <w:lang w:val="en-GB"/>
        </w:rPr>
        <w:t>Bois’</w:t>
      </w:r>
      <w:proofErr w:type="spellEnd"/>
      <w:r w:rsidRPr="0048465B">
        <w:rPr>
          <w:lang w:val="en-GB"/>
        </w:rPr>
        <w:t xml:space="preserve"> </w:t>
      </w:r>
      <w:r w:rsidR="00F13356" w:rsidRPr="0048465B">
        <w:rPr>
          <w:lang w:val="en-GB"/>
        </w:rPr>
        <w:t>double consciousness</w:t>
      </w:r>
      <w:r w:rsidRPr="0048465B">
        <w:rPr>
          <w:lang w:val="en-GB"/>
        </w:rPr>
        <w:t xml:space="preserve">: black people circa 1903, and its adoptive subjects in </w:t>
      </w:r>
      <w:r w:rsidRPr="0048465B">
        <w:rPr>
          <w:i/>
          <w:lang w:val="en-GB"/>
        </w:rPr>
        <w:t>The Negro and the Warsaw Ghetto</w:t>
      </w:r>
      <w:r w:rsidRPr="0048465B">
        <w:rPr>
          <w:lang w:val="en-GB"/>
        </w:rPr>
        <w:t xml:space="preserve">, ghettoised Jews in the time of the Second World War. Both groups were </w:t>
      </w:r>
      <w:r w:rsidRPr="0048465B">
        <w:rPr>
          <w:lang w:val="en-GB"/>
        </w:rPr>
        <w:lastRenderedPageBreak/>
        <w:t xml:space="preserve">minorities subject to intense discrimination from the respective dominant regimes of their times. Both were victims of laws that enforced racial or ethno-religious segregation. Both had reductive and caricatured identities forced upon them through the prejudices of others. </w:t>
      </w:r>
    </w:p>
    <w:p w14:paraId="147A87D1" w14:textId="77777777" w:rsidR="00FC331F" w:rsidRPr="0048465B" w:rsidRDefault="00FC331F" w:rsidP="00FC331F">
      <w:pPr>
        <w:rPr>
          <w:lang w:val="en-GB"/>
        </w:rPr>
      </w:pPr>
    </w:p>
    <w:p w14:paraId="3BB91220" w14:textId="3E3B207D" w:rsidR="00FC331F" w:rsidRPr="0048465B" w:rsidRDefault="00FC331F" w:rsidP="00FC331F">
      <w:pPr>
        <w:rPr>
          <w:lang w:val="en-GB"/>
        </w:rPr>
      </w:pPr>
      <w:r w:rsidRPr="0048465B">
        <w:rPr>
          <w:lang w:val="en-GB"/>
        </w:rPr>
        <w:t xml:space="preserve">Indeed, Du </w:t>
      </w:r>
      <w:proofErr w:type="spellStart"/>
      <w:r w:rsidRPr="0048465B">
        <w:rPr>
          <w:lang w:val="en-GB"/>
        </w:rPr>
        <w:t>Bois’</w:t>
      </w:r>
      <w:proofErr w:type="spellEnd"/>
      <w:r w:rsidRPr="0048465B">
        <w:rPr>
          <w:lang w:val="en-GB"/>
        </w:rPr>
        <w:t xml:space="preserve"> original understanding of the </w:t>
      </w:r>
      <w:r w:rsidR="00F13356" w:rsidRPr="0048465B">
        <w:rPr>
          <w:lang w:val="en-GB"/>
        </w:rPr>
        <w:t>double consciousness</w:t>
      </w:r>
      <w:r w:rsidRPr="0048465B">
        <w:rPr>
          <w:lang w:val="en-GB"/>
        </w:rPr>
        <w:t xml:space="preserve"> of the black Americans, as analysed by Rothberg, and Derrida’s description of Jewishness as explored by Silverman</w:t>
      </w:r>
      <w:r w:rsidR="0019028E">
        <w:rPr>
          <w:lang w:val="en-GB"/>
        </w:rPr>
        <w:t>,</w:t>
      </w:r>
      <w:r w:rsidRPr="0048465B">
        <w:rPr>
          <w:lang w:val="en-GB"/>
        </w:rPr>
        <w:t xml:space="preserve"> share clear similarities. Du </w:t>
      </w:r>
      <w:proofErr w:type="spellStart"/>
      <w:r w:rsidRPr="0048465B">
        <w:rPr>
          <w:lang w:val="en-GB"/>
        </w:rPr>
        <w:t>Bois</w:t>
      </w:r>
      <w:proofErr w:type="spellEnd"/>
      <w:r w:rsidRPr="0048465B">
        <w:rPr>
          <w:lang w:val="en-GB"/>
        </w:rPr>
        <w:t xml:space="preserve"> describes the experience of the ‘American Negro’ as a ‘sense of always looking at one</w:t>
      </w:r>
      <w:r w:rsidR="00EA038B">
        <w:rPr>
          <w:lang w:val="en-GB"/>
        </w:rPr>
        <w:t>’</w:t>
      </w:r>
      <w:r w:rsidRPr="0048465B">
        <w:rPr>
          <w:lang w:val="en-GB"/>
        </w:rPr>
        <w:t>s self through the eyes of others</w:t>
      </w:r>
      <w:r w:rsidR="000C3FB4">
        <w:rPr>
          <w:lang w:val="en-GB"/>
        </w:rPr>
        <w:t xml:space="preserve"> [… </w:t>
      </w:r>
      <w:r w:rsidRPr="0048465B">
        <w:rPr>
          <w:lang w:val="en-GB"/>
        </w:rPr>
        <w:t>and of</w:t>
      </w:r>
      <w:r w:rsidR="000C3FB4">
        <w:rPr>
          <w:lang w:val="en-GB"/>
        </w:rPr>
        <w:t xml:space="preserve"> …</w:t>
      </w:r>
      <w:r w:rsidRPr="0048465B">
        <w:rPr>
          <w:lang w:val="en-GB"/>
        </w:rPr>
        <w:t>] two-ness</w:t>
      </w:r>
      <w:r w:rsidR="000C3FB4">
        <w:rPr>
          <w:lang w:val="en-GB"/>
        </w:rPr>
        <w:t xml:space="preserve"> […] </w:t>
      </w:r>
      <w:r w:rsidRPr="0048465B">
        <w:rPr>
          <w:lang w:val="en-GB"/>
        </w:rPr>
        <w:t>an American, a Negro; two souls, two thoughts, two unreconciled strivings; two warring ideals in one dark body’,</w:t>
      </w:r>
      <w:r w:rsidRPr="0048465B">
        <w:rPr>
          <w:vertAlign w:val="superscript"/>
          <w:lang w:val="en-GB"/>
        </w:rPr>
        <w:footnoteReference w:id="45"/>
      </w:r>
      <w:r w:rsidRPr="0048465B">
        <w:rPr>
          <w:lang w:val="en-GB"/>
        </w:rPr>
        <w:t xml:space="preserve"> highlighting an acute struggle between subjective individuality, and self-objectification. Rothberg’s description of Du </w:t>
      </w:r>
      <w:proofErr w:type="spellStart"/>
      <w:r w:rsidRPr="0048465B">
        <w:rPr>
          <w:lang w:val="en-GB"/>
        </w:rPr>
        <w:t>Bois’</w:t>
      </w:r>
      <w:proofErr w:type="spellEnd"/>
      <w:r w:rsidRPr="0048465B">
        <w:rPr>
          <w:lang w:val="en-GB"/>
        </w:rPr>
        <w:t xml:space="preserve"> double-consciousness as an ‘inside/outside position vis-à-vis dominant culture’,</w:t>
      </w:r>
      <w:r w:rsidRPr="0048465B">
        <w:rPr>
          <w:vertAlign w:val="superscript"/>
          <w:lang w:val="en-GB"/>
        </w:rPr>
        <w:footnoteReference w:id="46"/>
      </w:r>
      <w:r w:rsidRPr="0048465B">
        <w:rPr>
          <w:lang w:val="en-GB"/>
        </w:rPr>
        <w:t xml:space="preserve"> shares the same features as Derrida’s views on Jewish identity, represented by Silverman as being caught in ‘a no-man’s land between belonging and exclusion’.</w:t>
      </w:r>
      <w:r w:rsidRPr="0048465B">
        <w:rPr>
          <w:vertAlign w:val="superscript"/>
          <w:lang w:val="en-GB"/>
        </w:rPr>
        <w:footnoteReference w:id="47"/>
      </w:r>
      <w:r w:rsidRPr="0048465B">
        <w:rPr>
          <w:lang w:val="en-GB"/>
        </w:rPr>
        <w:t xml:space="preserve"> Whilst Derrida references other identities in his analysis of his own, his acknowledgement of them serves to establish difference, rather than unity. Connective approaches to memory, however, attempt to create a space wherein Du </w:t>
      </w:r>
      <w:proofErr w:type="spellStart"/>
      <w:r w:rsidRPr="0048465B">
        <w:rPr>
          <w:lang w:val="en-GB"/>
        </w:rPr>
        <w:t>Bois’</w:t>
      </w:r>
      <w:proofErr w:type="spellEnd"/>
      <w:r w:rsidRPr="0048465B">
        <w:rPr>
          <w:lang w:val="en-GB"/>
        </w:rPr>
        <w:t xml:space="preserve"> theorisation of the complexity of black minority consciousness could aid Jewish introspections on Jewish identity in the gentile world, providing </w:t>
      </w:r>
      <w:r w:rsidR="00935811">
        <w:rPr>
          <w:lang w:val="en-GB"/>
        </w:rPr>
        <w:t>Jews</w:t>
      </w:r>
      <w:r w:rsidRPr="0048465B">
        <w:rPr>
          <w:lang w:val="en-GB"/>
        </w:rPr>
        <w:t xml:space="preserve"> with a similar foundation upon which to base these explorations, and a pre-existing body of study to analyse and survey for parallels. In theory, therefore, Derrida’s thoughts could serve the very same purpose for black people in the United States, both in the 1900s and today.</w:t>
      </w:r>
    </w:p>
    <w:p w14:paraId="45F92E1E" w14:textId="77777777" w:rsidR="00FC331F" w:rsidRPr="0048465B" w:rsidRDefault="00FC331F" w:rsidP="00FC331F">
      <w:pPr>
        <w:rPr>
          <w:lang w:val="en-GB"/>
        </w:rPr>
      </w:pPr>
    </w:p>
    <w:p w14:paraId="036AFC3C" w14:textId="0932647E" w:rsidR="00FC331F" w:rsidRPr="0048465B" w:rsidRDefault="00FC331F" w:rsidP="00FC331F">
      <w:pPr>
        <w:rPr>
          <w:lang w:val="en-GB"/>
        </w:rPr>
      </w:pPr>
      <w:r w:rsidRPr="0048465B">
        <w:rPr>
          <w:lang w:val="en-GB"/>
        </w:rPr>
        <w:t xml:space="preserve">There are, however, risks with any theory that invites multiple traumatic events and the memories and emotions that they elicit into a single space. </w:t>
      </w:r>
      <w:r w:rsidR="00AB2B01">
        <w:rPr>
          <w:lang w:val="en-GB"/>
        </w:rPr>
        <w:t>T</w:t>
      </w:r>
      <w:r w:rsidRPr="0048465B">
        <w:rPr>
          <w:lang w:val="en-GB"/>
        </w:rPr>
        <w:t>he zero-sum mentality that Rothberg mentions is born not solely of a struggle for pre-eminence, but – as Rothberg, Silverman, and Hirsch all note – also arises from the genuine fear that one’s own experience may be</w:t>
      </w:r>
      <w:r w:rsidR="00935811">
        <w:rPr>
          <w:lang w:val="en-GB"/>
        </w:rPr>
        <w:t xml:space="preserve"> hopelessly generalised</w:t>
      </w:r>
      <w:r w:rsidRPr="0048465B">
        <w:rPr>
          <w:lang w:val="en-GB"/>
        </w:rPr>
        <w:t xml:space="preserve">. </w:t>
      </w:r>
      <w:r w:rsidR="00F13356" w:rsidRPr="0048465B">
        <w:rPr>
          <w:lang w:val="en-GB"/>
        </w:rPr>
        <w:t>Silverman argues that this fear is derived from the degeneration of the ‘universal narratives’ of colonialism that enabled and supported European control over the majority of the world, and the subsequent emergence of voices that had previously been rendered silent.</w:t>
      </w:r>
      <w:r w:rsidR="00AB2B01" w:rsidRPr="0048465B">
        <w:rPr>
          <w:vertAlign w:val="superscript"/>
          <w:lang w:val="en-GB"/>
        </w:rPr>
        <w:footnoteReference w:id="48"/>
      </w:r>
      <w:r w:rsidR="00F13356" w:rsidRPr="0048465B">
        <w:rPr>
          <w:lang w:val="en-GB"/>
        </w:rPr>
        <w:t xml:space="preserve"> </w:t>
      </w:r>
      <w:r w:rsidRPr="0048465B">
        <w:rPr>
          <w:lang w:val="en-GB"/>
        </w:rPr>
        <w:t>Silverman</w:t>
      </w:r>
      <w:r w:rsidR="00AB2B01">
        <w:rPr>
          <w:lang w:val="en-GB"/>
        </w:rPr>
        <w:t>’s</w:t>
      </w:r>
      <w:r w:rsidRPr="0048465B">
        <w:rPr>
          <w:lang w:val="en-GB"/>
        </w:rPr>
        <w:t xml:space="preserve"> sugges</w:t>
      </w:r>
      <w:r w:rsidR="00AB2B01">
        <w:rPr>
          <w:lang w:val="en-GB"/>
        </w:rPr>
        <w:t>tion</w:t>
      </w:r>
      <w:r w:rsidRPr="0048465B">
        <w:rPr>
          <w:lang w:val="en-GB"/>
        </w:rPr>
        <w:t xml:space="preserve"> that the emergence of these voices has ‘ushered in a new politics of memory which is premised predominantly on the ethno-cultural identity of the group’,</w:t>
      </w:r>
      <w:r w:rsidRPr="0048465B">
        <w:rPr>
          <w:vertAlign w:val="superscript"/>
          <w:lang w:val="en-GB"/>
        </w:rPr>
        <w:footnoteReference w:id="49"/>
      </w:r>
      <w:r w:rsidRPr="0048465B">
        <w:rPr>
          <w:lang w:val="en-GB"/>
        </w:rPr>
        <w:t xml:space="preserve"> aligns with Rothberg’s assertion that those who struggle for pre-eminence often do so because they believe that ‘a direct line runs between remembrance of the past and the formation of identity in the present</w:t>
      </w:r>
      <w:r w:rsidR="000C3FB4">
        <w:rPr>
          <w:lang w:val="en-GB"/>
        </w:rPr>
        <w:t xml:space="preserve"> […] </w:t>
      </w:r>
      <w:r w:rsidRPr="0048465B">
        <w:rPr>
          <w:lang w:val="en-GB"/>
        </w:rPr>
        <w:t>[and that] the articulation of the past in collective memory</w:t>
      </w:r>
      <w:r w:rsidR="000C3FB4">
        <w:rPr>
          <w:lang w:val="en-GB"/>
        </w:rPr>
        <w:t xml:space="preserve"> […] </w:t>
      </w:r>
      <w:r w:rsidRPr="0048465B">
        <w:rPr>
          <w:lang w:val="en-GB"/>
        </w:rPr>
        <w:t>is closely allied with the potential for deadly violence’.</w:t>
      </w:r>
      <w:r w:rsidRPr="0048465B">
        <w:rPr>
          <w:vertAlign w:val="superscript"/>
          <w:lang w:val="en-GB"/>
        </w:rPr>
        <w:footnoteReference w:id="50"/>
      </w:r>
      <w:r w:rsidRPr="0048465B">
        <w:rPr>
          <w:lang w:val="en-GB"/>
        </w:rPr>
        <w:t xml:space="preserve"> This potential violence is founded upon the perceived risk of the de-specification of the individual group’s suffering, and the consequent invisibility, voicelessness, and non-specificity that this de-specification is perceived as inducing. With the majority of the nations colonised by Europeans still in their first century of sovereignty </w:t>
      </w:r>
      <w:r w:rsidR="006F6603">
        <w:rPr>
          <w:lang w:val="en-GB"/>
        </w:rPr>
        <w:t>–</w:t>
      </w:r>
      <w:r w:rsidRPr="0048465B">
        <w:rPr>
          <w:lang w:val="en-GB"/>
        </w:rPr>
        <w:t xml:space="preserve"> albeit a sovereignty often shaped and overseen by the original colonists </w:t>
      </w:r>
      <w:r w:rsidR="006F6603">
        <w:rPr>
          <w:lang w:val="en-GB"/>
        </w:rPr>
        <w:t>–</w:t>
      </w:r>
      <w:r w:rsidRPr="0048465B">
        <w:rPr>
          <w:lang w:val="en-GB"/>
        </w:rPr>
        <w:t xml:space="preserve"> to renounce full control of one’s national narrative and the meaning therein </w:t>
      </w:r>
      <w:r w:rsidR="00CC2F8B">
        <w:rPr>
          <w:lang w:val="en-GB"/>
        </w:rPr>
        <w:t>remains</w:t>
      </w:r>
      <w:r w:rsidRPr="0048465B">
        <w:rPr>
          <w:lang w:val="en-GB"/>
        </w:rPr>
        <w:t xml:space="preserve"> strongly aligned with a time when expressions of indigenous nationality were repressed in favour of supposedly superior European ideals.</w:t>
      </w:r>
    </w:p>
    <w:p w14:paraId="3A5B3A47" w14:textId="77777777" w:rsidR="00FC331F" w:rsidRPr="0048465B" w:rsidRDefault="00FC331F" w:rsidP="00FC331F">
      <w:pPr>
        <w:rPr>
          <w:lang w:val="en-GB"/>
        </w:rPr>
      </w:pPr>
    </w:p>
    <w:p w14:paraId="58D77D46" w14:textId="7492BB94" w:rsidR="00FC331F" w:rsidRPr="0048465B" w:rsidRDefault="00FC331F" w:rsidP="00FC331F">
      <w:pPr>
        <w:rPr>
          <w:lang w:val="en-GB"/>
        </w:rPr>
      </w:pPr>
      <w:r w:rsidRPr="0048465B">
        <w:rPr>
          <w:lang w:val="en-GB"/>
        </w:rPr>
        <w:lastRenderedPageBreak/>
        <w:t>Here, the desegregation of memories that are felt to most closely connect an individual to their ethno-cultural identity, and the incorporation of these memories into a collective and interconnected space wherein unequivocal claims to specificity are suspended, is associated with a number of potentially negative consequences. These range from the loss of claims to national identity altogether, to the use of a given event ‘as [a] touchstone’</w:t>
      </w:r>
      <w:r w:rsidRPr="0048465B">
        <w:rPr>
          <w:vertAlign w:val="superscript"/>
          <w:lang w:val="en-GB"/>
        </w:rPr>
        <w:footnoteReference w:id="51"/>
      </w:r>
      <w:r w:rsidRPr="0048465B">
        <w:rPr>
          <w:lang w:val="en-GB"/>
        </w:rPr>
        <w:t>, provoking ‘competition over suffering’,</w:t>
      </w:r>
      <w:r w:rsidRPr="0048465B">
        <w:rPr>
          <w:vertAlign w:val="superscript"/>
          <w:lang w:val="en-GB"/>
        </w:rPr>
        <w:footnoteReference w:id="52"/>
      </w:r>
      <w:r w:rsidRPr="0048465B">
        <w:rPr>
          <w:lang w:val="en-GB"/>
        </w:rPr>
        <w:t xml:space="preserve"> ‘devaluing [the] status’ of the event referenced, and even being seen as ‘dangerous revisionism’.</w:t>
      </w:r>
      <w:r w:rsidRPr="0048465B">
        <w:rPr>
          <w:vertAlign w:val="superscript"/>
          <w:lang w:val="en-GB"/>
        </w:rPr>
        <w:footnoteReference w:id="53"/>
      </w:r>
      <w:r w:rsidRPr="0048465B">
        <w:rPr>
          <w:lang w:val="en-GB"/>
        </w:rPr>
        <w:t xml:space="preserve"> Whilst this is clearly not the intention of Rothberg, Silverman, or Hirsch, they all remain aware of the legitimacy of these concerns, not least because there are in fact historical precedents for such concerns. </w:t>
      </w:r>
      <w:r w:rsidR="00F13356" w:rsidRPr="0048465B">
        <w:rPr>
          <w:lang w:val="en-GB"/>
        </w:rPr>
        <w:t xml:space="preserve">Silverman picks out the argument of the lawyer Jacques </w:t>
      </w:r>
      <w:proofErr w:type="spellStart"/>
      <w:r w:rsidR="00F13356" w:rsidRPr="0048465B">
        <w:rPr>
          <w:lang w:val="en-GB"/>
        </w:rPr>
        <w:t>Verg</w:t>
      </w:r>
      <w:r w:rsidR="00F13356">
        <w:rPr>
          <w:lang w:val="en-GB"/>
        </w:rPr>
        <w:t>è</w:t>
      </w:r>
      <w:r w:rsidR="00F13356" w:rsidRPr="0048465B">
        <w:rPr>
          <w:lang w:val="en-GB"/>
        </w:rPr>
        <w:t>s</w:t>
      </w:r>
      <w:proofErr w:type="spellEnd"/>
      <w:r w:rsidR="00F13356" w:rsidRPr="0048465B">
        <w:rPr>
          <w:lang w:val="en-GB"/>
        </w:rPr>
        <w:t xml:space="preserve"> when defending SS and Gestapo functionary Klaus Barbie at trial; </w:t>
      </w:r>
      <w:proofErr w:type="spellStart"/>
      <w:r w:rsidR="00F13356" w:rsidRPr="0048465B">
        <w:rPr>
          <w:lang w:val="en-GB"/>
        </w:rPr>
        <w:t>Verg</w:t>
      </w:r>
      <w:r w:rsidR="00F13356">
        <w:rPr>
          <w:lang w:val="en-GB"/>
        </w:rPr>
        <w:t>è</w:t>
      </w:r>
      <w:r w:rsidR="00F13356" w:rsidRPr="0048465B">
        <w:rPr>
          <w:lang w:val="en-GB"/>
        </w:rPr>
        <w:t>s</w:t>
      </w:r>
      <w:proofErr w:type="spellEnd"/>
      <w:r w:rsidR="00F13356" w:rsidRPr="0048465B">
        <w:rPr>
          <w:lang w:val="en-GB"/>
        </w:rPr>
        <w:t xml:space="preserve"> arguing that there was ‘an equivalence between Barbie’s crimes and those of France as a colonial power in Algeria’</w:t>
      </w:r>
      <w:r w:rsidR="00935811">
        <w:rPr>
          <w:lang w:val="en-GB"/>
        </w:rPr>
        <w:t xml:space="preserve">, </w:t>
      </w:r>
      <w:r w:rsidR="00CE6EDF">
        <w:rPr>
          <w:lang w:val="en-GB"/>
        </w:rPr>
        <w:t>that since both Barbie and the French state had committed crimes against humanity, Barbie was beyond the reproach of the French state</w:t>
      </w:r>
      <w:r w:rsidR="00F13356" w:rsidRPr="0048465B">
        <w:rPr>
          <w:lang w:val="en-GB"/>
        </w:rPr>
        <w:t>.</w:t>
      </w:r>
      <w:r w:rsidR="00F13356" w:rsidRPr="0048465B">
        <w:rPr>
          <w:vertAlign w:val="superscript"/>
          <w:lang w:val="en-GB"/>
        </w:rPr>
        <w:footnoteReference w:id="54"/>
      </w:r>
      <w:r w:rsidR="00F13356" w:rsidRPr="0048465B">
        <w:rPr>
          <w:lang w:val="en-GB"/>
        </w:rPr>
        <w:t xml:space="preserve"> Supporting another of the above claims, the prolific author and philosopher Alain </w:t>
      </w:r>
      <w:proofErr w:type="spellStart"/>
      <w:r w:rsidR="00F13356" w:rsidRPr="0048465B">
        <w:rPr>
          <w:lang w:val="en-GB"/>
        </w:rPr>
        <w:t>Finkielkraut</w:t>
      </w:r>
      <w:proofErr w:type="spellEnd"/>
      <w:r w:rsidR="00F13356" w:rsidRPr="0048465B">
        <w:rPr>
          <w:lang w:val="en-GB"/>
        </w:rPr>
        <w:t xml:space="preserve"> has argued that the use of the Holocaust as a metaphor and its reduction to a ‘“few majestic words, </w:t>
      </w:r>
      <w:r w:rsidR="00F13356" w:rsidRPr="0048465B">
        <w:rPr>
          <w:i/>
          <w:lang w:val="en-GB"/>
        </w:rPr>
        <w:t>Auschwitz, Holocaust,</w:t>
      </w:r>
      <w:r w:rsidR="00F13356" w:rsidRPr="0048465B">
        <w:rPr>
          <w:lang w:val="en-GB"/>
        </w:rPr>
        <w:t xml:space="preserve"> the </w:t>
      </w:r>
      <w:r w:rsidR="00F13356" w:rsidRPr="0048465B">
        <w:rPr>
          <w:i/>
          <w:lang w:val="en-GB"/>
        </w:rPr>
        <w:t>Six Million</w:t>
      </w:r>
      <w:r w:rsidR="00F13356" w:rsidRPr="0048465B">
        <w:rPr>
          <w:lang w:val="en-GB"/>
        </w:rPr>
        <w:t>”’ has trivialised and diminished the meaning of the Holocaust ‘as a warning’.</w:t>
      </w:r>
      <w:r w:rsidR="00F13356" w:rsidRPr="0048465B">
        <w:rPr>
          <w:vertAlign w:val="superscript"/>
          <w:lang w:val="en-GB"/>
        </w:rPr>
        <w:footnoteReference w:id="55"/>
      </w:r>
      <w:r w:rsidR="00F13356" w:rsidRPr="0048465B">
        <w:rPr>
          <w:lang w:val="en-GB"/>
        </w:rPr>
        <w:t xml:space="preserve"> On the other end of the same spectrum, the use of the Holocaust as metaphor can be seen to confer exceptional status upon it, a status that can obscure the reality that it was an atrocity that was enacted upon humans </w:t>
      </w:r>
      <w:r w:rsidR="006F6603">
        <w:rPr>
          <w:lang w:val="en-GB"/>
        </w:rPr>
        <w:t>–</w:t>
      </w:r>
      <w:r w:rsidR="00F13356" w:rsidRPr="0048465B">
        <w:rPr>
          <w:lang w:val="en-GB"/>
        </w:rPr>
        <w:t xml:space="preserve"> primarily Jews </w:t>
      </w:r>
      <w:r w:rsidR="006F6603">
        <w:rPr>
          <w:lang w:val="en-GB"/>
        </w:rPr>
        <w:t>–</w:t>
      </w:r>
      <w:r w:rsidR="00F13356" w:rsidRPr="0048465B">
        <w:rPr>
          <w:lang w:val="en-GB"/>
        </w:rPr>
        <w:t xml:space="preserve"> by other humans </w:t>
      </w:r>
      <w:r w:rsidR="006F6603">
        <w:rPr>
          <w:lang w:val="en-GB"/>
        </w:rPr>
        <w:t>–</w:t>
      </w:r>
      <w:r w:rsidR="00F13356" w:rsidRPr="0048465B">
        <w:rPr>
          <w:lang w:val="en-GB"/>
        </w:rPr>
        <w:t xml:space="preserve"> </w:t>
      </w:r>
      <w:r w:rsidR="00C64CB3">
        <w:rPr>
          <w:lang w:val="en-GB"/>
        </w:rPr>
        <w:t xml:space="preserve">primarily </w:t>
      </w:r>
      <w:r w:rsidR="00F13356" w:rsidRPr="0048465B">
        <w:rPr>
          <w:lang w:val="en-GB"/>
        </w:rPr>
        <w:t xml:space="preserve">members of the Nazi party </w:t>
      </w:r>
      <w:r w:rsidR="006F6603">
        <w:rPr>
          <w:lang w:val="en-GB"/>
        </w:rPr>
        <w:t>–</w:t>
      </w:r>
      <w:r w:rsidR="00F13356" w:rsidRPr="0048465B">
        <w:rPr>
          <w:lang w:val="en-GB"/>
        </w:rPr>
        <w:t xml:space="preserve"> and thus remains an event that</w:t>
      </w:r>
      <w:r w:rsidR="000A6BB0" w:rsidRPr="000A6BB0">
        <w:rPr>
          <w:lang w:val="en-GB"/>
        </w:rPr>
        <w:t xml:space="preserve"> </w:t>
      </w:r>
      <w:r w:rsidR="000A6BB0" w:rsidRPr="0048465B">
        <w:rPr>
          <w:lang w:val="en-GB"/>
        </w:rPr>
        <w:t xml:space="preserve">very much </w:t>
      </w:r>
      <w:r w:rsidR="000A6BB0" w:rsidRPr="0048465B">
        <w:rPr>
          <w:lang w:val="en-GB"/>
        </w:rPr>
        <w:lastRenderedPageBreak/>
        <w:t>exists within the realms of human agency</w:t>
      </w:r>
      <w:r w:rsidR="00F13356" w:rsidRPr="0048465B">
        <w:rPr>
          <w:lang w:val="en-GB"/>
        </w:rPr>
        <w:t xml:space="preserve">, despite the inhumanity of the acts that occurred within it. </w:t>
      </w:r>
      <w:r w:rsidRPr="0048465B">
        <w:rPr>
          <w:lang w:val="en-GB"/>
        </w:rPr>
        <w:t xml:space="preserve">In drawing imprecise and decontextualised equivalences between the Holocaust and other historical events, however, the historical specificity of the Holocaust is belittled, and even those analogies that are intended productively and affirmatively risk being </w:t>
      </w:r>
      <w:r w:rsidR="00C64CB3">
        <w:rPr>
          <w:lang w:val="en-GB"/>
        </w:rPr>
        <w:t>perceived</w:t>
      </w:r>
      <w:r w:rsidRPr="0048465B">
        <w:rPr>
          <w:lang w:val="en-GB"/>
        </w:rPr>
        <w:t xml:space="preserve"> in a negative light.</w:t>
      </w:r>
    </w:p>
    <w:p w14:paraId="5DEDCB35" w14:textId="77777777" w:rsidR="00FC331F" w:rsidRPr="0048465B" w:rsidRDefault="00FC331F" w:rsidP="00FC331F">
      <w:pPr>
        <w:rPr>
          <w:lang w:val="en-GB"/>
        </w:rPr>
      </w:pPr>
    </w:p>
    <w:p w14:paraId="069995DC" w14:textId="20C9DD99" w:rsidR="00FC331F" w:rsidRPr="0048465B" w:rsidRDefault="00FC331F" w:rsidP="00FC331F">
      <w:pPr>
        <w:rPr>
          <w:lang w:val="en-GB"/>
        </w:rPr>
      </w:pPr>
      <w:r w:rsidRPr="0048465B">
        <w:rPr>
          <w:lang w:val="en-GB"/>
        </w:rPr>
        <w:t xml:space="preserve">Rothberg posits that multidirectional memory is able to avoid the potential competition and aggravation that such comparisons can provoke, and both </w:t>
      </w:r>
      <w:r w:rsidR="000D29BC">
        <w:rPr>
          <w:lang w:val="en-GB"/>
        </w:rPr>
        <w:t xml:space="preserve">he and </w:t>
      </w:r>
      <w:r w:rsidRPr="0048465B">
        <w:rPr>
          <w:lang w:val="en-GB"/>
        </w:rPr>
        <w:t>Silverman explain their thinking through comparative analyses of their own notions of connective memory and Sigmund Freud’s screen memory. Similar to both multidirectional memory and palimpsestic memory, screen memory</w:t>
      </w:r>
      <w:r w:rsidR="000A6BB0">
        <w:rPr>
          <w:lang w:val="en-GB"/>
        </w:rPr>
        <w:t>,</w:t>
      </w:r>
      <w:r w:rsidRPr="0048465B">
        <w:rPr>
          <w:lang w:val="en-GB"/>
        </w:rPr>
        <w:t xml:space="preserve"> a term coined by Freud</w:t>
      </w:r>
      <w:r w:rsidR="000A6BB0">
        <w:rPr>
          <w:lang w:val="en-GB"/>
        </w:rPr>
        <w:t>,</w:t>
      </w:r>
      <w:r w:rsidRPr="0048465B">
        <w:rPr>
          <w:lang w:val="en-GB"/>
        </w:rPr>
        <w:t xml:space="preserve"> is described by Silverman as taking place when ‘one memory is a substitute for another more troubling experience</w:t>
      </w:r>
      <w:r w:rsidR="000C3FB4">
        <w:rPr>
          <w:lang w:val="en-GB"/>
        </w:rPr>
        <w:t xml:space="preserve"> […] </w:t>
      </w:r>
      <w:r w:rsidRPr="0048465B">
        <w:rPr>
          <w:lang w:val="en-GB"/>
        </w:rPr>
        <w:t>[a phenomenon that] comes about through a complex process of condensation and displacement which connects the initial trauma and its substitute’.</w:t>
      </w:r>
      <w:r w:rsidRPr="0048465B">
        <w:rPr>
          <w:vertAlign w:val="superscript"/>
          <w:lang w:val="en-GB"/>
        </w:rPr>
        <w:footnoteReference w:id="56"/>
      </w:r>
      <w:r w:rsidRPr="0048465B">
        <w:rPr>
          <w:lang w:val="en-GB"/>
        </w:rPr>
        <w:t xml:space="preserve"> Initially used by Freud in relation to childhood memories, Rothberg expands upon this concept in an attempt to challenge those who affirm ‘the Holocaust’s alleged domination of the spheres of collective memory’,</w:t>
      </w:r>
      <w:r w:rsidRPr="0048465B">
        <w:rPr>
          <w:vertAlign w:val="superscript"/>
          <w:lang w:val="en-GB"/>
        </w:rPr>
        <w:footnoteReference w:id="57"/>
      </w:r>
      <w:r w:rsidRPr="0048465B">
        <w:rPr>
          <w:lang w:val="en-GB"/>
        </w:rPr>
        <w:t xml:space="preserve"> doing so by exploring screen memory within the context of contemporary American interaction with the Holocaust. He argues that Freud’s theory provides new understandings of such interactions, highlighting that ‘memory of the Holocaust doesn’t simply compete with that of other pasts, but provides</w:t>
      </w:r>
      <w:r w:rsidR="000C3FB4">
        <w:rPr>
          <w:lang w:val="en-GB"/>
        </w:rPr>
        <w:t xml:space="preserve"> […] </w:t>
      </w:r>
      <w:r w:rsidRPr="0048465B">
        <w:rPr>
          <w:lang w:val="en-GB"/>
        </w:rPr>
        <w:t>a greater level of “comfort” than confrontation with more “local” problems would allow’.</w:t>
      </w:r>
      <w:r w:rsidRPr="0048465B">
        <w:rPr>
          <w:vertAlign w:val="superscript"/>
          <w:lang w:val="en-GB"/>
        </w:rPr>
        <w:footnoteReference w:id="58"/>
      </w:r>
      <w:r w:rsidRPr="0048465B">
        <w:rPr>
          <w:lang w:val="en-GB"/>
        </w:rPr>
        <w:t xml:space="preserve"> Here, we see an entire nation’s tendency to avoid confrontation with traumatic events in which they are historically complicit – the genocide </w:t>
      </w:r>
      <w:r w:rsidRPr="0048465B">
        <w:rPr>
          <w:lang w:val="en-GB"/>
        </w:rPr>
        <w:lastRenderedPageBreak/>
        <w:t xml:space="preserve">of Native American people and slavery for example – because it is easier to process feelings of sorrow and loss without the burden of guilt and accountability. </w:t>
      </w:r>
    </w:p>
    <w:p w14:paraId="4D16D816" w14:textId="77777777" w:rsidR="00FC331F" w:rsidRPr="0048465B" w:rsidRDefault="00FC331F" w:rsidP="00FC331F">
      <w:pPr>
        <w:rPr>
          <w:lang w:val="en-GB"/>
        </w:rPr>
      </w:pPr>
    </w:p>
    <w:p w14:paraId="1DB5FD12" w14:textId="7B46FB10" w:rsidR="000A6BB0" w:rsidRDefault="00FC331F" w:rsidP="00FC331F">
      <w:pPr>
        <w:rPr>
          <w:lang w:val="en-GB"/>
        </w:rPr>
      </w:pPr>
      <w:r w:rsidRPr="0048465B">
        <w:rPr>
          <w:lang w:val="en-GB"/>
        </w:rPr>
        <w:t>Connective approaches to memory would suggest that whilst examples of screening such as America’s screening of Native American genocide may seem like a form of erasure and avoidance, where the less personally politically laden remembrance effaces the more subjectively unpleasant one in a competition for the public recognition of a nation, there can nonetheless be a positive outcome. Rothberg suggests that ‘[a]n important epistemological gain in considering memory as multidirectional instead of as competitive is the insight</w:t>
      </w:r>
      <w:r w:rsidR="000C3FB4">
        <w:rPr>
          <w:lang w:val="en-GB"/>
        </w:rPr>
        <w:t xml:space="preserve"> […] </w:t>
      </w:r>
      <w:r w:rsidRPr="0048465B">
        <w:rPr>
          <w:lang w:val="en-GB"/>
        </w:rPr>
        <w:t>that the emergence of memories into the public [domain] often takes place through triggers that may at first seem irrelevant or even unseemly’</w:t>
      </w:r>
      <w:r w:rsidR="000A6BB0">
        <w:rPr>
          <w:lang w:val="en-GB"/>
        </w:rPr>
        <w:t>, noting</w:t>
      </w:r>
      <w:r w:rsidRPr="0048465B">
        <w:rPr>
          <w:lang w:val="en-GB"/>
        </w:rPr>
        <w:t xml:space="preserve"> the example of French-state-endorsed torture during the Algerian War of Independence, and the ‘reawakening of the past’</w:t>
      </w:r>
      <w:r w:rsidRPr="0048465B">
        <w:rPr>
          <w:vertAlign w:val="superscript"/>
          <w:lang w:val="en-GB"/>
        </w:rPr>
        <w:footnoteReference w:id="59"/>
      </w:r>
      <w:r w:rsidRPr="0048465B">
        <w:rPr>
          <w:lang w:val="en-GB"/>
        </w:rPr>
        <w:t xml:space="preserve"> that it caused in relation to Holocaust memory. </w:t>
      </w:r>
    </w:p>
    <w:p w14:paraId="2D3F2990" w14:textId="77777777" w:rsidR="000A6BB0" w:rsidRDefault="000A6BB0" w:rsidP="00FC331F">
      <w:pPr>
        <w:rPr>
          <w:lang w:val="en-GB"/>
        </w:rPr>
      </w:pPr>
    </w:p>
    <w:p w14:paraId="006CA28E" w14:textId="6D1A95C3" w:rsidR="00FC331F" w:rsidRPr="0048465B" w:rsidRDefault="00FC331F" w:rsidP="00FC331F">
      <w:pPr>
        <w:rPr>
          <w:lang w:val="en-GB"/>
        </w:rPr>
      </w:pPr>
      <w:r w:rsidRPr="0048465B">
        <w:rPr>
          <w:lang w:val="en-GB"/>
        </w:rPr>
        <w:t xml:space="preserve">This notion of the delayed revival of a previous event is further redolent of another of Freud’s concepts, </w:t>
      </w:r>
      <w:proofErr w:type="spellStart"/>
      <w:r w:rsidRPr="00365A61">
        <w:rPr>
          <w:i/>
          <w:iCs/>
          <w:lang w:val="en-GB"/>
        </w:rPr>
        <w:t>Nachträglichkeit</w:t>
      </w:r>
      <w:proofErr w:type="spellEnd"/>
      <w:r w:rsidRPr="0048465B">
        <w:rPr>
          <w:lang w:val="en-GB"/>
        </w:rPr>
        <w:t xml:space="preserve"> </w:t>
      </w:r>
      <w:r w:rsidR="006F6603">
        <w:rPr>
          <w:lang w:val="en-GB"/>
        </w:rPr>
        <w:t>–</w:t>
      </w:r>
      <w:r w:rsidRPr="0048465B">
        <w:rPr>
          <w:lang w:val="en-GB"/>
        </w:rPr>
        <w:t xml:space="preserve"> or </w:t>
      </w:r>
      <w:proofErr w:type="spellStart"/>
      <w:r w:rsidRPr="0048465B">
        <w:rPr>
          <w:lang w:val="en-GB"/>
        </w:rPr>
        <w:t>afterwardness</w:t>
      </w:r>
      <w:proofErr w:type="spellEnd"/>
      <w:r w:rsidRPr="0048465B">
        <w:rPr>
          <w:lang w:val="en-GB"/>
        </w:rPr>
        <w:t xml:space="preserve"> </w:t>
      </w:r>
      <w:r w:rsidR="006F6603">
        <w:rPr>
          <w:lang w:val="en-GB"/>
        </w:rPr>
        <w:t>–</w:t>
      </w:r>
      <w:r w:rsidRPr="0048465B">
        <w:rPr>
          <w:lang w:val="en-GB"/>
        </w:rPr>
        <w:t xml:space="preserve"> wherein a ‘later trigger re-creates [or recognises for the first time,] the past as traumatic’.</w:t>
      </w:r>
      <w:r w:rsidRPr="0048465B">
        <w:rPr>
          <w:vertAlign w:val="superscript"/>
          <w:lang w:val="en-GB"/>
        </w:rPr>
        <w:footnoteReference w:id="60"/>
      </w:r>
      <w:r w:rsidRPr="0048465B">
        <w:rPr>
          <w:lang w:val="en-GB"/>
        </w:rPr>
        <w:t xml:space="preserve"> Whilst Silverman claims that those who ignore local suffering in favour of more remote adversity are </w:t>
      </w:r>
      <w:r w:rsidR="001142F0">
        <w:rPr>
          <w:lang w:val="en-GB"/>
        </w:rPr>
        <w:t xml:space="preserve">partially </w:t>
      </w:r>
      <w:r w:rsidRPr="0048465B">
        <w:rPr>
          <w:lang w:val="en-GB"/>
        </w:rPr>
        <w:t>responsible for sustaining a ‘banal culture of empathy which is often more self-than other-oriented’,</w:t>
      </w:r>
      <w:r w:rsidRPr="0048465B">
        <w:rPr>
          <w:vertAlign w:val="superscript"/>
          <w:lang w:val="en-GB"/>
        </w:rPr>
        <w:footnoteReference w:id="61"/>
      </w:r>
      <w:r w:rsidRPr="0048465B">
        <w:rPr>
          <w:lang w:val="en-GB"/>
        </w:rPr>
        <w:t xml:space="preserve"> Rothberg contends that Freud regarded memory as an ‘associative process that works through displacement and substitution’, and argues that such displacements serve ‘as much to open up lines of communication with the past as to close </w:t>
      </w:r>
      <w:r w:rsidRPr="0048465B">
        <w:rPr>
          <w:lang w:val="en-GB"/>
        </w:rPr>
        <w:lastRenderedPageBreak/>
        <w:t>them off’.</w:t>
      </w:r>
      <w:r w:rsidRPr="0048465B">
        <w:rPr>
          <w:vertAlign w:val="superscript"/>
          <w:lang w:val="en-GB"/>
        </w:rPr>
        <w:footnoteReference w:id="62"/>
      </w:r>
      <w:r w:rsidRPr="0048465B">
        <w:rPr>
          <w:lang w:val="en-GB"/>
        </w:rPr>
        <w:t xml:space="preserve"> Just as the openly-accessible </w:t>
      </w:r>
      <w:r w:rsidR="00C64CB3">
        <w:rPr>
          <w:lang w:val="en-GB"/>
        </w:rPr>
        <w:t>recall</w:t>
      </w:r>
      <w:r w:rsidRPr="0048465B">
        <w:rPr>
          <w:lang w:val="en-GB"/>
        </w:rPr>
        <w:t xml:space="preserve"> of screen memory represents both an obstruction and a connection to the inaccessible </w:t>
      </w:r>
      <w:r w:rsidR="00C64CB3">
        <w:rPr>
          <w:lang w:val="en-GB"/>
        </w:rPr>
        <w:t>past</w:t>
      </w:r>
      <w:r w:rsidRPr="0048465B">
        <w:rPr>
          <w:lang w:val="en-GB"/>
        </w:rPr>
        <w:t xml:space="preserve"> in Freud’s work, Rothberg suggests that a more openly recognised and acknowledged expression of suffering in a given culture can </w:t>
      </w:r>
      <w:r w:rsidR="006F6603">
        <w:rPr>
          <w:lang w:val="en-GB"/>
        </w:rPr>
        <w:t>–</w:t>
      </w:r>
      <w:r w:rsidRPr="0048465B">
        <w:rPr>
          <w:lang w:val="en-GB"/>
        </w:rPr>
        <w:t xml:space="preserve"> in addition to serving as a more ‘“comfortable horrible”’</w:t>
      </w:r>
      <w:r w:rsidRPr="0048465B">
        <w:rPr>
          <w:vertAlign w:val="superscript"/>
          <w:lang w:val="en-GB"/>
        </w:rPr>
        <w:footnoteReference w:id="63"/>
      </w:r>
      <w:r w:rsidRPr="0048465B">
        <w:rPr>
          <w:lang w:val="en-GB"/>
        </w:rPr>
        <w:t xml:space="preserve"> </w:t>
      </w:r>
      <w:r w:rsidR="006F6603">
        <w:rPr>
          <w:lang w:val="en-GB"/>
        </w:rPr>
        <w:t>–</w:t>
      </w:r>
      <w:r w:rsidRPr="0048465B">
        <w:rPr>
          <w:lang w:val="en-GB"/>
        </w:rPr>
        <w:t xml:space="preserve"> also open new doors for further exploration of events which have largely been repressed.</w:t>
      </w:r>
    </w:p>
    <w:p w14:paraId="62A4DDE7" w14:textId="77777777" w:rsidR="00FC331F" w:rsidRPr="0048465B" w:rsidRDefault="00FC331F" w:rsidP="00FC331F">
      <w:pPr>
        <w:rPr>
          <w:lang w:val="en-GB"/>
        </w:rPr>
      </w:pPr>
    </w:p>
    <w:p w14:paraId="69E1C939" w14:textId="2FF04AE8" w:rsidR="00FC331F" w:rsidRPr="0048465B" w:rsidRDefault="00FC331F" w:rsidP="00FC331F">
      <w:pPr>
        <w:rPr>
          <w:lang w:val="en-GB"/>
        </w:rPr>
      </w:pPr>
      <w:r w:rsidRPr="0048465B">
        <w:rPr>
          <w:lang w:val="en-GB"/>
        </w:rPr>
        <w:t>However, whilst Rothberg’s screen memory analogy seems compelling, there is a significant discrepancy between multidirectional memory and screen memory, namely the stark difference between an individual repressing their own memories</w:t>
      </w:r>
      <w:r w:rsidR="006616D1">
        <w:rPr>
          <w:lang w:val="en-GB"/>
        </w:rPr>
        <w:t>,</w:t>
      </w:r>
      <w:r w:rsidRPr="0048465B">
        <w:rPr>
          <w:lang w:val="en-GB"/>
        </w:rPr>
        <w:t xml:space="preserve"> the function originally observed by Freud</w:t>
      </w:r>
      <w:r w:rsidR="006616D1">
        <w:rPr>
          <w:lang w:val="en-GB"/>
        </w:rPr>
        <w:t xml:space="preserve">, </w:t>
      </w:r>
      <w:r w:rsidRPr="0048465B">
        <w:rPr>
          <w:lang w:val="en-GB"/>
        </w:rPr>
        <w:t xml:space="preserve">and the </w:t>
      </w:r>
      <w:r w:rsidR="00C64CB3">
        <w:rPr>
          <w:lang w:val="en-GB"/>
        </w:rPr>
        <w:t>suppression</w:t>
      </w:r>
      <w:r w:rsidRPr="0048465B">
        <w:rPr>
          <w:lang w:val="en-GB"/>
        </w:rPr>
        <w:t xml:space="preserve"> of one group’s memories by the memories of another external group. This distinction is especially prominent when the second group is the architect of this memorial overshadowing, and when the density of historical suffering of either of the groups in question allows this overshadowing to occur largely without guilt or true recognition of its repressive nature. Rothberg claims that his multidirectional adoption of screen memory </w:t>
      </w:r>
      <w:r w:rsidR="00C64CB3">
        <w:rPr>
          <w:lang w:val="en-GB"/>
        </w:rPr>
        <w:t>‘</w:t>
      </w:r>
      <w:r w:rsidRPr="0048465B">
        <w:rPr>
          <w:lang w:val="en-GB"/>
        </w:rPr>
        <w:t>both hides and reveals that which has been repressed’,</w:t>
      </w:r>
      <w:r w:rsidRPr="0048465B">
        <w:rPr>
          <w:vertAlign w:val="superscript"/>
          <w:lang w:val="en-GB"/>
        </w:rPr>
        <w:footnoteReference w:id="64"/>
      </w:r>
      <w:r w:rsidRPr="0048465B">
        <w:rPr>
          <w:lang w:val="en-GB"/>
        </w:rPr>
        <w:t xml:space="preserve"> and that ‘screen memory approximates [his] multidirectional model</w:t>
      </w:r>
      <w:r w:rsidR="000C3FB4">
        <w:rPr>
          <w:lang w:val="en-GB"/>
        </w:rPr>
        <w:t xml:space="preserve"> […] </w:t>
      </w:r>
      <w:r w:rsidRPr="0048465B">
        <w:rPr>
          <w:lang w:val="en-GB"/>
        </w:rPr>
        <w:t>rather than the [alternative] model of competition’.</w:t>
      </w:r>
      <w:r w:rsidRPr="0048465B">
        <w:rPr>
          <w:vertAlign w:val="superscript"/>
          <w:lang w:val="en-GB"/>
        </w:rPr>
        <w:footnoteReference w:id="65"/>
      </w:r>
      <w:r w:rsidRPr="0048465B">
        <w:rPr>
          <w:lang w:val="en-GB"/>
        </w:rPr>
        <w:t xml:space="preserve"> Yet the fact that the displacements that take place through multidirectional memory contain, by definition, two separate groups, means that these internationally reimagined screen memories are not necessarily as openly communicative and productive as either</w:t>
      </w:r>
      <w:r w:rsidRPr="0048465B">
        <w:rPr>
          <w:b/>
          <w:lang w:val="en-GB"/>
        </w:rPr>
        <w:t xml:space="preserve"> </w:t>
      </w:r>
      <w:r w:rsidRPr="0048465B">
        <w:rPr>
          <w:lang w:val="en-GB"/>
        </w:rPr>
        <w:t>Rothberg or</w:t>
      </w:r>
      <w:r w:rsidRPr="0048465B">
        <w:rPr>
          <w:b/>
          <w:lang w:val="en-GB"/>
        </w:rPr>
        <w:t xml:space="preserve"> </w:t>
      </w:r>
      <w:r w:rsidRPr="0048465B">
        <w:rPr>
          <w:lang w:val="en-GB"/>
        </w:rPr>
        <w:t xml:space="preserve">Silverman suggest. With Freud’s individual, the screen memory covers the painful memory as a means of self-preservation, it allows the painful memories of the given individual to be kept at a distance, engaged with indirectly through the veil </w:t>
      </w:r>
      <w:r w:rsidRPr="0048465B">
        <w:rPr>
          <w:lang w:val="en-GB"/>
        </w:rPr>
        <w:lastRenderedPageBreak/>
        <w:t xml:space="preserve">of the screen memory in anticipation of a time when the painful memory might be engaged with directly. In Rothberg’s multidirectional understanding of screen memory, however, the function of the screen is split between the two groups, sustaining one even as it actively disempowers the other, and in no way ensuring the latter group’s eventual acknowledgement. </w:t>
      </w:r>
    </w:p>
    <w:p w14:paraId="15F18100" w14:textId="77777777" w:rsidR="00FC331F" w:rsidRPr="0048465B" w:rsidRDefault="00FC331F" w:rsidP="00FC331F">
      <w:pPr>
        <w:rPr>
          <w:lang w:val="en-GB"/>
        </w:rPr>
      </w:pPr>
    </w:p>
    <w:p w14:paraId="6CEEA90D" w14:textId="307683DE" w:rsidR="00FC331F" w:rsidRPr="0048465B" w:rsidRDefault="00FC331F" w:rsidP="00FC331F">
      <w:pPr>
        <w:rPr>
          <w:lang w:val="en-GB"/>
        </w:rPr>
      </w:pPr>
      <w:r w:rsidRPr="0048465B">
        <w:rPr>
          <w:lang w:val="en-GB"/>
        </w:rPr>
        <w:t>Whilst Rothberg attempts to remedy this complication by ‘break[</w:t>
      </w:r>
      <w:proofErr w:type="spellStart"/>
      <w:r w:rsidRPr="0048465B">
        <w:rPr>
          <w:lang w:val="en-GB"/>
        </w:rPr>
        <w:t>ing</w:t>
      </w:r>
      <w:proofErr w:type="spellEnd"/>
      <w:r w:rsidRPr="0048465B">
        <w:rPr>
          <w:lang w:val="en-GB"/>
        </w:rPr>
        <w:t xml:space="preserve">] down the </w:t>
      </w:r>
      <w:proofErr w:type="spellStart"/>
      <w:r w:rsidRPr="0048465B">
        <w:rPr>
          <w:lang w:val="en-GB"/>
        </w:rPr>
        <w:t>commonsense</w:t>
      </w:r>
      <w:proofErr w:type="spellEnd"/>
      <w:r w:rsidRPr="0048465B">
        <w:rPr>
          <w:lang w:val="en-GB"/>
        </w:rPr>
        <w:t xml:space="preserve"> opposition between individual and collective memory’,</w:t>
      </w:r>
      <w:r w:rsidRPr="0048465B">
        <w:rPr>
          <w:vertAlign w:val="superscript"/>
          <w:lang w:val="en-GB"/>
        </w:rPr>
        <w:footnoteReference w:id="66"/>
      </w:r>
      <w:r w:rsidRPr="0048465B">
        <w:rPr>
          <w:lang w:val="en-GB"/>
        </w:rPr>
        <w:t xml:space="preserve"> his deconstruction overlooks the actual flaw in his parallel. The issue herein is not a perceived disparity between individual and collective memory as such </w:t>
      </w:r>
      <w:r w:rsidR="006F6603">
        <w:rPr>
          <w:lang w:val="en-GB"/>
        </w:rPr>
        <w:t>–</w:t>
      </w:r>
      <w:r w:rsidRPr="0048465B">
        <w:rPr>
          <w:lang w:val="en-GB"/>
        </w:rPr>
        <w:t xml:space="preserve"> that which Rothberg argues against </w:t>
      </w:r>
      <w:r w:rsidR="006F6603">
        <w:rPr>
          <w:lang w:val="en-GB"/>
        </w:rPr>
        <w:t>–</w:t>
      </w:r>
      <w:r w:rsidRPr="0048465B">
        <w:rPr>
          <w:lang w:val="en-GB"/>
        </w:rPr>
        <w:t xml:space="preserve"> but the fact that screen memory as imagined by Freud concerns internal repression, whereas screen memory as developed within multidirectional memory concerns the </w:t>
      </w:r>
      <w:r w:rsidR="00C64CB3">
        <w:rPr>
          <w:lang w:val="en-GB"/>
        </w:rPr>
        <w:t>suppression</w:t>
      </w:r>
      <w:r w:rsidRPr="0048465B">
        <w:rPr>
          <w:lang w:val="en-GB"/>
        </w:rPr>
        <w:t xml:space="preserve"> of the other. Whilst Rothberg claims that this displacement of the other nonetheless opens up lines of communication between the screen memory and the memory that it screens, mainstream acceptance of the screen memory itself ultimately</w:t>
      </w:r>
      <w:r w:rsidR="0092519C">
        <w:rPr>
          <w:lang w:val="en-GB"/>
        </w:rPr>
        <w:t xml:space="preserve"> remains</w:t>
      </w:r>
      <w:r w:rsidRPr="0048465B">
        <w:rPr>
          <w:lang w:val="en-GB"/>
        </w:rPr>
        <w:t xml:space="preserve"> rooted in avoidance, avoidance that – whether intentionally or not – creates further distance between the suffering of those who have been mistreated and the public recognition of this suffering. Moreover, whilst the very fact that we are conscious of this inequality denies us the opportunity to denounce this connection as monodirectional, any claims made by the oppressed people – in the case above, Native American people – are likely to be less perceptible because of the increased distance at which they find themselves removed from the centre of public discourse. In addition, such claims risk being doubly repressed due to the fact that the screen that obscures their suffering exists not solely as a screen, but also as an independent and equally legitimate expression of suffering. </w:t>
      </w:r>
    </w:p>
    <w:p w14:paraId="1AD83F93" w14:textId="77777777" w:rsidR="00FC331F" w:rsidRPr="0048465B" w:rsidRDefault="00FC331F" w:rsidP="00FC331F">
      <w:pPr>
        <w:rPr>
          <w:lang w:val="en-GB"/>
        </w:rPr>
      </w:pPr>
    </w:p>
    <w:p w14:paraId="750BBAF3" w14:textId="6928BA06" w:rsidR="00FC331F" w:rsidRPr="0048465B" w:rsidRDefault="00FC331F" w:rsidP="00FC331F">
      <w:pPr>
        <w:rPr>
          <w:lang w:val="en-GB"/>
        </w:rPr>
      </w:pPr>
      <w:r w:rsidRPr="0048465B">
        <w:rPr>
          <w:lang w:val="en-GB"/>
        </w:rPr>
        <w:t>This is a distinction that is partially acknowledged by Rothberg, who states that whilst ‘screen memory replaces a disturbing memory with a more comforting, everyday scene, the multidirectional memory explored here frequently juxtaposes two or more disturbing memories’.</w:t>
      </w:r>
      <w:r w:rsidRPr="0048465B">
        <w:rPr>
          <w:vertAlign w:val="superscript"/>
          <w:lang w:val="en-GB"/>
        </w:rPr>
        <w:footnoteReference w:id="67"/>
      </w:r>
      <w:r w:rsidRPr="0048465B">
        <w:rPr>
          <w:lang w:val="en-GB"/>
        </w:rPr>
        <w:t xml:space="preserve"> Yet whilst he acknowledges this contrast, Rothberg asserts that the solution to this particular problem is the realisation that ‘the content of a memory has no intrinsic meaning[,] but takes on meaning precisely in relationship to other memories in a network of associations’.</w:t>
      </w:r>
      <w:r w:rsidRPr="0048465B">
        <w:rPr>
          <w:vertAlign w:val="superscript"/>
          <w:lang w:val="en-GB"/>
        </w:rPr>
        <w:footnoteReference w:id="68"/>
      </w:r>
      <w:r w:rsidRPr="0048465B">
        <w:rPr>
          <w:lang w:val="en-GB"/>
        </w:rPr>
        <w:t xml:space="preserve"> Instead of solving this particular difficulty, however, this assertion only makes more evident the inefficacy of Rothberg’s analogy. </w:t>
      </w:r>
      <w:r w:rsidR="00F13356" w:rsidRPr="0048465B">
        <w:rPr>
          <w:lang w:val="en-GB"/>
        </w:rPr>
        <w:t xml:space="preserve">The absence of the intrinsic meaning of memory – within an individual as posited by Freud – means that a screen memory can exist simultaneously as both a legitimate memory and a screen memory, and further means that the respective weight given to each of these dual purposes exists in a state of flux, dependent on that very individual. </w:t>
      </w:r>
      <w:r w:rsidRPr="0048465B">
        <w:rPr>
          <w:lang w:val="en-GB"/>
        </w:rPr>
        <w:t>If the individual remembers something that relates to the authentic content of the screen memory itself, the screen memory functions more as a legitimate memory than a screen, whereas if the individual begins to recall the painful memory that is being repressed, the screen memory functions as a veil, and the legitimate content of the screen memory itself becomes null. In this case, the function of the screen memory is dependent upon the needs of the individual, changing from independent and legitimate memory to relational screen memory in order to maintain and protect the single mind of a single individual.</w:t>
      </w:r>
    </w:p>
    <w:p w14:paraId="5E0FE03B" w14:textId="77777777" w:rsidR="00FC331F" w:rsidRPr="0048465B" w:rsidRDefault="00FC331F" w:rsidP="00FC331F">
      <w:pPr>
        <w:rPr>
          <w:lang w:val="en-GB"/>
        </w:rPr>
      </w:pPr>
    </w:p>
    <w:p w14:paraId="221A1D43" w14:textId="6F9A42A4" w:rsidR="00FC331F" w:rsidRPr="0048465B" w:rsidRDefault="00FC331F" w:rsidP="00FC331F">
      <w:pPr>
        <w:rPr>
          <w:lang w:val="en-GB"/>
        </w:rPr>
      </w:pPr>
      <w:r w:rsidRPr="0048465B">
        <w:rPr>
          <w:lang w:val="en-GB"/>
        </w:rPr>
        <w:t xml:space="preserve">The same cannot be said </w:t>
      </w:r>
      <w:r w:rsidR="008B3A82">
        <w:rPr>
          <w:lang w:val="en-GB"/>
        </w:rPr>
        <w:t>of</w:t>
      </w:r>
      <w:r w:rsidRPr="0048465B">
        <w:rPr>
          <w:lang w:val="en-GB"/>
        </w:rPr>
        <w:t xml:space="preserve"> Rothberg’s analogy. In the example given previously, we observe American engagement with the Holocaust as a screen for the genocide of Native Americans. </w:t>
      </w:r>
      <w:r w:rsidRPr="0048465B">
        <w:rPr>
          <w:lang w:val="en-GB"/>
        </w:rPr>
        <w:lastRenderedPageBreak/>
        <w:t xml:space="preserve">However, despite this understanding of the Holocaust as a screen, the Holocaust nonetheless exists at the very same time as a completely independent and legitimate traumatic event in its own right, the </w:t>
      </w:r>
      <w:r w:rsidR="008B3A82">
        <w:rPr>
          <w:lang w:val="en-GB"/>
        </w:rPr>
        <w:t>actuality</w:t>
      </w:r>
      <w:r w:rsidRPr="0048465B">
        <w:rPr>
          <w:lang w:val="en-GB"/>
        </w:rPr>
        <w:t xml:space="preserve"> of which is not, and should not be, up for negotiation. Consequently, whilst depictions of the Holocaust as a screen for other genocides may </w:t>
      </w:r>
      <w:r w:rsidR="008B3A82">
        <w:rPr>
          <w:lang w:val="en-GB"/>
        </w:rPr>
        <w:t>feel</w:t>
      </w:r>
      <w:r w:rsidRPr="0048465B">
        <w:rPr>
          <w:lang w:val="en-GB"/>
        </w:rPr>
        <w:t xml:space="preserve"> </w:t>
      </w:r>
      <w:r w:rsidR="008B3A82">
        <w:rPr>
          <w:lang w:val="en-GB"/>
        </w:rPr>
        <w:t>legitimate</w:t>
      </w:r>
      <w:r w:rsidRPr="0048465B">
        <w:rPr>
          <w:lang w:val="en-GB"/>
        </w:rPr>
        <w:t xml:space="preserve"> for some, this specific </w:t>
      </w:r>
      <w:r w:rsidR="008B3A82">
        <w:rPr>
          <w:lang w:val="en-GB"/>
        </w:rPr>
        <w:t>legitimacy</w:t>
      </w:r>
      <w:r w:rsidRPr="0048465B">
        <w:rPr>
          <w:lang w:val="en-GB"/>
        </w:rPr>
        <w:t xml:space="preserve"> must at all times co-exist with the historical and factual </w:t>
      </w:r>
      <w:r w:rsidR="008B3A82">
        <w:rPr>
          <w:lang w:val="en-GB"/>
        </w:rPr>
        <w:t>reality</w:t>
      </w:r>
      <w:r w:rsidRPr="0048465B">
        <w:rPr>
          <w:lang w:val="en-GB"/>
        </w:rPr>
        <w:t xml:space="preserve"> of the Holocaust, an understanding that is by far the more logical connection of the two. If memories take on meaning associatively, as Rothberg claims, then the prevailing memory, and thus the predominant meaning, of any given event will be dictated by a fusion of historical accuracy and majority discourse, and logic dictates that the majority of memories relating to a given event concern the event itself, rather than its associative function relative to another event altogether. To return to the analogy of Freud’s screen memory, it is as if the child’s screen memory just so happened to concern an event that was experienced </w:t>
      </w:r>
      <w:r w:rsidR="006F6603">
        <w:rPr>
          <w:lang w:val="en-GB"/>
        </w:rPr>
        <w:t>–</w:t>
      </w:r>
      <w:r w:rsidRPr="0048465B">
        <w:rPr>
          <w:lang w:val="en-GB"/>
        </w:rPr>
        <w:t xml:space="preserve"> and regarded as both subjectively and objectively important </w:t>
      </w:r>
      <w:r w:rsidR="006F6603">
        <w:rPr>
          <w:lang w:val="en-GB"/>
        </w:rPr>
        <w:t>–</w:t>
      </w:r>
      <w:r w:rsidRPr="0048465B">
        <w:rPr>
          <w:lang w:val="en-GB"/>
        </w:rPr>
        <w:t xml:space="preserve"> by millions of others. In this case, the screen memory would no longer function solely in line with the needs of the child, but would be comprehensively determined from without, meaning that even whilst the event may continue to serve as a conduit to the repressed memory for that individual child, that specific function must remain secondary within public discourse, and moreover that </w:t>
      </w:r>
      <w:r w:rsidR="00EE4B7A">
        <w:rPr>
          <w:lang w:val="en-GB"/>
        </w:rPr>
        <w:t>to speak of this</w:t>
      </w:r>
      <w:r w:rsidRPr="0048465B">
        <w:rPr>
          <w:lang w:val="en-GB"/>
        </w:rPr>
        <w:t xml:space="preserve"> legitimate function </w:t>
      </w:r>
      <w:r w:rsidR="00EE4B7A">
        <w:rPr>
          <w:lang w:val="en-GB"/>
        </w:rPr>
        <w:t>is to risk</w:t>
      </w:r>
      <w:r w:rsidRPr="0048465B">
        <w:rPr>
          <w:lang w:val="en-GB"/>
        </w:rPr>
        <w:t xml:space="preserve"> being perceived as antagonistic or as engaging in traumatic relativism.</w:t>
      </w:r>
    </w:p>
    <w:p w14:paraId="5EE16768" w14:textId="77777777" w:rsidR="00FC331F" w:rsidRPr="0048465B" w:rsidRDefault="00FC331F" w:rsidP="00FC331F">
      <w:pPr>
        <w:rPr>
          <w:lang w:val="en-GB"/>
        </w:rPr>
      </w:pPr>
    </w:p>
    <w:p w14:paraId="0848F958" w14:textId="622D9B7C" w:rsidR="00FC331F" w:rsidRPr="0048465B" w:rsidRDefault="00FC331F" w:rsidP="00FC331F">
      <w:pPr>
        <w:rPr>
          <w:lang w:val="en-GB"/>
        </w:rPr>
      </w:pPr>
      <w:r w:rsidRPr="0048465B">
        <w:rPr>
          <w:lang w:val="en-GB"/>
        </w:rPr>
        <w:t xml:space="preserve">This vision of multidirectional memory directly contradicts Rothberg’s own understanding of it, and the ways in which he believes that multidirectional memory serves to reject the notion of memorial </w:t>
      </w:r>
      <w:r w:rsidR="00EC7C09">
        <w:rPr>
          <w:lang w:val="en-GB"/>
        </w:rPr>
        <w:t>‘</w:t>
      </w:r>
      <w:r w:rsidRPr="0048465B">
        <w:rPr>
          <w:lang w:val="en-GB"/>
        </w:rPr>
        <w:t>real estate</w:t>
      </w:r>
      <w:r w:rsidR="00EC7C09">
        <w:rPr>
          <w:lang w:val="en-GB"/>
        </w:rPr>
        <w:t>’</w:t>
      </w:r>
      <w:r w:rsidRPr="0048465B">
        <w:rPr>
          <w:lang w:val="en-GB"/>
        </w:rPr>
        <w:t>.</w:t>
      </w:r>
      <w:r w:rsidRPr="0048465B">
        <w:rPr>
          <w:vertAlign w:val="superscript"/>
          <w:lang w:val="en-GB"/>
        </w:rPr>
        <w:footnoteReference w:id="69"/>
      </w:r>
      <w:r w:rsidRPr="0048465B">
        <w:rPr>
          <w:lang w:val="en-GB"/>
        </w:rPr>
        <w:t xml:space="preserve"> Rothberg maintains that to make such connections between events does not overcrowd a pre-defined territory of memory or divert attention away from a recognised </w:t>
      </w:r>
      <w:r w:rsidRPr="0048465B">
        <w:rPr>
          <w:lang w:val="en-GB"/>
        </w:rPr>
        <w:lastRenderedPageBreak/>
        <w:t xml:space="preserve">traumatic event, but instead allows new thoughts about repressed </w:t>
      </w:r>
      <w:r w:rsidR="008B3A82">
        <w:rPr>
          <w:lang w:val="en-GB"/>
        </w:rPr>
        <w:t xml:space="preserve">or unacknowledged </w:t>
      </w:r>
      <w:r w:rsidRPr="0048465B">
        <w:rPr>
          <w:lang w:val="en-GB"/>
        </w:rPr>
        <w:t xml:space="preserve">suffering to take shape, and for the quality of study and thought about memory and trauma as a whole to advance. He further argues that, rather than ‘blocking other historical memories from view’, the global expansion of Holocaust memory has ‘contributed to the articulation of other histories </w:t>
      </w:r>
      <w:r w:rsidR="0029114E">
        <w:rPr>
          <w:lang w:val="en-GB"/>
        </w:rPr>
        <w:t>-</w:t>
      </w:r>
      <w:r w:rsidRPr="0048465B">
        <w:rPr>
          <w:lang w:val="en-GB"/>
        </w:rPr>
        <w:t xml:space="preserve"> some of them predating the Nazi genocide, such as slavery, and others taking place later, such as the Algerian War of Independence’.</w:t>
      </w:r>
      <w:r w:rsidRPr="0048465B">
        <w:rPr>
          <w:vertAlign w:val="superscript"/>
          <w:lang w:val="en-GB"/>
        </w:rPr>
        <w:footnoteReference w:id="70"/>
      </w:r>
      <w:r w:rsidRPr="0048465B">
        <w:rPr>
          <w:lang w:val="en-GB"/>
        </w:rPr>
        <w:t xml:space="preserve">  It is undeniable that the Holocaust remains the primary example in Western epistemology of state-endorsed terrible suffering, </w:t>
      </w:r>
      <w:r w:rsidR="00EE4B7A">
        <w:rPr>
          <w:lang w:val="en-GB"/>
        </w:rPr>
        <w:t>and i</w:t>
      </w:r>
      <w:r w:rsidRPr="0048465B">
        <w:rPr>
          <w:lang w:val="en-GB"/>
        </w:rPr>
        <w:t>t is through Rothberg’s identification of the Holocaust as the centrepiece of his theory that he is able to cultivate genuinely productive connections between the Holocaust and</w:t>
      </w:r>
      <w:r w:rsidR="008B3A82">
        <w:rPr>
          <w:lang w:val="en-GB"/>
        </w:rPr>
        <w:t xml:space="preserve"> seemingly</w:t>
      </w:r>
      <w:r w:rsidRPr="0048465B">
        <w:rPr>
          <w:lang w:val="en-GB"/>
        </w:rPr>
        <w:t xml:space="preserve"> distant instances of mass suffering, such as those endured by Algerians or </w:t>
      </w:r>
      <w:r w:rsidR="00F13356" w:rsidRPr="0048465B">
        <w:rPr>
          <w:lang w:val="en-GB"/>
        </w:rPr>
        <w:t>African Americans</w:t>
      </w:r>
      <w:r w:rsidRPr="0048465B">
        <w:rPr>
          <w:lang w:val="en-GB"/>
        </w:rPr>
        <w:t>. Yet whilst the facilitation of traumatic articulation that is possible in relation to Algerian suffering represents the idealised function of multidirectional memory, the centralisation of the Holocaust within both Rothberg and Silverman’s theories can at the very same time represent a complication for other expressions of suffering, particularly those that challenge in any way the central position of the Holocaust.</w:t>
      </w:r>
    </w:p>
    <w:p w14:paraId="72926268" w14:textId="77777777" w:rsidR="00FC331F" w:rsidRPr="0048465B" w:rsidRDefault="00FC331F" w:rsidP="00FC331F">
      <w:pPr>
        <w:rPr>
          <w:lang w:val="en-GB"/>
        </w:rPr>
      </w:pPr>
    </w:p>
    <w:p w14:paraId="74D62DE2" w14:textId="0F0A9E59" w:rsidR="00FC331F" w:rsidRPr="0048465B" w:rsidRDefault="00FC331F" w:rsidP="00FC331F">
      <w:pPr>
        <w:rPr>
          <w:lang w:val="en-GB"/>
        </w:rPr>
      </w:pPr>
      <w:r w:rsidRPr="0048465B">
        <w:rPr>
          <w:lang w:val="en-GB"/>
        </w:rPr>
        <w:t xml:space="preserve">This effect is particularly potent because of the existence of those who identify the Holocaust as a kind of traumatic archetype. Whilst departures from conventional understandings of the Holocaust are sometimes </w:t>
      </w:r>
      <w:r w:rsidR="00EE4B7A">
        <w:rPr>
          <w:lang w:val="en-GB"/>
        </w:rPr>
        <w:t>accurately identified</w:t>
      </w:r>
      <w:r w:rsidRPr="0048465B">
        <w:rPr>
          <w:lang w:val="en-GB"/>
        </w:rPr>
        <w:t xml:space="preserve"> </w:t>
      </w:r>
      <w:r w:rsidR="00EE4B7A">
        <w:rPr>
          <w:lang w:val="en-GB"/>
        </w:rPr>
        <w:t xml:space="preserve">as </w:t>
      </w:r>
      <w:r w:rsidRPr="0048465B">
        <w:rPr>
          <w:lang w:val="en-GB"/>
        </w:rPr>
        <w:t xml:space="preserve">Holocaust revisionism, Silverman observes the existence of </w:t>
      </w:r>
      <w:r w:rsidR="00FC5332" w:rsidRPr="0048465B">
        <w:rPr>
          <w:lang w:val="en-GB"/>
        </w:rPr>
        <w:t>exceptionalis</w:t>
      </w:r>
      <w:r w:rsidR="00FC5332">
        <w:rPr>
          <w:lang w:val="en-GB"/>
        </w:rPr>
        <w:t>t</w:t>
      </w:r>
      <w:r w:rsidRPr="0048465B">
        <w:rPr>
          <w:lang w:val="en-GB"/>
        </w:rPr>
        <w:t xml:space="preserve"> thinking that regards ‘any form of relational contextualisation of the Holocaust</w:t>
      </w:r>
      <w:r w:rsidR="000C3FB4">
        <w:rPr>
          <w:lang w:val="en-GB"/>
        </w:rPr>
        <w:t xml:space="preserve"> […] </w:t>
      </w:r>
      <w:r w:rsidRPr="0048465B">
        <w:rPr>
          <w:lang w:val="en-GB"/>
        </w:rPr>
        <w:t>[as] not only a denigration of its singularity but also a blasphemy’.</w:t>
      </w:r>
      <w:r w:rsidRPr="0048465B">
        <w:rPr>
          <w:vertAlign w:val="superscript"/>
          <w:lang w:val="en-GB"/>
        </w:rPr>
        <w:footnoteReference w:id="71"/>
      </w:r>
      <w:r w:rsidRPr="0048465B">
        <w:rPr>
          <w:lang w:val="en-GB"/>
        </w:rPr>
        <w:t xml:space="preserve"> In addition to the surface content of Silverman’s assertion, his choice of the word ‘blasphemy’ is further indicative of the degree to which the </w:t>
      </w:r>
      <w:r w:rsidR="00EE4B7A">
        <w:rPr>
          <w:lang w:val="en-GB"/>
        </w:rPr>
        <w:t>Holocaust</w:t>
      </w:r>
      <w:r w:rsidRPr="0048465B">
        <w:rPr>
          <w:lang w:val="en-GB"/>
        </w:rPr>
        <w:t xml:space="preserve"> has in some cases come to embody a more accurate representation </w:t>
      </w:r>
      <w:r w:rsidRPr="0048465B">
        <w:rPr>
          <w:lang w:val="en-GB"/>
        </w:rPr>
        <w:lastRenderedPageBreak/>
        <w:t xml:space="preserve">of modern day Jewishness than religious piety itself. </w:t>
      </w:r>
      <w:r w:rsidR="00A203AD">
        <w:rPr>
          <w:lang w:val="en-GB"/>
        </w:rPr>
        <w:t xml:space="preserve">In </w:t>
      </w:r>
      <w:r w:rsidR="00FC5332">
        <w:rPr>
          <w:lang w:val="en-GB"/>
        </w:rPr>
        <w:t xml:space="preserve">a study by </w:t>
      </w:r>
      <w:r w:rsidR="00A203AD" w:rsidRPr="0048465B">
        <w:rPr>
          <w:lang w:val="en-GB"/>
        </w:rPr>
        <w:t>American sociologist Steven M. Cohen</w:t>
      </w:r>
      <w:r w:rsidR="00A203AD">
        <w:rPr>
          <w:lang w:val="en-GB"/>
        </w:rPr>
        <w:t xml:space="preserve"> on Judaism in the United States of America, the centrality of the Holocaust to contemporary Jewish identity was </w:t>
      </w:r>
      <w:r w:rsidR="00FC5332">
        <w:rPr>
          <w:lang w:val="en-GB"/>
        </w:rPr>
        <w:t>so pronounced</w:t>
      </w:r>
      <w:r w:rsidR="00A203AD">
        <w:rPr>
          <w:lang w:val="en-GB"/>
        </w:rPr>
        <w:t xml:space="preserve"> that </w:t>
      </w:r>
      <w:r w:rsidR="00A203AD" w:rsidRPr="0048465B">
        <w:rPr>
          <w:lang w:val="en-GB"/>
        </w:rPr>
        <w:t>‘American Jews rank[ed] the Holocaust first</w:t>
      </w:r>
      <w:r w:rsidR="000C3FB4">
        <w:rPr>
          <w:lang w:val="en-GB"/>
        </w:rPr>
        <w:t xml:space="preserve"> […] </w:t>
      </w:r>
      <w:r w:rsidR="00A203AD" w:rsidRPr="0048465B">
        <w:rPr>
          <w:lang w:val="en-GB"/>
        </w:rPr>
        <w:t>and American anti-Semitism third</w:t>
      </w:r>
      <w:r w:rsidR="000C3FB4">
        <w:rPr>
          <w:lang w:val="en-GB"/>
        </w:rPr>
        <w:t xml:space="preserve"> […] </w:t>
      </w:r>
      <w:r w:rsidR="00A203AD" w:rsidRPr="0048465B">
        <w:rPr>
          <w:lang w:val="en-GB"/>
        </w:rPr>
        <w:t>ahead of God’ as symbols of Jewish identity.</w:t>
      </w:r>
      <w:r w:rsidR="00A203AD" w:rsidRPr="0048465B">
        <w:rPr>
          <w:vertAlign w:val="superscript"/>
          <w:lang w:val="en-GB"/>
        </w:rPr>
        <w:footnoteReference w:id="72"/>
      </w:r>
    </w:p>
    <w:p w14:paraId="57AB2BEA" w14:textId="77777777" w:rsidR="00FC331F" w:rsidRPr="0048465B" w:rsidRDefault="00FC331F" w:rsidP="00FC331F">
      <w:pPr>
        <w:rPr>
          <w:lang w:val="en-GB"/>
        </w:rPr>
      </w:pPr>
    </w:p>
    <w:p w14:paraId="104DC264" w14:textId="729761F5" w:rsidR="00FC5332" w:rsidRDefault="00FC331F" w:rsidP="00FC331F">
      <w:pPr>
        <w:rPr>
          <w:lang w:val="en-GB"/>
        </w:rPr>
      </w:pPr>
      <w:r w:rsidRPr="0048465B">
        <w:rPr>
          <w:lang w:val="en-GB"/>
        </w:rPr>
        <w:t>Such understandings of the Holocaust as existing in ‘a sacred space beyond all human comprehension</w:t>
      </w:r>
      <w:r w:rsidR="000C3FB4">
        <w:rPr>
          <w:lang w:val="en-GB"/>
        </w:rPr>
        <w:t xml:space="preserve"> […] </w:t>
      </w:r>
      <w:r w:rsidRPr="0048465B">
        <w:rPr>
          <w:lang w:val="en-GB"/>
        </w:rPr>
        <w:t>as a sort of “negative sublime”’ and avowals of its ‘radical singularity’,</w:t>
      </w:r>
      <w:r w:rsidRPr="0048465B">
        <w:rPr>
          <w:vertAlign w:val="superscript"/>
          <w:lang w:val="en-GB"/>
        </w:rPr>
        <w:footnoteReference w:id="73"/>
      </w:r>
      <w:r w:rsidRPr="0048465B">
        <w:rPr>
          <w:lang w:val="en-GB"/>
        </w:rPr>
        <w:t xml:space="preserve"> are more broadly reinforced by the acclaimed testimonial assertions of the incommunicability of the Holocaust from survivors. </w:t>
      </w:r>
      <w:r w:rsidR="00EE4B7A">
        <w:rPr>
          <w:lang w:val="en-GB"/>
        </w:rPr>
        <w:t xml:space="preserve">Looking to Primo </w:t>
      </w:r>
      <w:r w:rsidRPr="0048465B">
        <w:rPr>
          <w:lang w:val="en-GB"/>
        </w:rPr>
        <w:t xml:space="preserve">Levi, </w:t>
      </w:r>
      <w:r w:rsidR="00EE4B7A">
        <w:rPr>
          <w:lang w:val="en-GB"/>
        </w:rPr>
        <w:t xml:space="preserve">perhaps the most famous survivor and author of Holocaust testimony, we see his suggestion that </w:t>
      </w:r>
      <w:r w:rsidRPr="0048465B">
        <w:rPr>
          <w:lang w:val="en-GB"/>
        </w:rPr>
        <w:t>‘[</w:t>
      </w:r>
      <w:proofErr w:type="spellStart"/>
      <w:r w:rsidRPr="0048465B">
        <w:rPr>
          <w:lang w:val="en-GB"/>
        </w:rPr>
        <w:t>i</w:t>
      </w:r>
      <w:proofErr w:type="spellEnd"/>
      <w:r w:rsidRPr="0048465B">
        <w:rPr>
          <w:lang w:val="en-GB"/>
        </w:rPr>
        <w:t>]f the Lagers had lasted longer a new, harsh language would have been born; and only this language could express what it means to</w:t>
      </w:r>
      <w:r w:rsidR="000C3FB4">
        <w:rPr>
          <w:lang w:val="en-GB"/>
        </w:rPr>
        <w:t xml:space="preserve"> [… </w:t>
      </w:r>
      <w:r w:rsidRPr="0048465B">
        <w:rPr>
          <w:lang w:val="en-GB"/>
        </w:rPr>
        <w:t>have</w:t>
      </w:r>
      <w:r w:rsidR="000C3FB4">
        <w:rPr>
          <w:lang w:val="en-GB"/>
        </w:rPr>
        <w:t xml:space="preserve"> …</w:t>
      </w:r>
      <w:r w:rsidRPr="0048465B">
        <w:rPr>
          <w:lang w:val="en-GB"/>
        </w:rPr>
        <w:t>] in one’s body nothing but weakness, hunger and the knowledge of the end drawing nearer’.</w:t>
      </w:r>
      <w:r w:rsidRPr="0048465B">
        <w:rPr>
          <w:vertAlign w:val="superscript"/>
          <w:lang w:val="en-GB"/>
        </w:rPr>
        <w:footnoteReference w:id="74"/>
      </w:r>
      <w:r w:rsidRPr="0048465B">
        <w:rPr>
          <w:lang w:val="en-GB"/>
        </w:rPr>
        <w:t xml:space="preserve"> Here, the incommunicability of Levi’s personal experience, and the inability of those who did not experience the Lagers to comprehend life within them, is portentous of a more generalised social prohibition regarding determinations of the broader meaning and influence of the Holocaust. Even within Jewish circles we see a tempered version of this </w:t>
      </w:r>
      <w:r w:rsidR="00EE4B7A">
        <w:rPr>
          <w:lang w:val="en-GB"/>
        </w:rPr>
        <w:t xml:space="preserve">socio-cultural </w:t>
      </w:r>
      <w:r w:rsidRPr="0048465B">
        <w:rPr>
          <w:lang w:val="en-GB"/>
        </w:rPr>
        <w:t>injunction, exemplified by French Jewish author Henri Raczymow, who describes questioning ‘“by what right”’ he could speak, as someone who ‘was not a victim, survivor, or witness’, depicting this position as being ‘caught in the abyss between</w:t>
      </w:r>
      <w:r w:rsidR="000C3FB4">
        <w:rPr>
          <w:lang w:val="en-GB"/>
        </w:rPr>
        <w:t xml:space="preserve"> [… </w:t>
      </w:r>
      <w:r w:rsidRPr="0048465B">
        <w:rPr>
          <w:lang w:val="en-GB"/>
        </w:rPr>
        <w:t>the</w:t>
      </w:r>
      <w:r w:rsidR="000C3FB4">
        <w:rPr>
          <w:lang w:val="en-GB"/>
        </w:rPr>
        <w:t xml:space="preserve"> …</w:t>
      </w:r>
      <w:r w:rsidRPr="0048465B">
        <w:rPr>
          <w:lang w:val="en-GB"/>
        </w:rPr>
        <w:t>] imperious need to speak and the prohibition on speaking’.</w:t>
      </w:r>
      <w:r w:rsidRPr="0048465B">
        <w:rPr>
          <w:vertAlign w:val="superscript"/>
          <w:lang w:val="en-GB"/>
        </w:rPr>
        <w:footnoteReference w:id="75"/>
      </w:r>
      <w:r w:rsidRPr="0048465B">
        <w:rPr>
          <w:lang w:val="en-GB"/>
        </w:rPr>
        <w:t xml:space="preserve"> </w:t>
      </w:r>
    </w:p>
    <w:p w14:paraId="0316FA0A" w14:textId="77777777" w:rsidR="00FC5332" w:rsidRDefault="00FC5332" w:rsidP="00FC331F">
      <w:pPr>
        <w:rPr>
          <w:lang w:val="en-GB"/>
        </w:rPr>
      </w:pPr>
    </w:p>
    <w:p w14:paraId="5CC090BD" w14:textId="3495FB53" w:rsidR="00FC331F" w:rsidRPr="0048465B" w:rsidRDefault="00FC331F" w:rsidP="00FC331F">
      <w:pPr>
        <w:rPr>
          <w:lang w:val="en-GB"/>
        </w:rPr>
      </w:pPr>
      <w:r w:rsidRPr="0048465B">
        <w:rPr>
          <w:lang w:val="en-GB"/>
        </w:rPr>
        <w:t xml:space="preserve">However, the incommunicability that Levi refers to does not explicitly, and should not necessarily, equate to transcendent status. In addition to the fact that a declaration of negative sublime status indirectly promotes the use of the Holocaust as a touchstone for anguish and persecution </w:t>
      </w:r>
      <w:r w:rsidR="006F6603">
        <w:rPr>
          <w:lang w:val="en-GB"/>
        </w:rPr>
        <w:t>–</w:t>
      </w:r>
      <w:r w:rsidRPr="0048465B">
        <w:rPr>
          <w:lang w:val="en-GB"/>
        </w:rPr>
        <w:t xml:space="preserve"> a rendering that overlooks the detail of the Holocaust and reduces it to a set of signifiers </w:t>
      </w:r>
      <w:r w:rsidR="006F6603">
        <w:rPr>
          <w:lang w:val="en-GB"/>
        </w:rPr>
        <w:t>–</w:t>
      </w:r>
      <w:r w:rsidRPr="0048465B">
        <w:rPr>
          <w:lang w:val="en-GB"/>
        </w:rPr>
        <w:t xml:space="preserve"> this separatist view also ‘potentially creates a hierarchy of suffering</w:t>
      </w:r>
      <w:r w:rsidR="000C3FB4">
        <w:rPr>
          <w:lang w:val="en-GB"/>
        </w:rPr>
        <w:t xml:space="preserve"> […] </w:t>
      </w:r>
      <w:r w:rsidRPr="0048465B">
        <w:rPr>
          <w:lang w:val="en-GB"/>
        </w:rPr>
        <w:t>and removes that suffering from the field of historical agency (which is both morally and intellectually suspect)’.</w:t>
      </w:r>
      <w:r w:rsidRPr="0048465B">
        <w:rPr>
          <w:vertAlign w:val="superscript"/>
          <w:lang w:val="en-GB"/>
        </w:rPr>
        <w:footnoteReference w:id="76"/>
      </w:r>
      <w:r w:rsidRPr="0048465B">
        <w:rPr>
          <w:lang w:val="en-GB"/>
        </w:rPr>
        <w:t xml:space="preserve"> Ironically, the movement against the connection of distinct events in order to remove the possibility of one’s own pain being admitted into a comparative scale, actually creates a competitive environment that surrounds and attempts to draw this pain back into </w:t>
      </w:r>
      <w:proofErr w:type="spellStart"/>
      <w:r w:rsidRPr="0048465B">
        <w:rPr>
          <w:lang w:val="en-GB"/>
        </w:rPr>
        <w:t>comparativity</w:t>
      </w:r>
      <w:proofErr w:type="spellEnd"/>
      <w:r w:rsidRPr="0048465B">
        <w:rPr>
          <w:lang w:val="en-GB"/>
        </w:rPr>
        <w:t>.</w:t>
      </w:r>
    </w:p>
    <w:p w14:paraId="627D8F9B" w14:textId="77777777" w:rsidR="00FC331F" w:rsidRPr="0048465B" w:rsidRDefault="00FC331F" w:rsidP="00FC331F">
      <w:pPr>
        <w:rPr>
          <w:lang w:val="en-GB"/>
        </w:rPr>
      </w:pPr>
    </w:p>
    <w:p w14:paraId="05FB0B33" w14:textId="0CA6135D" w:rsidR="00FC331F" w:rsidRPr="0048465B" w:rsidRDefault="00FC331F" w:rsidP="00FC331F">
      <w:pPr>
        <w:rPr>
          <w:lang w:val="en-GB"/>
        </w:rPr>
      </w:pPr>
      <w:r w:rsidRPr="0048465B">
        <w:rPr>
          <w:lang w:val="en-GB"/>
        </w:rPr>
        <w:t xml:space="preserve">Perhaps the most worrying component of traumatic exceptionalism, however, is the very suggestion that a traumatic event can exist outside of the field of historical agency. Historical agency, in this context, represents the </w:t>
      </w:r>
      <w:r w:rsidR="002E5748">
        <w:rPr>
          <w:lang w:val="en-GB"/>
        </w:rPr>
        <w:t>ability</w:t>
      </w:r>
      <w:r w:rsidRPr="0048465B">
        <w:rPr>
          <w:lang w:val="en-GB"/>
        </w:rPr>
        <w:t xml:space="preserve"> of those who were alive at the time of, or prior to, the event,</w:t>
      </w:r>
      <w:r w:rsidR="002E5748">
        <w:rPr>
          <w:lang w:val="en-GB"/>
        </w:rPr>
        <w:t xml:space="preserve"> to control their own actions,</w:t>
      </w:r>
      <w:r w:rsidRPr="0048465B">
        <w:rPr>
          <w:lang w:val="en-GB"/>
        </w:rPr>
        <w:t xml:space="preserve"> and the belief that individuals and groups at any given time throughout history were</w:t>
      </w:r>
      <w:r w:rsidR="004A61CF">
        <w:rPr>
          <w:lang w:val="en-GB"/>
        </w:rPr>
        <w:t xml:space="preserve"> therefore</w:t>
      </w:r>
      <w:r w:rsidRPr="0048465B">
        <w:rPr>
          <w:lang w:val="en-GB"/>
        </w:rPr>
        <w:t xml:space="preserve"> theoretically able to affect the course of history. Whilst the concept</w:t>
      </w:r>
      <w:r w:rsidR="002E5748">
        <w:rPr>
          <w:lang w:val="en-GB"/>
        </w:rPr>
        <w:t>s</w:t>
      </w:r>
      <w:r w:rsidRPr="0048465B">
        <w:rPr>
          <w:lang w:val="en-GB"/>
        </w:rPr>
        <w:t xml:space="preserve"> of </w:t>
      </w:r>
      <w:r w:rsidR="002E5748">
        <w:rPr>
          <w:lang w:val="en-GB"/>
        </w:rPr>
        <w:t xml:space="preserve">agency and </w:t>
      </w:r>
      <w:r w:rsidRPr="0048465B">
        <w:rPr>
          <w:lang w:val="en-GB"/>
        </w:rPr>
        <w:t xml:space="preserve">free will </w:t>
      </w:r>
      <w:r w:rsidR="002E5748">
        <w:rPr>
          <w:lang w:val="en-GB"/>
        </w:rPr>
        <w:t>are</w:t>
      </w:r>
      <w:r w:rsidRPr="0048465B">
        <w:rPr>
          <w:lang w:val="en-GB"/>
        </w:rPr>
        <w:t xml:space="preserve"> more complicated when regarding the subjects of mass persecution, with th</w:t>
      </w:r>
      <w:r w:rsidR="004A61CF">
        <w:rPr>
          <w:lang w:val="en-GB"/>
        </w:rPr>
        <w:t>e</w:t>
      </w:r>
      <w:r w:rsidR="002E5748">
        <w:rPr>
          <w:lang w:val="en-GB"/>
        </w:rPr>
        <w:t xml:space="preserve"> victims of such persecution deprived of various freedoms such as those of free thought and religion, as well as freedom from forced labour and torture, the existence of agency nonetheless remains. Taking the Holocaust as an example, agency</w:t>
      </w:r>
      <w:r w:rsidR="00FC5332">
        <w:rPr>
          <w:lang w:val="en-GB"/>
        </w:rPr>
        <w:t xml:space="preserve"> existed </w:t>
      </w:r>
      <w:r w:rsidR="006F6603">
        <w:rPr>
          <w:lang w:val="en-GB"/>
        </w:rPr>
        <w:t>–</w:t>
      </w:r>
      <w:r w:rsidR="002E5748">
        <w:rPr>
          <w:lang w:val="en-GB"/>
        </w:rPr>
        <w:t xml:space="preserve"> albeit in a limited form</w:t>
      </w:r>
      <w:r w:rsidR="00FC5332">
        <w:rPr>
          <w:lang w:val="en-GB"/>
        </w:rPr>
        <w:t xml:space="preserve"> </w:t>
      </w:r>
      <w:r w:rsidR="006F6603">
        <w:rPr>
          <w:lang w:val="en-GB"/>
        </w:rPr>
        <w:t>–</w:t>
      </w:r>
      <w:r w:rsidR="004A61CF">
        <w:rPr>
          <w:lang w:val="en-GB"/>
        </w:rPr>
        <w:t xml:space="preserve"> </w:t>
      </w:r>
      <w:r w:rsidRPr="0048465B">
        <w:rPr>
          <w:lang w:val="en-GB"/>
        </w:rPr>
        <w:t xml:space="preserve">in acts of rebellion such as the Sonderkommando Revolts and photographs, or in </w:t>
      </w:r>
      <w:r w:rsidR="004A61CF">
        <w:rPr>
          <w:lang w:val="en-GB"/>
        </w:rPr>
        <w:t>the rebellious acts of those outside the camps</w:t>
      </w:r>
      <w:r w:rsidRPr="0048465B">
        <w:rPr>
          <w:lang w:val="en-GB"/>
        </w:rPr>
        <w:t xml:space="preserve">, such as the French Resistance. A complete absence </w:t>
      </w:r>
      <w:r w:rsidRPr="0048465B">
        <w:rPr>
          <w:lang w:val="en-GB"/>
        </w:rPr>
        <w:lastRenderedPageBreak/>
        <w:t xml:space="preserve">of historical agency suggests that nothing, not individual human beings, not organisations, not radically new ideas could have stopped the event from occurring. If true, such an understanding would debase both multidirectional and palimpsestic memory, as well as the entirety of memory and trauma studies, all of which are </w:t>
      </w:r>
      <w:r w:rsidR="00A623DC">
        <w:rPr>
          <w:lang w:val="en-GB"/>
        </w:rPr>
        <w:t>built</w:t>
      </w:r>
      <w:r w:rsidRPr="0048465B">
        <w:rPr>
          <w:lang w:val="en-GB"/>
        </w:rPr>
        <w:t xml:space="preserve"> upon a belief in the ability of the past to help shape understandings of the present and future, and thus for any past event to have theoretically also been shaped by events prior to it.</w:t>
      </w:r>
    </w:p>
    <w:p w14:paraId="0AE9477F" w14:textId="77777777" w:rsidR="00FC331F" w:rsidRPr="0048465B" w:rsidRDefault="00FC331F" w:rsidP="00FC331F">
      <w:pPr>
        <w:rPr>
          <w:lang w:val="en-GB"/>
        </w:rPr>
      </w:pPr>
    </w:p>
    <w:p w14:paraId="32688DCF" w14:textId="7A2C531D" w:rsidR="00FC331F" w:rsidRPr="0048465B" w:rsidRDefault="00FC331F" w:rsidP="00FC331F">
      <w:pPr>
        <w:rPr>
          <w:lang w:val="en-GB"/>
        </w:rPr>
      </w:pPr>
      <w:r w:rsidRPr="0048465B">
        <w:rPr>
          <w:lang w:val="en-GB"/>
        </w:rPr>
        <w:t>Yet despite the potential dangers of traumatic singularity, the concept of Holocaust singularity remains evident in both Rothberg’s and Silverman’s works. Writing about the concept of Holocaust singularity, Silverman notes the thoughts of historian Enzo Traverso, who remarks that ‘“[t]he recognition of the singularity of Auschwitz only has a meaning if it helps to found a fruitful and dialectical understanding of the relationship between a memory of the past and critique of the present’.</w:t>
      </w:r>
      <w:r w:rsidRPr="0048465B">
        <w:rPr>
          <w:vertAlign w:val="superscript"/>
          <w:lang w:val="en-GB"/>
        </w:rPr>
        <w:footnoteReference w:id="77"/>
      </w:r>
      <w:r w:rsidRPr="0048465B">
        <w:rPr>
          <w:lang w:val="en-GB"/>
        </w:rPr>
        <w:t xml:space="preserve"> This statement aligns with both Rothberg and Silverman’s belief that even claims of singularity can be incorporated into connective discourses, as they can help uncover new avenues of thought. Silverman further notes </w:t>
      </w:r>
      <w:proofErr w:type="spellStart"/>
      <w:r w:rsidRPr="0048465B">
        <w:rPr>
          <w:lang w:val="en-GB"/>
        </w:rPr>
        <w:t>Négritude</w:t>
      </w:r>
      <w:proofErr w:type="spellEnd"/>
      <w:r w:rsidRPr="0048465B">
        <w:rPr>
          <w:lang w:val="en-GB"/>
        </w:rPr>
        <w:t xml:space="preserve"> founder </w:t>
      </w:r>
      <w:proofErr w:type="spellStart"/>
      <w:r w:rsidRPr="0048465B">
        <w:rPr>
          <w:lang w:val="en-GB"/>
        </w:rPr>
        <w:t>Aimé</w:t>
      </w:r>
      <w:proofErr w:type="spellEnd"/>
      <w:r w:rsidRPr="0048465B">
        <w:rPr>
          <w:lang w:val="en-GB"/>
        </w:rPr>
        <w:t xml:space="preserve"> </w:t>
      </w:r>
      <w:proofErr w:type="spellStart"/>
      <w:r w:rsidRPr="0048465B">
        <w:rPr>
          <w:lang w:val="en-GB"/>
        </w:rPr>
        <w:t>Césaire’s</w:t>
      </w:r>
      <w:proofErr w:type="spellEnd"/>
      <w:r w:rsidRPr="0048465B">
        <w:rPr>
          <w:lang w:val="en-GB"/>
        </w:rPr>
        <w:t xml:space="preserve"> provocative suggestion that Hitler’s true crime was ‘“not </w:t>
      </w:r>
      <w:r w:rsidRPr="0048465B">
        <w:rPr>
          <w:i/>
          <w:lang w:val="en-GB"/>
        </w:rPr>
        <w:t>the humiliation of man as such</w:t>
      </w:r>
      <w:r w:rsidRPr="0048465B">
        <w:rPr>
          <w:lang w:val="en-GB"/>
        </w:rPr>
        <w:t>, [but] the crime against the white man, the humiliation of the white man, and the fact that he applied to Europe colonialist procedures”’.</w:t>
      </w:r>
      <w:r w:rsidRPr="0048465B">
        <w:rPr>
          <w:vertAlign w:val="superscript"/>
          <w:lang w:val="en-GB"/>
        </w:rPr>
        <w:footnoteReference w:id="78"/>
      </w:r>
      <w:r w:rsidRPr="0048465B">
        <w:rPr>
          <w:lang w:val="en-GB"/>
        </w:rPr>
        <w:t xml:space="preserve"> Whilst this statement opposes the suggestion of the Holocaust’s singularity </w:t>
      </w:r>
      <w:r w:rsidR="006F6603">
        <w:rPr>
          <w:lang w:val="en-GB"/>
        </w:rPr>
        <w:t>–</w:t>
      </w:r>
      <w:r w:rsidRPr="0048465B">
        <w:rPr>
          <w:lang w:val="en-GB"/>
        </w:rPr>
        <w:t xml:space="preserve"> or</w:t>
      </w:r>
      <w:r w:rsidR="006F6603">
        <w:rPr>
          <w:lang w:val="en-GB"/>
        </w:rPr>
        <w:t xml:space="preserve"> </w:t>
      </w:r>
      <w:r w:rsidRPr="0048465B">
        <w:rPr>
          <w:lang w:val="en-GB"/>
        </w:rPr>
        <w:t xml:space="preserve">at least centres the claim of singularity in race rather than genocide </w:t>
      </w:r>
      <w:r w:rsidR="006F6603">
        <w:rPr>
          <w:lang w:val="en-GB"/>
        </w:rPr>
        <w:t>–</w:t>
      </w:r>
      <w:r w:rsidRPr="0048465B">
        <w:rPr>
          <w:lang w:val="en-GB"/>
        </w:rPr>
        <w:t xml:space="preserve"> both multidirectional and palimpsestic understandings of memory would regard this very suggestion as having validated Traverso’s understanding of the functional singularity of Auschwitz, as it was the original claims to the </w:t>
      </w:r>
      <w:r w:rsidRPr="0048465B">
        <w:rPr>
          <w:lang w:val="en-GB"/>
        </w:rPr>
        <w:lastRenderedPageBreak/>
        <w:t xml:space="preserve">singularity of Auschwitz that provided the framework for </w:t>
      </w:r>
      <w:proofErr w:type="spellStart"/>
      <w:r w:rsidRPr="0048465B">
        <w:rPr>
          <w:lang w:val="en-GB"/>
        </w:rPr>
        <w:t>Césaire’s</w:t>
      </w:r>
      <w:proofErr w:type="spellEnd"/>
      <w:r w:rsidRPr="0048465B">
        <w:rPr>
          <w:lang w:val="en-GB"/>
        </w:rPr>
        <w:t xml:space="preserve"> scrutinisation of the racial element of the Holocaust more specifically.</w:t>
      </w:r>
    </w:p>
    <w:p w14:paraId="7014FA4A" w14:textId="77777777" w:rsidR="00FC331F" w:rsidRPr="0048465B" w:rsidRDefault="00FC331F" w:rsidP="00FC331F">
      <w:pPr>
        <w:rPr>
          <w:lang w:val="en-GB"/>
        </w:rPr>
      </w:pPr>
    </w:p>
    <w:p w14:paraId="728D533F" w14:textId="78D77AC9" w:rsidR="00535F1C" w:rsidRDefault="00FC331F" w:rsidP="00FC331F">
      <w:pPr>
        <w:rPr>
          <w:lang w:val="en-GB"/>
        </w:rPr>
      </w:pPr>
      <w:r w:rsidRPr="0048465B">
        <w:rPr>
          <w:lang w:val="en-GB"/>
        </w:rPr>
        <w:t xml:space="preserve">Yet whilst Rothberg’s eagerness to expose the relationship between discourses of uniqueness and hierarchies of suffering is encouraging, he fails to demonstrate convincingly how multidirectional memory avoids this pitfall. Rothberg argues that, with multidirectional memory, claims to singularity often function positively in order to provoke new conversations about the processes of colonialism, and the ways in which we engage with events whose victims are remote enough to be forgotten. His initial example of </w:t>
      </w:r>
      <w:r w:rsidR="009C6BA9">
        <w:rPr>
          <w:lang w:val="en-GB"/>
        </w:rPr>
        <w:t>this</w:t>
      </w:r>
      <w:r w:rsidR="004459CE">
        <w:rPr>
          <w:lang w:val="en-GB"/>
        </w:rPr>
        <w:t xml:space="preserve"> </w:t>
      </w:r>
      <w:r w:rsidR="00535F1C">
        <w:rPr>
          <w:lang w:val="en-GB"/>
        </w:rPr>
        <w:t xml:space="preserve">positive </w:t>
      </w:r>
      <w:r w:rsidR="004459CE">
        <w:rPr>
          <w:lang w:val="en-GB"/>
        </w:rPr>
        <w:t>function</w:t>
      </w:r>
      <w:r w:rsidR="009C6BA9">
        <w:rPr>
          <w:lang w:val="en-GB"/>
        </w:rPr>
        <w:t xml:space="preserve"> </w:t>
      </w:r>
      <w:r w:rsidR="004A61CF">
        <w:rPr>
          <w:lang w:val="en-GB"/>
        </w:rPr>
        <w:t>references</w:t>
      </w:r>
      <w:r w:rsidR="009C6BA9">
        <w:rPr>
          <w:lang w:val="en-GB"/>
        </w:rPr>
        <w:t xml:space="preserve"> debate surrounding the National Mall in Washington DC, and</w:t>
      </w:r>
      <w:r w:rsidR="004A61CF">
        <w:rPr>
          <w:lang w:val="en-GB"/>
        </w:rPr>
        <w:t xml:space="preserve"> the</w:t>
      </w:r>
      <w:r w:rsidR="009C6BA9">
        <w:rPr>
          <w:lang w:val="en-GB"/>
        </w:rPr>
        <w:t xml:space="preserve"> fact that there, at the time, existed no </w:t>
      </w:r>
      <w:r w:rsidR="004A61CF">
        <w:rPr>
          <w:lang w:val="en-GB"/>
        </w:rPr>
        <w:t>official memorial</w:t>
      </w:r>
      <w:r w:rsidR="009C6BA9">
        <w:rPr>
          <w:lang w:val="en-GB"/>
        </w:rPr>
        <w:t xml:space="preserve"> dedicated</w:t>
      </w:r>
      <w:r w:rsidR="004A61CF">
        <w:rPr>
          <w:lang w:val="en-GB"/>
        </w:rPr>
        <w:t xml:space="preserve"> to</w:t>
      </w:r>
      <w:r w:rsidR="00535F1C">
        <w:rPr>
          <w:lang w:val="en-GB"/>
        </w:rPr>
        <w:t xml:space="preserve"> the </w:t>
      </w:r>
      <w:r w:rsidR="009C6BA9">
        <w:rPr>
          <w:lang w:val="en-GB"/>
        </w:rPr>
        <w:t>African people enslaved and brought to North America,</w:t>
      </w:r>
      <w:r w:rsidR="00535F1C">
        <w:rPr>
          <w:lang w:val="en-GB"/>
        </w:rPr>
        <w:t xml:space="preserve"> whilst a museum dedicated to those who had died during the Holocaust,</w:t>
      </w:r>
      <w:r w:rsidR="009C6BA9">
        <w:rPr>
          <w:lang w:val="en-GB"/>
        </w:rPr>
        <w:t xml:space="preserve"> an event far less central to American history</w:t>
      </w:r>
      <w:r w:rsidR="00535F1C">
        <w:rPr>
          <w:lang w:val="en-GB"/>
        </w:rPr>
        <w:t>, did exist</w:t>
      </w:r>
      <w:r w:rsidR="009C6BA9">
        <w:rPr>
          <w:lang w:val="en-GB"/>
        </w:rPr>
        <w:t>.</w:t>
      </w:r>
      <w:r w:rsidR="004A61CF">
        <w:rPr>
          <w:lang w:val="en-GB"/>
        </w:rPr>
        <w:t xml:space="preserve"> </w:t>
      </w:r>
      <w:r w:rsidR="00535F1C">
        <w:rPr>
          <w:lang w:val="en-GB"/>
        </w:rPr>
        <w:t xml:space="preserve">Here, </w:t>
      </w:r>
      <w:r w:rsidR="004A61CF">
        <w:rPr>
          <w:lang w:val="en-GB"/>
        </w:rPr>
        <w:t>Rothberg argues that</w:t>
      </w:r>
      <w:r w:rsidRPr="0048465B">
        <w:rPr>
          <w:lang w:val="en-GB"/>
        </w:rPr>
        <w:t xml:space="preserve"> the depth of analysis given to the Holocaust provided</w:t>
      </w:r>
      <w:r w:rsidR="00A623DC">
        <w:rPr>
          <w:lang w:val="en-GB"/>
        </w:rPr>
        <w:t xml:space="preserve"> both</w:t>
      </w:r>
      <w:r w:rsidRPr="0048465B">
        <w:rPr>
          <w:lang w:val="en-GB"/>
        </w:rPr>
        <w:t xml:space="preserve"> literary critic Walter Benn Michaels and</w:t>
      </w:r>
      <w:r w:rsidR="004A61CF">
        <w:rPr>
          <w:lang w:val="en-GB"/>
        </w:rPr>
        <w:t xml:space="preserve"> </w:t>
      </w:r>
      <w:r w:rsidR="009C6BA9">
        <w:rPr>
          <w:lang w:val="en-GB"/>
        </w:rPr>
        <w:t>‘“notorious black racist Khalid Muhammad”’</w:t>
      </w:r>
      <w:r w:rsidRPr="0048465B">
        <w:rPr>
          <w:lang w:val="en-GB"/>
        </w:rPr>
        <w:t xml:space="preserve"> with a ‘platform [from which] to articulate a vision of American racism past and present’</w:t>
      </w:r>
      <w:r w:rsidR="004A61CF">
        <w:rPr>
          <w:lang w:val="en-GB"/>
        </w:rPr>
        <w:t>.</w:t>
      </w:r>
      <w:r w:rsidRPr="0048465B">
        <w:rPr>
          <w:vertAlign w:val="superscript"/>
          <w:lang w:val="en-GB"/>
        </w:rPr>
        <w:footnoteReference w:id="79"/>
      </w:r>
      <w:r w:rsidRPr="0048465B">
        <w:rPr>
          <w:lang w:val="en-GB"/>
        </w:rPr>
        <w:t xml:space="preserve"> Whilst there is no ideological connection between Muhammad’s speech – which includes Holocaust denial and antisemitism – and Michaels’ analysis of it, these two differing voices are united by the feeling that, in addition to functioning as a memorial to the Holocaust, the USHMM also functions as a cultural screen for America’s enslavement of black people. As Michaels writes, ‘</w:t>
      </w:r>
      <w:r w:rsidR="00535F1C">
        <w:rPr>
          <w:lang w:val="en-GB"/>
        </w:rPr>
        <w:t>“</w:t>
      </w:r>
      <w:r w:rsidRPr="0048465B">
        <w:rPr>
          <w:lang w:val="en-GB"/>
        </w:rPr>
        <w:t>[w]</w:t>
      </w:r>
      <w:proofErr w:type="spellStart"/>
      <w:r w:rsidRPr="0048465B">
        <w:rPr>
          <w:lang w:val="en-GB"/>
        </w:rPr>
        <w:t>hy</w:t>
      </w:r>
      <w:proofErr w:type="spellEnd"/>
      <w:r w:rsidRPr="0048465B">
        <w:rPr>
          <w:lang w:val="en-GB"/>
        </w:rPr>
        <w:t xml:space="preserve"> should what the Germans did to the Jews be treated as a crucial event in American history, especially when, given the absence of any commemoration of American racism on the Mall, what Americans did to Black people is not?</w:t>
      </w:r>
      <w:r w:rsidR="00535F1C">
        <w:rPr>
          <w:lang w:val="en-GB"/>
        </w:rPr>
        <w:t>”</w:t>
      </w:r>
      <w:r w:rsidRPr="0048465B">
        <w:rPr>
          <w:lang w:val="en-GB"/>
        </w:rPr>
        <w:t>’</w:t>
      </w:r>
      <w:r w:rsidRPr="0048465B">
        <w:rPr>
          <w:vertAlign w:val="superscript"/>
          <w:lang w:val="en-GB"/>
        </w:rPr>
        <w:footnoteReference w:id="80"/>
      </w:r>
      <w:r w:rsidRPr="0048465B">
        <w:rPr>
          <w:lang w:val="en-GB"/>
        </w:rPr>
        <w:t xml:space="preserve"> </w:t>
      </w:r>
      <w:r w:rsidR="00A623DC">
        <w:rPr>
          <w:lang w:val="en-GB"/>
        </w:rPr>
        <w:t xml:space="preserve">In contrast to Michaels’ clear and </w:t>
      </w:r>
      <w:r w:rsidR="00305288">
        <w:rPr>
          <w:lang w:val="en-GB"/>
        </w:rPr>
        <w:t>analytical</w:t>
      </w:r>
      <w:r w:rsidR="00A623DC">
        <w:rPr>
          <w:lang w:val="en-GB"/>
        </w:rPr>
        <w:t xml:space="preserve"> connection,</w:t>
      </w:r>
      <w:r w:rsidRPr="0048465B">
        <w:rPr>
          <w:lang w:val="en-GB"/>
        </w:rPr>
        <w:t xml:space="preserve"> Muhammad’s</w:t>
      </w:r>
      <w:r w:rsidR="00C4330E">
        <w:rPr>
          <w:lang w:val="en-GB"/>
        </w:rPr>
        <w:t xml:space="preserve"> offensive</w:t>
      </w:r>
      <w:r w:rsidR="00535F1C">
        <w:rPr>
          <w:lang w:val="en-GB"/>
        </w:rPr>
        <w:t xml:space="preserve"> </w:t>
      </w:r>
      <w:r w:rsidR="00C4330E">
        <w:rPr>
          <w:lang w:val="en-GB"/>
        </w:rPr>
        <w:lastRenderedPageBreak/>
        <w:t>challenging of the Holocaust’s very existence</w:t>
      </w:r>
      <w:r w:rsidR="00305288">
        <w:rPr>
          <w:lang w:val="en-GB"/>
        </w:rPr>
        <w:t>,</w:t>
      </w:r>
      <w:r w:rsidRPr="0048465B">
        <w:rPr>
          <w:lang w:val="en-GB"/>
        </w:rPr>
        <w:t xml:space="preserve"> in </w:t>
      </w:r>
      <w:r w:rsidR="00C4330E">
        <w:rPr>
          <w:lang w:val="en-GB"/>
        </w:rPr>
        <w:t>order</w:t>
      </w:r>
      <w:r w:rsidRPr="0048465B">
        <w:rPr>
          <w:lang w:val="en-GB"/>
        </w:rPr>
        <w:t xml:space="preserve"> to redirect focus to what he refers to as the ‘“black holocaust”’</w:t>
      </w:r>
      <w:r w:rsidR="00305288">
        <w:rPr>
          <w:lang w:val="en-GB"/>
        </w:rPr>
        <w:t>,</w:t>
      </w:r>
      <w:r w:rsidRPr="0048465B">
        <w:rPr>
          <w:lang w:val="en-GB"/>
        </w:rPr>
        <w:t xml:space="preserve"> </w:t>
      </w:r>
      <w:r w:rsidR="00305288">
        <w:rPr>
          <w:lang w:val="en-GB"/>
        </w:rPr>
        <w:t xml:space="preserve">is rightly identified by Rothberg as </w:t>
      </w:r>
      <w:r w:rsidRPr="0048465B">
        <w:rPr>
          <w:lang w:val="en-GB"/>
        </w:rPr>
        <w:t>occur</w:t>
      </w:r>
      <w:r w:rsidR="00305288">
        <w:rPr>
          <w:lang w:val="en-GB"/>
        </w:rPr>
        <w:t>ring</w:t>
      </w:r>
      <w:r w:rsidRPr="0048465B">
        <w:rPr>
          <w:lang w:val="en-GB"/>
        </w:rPr>
        <w:t xml:space="preserve"> ‘precisely because the Holocaust is widely thought of as a unique and uniquely terrible form of political violence’.</w:t>
      </w:r>
      <w:r w:rsidRPr="0048465B">
        <w:rPr>
          <w:vertAlign w:val="superscript"/>
          <w:lang w:val="en-GB"/>
        </w:rPr>
        <w:footnoteReference w:id="81"/>
      </w:r>
      <w:r w:rsidRPr="0048465B">
        <w:rPr>
          <w:lang w:val="en-GB"/>
        </w:rPr>
        <w:t xml:space="preserve"> </w:t>
      </w:r>
    </w:p>
    <w:p w14:paraId="7AA7E29F" w14:textId="77777777" w:rsidR="00535F1C" w:rsidRDefault="00535F1C" w:rsidP="00FC331F">
      <w:pPr>
        <w:rPr>
          <w:lang w:val="en-GB"/>
        </w:rPr>
      </w:pPr>
    </w:p>
    <w:p w14:paraId="6FD2DCA5" w14:textId="32BF9445" w:rsidR="00FC331F" w:rsidRPr="0048465B" w:rsidRDefault="00FC331F" w:rsidP="00FC331F">
      <w:pPr>
        <w:rPr>
          <w:lang w:val="en-GB"/>
        </w:rPr>
      </w:pPr>
      <w:r w:rsidRPr="0048465B">
        <w:rPr>
          <w:lang w:val="en-GB"/>
        </w:rPr>
        <w:t>However, the aforementioned issues behind multidirectional screen memory remain. As much as the Holocaust has, in this case, provided a platform from which historical American racism can be made increasingly visible, this particular platform is in part predicated upon an either soft, or hard, rejection of the function of a Holocaust memorial. Such arguments thus become as much about Holocaust relativism and American approaches to Holocaust memory as they are about the absence of due consideration regarding American anti-black racism, meaning that both forms of persecution become engaged in the kind of battle for priority that Rothberg himself decries.</w:t>
      </w:r>
    </w:p>
    <w:p w14:paraId="07679836" w14:textId="77777777" w:rsidR="00FC331F" w:rsidRPr="0048465B" w:rsidRDefault="00FC331F" w:rsidP="00FC331F">
      <w:pPr>
        <w:rPr>
          <w:lang w:val="en-GB"/>
        </w:rPr>
      </w:pPr>
    </w:p>
    <w:p w14:paraId="2C47033F" w14:textId="7D8E76D7" w:rsidR="00FC331F" w:rsidRPr="0048465B" w:rsidRDefault="00FC331F" w:rsidP="00FC331F">
      <w:pPr>
        <w:rPr>
          <w:lang w:val="en-GB"/>
        </w:rPr>
      </w:pPr>
      <w:r w:rsidRPr="0048465B">
        <w:rPr>
          <w:lang w:val="en-GB"/>
        </w:rPr>
        <w:t xml:space="preserve">Rothberg implies that this specific example is one of a ‘hostile invocation[] of memory’, </w:t>
      </w:r>
      <w:r w:rsidR="00CB19FD">
        <w:rPr>
          <w:lang w:val="en-GB"/>
        </w:rPr>
        <w:t xml:space="preserve">and claims that </w:t>
      </w:r>
      <w:r w:rsidRPr="0048465B">
        <w:rPr>
          <w:lang w:val="en-GB"/>
        </w:rPr>
        <w:t>whilst there are ‘cases</w:t>
      </w:r>
      <w:r w:rsidR="000C3FB4">
        <w:rPr>
          <w:lang w:val="en-GB"/>
        </w:rPr>
        <w:t xml:space="preserve"> […] </w:t>
      </w:r>
      <w:r w:rsidRPr="0048465B">
        <w:rPr>
          <w:lang w:val="en-GB"/>
        </w:rPr>
        <w:t>where memory’s multidirectionality functions in the interests of violence or exclusion instead of solidarity’, the ‘understanding [of] memory as multidirectional is ultimately preferable to models of competition, exclusivity, and exceptionality’.</w:t>
      </w:r>
      <w:r w:rsidRPr="0048465B">
        <w:rPr>
          <w:vertAlign w:val="superscript"/>
          <w:lang w:val="en-GB"/>
        </w:rPr>
        <w:footnoteReference w:id="82"/>
      </w:r>
      <w:r w:rsidRPr="0048465B">
        <w:rPr>
          <w:lang w:val="en-GB"/>
        </w:rPr>
        <w:t xml:space="preserve"> Yet whilst such understandings may be preferable, Rothberg appears to overlook the logical deduction that underlies the multidirectional process of raising awareness of one event through connecting it to another: that such connections automatically insert both events into the kind of complicated traumatic hierarchy that Rothberg intends to nullify. Indeed, it seems counterintuitive that a methodology of memory, trauma, and suffering that preaches egalitarianism and claims to deconstruct traumatic hierarchies simultaneously channels all of its connective analyses through </w:t>
      </w:r>
      <w:r w:rsidRPr="0048465B">
        <w:rPr>
          <w:lang w:val="en-GB"/>
        </w:rPr>
        <w:lastRenderedPageBreak/>
        <w:t xml:space="preserve">one central event, the only event specified in the subtitle of the monograph, </w:t>
      </w:r>
      <w:r w:rsidRPr="0048465B">
        <w:rPr>
          <w:i/>
          <w:lang w:val="en-GB"/>
        </w:rPr>
        <w:t>Multidirectional Memory: Remembering the Holocaust in the Age of Decolonization</w:t>
      </w:r>
      <w:r w:rsidRPr="0048465B">
        <w:rPr>
          <w:lang w:val="en-GB"/>
        </w:rPr>
        <w:t>.</w:t>
      </w:r>
    </w:p>
    <w:p w14:paraId="3B544122" w14:textId="77777777" w:rsidR="00FC331F" w:rsidRPr="0048465B" w:rsidRDefault="00FC331F" w:rsidP="00FC331F">
      <w:pPr>
        <w:rPr>
          <w:lang w:val="en-GB"/>
        </w:rPr>
      </w:pPr>
    </w:p>
    <w:p w14:paraId="2A538680" w14:textId="72CAD05A" w:rsidR="00FC331F" w:rsidRPr="0048465B" w:rsidRDefault="00FC331F" w:rsidP="00FC331F">
      <w:pPr>
        <w:rPr>
          <w:lang w:val="en-GB"/>
        </w:rPr>
      </w:pPr>
      <w:r w:rsidRPr="0048465B">
        <w:rPr>
          <w:lang w:val="en-GB"/>
        </w:rPr>
        <w:t xml:space="preserve">This is where Rothberg’s observations of conventional understandings of the Holocaust become increasingly important. </w:t>
      </w:r>
      <w:r w:rsidR="00C26343">
        <w:rPr>
          <w:lang w:val="en-GB"/>
        </w:rPr>
        <w:t>At the outset of</w:t>
      </w:r>
      <w:r w:rsidRPr="0048465B">
        <w:rPr>
          <w:lang w:val="en-GB"/>
        </w:rPr>
        <w:t xml:space="preserve"> his monograph, Rothberg affirms that the Holocaust ‘has come to be understood in the popular imagination, especially in Europe, Israel, and North America, as a unique, sui generis event’,</w:t>
      </w:r>
      <w:r w:rsidRPr="0048465B">
        <w:rPr>
          <w:vertAlign w:val="superscript"/>
          <w:lang w:val="en-GB"/>
        </w:rPr>
        <w:footnoteReference w:id="83"/>
      </w:r>
      <w:r w:rsidRPr="0048465B">
        <w:rPr>
          <w:lang w:val="en-GB"/>
        </w:rPr>
        <w:t xml:space="preserve"> his awareness of public opinion reiterated at multiple points in the monograph, such as within references to ‘the rise of consciousness of the Holocaust as an unprecedented form of modern genocide’</w:t>
      </w:r>
      <w:r w:rsidRPr="0048465B">
        <w:rPr>
          <w:vertAlign w:val="superscript"/>
          <w:lang w:val="en-GB"/>
        </w:rPr>
        <w:footnoteReference w:id="84"/>
      </w:r>
      <w:r w:rsidRPr="0048465B">
        <w:rPr>
          <w:lang w:val="en-GB"/>
        </w:rPr>
        <w:t xml:space="preserve"> and to the notion, as mentioned above in relation to Khalid Muhammad, of the Holocaust being thought of as ‘uniquely terrible’. </w:t>
      </w:r>
      <w:r w:rsidR="00C26343">
        <w:rPr>
          <w:lang w:val="en-GB"/>
        </w:rPr>
        <w:t xml:space="preserve">Gilbert </w:t>
      </w:r>
      <w:r w:rsidR="00F13356" w:rsidRPr="0048465B">
        <w:rPr>
          <w:lang w:val="en-GB"/>
        </w:rPr>
        <w:t xml:space="preserve">Achcar nominates the Israeli academics Meir Litvak and Esther </w:t>
      </w:r>
      <w:proofErr w:type="spellStart"/>
      <w:r w:rsidR="00F13356" w:rsidRPr="0048465B">
        <w:rPr>
          <w:lang w:val="en-GB"/>
        </w:rPr>
        <w:t>Webman</w:t>
      </w:r>
      <w:proofErr w:type="spellEnd"/>
      <w:r w:rsidR="00F13356" w:rsidRPr="0048465B">
        <w:rPr>
          <w:lang w:val="en-GB"/>
        </w:rPr>
        <w:t xml:space="preserve"> as particularly unambiguous </w:t>
      </w:r>
      <w:r w:rsidR="00C26343">
        <w:rPr>
          <w:lang w:val="en-GB"/>
        </w:rPr>
        <w:t xml:space="preserve">representatives of those who affirm the uniqueness </w:t>
      </w:r>
      <w:r w:rsidR="00F13356" w:rsidRPr="0048465B">
        <w:rPr>
          <w:lang w:val="en-GB"/>
        </w:rPr>
        <w:t xml:space="preserve">of the Holocaust, arguing that their work ‘takes the form of the following syllogism </w:t>
      </w:r>
      <w:r w:rsidR="000C3FB4">
        <w:rPr>
          <w:lang w:val="en-GB"/>
        </w:rPr>
        <w:t>[…]</w:t>
      </w:r>
      <w:r w:rsidR="00F13356" w:rsidRPr="0048465B">
        <w:rPr>
          <w:lang w:val="en-GB"/>
        </w:rPr>
        <w:t xml:space="preserve"> any comparison involving Nazism and the Holocaust calls the uniqueness of the Holocaust into question</w:t>
      </w:r>
      <w:r w:rsidR="000C3FB4">
        <w:rPr>
          <w:lang w:val="en-GB"/>
        </w:rPr>
        <w:t xml:space="preserve"> [… </w:t>
      </w:r>
      <w:r w:rsidR="00F13356" w:rsidRPr="0048465B">
        <w:rPr>
          <w:lang w:val="en-GB"/>
        </w:rPr>
        <w:t>and</w:t>
      </w:r>
      <w:r w:rsidR="000C3FB4">
        <w:rPr>
          <w:lang w:val="en-GB"/>
        </w:rPr>
        <w:t xml:space="preserve"> …</w:t>
      </w:r>
      <w:r w:rsidR="00F13356" w:rsidRPr="0048465B">
        <w:rPr>
          <w:lang w:val="en-GB"/>
        </w:rPr>
        <w:t>] calling the unique</w:t>
      </w:r>
      <w:r w:rsidR="00F13356">
        <w:rPr>
          <w:lang w:val="en-GB"/>
        </w:rPr>
        <w:t>ne</w:t>
      </w:r>
      <w:r w:rsidR="00F13356" w:rsidRPr="0048465B">
        <w:rPr>
          <w:lang w:val="en-GB"/>
        </w:rPr>
        <w:t>ss of the Holocaust into question is tantamount to denying it’.</w:t>
      </w:r>
      <w:r w:rsidR="00F13356" w:rsidRPr="0048465B">
        <w:rPr>
          <w:vertAlign w:val="superscript"/>
          <w:lang w:val="en-GB"/>
        </w:rPr>
        <w:footnoteReference w:id="85"/>
      </w:r>
      <w:r w:rsidR="00F13356" w:rsidRPr="0048465B">
        <w:rPr>
          <w:lang w:val="en-GB"/>
        </w:rPr>
        <w:t xml:space="preserve"> Such perspectives, in addition to Rothberg’s</w:t>
      </w:r>
      <w:r w:rsidR="00C26343">
        <w:rPr>
          <w:lang w:val="en-GB"/>
        </w:rPr>
        <w:t xml:space="preserve"> more tempered</w:t>
      </w:r>
      <w:r w:rsidR="00F13356" w:rsidRPr="0048465B">
        <w:rPr>
          <w:lang w:val="en-GB"/>
        </w:rPr>
        <w:t xml:space="preserve"> acknowledgement of the prevalence of these cultural understandings, demonstrate that regardless of </w:t>
      </w:r>
      <w:r w:rsidR="00C26343">
        <w:rPr>
          <w:lang w:val="en-GB"/>
        </w:rPr>
        <w:t>its appropriateness</w:t>
      </w:r>
      <w:r w:rsidR="00F13356" w:rsidRPr="0048465B">
        <w:rPr>
          <w:lang w:val="en-GB"/>
        </w:rPr>
        <w:t>, the Holocaust remains central to both contemporary and recent historical public formations of the idea</w:t>
      </w:r>
      <w:r w:rsidR="00C26343">
        <w:rPr>
          <w:lang w:val="en-GB"/>
        </w:rPr>
        <w:t>s</w:t>
      </w:r>
      <w:r w:rsidR="00F13356" w:rsidRPr="0048465B">
        <w:rPr>
          <w:lang w:val="en-GB"/>
        </w:rPr>
        <w:t xml:space="preserve"> of suffering, trauma, and genocide.</w:t>
      </w:r>
    </w:p>
    <w:p w14:paraId="615BAB79" w14:textId="77777777" w:rsidR="00FC331F" w:rsidRPr="0048465B" w:rsidRDefault="00FC331F" w:rsidP="00FC331F">
      <w:pPr>
        <w:rPr>
          <w:lang w:val="en-GB"/>
        </w:rPr>
      </w:pPr>
    </w:p>
    <w:p w14:paraId="14CE2C08" w14:textId="22013C47" w:rsidR="00FC331F" w:rsidRPr="0048465B" w:rsidRDefault="00FC331F" w:rsidP="00FC331F">
      <w:pPr>
        <w:rPr>
          <w:lang w:val="en-GB"/>
        </w:rPr>
      </w:pPr>
      <w:r w:rsidRPr="0048465B">
        <w:rPr>
          <w:lang w:val="en-GB"/>
        </w:rPr>
        <w:t xml:space="preserve">As already evidenced by the subtitle of his monograph, </w:t>
      </w:r>
      <w:r w:rsidRPr="0048465B">
        <w:rPr>
          <w:i/>
          <w:lang w:val="en-GB"/>
        </w:rPr>
        <w:t>Multidirectional Memory</w:t>
      </w:r>
      <w:r w:rsidRPr="0048465B">
        <w:rPr>
          <w:lang w:val="en-GB"/>
        </w:rPr>
        <w:t xml:space="preserve"> revolves around the Holocaust, and whilst it looks also at instances of mass persecution that came both before and </w:t>
      </w:r>
      <w:r w:rsidRPr="0048465B">
        <w:rPr>
          <w:lang w:val="en-GB"/>
        </w:rPr>
        <w:lastRenderedPageBreak/>
        <w:t xml:space="preserve">after the Holocaust, the Holocaust remains the conduit that </w:t>
      </w:r>
      <w:r w:rsidR="00C26343">
        <w:rPr>
          <w:lang w:val="en-GB"/>
        </w:rPr>
        <w:t>enables</w:t>
      </w:r>
      <w:r w:rsidRPr="0048465B">
        <w:rPr>
          <w:lang w:val="en-GB"/>
        </w:rPr>
        <w:t xml:space="preserve"> these explorations. The problem therein is that through identifying the remembrance of any single event as a ‘paradigmatic object of concern’</w:t>
      </w:r>
      <w:r w:rsidR="00C26343">
        <w:rPr>
          <w:lang w:val="en-GB"/>
        </w:rPr>
        <w:t xml:space="preserve">, </w:t>
      </w:r>
      <w:r w:rsidRPr="0048465B">
        <w:rPr>
          <w:lang w:val="en-GB"/>
        </w:rPr>
        <w:t>as Rothberg does with the Holocaust</w:t>
      </w:r>
      <w:r w:rsidR="00C26343">
        <w:rPr>
          <w:lang w:val="en-GB"/>
        </w:rPr>
        <w:t>,</w:t>
      </w:r>
      <w:r w:rsidRPr="0048465B">
        <w:rPr>
          <w:lang w:val="en-GB"/>
        </w:rPr>
        <w:t xml:space="preserve"> the multidirectionality of any given association that occurs thereafter</w:t>
      </w:r>
      <w:r w:rsidR="00C26343">
        <w:rPr>
          <w:lang w:val="en-GB"/>
        </w:rPr>
        <w:t xml:space="preserve"> is limited</w:t>
      </w:r>
      <w:r w:rsidRPr="0048465B">
        <w:rPr>
          <w:lang w:val="en-GB"/>
        </w:rPr>
        <w:t>.</w:t>
      </w:r>
      <w:r w:rsidR="00C26343" w:rsidRPr="0048465B">
        <w:rPr>
          <w:vertAlign w:val="superscript"/>
          <w:lang w:val="en-GB"/>
        </w:rPr>
        <w:footnoteReference w:id="86"/>
      </w:r>
      <w:r w:rsidR="00C26343">
        <w:rPr>
          <w:lang w:val="en-GB"/>
        </w:rPr>
        <w:t xml:space="preserve"> </w:t>
      </w:r>
      <w:r w:rsidRPr="0048465B">
        <w:rPr>
          <w:lang w:val="en-GB"/>
        </w:rPr>
        <w:t>Each and every connection that is made is made in relation to this particular traumatic event, and therefore this expression of suffering becomes that which connects all others, and substantiates understandings of, and claims to, suffering altogether. This effect is particularly powerful with regard to the Holocaust</w:t>
      </w:r>
      <w:r w:rsidR="00064F94">
        <w:rPr>
          <w:lang w:val="en-GB"/>
        </w:rPr>
        <w:t xml:space="preserve"> specifically for a number of reasons</w:t>
      </w:r>
      <w:r w:rsidRPr="0048465B">
        <w:rPr>
          <w:lang w:val="en-GB"/>
        </w:rPr>
        <w:t>, because of the remarkable breadth of works that have been written about it, because of the ways in which both particular and general understandings of persecution and suffering have been shaped through the persecution of the Holocaust</w:t>
      </w:r>
      <w:r w:rsidR="005B2E0A">
        <w:rPr>
          <w:lang w:val="en-GB"/>
        </w:rPr>
        <w:t>, and because of the pre-existing status of Rothberg himself as a Holocaust scholar</w:t>
      </w:r>
      <w:r w:rsidRPr="0048465B">
        <w:rPr>
          <w:lang w:val="en-GB"/>
        </w:rPr>
        <w:t xml:space="preserve">. As </w:t>
      </w:r>
      <w:r w:rsidR="005B2E0A">
        <w:rPr>
          <w:lang w:val="en-GB"/>
        </w:rPr>
        <w:t>Professor of English Literature</w:t>
      </w:r>
      <w:r w:rsidRPr="0048465B">
        <w:rPr>
          <w:lang w:val="en-GB"/>
        </w:rPr>
        <w:t xml:space="preserve"> Harold Kaplan </w:t>
      </w:r>
      <w:r w:rsidR="00C26343">
        <w:rPr>
          <w:lang w:val="en-GB"/>
        </w:rPr>
        <w:t>argues</w:t>
      </w:r>
      <w:r w:rsidRPr="0048465B">
        <w:rPr>
          <w:lang w:val="en-GB"/>
        </w:rPr>
        <w:t>, post-Holocaust generations have ‘appropriated its ethical components “as their standard of measure for right and wrong, good and evil in the growth of moral civilization”’.</w:t>
      </w:r>
      <w:r w:rsidRPr="0048465B">
        <w:rPr>
          <w:vertAlign w:val="superscript"/>
          <w:lang w:val="en-GB"/>
        </w:rPr>
        <w:footnoteReference w:id="87"/>
      </w:r>
      <w:r w:rsidRPr="0048465B">
        <w:rPr>
          <w:lang w:val="en-GB"/>
        </w:rPr>
        <w:t xml:space="preserve"> One example of the effects that the enduring influence of a historical event can have is found in the writing of American literary critic Fredric Jameson, who writes about the importance of historical narrative acts as follows: </w:t>
      </w:r>
    </w:p>
    <w:p w14:paraId="447BF809" w14:textId="77777777" w:rsidR="00FC331F" w:rsidRPr="0048465B" w:rsidRDefault="00FC331F" w:rsidP="00FC331F">
      <w:pPr>
        <w:rPr>
          <w:lang w:val="en-GB"/>
        </w:rPr>
      </w:pPr>
    </w:p>
    <w:p w14:paraId="62E755E5" w14:textId="77777777" w:rsidR="00FC331F" w:rsidRPr="0048465B" w:rsidRDefault="00FC331F" w:rsidP="00FC331F">
      <w:pPr>
        <w:ind w:left="720"/>
        <w:rPr>
          <w:lang w:val="en-GB"/>
        </w:rPr>
      </w:pPr>
      <w:r w:rsidRPr="0048465B">
        <w:rPr>
          <w:lang w:val="en-GB"/>
        </w:rPr>
        <w:t xml:space="preserve">The decision as to whether one faces a break or a continuity—whether the present is to be seen as a historical originality or as the simple prolongation of more of the same under different sheep’s clothing—is not an empirically justifiable or philosophically arguable </w:t>
      </w:r>
      <w:r w:rsidRPr="0048465B">
        <w:rPr>
          <w:lang w:val="en-GB"/>
        </w:rPr>
        <w:lastRenderedPageBreak/>
        <w:t>one, since it is itself the inaugural narrative act that grounds the perception and interpretation of the events to be narrated.</w:t>
      </w:r>
      <w:r w:rsidRPr="0048465B">
        <w:rPr>
          <w:vertAlign w:val="superscript"/>
          <w:lang w:val="en-GB"/>
        </w:rPr>
        <w:footnoteReference w:id="88"/>
      </w:r>
    </w:p>
    <w:p w14:paraId="5FD73038" w14:textId="77777777" w:rsidR="00FC331F" w:rsidRPr="0048465B" w:rsidRDefault="00FC331F" w:rsidP="00FC331F">
      <w:pPr>
        <w:rPr>
          <w:lang w:val="en-GB"/>
        </w:rPr>
      </w:pPr>
      <w:r w:rsidRPr="0048465B">
        <w:rPr>
          <w:lang w:val="en-GB"/>
        </w:rPr>
        <w:tab/>
        <w:t xml:space="preserve"> </w:t>
      </w:r>
    </w:p>
    <w:p w14:paraId="5D61C21D" w14:textId="69A7FB70" w:rsidR="00FC331F" w:rsidRPr="0048465B" w:rsidRDefault="00FC331F" w:rsidP="00FC331F">
      <w:pPr>
        <w:rPr>
          <w:lang w:val="en-GB"/>
        </w:rPr>
      </w:pPr>
      <w:r w:rsidRPr="0048465B">
        <w:rPr>
          <w:lang w:val="en-GB"/>
        </w:rPr>
        <w:t xml:space="preserve">Rothberg deduces, through his analysis of the above </w:t>
      </w:r>
      <w:r w:rsidR="00C26343">
        <w:rPr>
          <w:lang w:val="en-GB"/>
        </w:rPr>
        <w:t>quotation</w:t>
      </w:r>
      <w:r w:rsidRPr="0048465B">
        <w:rPr>
          <w:lang w:val="en-GB"/>
        </w:rPr>
        <w:t>, that ‘[</w:t>
      </w:r>
      <w:proofErr w:type="spellStart"/>
      <w:r w:rsidRPr="0048465B">
        <w:rPr>
          <w:lang w:val="en-GB"/>
        </w:rPr>
        <w:t>i</w:t>
      </w:r>
      <w:proofErr w:type="spellEnd"/>
      <w:r w:rsidRPr="0048465B">
        <w:rPr>
          <w:lang w:val="en-GB"/>
        </w:rPr>
        <w:t>]f the place and status of the Holocaust is not determined purely through recourse to the historical archive</w:t>
      </w:r>
      <w:r w:rsidR="000C3FB4">
        <w:rPr>
          <w:lang w:val="en-GB"/>
        </w:rPr>
        <w:t xml:space="preserve"> […] </w:t>
      </w:r>
      <w:r w:rsidRPr="0048465B">
        <w:rPr>
          <w:lang w:val="en-GB"/>
        </w:rPr>
        <w:t>then getting beyond the deadlock characteristic of the uniqueness debates requires thinking about the work of memory and representation’, which he describes as ‘the consequential arenas in which narrative acts shape understanding’.</w:t>
      </w:r>
      <w:r w:rsidRPr="0048465B">
        <w:rPr>
          <w:vertAlign w:val="superscript"/>
          <w:lang w:val="en-GB"/>
        </w:rPr>
        <w:footnoteReference w:id="89"/>
      </w:r>
      <w:r w:rsidRPr="0048465B">
        <w:rPr>
          <w:lang w:val="en-GB"/>
        </w:rPr>
        <w:t xml:space="preserve"> Yet, as mentioned above, the magnitude of works published regarding the Holocaust, and the birth of specific concepts such as ‘survivor identity’ in the aftermath of the Holocaust,</w:t>
      </w:r>
      <w:r w:rsidRPr="0048465B">
        <w:rPr>
          <w:vertAlign w:val="superscript"/>
          <w:lang w:val="en-GB"/>
        </w:rPr>
        <w:footnoteReference w:id="90"/>
      </w:r>
      <w:r w:rsidRPr="0048465B">
        <w:rPr>
          <w:lang w:val="en-GB"/>
        </w:rPr>
        <w:t xml:space="preserve"> as well as the identification of the Holocaust as ‘a political resource, providing a vocabulary of human rights affronted’,</w:t>
      </w:r>
      <w:r w:rsidRPr="0048465B">
        <w:rPr>
          <w:vertAlign w:val="superscript"/>
          <w:lang w:val="en-GB"/>
        </w:rPr>
        <w:footnoteReference w:id="91"/>
      </w:r>
      <w:r w:rsidRPr="0048465B">
        <w:rPr>
          <w:lang w:val="en-GB"/>
        </w:rPr>
        <w:t xml:space="preserve"> firmly places the Holocaust as the inaugural narrative act through which understandings of mass suffering, </w:t>
      </w:r>
      <w:r w:rsidR="0023678C">
        <w:rPr>
          <w:lang w:val="en-GB"/>
        </w:rPr>
        <w:t xml:space="preserve">within Western </w:t>
      </w:r>
      <w:r w:rsidR="006A04E6">
        <w:rPr>
          <w:lang w:val="en-GB"/>
        </w:rPr>
        <w:t>discourse</w:t>
      </w:r>
      <w:r w:rsidRPr="0048465B">
        <w:rPr>
          <w:lang w:val="en-GB"/>
        </w:rPr>
        <w:t xml:space="preserve"> especially, have come to be forged thereafter.</w:t>
      </w:r>
    </w:p>
    <w:p w14:paraId="0A60B059" w14:textId="77777777" w:rsidR="00FC331F" w:rsidRPr="0048465B" w:rsidRDefault="00FC331F" w:rsidP="00FC331F">
      <w:pPr>
        <w:rPr>
          <w:lang w:val="en-GB"/>
        </w:rPr>
      </w:pPr>
      <w:bookmarkStart w:id="2" w:name="_63m7o1khtjo9" w:colFirst="0" w:colLast="0"/>
      <w:bookmarkEnd w:id="2"/>
    </w:p>
    <w:p w14:paraId="3A5A09B1" w14:textId="34366BD6" w:rsidR="00FC331F" w:rsidRPr="0048465B" w:rsidRDefault="00FC331F" w:rsidP="00FC331F">
      <w:pPr>
        <w:rPr>
          <w:lang w:val="en-GB"/>
        </w:rPr>
      </w:pPr>
      <w:bookmarkStart w:id="3" w:name="_foz0lolhhrab" w:colFirst="0" w:colLast="0"/>
      <w:bookmarkEnd w:id="3"/>
      <w:r w:rsidRPr="0048465B">
        <w:rPr>
          <w:lang w:val="en-GB"/>
        </w:rPr>
        <w:t>This centrality not only</w:t>
      </w:r>
      <w:r w:rsidR="006A04E6">
        <w:rPr>
          <w:lang w:val="en-GB"/>
        </w:rPr>
        <w:t xml:space="preserve"> influences</w:t>
      </w:r>
      <w:r w:rsidRPr="0048465B">
        <w:rPr>
          <w:lang w:val="en-GB"/>
        </w:rPr>
        <w:t xml:space="preserve"> the ways in which mass suffering and trauma are understood as concepts, but also actively redefines the nature of any connections made to the Holocaust. Rothberg </w:t>
      </w:r>
      <w:r w:rsidR="006A04E6">
        <w:rPr>
          <w:lang w:val="en-GB"/>
        </w:rPr>
        <w:t>argues</w:t>
      </w:r>
      <w:r w:rsidRPr="0048465B">
        <w:rPr>
          <w:lang w:val="en-GB"/>
        </w:rPr>
        <w:t xml:space="preserve"> that, whilst professions of uniqueness remain a ‘major stumbling block’ in zero-sum conversations about memory and history, the Holocaust has nonetheless been central to the </w:t>
      </w:r>
      <w:r w:rsidRPr="0048465B">
        <w:rPr>
          <w:lang w:val="en-GB"/>
        </w:rPr>
        <w:lastRenderedPageBreak/>
        <w:t xml:space="preserve">formation of understandings of mass suffering in the </w:t>
      </w:r>
      <w:r w:rsidR="0023678C">
        <w:rPr>
          <w:lang w:val="en-GB"/>
        </w:rPr>
        <w:t>West</w:t>
      </w:r>
      <w:r w:rsidRPr="0048465B">
        <w:rPr>
          <w:lang w:val="en-GB"/>
        </w:rPr>
        <w:t>.</w:t>
      </w:r>
      <w:r w:rsidR="006A04E6" w:rsidRPr="0048465B">
        <w:rPr>
          <w:vertAlign w:val="superscript"/>
          <w:lang w:val="en-GB"/>
        </w:rPr>
        <w:footnoteReference w:id="92"/>
      </w:r>
      <w:r w:rsidRPr="0048465B">
        <w:rPr>
          <w:lang w:val="en-GB"/>
        </w:rPr>
        <w:t xml:space="preserve"> </w:t>
      </w:r>
      <w:r w:rsidR="00F13356" w:rsidRPr="0048465B">
        <w:rPr>
          <w:lang w:val="en-GB"/>
        </w:rPr>
        <w:t>Yet the identification of a stumbling block does not change its status, and this is perhaps one of the more significant details within Rothberg’s monograph, that the connections he makes between relatively isolated events and the Holocaust do little to challenge its centrality.</w:t>
      </w:r>
      <w:r w:rsidR="00F13356">
        <w:rPr>
          <w:lang w:val="en-GB"/>
        </w:rPr>
        <w:t xml:space="preserve"> </w:t>
      </w:r>
      <w:r w:rsidR="00F13356" w:rsidRPr="0048465B">
        <w:rPr>
          <w:lang w:val="en-GB"/>
        </w:rPr>
        <w:t xml:space="preserve">Importantly, if an event has acquired the status of sui generis event in </w:t>
      </w:r>
      <w:r w:rsidR="0023678C">
        <w:rPr>
          <w:lang w:val="en-GB"/>
        </w:rPr>
        <w:t xml:space="preserve">Western discourse </w:t>
      </w:r>
      <w:r w:rsidR="006F6603">
        <w:rPr>
          <w:lang w:val="en-GB"/>
        </w:rPr>
        <w:t>–</w:t>
      </w:r>
      <w:r w:rsidR="00F13356" w:rsidRPr="0048465B">
        <w:rPr>
          <w:lang w:val="en-GB"/>
        </w:rPr>
        <w:t xml:space="preserve"> as Rothberg acknowledges the Holocaust to have done </w:t>
      </w:r>
      <w:r w:rsidR="006F6603">
        <w:rPr>
          <w:lang w:val="en-GB"/>
        </w:rPr>
        <w:t>–</w:t>
      </w:r>
      <w:r w:rsidR="00F13356" w:rsidRPr="0048465B">
        <w:rPr>
          <w:lang w:val="en-GB"/>
        </w:rPr>
        <w:t xml:space="preserve"> then it stands to reason that much of the thought and discourse about trauma, genocide, ethnic cleansing, persecution, and oppression in these </w:t>
      </w:r>
      <w:r w:rsidR="00E3449E">
        <w:rPr>
          <w:lang w:val="en-GB"/>
        </w:rPr>
        <w:t>areas</w:t>
      </w:r>
      <w:r w:rsidR="00F13356" w:rsidRPr="0048465B">
        <w:rPr>
          <w:lang w:val="en-GB"/>
        </w:rPr>
        <w:t xml:space="preserve"> are not only seen and understood through the lens of this very event, but also measured against it. </w:t>
      </w:r>
      <w:r w:rsidRPr="0048465B">
        <w:rPr>
          <w:lang w:val="en-GB"/>
        </w:rPr>
        <w:t>If an event is thought of as sui generis</w:t>
      </w:r>
      <w:r w:rsidR="006A04E6">
        <w:rPr>
          <w:lang w:val="en-GB"/>
        </w:rPr>
        <w:t xml:space="preserve">, </w:t>
      </w:r>
      <w:r w:rsidRPr="0048465B">
        <w:rPr>
          <w:lang w:val="en-GB"/>
        </w:rPr>
        <w:t xml:space="preserve">then it </w:t>
      </w:r>
      <w:r w:rsidR="006A04E6">
        <w:rPr>
          <w:lang w:val="en-GB"/>
        </w:rPr>
        <w:t>is, by definition and in line with Jameson’s affirmation, the inaugural narrative act through which all events occurring thereafter are interpreted.</w:t>
      </w:r>
    </w:p>
    <w:p w14:paraId="2B32B075" w14:textId="77777777" w:rsidR="00FC331F" w:rsidRPr="0048465B" w:rsidRDefault="00FC331F" w:rsidP="00FC331F">
      <w:pPr>
        <w:rPr>
          <w:lang w:val="en-GB"/>
        </w:rPr>
      </w:pPr>
      <w:bookmarkStart w:id="4" w:name="_eoj5f8sfi4ty" w:colFirst="0" w:colLast="0"/>
      <w:bookmarkEnd w:id="4"/>
    </w:p>
    <w:p w14:paraId="52A83439" w14:textId="1E950E93" w:rsidR="00FC331F" w:rsidRPr="0048465B" w:rsidRDefault="00FC331F" w:rsidP="00FC331F">
      <w:pPr>
        <w:rPr>
          <w:lang w:val="en-GB"/>
        </w:rPr>
      </w:pPr>
      <w:bookmarkStart w:id="5" w:name="_gj2952lxtxzh" w:colFirst="0" w:colLast="0"/>
      <w:bookmarkEnd w:id="5"/>
      <w:r w:rsidRPr="0048465B">
        <w:rPr>
          <w:lang w:val="en-GB"/>
        </w:rPr>
        <w:t xml:space="preserve">Ultimately, it is the understanding of the Holocaust as unique that motivates the connections that are made between it and other traumatic events, and it is the associated concept of traumatic ascendancy that complicates these connections. One telling example of such complications is found in Rothberg’s analysis of Lëila Sebbar’s </w:t>
      </w:r>
      <w:r w:rsidRPr="0048465B">
        <w:rPr>
          <w:i/>
          <w:lang w:val="en-GB"/>
        </w:rPr>
        <w:t>La Seine Était Rouge</w:t>
      </w:r>
      <w:r w:rsidRPr="0048465B">
        <w:rPr>
          <w:lang w:val="en-GB"/>
        </w:rPr>
        <w:t xml:space="preserve">, a novel concerning the police-orchestrated massacre of Algerian protestors in October of 1961. In the novel, an exiled Algerian journalist called Omer spray-paints information about Algerian history next to sites of wartime French violence. For example, next to a memorial commemorating students who were imprisoned and who stood up to ‘“the occupier”’ in 1940, Omer writes ‘“In this prison were guillotined Algerian resistors who stood up against the French occupier”’. Rothberg suggests that ‘Omer’s messages never cover over other sites, but rather take their places alongside them’, thus deducing that ‘La Seine does not engage in competitive memory’. Yet whilst Rothberg may not </w:t>
      </w:r>
      <w:r w:rsidRPr="0048465B">
        <w:rPr>
          <w:lang w:val="en-GB"/>
        </w:rPr>
        <w:lastRenderedPageBreak/>
        <w:t xml:space="preserve">see the actions of Omer as competitive, and whilst </w:t>
      </w:r>
      <w:r w:rsidRPr="0048465B">
        <w:rPr>
          <w:i/>
          <w:lang w:val="en-GB"/>
        </w:rPr>
        <w:t>La Seine</w:t>
      </w:r>
      <w:r w:rsidRPr="0048465B">
        <w:rPr>
          <w:lang w:val="en-GB"/>
        </w:rPr>
        <w:t xml:space="preserve"> may not intend for its memorialisations to be competitive, that does not mean that the very expression of national memory alone cannot be perceived as antagonistic. Memory of the ‘Nazi genocide [by the time of the novel’s writing] had become widespread in French discourse and public space’,</w:t>
      </w:r>
      <w:r w:rsidRPr="0048465B">
        <w:rPr>
          <w:vertAlign w:val="superscript"/>
          <w:lang w:val="en-GB"/>
        </w:rPr>
        <w:footnoteReference w:id="93"/>
      </w:r>
      <w:r w:rsidRPr="0048465B">
        <w:rPr>
          <w:lang w:val="en-GB"/>
        </w:rPr>
        <w:t xml:space="preserve"> whilst public memory of the Algerian massacre was comparatively deficient. Therefore, the very positioning of these two events </w:t>
      </w:r>
      <w:r w:rsidR="006F6603">
        <w:rPr>
          <w:lang w:val="en-GB"/>
        </w:rPr>
        <w:t>–</w:t>
      </w:r>
      <w:r w:rsidRPr="0048465B">
        <w:rPr>
          <w:lang w:val="en-GB"/>
        </w:rPr>
        <w:t xml:space="preserve"> one well known and memorialised, and one relatively unknown and buried </w:t>
      </w:r>
      <w:r w:rsidR="006F6603">
        <w:rPr>
          <w:lang w:val="en-GB"/>
        </w:rPr>
        <w:t>–</w:t>
      </w:r>
      <w:r w:rsidRPr="0048465B">
        <w:rPr>
          <w:lang w:val="en-GB"/>
        </w:rPr>
        <w:t xml:space="preserve"> alongside one another, could easily be perceived as competitive specifically because of their vastly contrasting politico-cultural presences. To accept similarity, from a point of perceived uniqueness, can be seen as regressive.</w:t>
      </w:r>
    </w:p>
    <w:p w14:paraId="19E83FA2" w14:textId="77777777" w:rsidR="00FC331F" w:rsidRPr="0048465B" w:rsidRDefault="00FC331F" w:rsidP="00FC331F">
      <w:pPr>
        <w:rPr>
          <w:lang w:val="en-GB"/>
        </w:rPr>
      </w:pPr>
    </w:p>
    <w:p w14:paraId="3D18F0D7" w14:textId="356A9DB6" w:rsidR="004930F3" w:rsidRDefault="00FC331F" w:rsidP="00FC331F">
      <w:pPr>
        <w:rPr>
          <w:lang w:val="en-GB"/>
        </w:rPr>
      </w:pPr>
      <w:r w:rsidRPr="0048465B">
        <w:rPr>
          <w:lang w:val="en-GB"/>
        </w:rPr>
        <w:t>This notion of regression through similarity is made even more tangible when this same dynamic is analysed in the context of the Israeli-Palestinian conflict. In ‘From Gaza to Warsaw’, Rothberg notes that the ‘Nazi genocide is conventionally thought to exceed all “normal” conceptions of justice and to estrange familiar categories such as “guilt,” “punishments,” and even “the human”, further suggesting that connections between the Holocaust and the Israeli-Palestinian conflict ‘tend to reference the Holocaust as the bearer of shared norms of human rights and clear-cut moral distinctions’.</w:t>
      </w:r>
      <w:r w:rsidRPr="0048465B">
        <w:rPr>
          <w:vertAlign w:val="superscript"/>
          <w:lang w:val="en-GB"/>
        </w:rPr>
        <w:footnoteReference w:id="94"/>
      </w:r>
      <w:r w:rsidRPr="0048465B">
        <w:rPr>
          <w:lang w:val="en-GB"/>
        </w:rPr>
        <w:t xml:space="preserve"> However, whilst Rothberg makes a significant step forward in acknowledging thereafter that the ‘images of the [Nazi] genocide</w:t>
      </w:r>
      <w:r w:rsidR="001142F0">
        <w:rPr>
          <w:lang w:val="en-GB"/>
        </w:rPr>
        <w:t xml:space="preserve"> that</w:t>
      </w:r>
      <w:r w:rsidRPr="0048465B">
        <w:rPr>
          <w:lang w:val="en-GB"/>
        </w:rPr>
        <w:t xml:space="preserve"> circulate in the present reduce it – as well as the contemporary cases to which it is analogized – to a stereotypical scenario of good and evil, innocence and absolute power’,</w:t>
      </w:r>
      <w:r w:rsidRPr="0048465B">
        <w:rPr>
          <w:vertAlign w:val="superscript"/>
          <w:lang w:val="en-GB"/>
        </w:rPr>
        <w:footnoteReference w:id="95"/>
      </w:r>
      <w:r w:rsidRPr="0048465B">
        <w:rPr>
          <w:lang w:val="en-GB"/>
        </w:rPr>
        <w:t xml:space="preserve"> he remains reluctant to acknowledge the ways in which this establishes a power dynamic that underpins all connections made between the Holocaust and the </w:t>
      </w:r>
      <w:r w:rsidRPr="0048465B">
        <w:rPr>
          <w:lang w:val="en-GB"/>
        </w:rPr>
        <w:lastRenderedPageBreak/>
        <w:t xml:space="preserve">Israeli-Palestinian conflict. Regardless of the intention of a given connection, whether it is </w:t>
      </w:r>
      <w:r w:rsidR="00E3449E">
        <w:rPr>
          <w:lang w:val="en-GB"/>
        </w:rPr>
        <w:t>meant</w:t>
      </w:r>
      <w:r w:rsidRPr="0048465B">
        <w:rPr>
          <w:lang w:val="en-GB"/>
        </w:rPr>
        <w:t xml:space="preserve"> as competitive or not, the public status of the Holocaust as transcending ‘“normal” conceptions of justice’ means that any connection that seeks to identify ‘shared norms’ can, and often will, be perceived as competitive, as the transition from ‘exceeding normality’ to ‘sharing norms’ necessitates the loss of exceptional status.</w:t>
      </w:r>
    </w:p>
    <w:p w14:paraId="1EF71A46" w14:textId="77777777" w:rsidR="004930F3" w:rsidRDefault="004930F3" w:rsidP="00FC331F">
      <w:pPr>
        <w:rPr>
          <w:lang w:val="en-GB"/>
        </w:rPr>
      </w:pPr>
    </w:p>
    <w:p w14:paraId="7DDDE3EB" w14:textId="6C65E382" w:rsidR="00FC331F" w:rsidRPr="0048465B" w:rsidRDefault="00FC331F" w:rsidP="00FC331F">
      <w:pPr>
        <w:rPr>
          <w:lang w:val="en-GB"/>
        </w:rPr>
      </w:pPr>
      <w:r w:rsidRPr="0048465B">
        <w:rPr>
          <w:lang w:val="en-GB"/>
        </w:rPr>
        <w:t>This perceived regression can be seen clearly</w:t>
      </w:r>
      <w:r w:rsidR="00973662">
        <w:rPr>
          <w:lang w:val="en-GB"/>
        </w:rPr>
        <w:t xml:space="preserve"> </w:t>
      </w:r>
      <w:r w:rsidRPr="0048465B">
        <w:rPr>
          <w:lang w:val="en-GB"/>
        </w:rPr>
        <w:t xml:space="preserve">in </w:t>
      </w:r>
      <w:r w:rsidR="00973662">
        <w:rPr>
          <w:lang w:val="en-GB"/>
        </w:rPr>
        <w:t>Israeli</w:t>
      </w:r>
      <w:r w:rsidRPr="0048465B">
        <w:rPr>
          <w:lang w:val="en-GB"/>
        </w:rPr>
        <w:t xml:space="preserve"> responses to Mizrahi Jewish </w:t>
      </w:r>
      <w:r w:rsidR="00F13356" w:rsidRPr="0048465B">
        <w:rPr>
          <w:lang w:val="en-GB"/>
        </w:rPr>
        <w:t>attempts</w:t>
      </w:r>
      <w:r w:rsidR="00E3449E">
        <w:rPr>
          <w:lang w:val="en-GB"/>
        </w:rPr>
        <w:t xml:space="preserve"> </w:t>
      </w:r>
      <w:r w:rsidRPr="0048465B">
        <w:rPr>
          <w:lang w:val="en-GB"/>
        </w:rPr>
        <w:t>to decentre and expand the lessons of the Holocaust to include other mass exterminations, such as those of Native Americans, Armenians, and R</w:t>
      </w:r>
      <w:r w:rsidR="00F13356">
        <w:rPr>
          <w:lang w:val="en-GB"/>
        </w:rPr>
        <w:t>w</w:t>
      </w:r>
      <w:r w:rsidRPr="0048465B">
        <w:rPr>
          <w:lang w:val="en-GB"/>
        </w:rPr>
        <w:t xml:space="preserve">andans. Explored in greater depth in </w:t>
      </w:r>
      <w:r w:rsidR="009953FE">
        <w:rPr>
          <w:lang w:val="en-GB"/>
        </w:rPr>
        <w:t>C</w:t>
      </w:r>
      <w:r w:rsidRPr="0048465B">
        <w:rPr>
          <w:lang w:val="en-GB"/>
        </w:rPr>
        <w:t xml:space="preserve">hapter </w:t>
      </w:r>
      <w:r w:rsidR="009953FE">
        <w:rPr>
          <w:lang w:val="en-GB"/>
        </w:rPr>
        <w:t>T</w:t>
      </w:r>
      <w:r w:rsidRPr="0048465B">
        <w:rPr>
          <w:lang w:val="en-GB"/>
        </w:rPr>
        <w:t>hree, such attempts have been met with protests from Knesset members, calls for governmental action, and outright anti-Arab racism.</w:t>
      </w:r>
      <w:r w:rsidRPr="0048465B">
        <w:rPr>
          <w:vertAlign w:val="superscript"/>
          <w:lang w:val="en-GB"/>
        </w:rPr>
        <w:footnoteReference w:id="96"/>
      </w:r>
      <w:r w:rsidRPr="0048465B">
        <w:rPr>
          <w:lang w:val="en-GB"/>
        </w:rPr>
        <w:t xml:space="preserve"> A similar, if more politically embroiled example, comes from former Israeli Foreign Minister Tzipi Livni, who, upon discovering that Ban Ki-Moon, the UN General Secretary at the time, had used the term ‘Nakba’ when talking to Palestinian President Mahmoud Abbas, stated that ‘“[t]he Palestinians can celebrate an Independence Day if, on that day, they eliminate the word Nakba from their vocabulary”’.</w:t>
      </w:r>
      <w:r w:rsidRPr="0048465B">
        <w:rPr>
          <w:vertAlign w:val="superscript"/>
          <w:lang w:val="en-GB"/>
        </w:rPr>
        <w:footnoteReference w:id="97"/>
      </w:r>
      <w:r w:rsidRPr="0048465B">
        <w:rPr>
          <w:lang w:val="en-GB"/>
        </w:rPr>
        <w:t xml:space="preserve"> In both of these examples, either the connection of other people’s suffering to the Holocaust </w:t>
      </w:r>
      <w:r w:rsidR="006F6603">
        <w:rPr>
          <w:lang w:val="en-GB"/>
        </w:rPr>
        <w:t>–</w:t>
      </w:r>
      <w:r w:rsidRPr="0048465B">
        <w:rPr>
          <w:lang w:val="en-GB"/>
        </w:rPr>
        <w:t xml:space="preserve"> or even the </w:t>
      </w:r>
      <w:r w:rsidR="00650800">
        <w:rPr>
          <w:lang w:val="en-GB"/>
        </w:rPr>
        <w:t>recognition</w:t>
      </w:r>
      <w:r w:rsidR="00650800" w:rsidRPr="0048465B">
        <w:rPr>
          <w:lang w:val="en-GB"/>
        </w:rPr>
        <w:t xml:space="preserve"> </w:t>
      </w:r>
      <w:r w:rsidRPr="0048465B">
        <w:rPr>
          <w:lang w:val="en-GB"/>
        </w:rPr>
        <w:t xml:space="preserve">of the existence of Palestinian suffering </w:t>
      </w:r>
      <w:r w:rsidR="006F6603">
        <w:rPr>
          <w:lang w:val="en-GB"/>
        </w:rPr>
        <w:t>–</w:t>
      </w:r>
      <w:r w:rsidRPr="0048465B">
        <w:rPr>
          <w:lang w:val="en-GB"/>
        </w:rPr>
        <w:t xml:space="preserve"> is seen to challenge the stability of either Holocaust memory specifically or of Israel itself. In relation to the Israeli-Palestinian conflict specifically </w:t>
      </w:r>
      <w:r w:rsidR="006F6603">
        <w:rPr>
          <w:lang w:val="en-GB"/>
        </w:rPr>
        <w:t>–</w:t>
      </w:r>
      <w:r w:rsidRPr="0048465B">
        <w:rPr>
          <w:lang w:val="en-GB"/>
        </w:rPr>
        <w:t xml:space="preserve"> as explored later in this chapter </w:t>
      </w:r>
      <w:r w:rsidR="006F6603">
        <w:rPr>
          <w:lang w:val="en-GB"/>
        </w:rPr>
        <w:t>–</w:t>
      </w:r>
      <w:r w:rsidRPr="0048465B">
        <w:rPr>
          <w:lang w:val="en-GB"/>
        </w:rPr>
        <w:t xml:space="preserve"> the perception of sharing norms as undermining control is reinforced by the fact that the control in question is rooted not in discourse where traumatic </w:t>
      </w:r>
      <w:r w:rsidR="008B3A82">
        <w:rPr>
          <w:lang w:val="en-GB"/>
        </w:rPr>
        <w:t>‘</w:t>
      </w:r>
      <w:r w:rsidRPr="0048465B">
        <w:rPr>
          <w:lang w:val="en-GB"/>
        </w:rPr>
        <w:t>real estate</w:t>
      </w:r>
      <w:r w:rsidR="008B3A82">
        <w:rPr>
          <w:lang w:val="en-GB"/>
        </w:rPr>
        <w:t>’</w:t>
      </w:r>
      <w:r w:rsidRPr="0048465B">
        <w:rPr>
          <w:lang w:val="en-GB"/>
        </w:rPr>
        <w:t xml:space="preserve"> is primarily conceptual, but </w:t>
      </w:r>
      <w:r w:rsidR="00743851">
        <w:rPr>
          <w:lang w:val="en-GB"/>
        </w:rPr>
        <w:t>in</w:t>
      </w:r>
      <w:r w:rsidRPr="0048465B">
        <w:rPr>
          <w:lang w:val="en-GB"/>
        </w:rPr>
        <w:t xml:space="preserve"> heavily politicised land where the control of national and global narratives has significant ramifications for territorial control. Where the minority (Palestinian) culture remains </w:t>
      </w:r>
      <w:r w:rsidRPr="0048465B">
        <w:rPr>
          <w:lang w:val="en-GB"/>
        </w:rPr>
        <w:lastRenderedPageBreak/>
        <w:t>oppressed, and the</w:t>
      </w:r>
      <w:r w:rsidR="00973662">
        <w:rPr>
          <w:lang w:val="en-GB"/>
        </w:rPr>
        <w:t xml:space="preserve"> </w:t>
      </w:r>
      <w:r w:rsidRPr="0048465B">
        <w:rPr>
          <w:lang w:val="en-GB"/>
        </w:rPr>
        <w:t>geographical, cultural, and political stability of the majority (Israel) is in many ways</w:t>
      </w:r>
      <w:r w:rsidR="00973662">
        <w:rPr>
          <w:lang w:val="en-GB"/>
        </w:rPr>
        <w:t xml:space="preserve"> perceived as</w:t>
      </w:r>
      <w:r w:rsidRPr="0048465B">
        <w:rPr>
          <w:lang w:val="en-GB"/>
        </w:rPr>
        <w:t xml:space="preserve"> dependent on this very oppression, it is difficult for the sharing of norms </w:t>
      </w:r>
      <w:r w:rsidRPr="0048465B">
        <w:rPr>
          <w:i/>
          <w:lang w:val="en-GB"/>
        </w:rPr>
        <w:t xml:space="preserve">not </w:t>
      </w:r>
      <w:r w:rsidR="00355870">
        <w:rPr>
          <w:iCs/>
          <w:lang w:val="en-GB"/>
        </w:rPr>
        <w:t xml:space="preserve">to </w:t>
      </w:r>
      <w:r w:rsidRPr="0048465B">
        <w:rPr>
          <w:lang w:val="en-GB"/>
        </w:rPr>
        <w:t xml:space="preserve">be competitive, as the acknowledgment of parallels exposes the inequality and discrimination that underpins the very distinction between majority and minority cultures. </w:t>
      </w:r>
    </w:p>
    <w:p w14:paraId="447DA5CF" w14:textId="77777777" w:rsidR="00FC331F" w:rsidRPr="0048465B" w:rsidRDefault="00FC331F" w:rsidP="00FC331F">
      <w:pPr>
        <w:rPr>
          <w:lang w:val="en-GB"/>
        </w:rPr>
      </w:pPr>
    </w:p>
    <w:p w14:paraId="234EBE5B" w14:textId="0E4F10DB" w:rsidR="00FC331F" w:rsidRPr="0048465B" w:rsidRDefault="00FC331F" w:rsidP="00FC331F">
      <w:pPr>
        <w:rPr>
          <w:lang w:val="en-GB"/>
        </w:rPr>
      </w:pPr>
      <w:r w:rsidRPr="0048465B">
        <w:rPr>
          <w:lang w:val="en-GB"/>
        </w:rPr>
        <w:t>The importance of controlling narratives is further evident in the trial of Adolf Eichmann. Rothberg writes of his attempt to ‘</w:t>
      </w:r>
      <w:proofErr w:type="spellStart"/>
      <w:r w:rsidRPr="0048465B">
        <w:rPr>
          <w:lang w:val="en-GB"/>
        </w:rPr>
        <w:t>decenter</w:t>
      </w:r>
      <w:proofErr w:type="spellEnd"/>
      <w:r w:rsidRPr="0048465B">
        <w:rPr>
          <w:lang w:val="en-GB"/>
        </w:rPr>
        <w:t xml:space="preserve"> the Eichmann trial’s canonical position and provide an alternative account of the emergence of testimony in which Holocaust memory does not serve to consolidate an exclusivist national identity premised on a unique suffering’.</w:t>
      </w:r>
      <w:r w:rsidRPr="0048465B">
        <w:rPr>
          <w:vertAlign w:val="superscript"/>
          <w:lang w:val="en-GB"/>
        </w:rPr>
        <w:footnoteReference w:id="98"/>
      </w:r>
      <w:r w:rsidRPr="0048465B">
        <w:rPr>
          <w:lang w:val="en-GB"/>
        </w:rPr>
        <w:t xml:space="preserve"> However, this very attempt is undermined by the statements of the Israeli Prime Minister at the time</w:t>
      </w:r>
      <w:r w:rsidR="0056610D">
        <w:rPr>
          <w:lang w:val="en-GB"/>
        </w:rPr>
        <w:t>,</w:t>
      </w:r>
      <w:r w:rsidRPr="0048465B">
        <w:rPr>
          <w:lang w:val="en-GB"/>
        </w:rPr>
        <w:t xml:space="preserve"> David Ben-Gurion, who Rothberg himself quotes as having said that the Eichmann trial was specifically intended ‘to present “the Holocaust that the Nazis wreaked on Jewish people</w:t>
      </w:r>
      <w:r w:rsidR="000C3FB4">
        <w:rPr>
          <w:lang w:val="en-GB"/>
        </w:rPr>
        <w:t xml:space="preserve"> [… </w:t>
      </w:r>
      <w:r w:rsidRPr="0048465B">
        <w:rPr>
          <w:lang w:val="en-GB"/>
        </w:rPr>
        <w:t>as</w:t>
      </w:r>
      <w:r w:rsidR="000C3FB4">
        <w:rPr>
          <w:lang w:val="en-GB"/>
        </w:rPr>
        <w:t xml:space="preserve"> …</w:t>
      </w:r>
      <w:r w:rsidRPr="0048465B">
        <w:rPr>
          <w:lang w:val="en-GB"/>
        </w:rPr>
        <w:t>] a unique episode that has no equal</w:t>
      </w:r>
      <w:r w:rsidR="000C3FB4">
        <w:rPr>
          <w:lang w:val="en-GB"/>
        </w:rPr>
        <w:t xml:space="preserve"> [… </w:t>
      </w:r>
      <w:r w:rsidRPr="0048465B">
        <w:rPr>
          <w:lang w:val="en-GB"/>
        </w:rPr>
        <w:t>and</w:t>
      </w:r>
      <w:r w:rsidR="000C3FB4">
        <w:rPr>
          <w:lang w:val="en-GB"/>
        </w:rPr>
        <w:t xml:space="preserve"> …</w:t>
      </w:r>
      <w:r w:rsidRPr="0048465B">
        <w:rPr>
          <w:lang w:val="en-GB"/>
        </w:rPr>
        <w:t>] as the only crime that has no parallel in human history”’.</w:t>
      </w:r>
      <w:r w:rsidRPr="0048465B">
        <w:rPr>
          <w:vertAlign w:val="superscript"/>
          <w:lang w:val="en-GB"/>
        </w:rPr>
        <w:footnoteReference w:id="99"/>
      </w:r>
      <w:r w:rsidRPr="0048465B">
        <w:rPr>
          <w:lang w:val="en-GB"/>
        </w:rPr>
        <w:t xml:space="preserve"> </w:t>
      </w:r>
      <w:r w:rsidR="00973662">
        <w:rPr>
          <w:lang w:val="en-GB"/>
        </w:rPr>
        <w:t>Th</w:t>
      </w:r>
      <w:r w:rsidR="00A55563">
        <w:rPr>
          <w:lang w:val="en-GB"/>
        </w:rPr>
        <w:t>is</w:t>
      </w:r>
      <w:r w:rsidR="00973662">
        <w:rPr>
          <w:lang w:val="en-GB"/>
        </w:rPr>
        <w:t xml:space="preserve"> </w:t>
      </w:r>
      <w:r w:rsidR="008D344F">
        <w:rPr>
          <w:lang w:val="en-GB"/>
        </w:rPr>
        <w:t>connection</w:t>
      </w:r>
      <w:r w:rsidR="00973662">
        <w:rPr>
          <w:lang w:val="en-GB"/>
        </w:rPr>
        <w:t xml:space="preserve"> between </w:t>
      </w:r>
      <w:r w:rsidR="008D344F">
        <w:rPr>
          <w:lang w:val="en-GB"/>
        </w:rPr>
        <w:t>Jewish suffering during the Holocaust and sui generis uniqueness, and the political ramifications of this connection, are made</w:t>
      </w:r>
      <w:r w:rsidR="00A55563">
        <w:rPr>
          <w:lang w:val="en-GB"/>
        </w:rPr>
        <w:t xml:space="preserve"> more </w:t>
      </w:r>
      <w:r w:rsidR="00973662">
        <w:rPr>
          <w:lang w:val="en-GB"/>
        </w:rPr>
        <w:t xml:space="preserve">conspicuous </w:t>
      </w:r>
      <w:r w:rsidRPr="0048465B">
        <w:rPr>
          <w:lang w:val="en-GB"/>
        </w:rPr>
        <w:t>in another of Ben-Gurion’s statements, ‘“[t]he harsher the affliction, the greater the strength of Zionism”’.</w:t>
      </w:r>
      <w:r w:rsidRPr="0048465B">
        <w:rPr>
          <w:vertAlign w:val="superscript"/>
          <w:lang w:val="en-GB"/>
        </w:rPr>
        <w:footnoteReference w:id="100"/>
      </w:r>
      <w:r w:rsidRPr="0048465B">
        <w:rPr>
          <w:lang w:val="en-GB"/>
        </w:rPr>
        <w:t xml:space="preserve"> Whilst </w:t>
      </w:r>
      <w:r w:rsidR="008D344F">
        <w:rPr>
          <w:lang w:val="en-GB"/>
        </w:rPr>
        <w:t>the deliberate cultivation of such connections</w:t>
      </w:r>
      <w:r w:rsidRPr="0048465B">
        <w:rPr>
          <w:lang w:val="en-GB"/>
        </w:rPr>
        <w:t xml:space="preserve"> was </w:t>
      </w:r>
      <w:r w:rsidR="008D344F">
        <w:rPr>
          <w:lang w:val="en-GB"/>
        </w:rPr>
        <w:t>just</w:t>
      </w:r>
      <w:r w:rsidRPr="0048465B">
        <w:rPr>
          <w:lang w:val="en-GB"/>
        </w:rPr>
        <w:t xml:space="preserve"> one element of the trial, this particular aspect represents a clear narrative act that went on to shape global understandings of concepts such as genocide, survival, and traumatic exceptionalism. In a similar vein, Israeli historian </w:t>
      </w:r>
      <w:proofErr w:type="spellStart"/>
      <w:r w:rsidRPr="0048465B">
        <w:rPr>
          <w:lang w:val="en-GB"/>
        </w:rPr>
        <w:t>Idith</w:t>
      </w:r>
      <w:proofErr w:type="spellEnd"/>
      <w:r w:rsidRPr="0048465B">
        <w:rPr>
          <w:lang w:val="en-GB"/>
        </w:rPr>
        <w:t xml:space="preserve"> Zertal has noted the ways in which the Israeli </w:t>
      </w:r>
      <w:r w:rsidR="00F00ADD">
        <w:rPr>
          <w:lang w:val="en-GB"/>
        </w:rPr>
        <w:t>s</w:t>
      </w:r>
      <w:r w:rsidRPr="0048465B">
        <w:rPr>
          <w:lang w:val="en-GB"/>
        </w:rPr>
        <w:t>tate has used references to Auschwitz to ‘“render[] itself immune to criticism, and impervious to a rational dialogue with the world around her”’.</w:t>
      </w:r>
      <w:r w:rsidRPr="0048465B">
        <w:rPr>
          <w:vertAlign w:val="superscript"/>
          <w:lang w:val="en-GB"/>
        </w:rPr>
        <w:footnoteReference w:id="101"/>
      </w:r>
      <w:r w:rsidRPr="0048465B">
        <w:rPr>
          <w:lang w:val="en-GB"/>
        </w:rPr>
        <w:t xml:space="preserve"> The </w:t>
      </w:r>
      <w:r w:rsidRPr="0048465B">
        <w:rPr>
          <w:lang w:val="en-GB"/>
        </w:rPr>
        <w:lastRenderedPageBreak/>
        <w:t>origin of these concepts further reinforces the cultural understanding of the Holocaust as an exceptional traumatic event, an understanding that, in isolation, would function positively and exclusively in order to pay due respect to the victims of the Holocaust, but raises issues when proposing the Holocaust as a more connective and multidirectional example of suffering.</w:t>
      </w:r>
    </w:p>
    <w:p w14:paraId="1EE97FD4" w14:textId="77777777" w:rsidR="00FC331F" w:rsidRPr="0048465B" w:rsidRDefault="00FC331F" w:rsidP="00FC331F">
      <w:pPr>
        <w:rPr>
          <w:lang w:val="en-GB"/>
        </w:rPr>
      </w:pPr>
    </w:p>
    <w:p w14:paraId="7ED9A886" w14:textId="282D4470" w:rsidR="00FC331F" w:rsidRPr="0048465B" w:rsidRDefault="00FC331F" w:rsidP="00FC331F">
      <w:pPr>
        <w:rPr>
          <w:lang w:val="en-GB"/>
        </w:rPr>
      </w:pPr>
      <w:r w:rsidRPr="0048465B">
        <w:rPr>
          <w:lang w:val="en-GB"/>
        </w:rPr>
        <w:t xml:space="preserve">The issue herein is, to return to the Jameson comment, specifically that very urge to identify one event as ‘historical originality’ and all that which comes thereafter as a reiteration, or even continuation, of the depravity of that original event. </w:t>
      </w:r>
      <w:r w:rsidR="001126BF">
        <w:rPr>
          <w:lang w:val="en-GB"/>
        </w:rPr>
        <w:t>T</w:t>
      </w:r>
      <w:r w:rsidRPr="0048465B">
        <w:rPr>
          <w:lang w:val="en-GB"/>
        </w:rPr>
        <w:t>hrough</w:t>
      </w:r>
      <w:r w:rsidR="001126BF">
        <w:rPr>
          <w:lang w:val="en-GB"/>
        </w:rPr>
        <w:t xml:space="preserve"> both</w:t>
      </w:r>
      <w:r w:rsidRPr="0048465B">
        <w:rPr>
          <w:lang w:val="en-GB"/>
        </w:rPr>
        <w:t xml:space="preserve"> the centring of his monograph around the Holocaust, and through the Holocaust’s </w:t>
      </w:r>
      <w:r w:rsidR="008D344F">
        <w:rPr>
          <w:lang w:val="en-GB"/>
        </w:rPr>
        <w:t>distinct</w:t>
      </w:r>
      <w:r w:rsidRPr="0048465B">
        <w:rPr>
          <w:lang w:val="en-GB"/>
        </w:rPr>
        <w:t xml:space="preserve"> position in both public and academic discourse, Rothberg’s proposition of the Holocaust as an event that enables the connective articulation, specificity, and increased awareness of other events is in direct contradiction with the fact that such connections simultaneously depend upon a traumatic hierarchy wherein the culturally central expression of suffering acts as a conduit to the lesser accepted expressions. In the very act of making this connection, the secondary group recognises the privileged position of the accepted </w:t>
      </w:r>
      <w:r w:rsidR="008D344F">
        <w:rPr>
          <w:lang w:val="en-GB"/>
        </w:rPr>
        <w:t>event</w:t>
      </w:r>
      <w:r w:rsidRPr="0048465B">
        <w:rPr>
          <w:lang w:val="en-GB"/>
        </w:rPr>
        <w:t xml:space="preserve">, an act that either passively substantiates and affirms the distinguished status of the primary expression of suffering, or </w:t>
      </w:r>
      <w:r w:rsidR="006F6603">
        <w:rPr>
          <w:lang w:val="en-GB"/>
        </w:rPr>
        <w:t>–</w:t>
      </w:r>
      <w:r w:rsidRPr="0048465B">
        <w:rPr>
          <w:lang w:val="en-GB"/>
        </w:rPr>
        <w:t xml:space="preserve"> as in the case of Khalid Muhammad </w:t>
      </w:r>
      <w:r w:rsidR="006F6603">
        <w:rPr>
          <w:lang w:val="en-GB"/>
        </w:rPr>
        <w:t>–</w:t>
      </w:r>
      <w:r w:rsidRPr="0048465B">
        <w:rPr>
          <w:lang w:val="en-GB"/>
        </w:rPr>
        <w:t xml:space="preserve"> challenges its uniqueness. </w:t>
      </w:r>
    </w:p>
    <w:p w14:paraId="7F232BF0" w14:textId="77777777" w:rsidR="00FC331F" w:rsidRPr="0048465B" w:rsidRDefault="00FC331F" w:rsidP="00FC331F">
      <w:pPr>
        <w:rPr>
          <w:lang w:val="en-GB"/>
        </w:rPr>
      </w:pPr>
    </w:p>
    <w:p w14:paraId="0359A1C8" w14:textId="0A465D5B" w:rsidR="00FC331F" w:rsidRPr="0048465B" w:rsidRDefault="00FC331F" w:rsidP="00FC331F">
      <w:pPr>
        <w:rPr>
          <w:lang w:val="en-GB"/>
        </w:rPr>
      </w:pPr>
      <w:r w:rsidRPr="0048465B">
        <w:rPr>
          <w:lang w:val="en-GB"/>
        </w:rPr>
        <w:t>Clearly, given these two options, the prior</w:t>
      </w:r>
      <w:r w:rsidR="008D344F">
        <w:rPr>
          <w:lang w:val="en-GB"/>
        </w:rPr>
        <w:t xml:space="preserve"> </w:t>
      </w:r>
      <w:r w:rsidR="006F6603">
        <w:rPr>
          <w:lang w:val="en-GB"/>
        </w:rPr>
        <w:t>–</w:t>
      </w:r>
      <w:r w:rsidR="008D344F">
        <w:rPr>
          <w:lang w:val="en-GB"/>
        </w:rPr>
        <w:t xml:space="preserve"> affirming </w:t>
      </w:r>
      <w:r w:rsidR="006B71B8">
        <w:rPr>
          <w:lang w:val="en-GB"/>
        </w:rPr>
        <w:t xml:space="preserve">the status of the primary expression of suffering </w:t>
      </w:r>
      <w:r w:rsidR="006F6603">
        <w:rPr>
          <w:lang w:val="en-GB"/>
        </w:rPr>
        <w:t>–</w:t>
      </w:r>
      <w:r w:rsidRPr="0048465B">
        <w:rPr>
          <w:lang w:val="en-GB"/>
        </w:rPr>
        <w:t xml:space="preserve"> is the less contentious option. As Muhammad’s deprecation of the Holocaust and its memorialisation reveals, the attempt to elevate the awareness of one’s own oppression through the belittling of the historical and cultural importance of another’s not only often leads </w:t>
      </w:r>
      <w:r w:rsidR="003800CB">
        <w:rPr>
          <w:lang w:val="en-GB"/>
        </w:rPr>
        <w:t xml:space="preserve">to </w:t>
      </w:r>
      <w:r w:rsidRPr="0048465B">
        <w:rPr>
          <w:lang w:val="en-GB"/>
        </w:rPr>
        <w:t>historical inaccuracy but</w:t>
      </w:r>
      <w:r w:rsidR="009352E3">
        <w:rPr>
          <w:lang w:val="en-GB"/>
        </w:rPr>
        <w:t xml:space="preserve"> is extremely offensive</w:t>
      </w:r>
      <w:r w:rsidRPr="0048465B">
        <w:rPr>
          <w:lang w:val="en-GB"/>
        </w:rPr>
        <w:t xml:space="preserve">. </w:t>
      </w:r>
      <w:r w:rsidR="00F13356" w:rsidRPr="0048465B">
        <w:rPr>
          <w:lang w:val="en-GB"/>
        </w:rPr>
        <w:t xml:space="preserve">Moreover, in centring one’s critique in the </w:t>
      </w:r>
      <w:r w:rsidR="001126BF">
        <w:rPr>
          <w:lang w:val="en-GB"/>
        </w:rPr>
        <w:t>judgment</w:t>
      </w:r>
      <w:r w:rsidR="00F13356" w:rsidRPr="0048465B">
        <w:rPr>
          <w:lang w:val="en-GB"/>
        </w:rPr>
        <w:t xml:space="preserve"> of </w:t>
      </w:r>
      <w:r w:rsidR="00F13356" w:rsidRPr="0048465B">
        <w:rPr>
          <w:lang w:val="en-GB"/>
        </w:rPr>
        <w:lastRenderedPageBreak/>
        <w:t xml:space="preserve">another people, the accompanying intention of this critique </w:t>
      </w:r>
      <w:r w:rsidR="006F6603">
        <w:rPr>
          <w:lang w:val="en-GB"/>
        </w:rPr>
        <w:t>–</w:t>
      </w:r>
      <w:r w:rsidR="00F13356" w:rsidRPr="0048465B">
        <w:rPr>
          <w:lang w:val="en-GB"/>
        </w:rPr>
        <w:t xml:space="preserve"> in Muhammad’s case to raise awareness about the very real American cultural and political blindness regarding </w:t>
      </w:r>
      <w:r w:rsidR="005264B3">
        <w:rPr>
          <w:lang w:val="en-GB"/>
        </w:rPr>
        <w:t xml:space="preserve">both </w:t>
      </w:r>
      <w:r w:rsidR="00F13356" w:rsidRPr="0048465B">
        <w:rPr>
          <w:lang w:val="en-GB"/>
        </w:rPr>
        <w:t xml:space="preserve">its </w:t>
      </w:r>
      <w:r w:rsidR="005264B3">
        <w:rPr>
          <w:lang w:val="en-GB"/>
        </w:rPr>
        <w:t>historical</w:t>
      </w:r>
      <w:r w:rsidR="00F13356" w:rsidRPr="0048465B">
        <w:rPr>
          <w:lang w:val="en-GB"/>
        </w:rPr>
        <w:t xml:space="preserve"> </w:t>
      </w:r>
      <w:r w:rsidR="009352E3">
        <w:rPr>
          <w:lang w:val="en-GB"/>
        </w:rPr>
        <w:t xml:space="preserve">enslavement </w:t>
      </w:r>
      <w:r w:rsidR="00F13356" w:rsidRPr="0048465B">
        <w:rPr>
          <w:lang w:val="en-GB"/>
        </w:rPr>
        <w:t>of African people</w:t>
      </w:r>
      <w:r w:rsidR="005264B3">
        <w:rPr>
          <w:lang w:val="en-GB"/>
        </w:rPr>
        <w:t xml:space="preserve"> and contemporary maltreatment of black Americans</w:t>
      </w:r>
      <w:r w:rsidR="00F13356" w:rsidRPr="0048465B">
        <w:rPr>
          <w:lang w:val="en-GB"/>
        </w:rPr>
        <w:t xml:space="preserve"> </w:t>
      </w:r>
      <w:r w:rsidR="006F6603">
        <w:rPr>
          <w:lang w:val="en-GB"/>
        </w:rPr>
        <w:t>–</w:t>
      </w:r>
      <w:r w:rsidR="00F13356" w:rsidRPr="0048465B">
        <w:rPr>
          <w:lang w:val="en-GB"/>
        </w:rPr>
        <w:t xml:space="preserve"> may well be lost in the legitimate offence caused by the means of expression. </w:t>
      </w:r>
      <w:r w:rsidRPr="0048465B">
        <w:rPr>
          <w:lang w:val="en-GB"/>
        </w:rPr>
        <w:t>Such insensitive approaches cultivate an environment wherein even wholly legitimate analyses of the cultural meaning of the Holocaust can, if they stray from the accepted narrative, find themselves charged with the same offences of irreverence, relativisation, and antisemitism. The only productive use of</w:t>
      </w:r>
      <w:r w:rsidR="001126BF">
        <w:rPr>
          <w:lang w:val="en-GB"/>
        </w:rPr>
        <w:t xml:space="preserve"> Holocaust-centric</w:t>
      </w:r>
      <w:r w:rsidRPr="0048465B">
        <w:rPr>
          <w:lang w:val="en-GB"/>
        </w:rPr>
        <w:t xml:space="preserve"> multidirectional </w:t>
      </w:r>
      <w:r w:rsidR="001126BF">
        <w:rPr>
          <w:lang w:val="en-GB"/>
        </w:rPr>
        <w:t>approaches</w:t>
      </w:r>
      <w:r w:rsidRPr="0048465B">
        <w:rPr>
          <w:lang w:val="en-GB"/>
        </w:rPr>
        <w:t xml:space="preserve"> then, it seems, </w:t>
      </w:r>
      <w:r w:rsidR="001126BF">
        <w:rPr>
          <w:lang w:val="en-GB"/>
        </w:rPr>
        <w:t>are those</w:t>
      </w:r>
      <w:r w:rsidRPr="0048465B">
        <w:rPr>
          <w:lang w:val="en-GB"/>
        </w:rPr>
        <w:t xml:space="preserve"> wherein </w:t>
      </w:r>
      <w:r w:rsidR="001126BF">
        <w:rPr>
          <w:lang w:val="en-GB"/>
        </w:rPr>
        <w:t>a less well-established</w:t>
      </w:r>
      <w:r w:rsidRPr="0048465B">
        <w:rPr>
          <w:lang w:val="en-GB"/>
        </w:rPr>
        <w:t xml:space="preserve"> group affirms the distinguished status of the </w:t>
      </w:r>
      <w:r w:rsidR="001126BF">
        <w:rPr>
          <w:lang w:val="en-GB"/>
        </w:rPr>
        <w:t>Holocaust</w:t>
      </w:r>
      <w:r w:rsidRPr="0048465B">
        <w:rPr>
          <w:lang w:val="en-GB"/>
        </w:rPr>
        <w:t xml:space="preserve"> as a means of gaining deeper understanding and raising the politico-cultural stock of </w:t>
      </w:r>
      <w:r w:rsidR="001126BF">
        <w:rPr>
          <w:lang w:val="en-GB"/>
        </w:rPr>
        <w:t>their</w:t>
      </w:r>
      <w:r w:rsidRPr="0048465B">
        <w:rPr>
          <w:lang w:val="en-GB"/>
        </w:rPr>
        <w:t xml:space="preserve"> own suffering, whilst at the same time remaining slightly removed from the centre of public consciousness due to the subsidiary nature of this connection.</w:t>
      </w:r>
    </w:p>
    <w:p w14:paraId="20A0386B" w14:textId="77777777" w:rsidR="00FC331F" w:rsidRPr="0048465B" w:rsidRDefault="00FC331F" w:rsidP="00FC331F">
      <w:pPr>
        <w:rPr>
          <w:lang w:val="en-GB"/>
        </w:rPr>
      </w:pPr>
    </w:p>
    <w:p w14:paraId="3DA134A4" w14:textId="4686581A" w:rsidR="00FC331F" w:rsidRPr="0048465B" w:rsidRDefault="00FC331F" w:rsidP="00FC331F">
      <w:pPr>
        <w:rPr>
          <w:lang w:val="en-GB"/>
        </w:rPr>
      </w:pPr>
      <w:r w:rsidRPr="0048465B">
        <w:rPr>
          <w:lang w:val="en-GB"/>
        </w:rPr>
        <w:t xml:space="preserve">One example of this very process, claimed by Rothberg to demonstrate the benefits of multidirectional memory, is found if we return to W. E. B. Du </w:t>
      </w:r>
      <w:proofErr w:type="spellStart"/>
      <w:r w:rsidRPr="0048465B">
        <w:rPr>
          <w:lang w:val="en-GB"/>
        </w:rPr>
        <w:t>Bois’</w:t>
      </w:r>
      <w:proofErr w:type="spellEnd"/>
      <w:r w:rsidRPr="0048465B">
        <w:rPr>
          <w:lang w:val="en-GB"/>
        </w:rPr>
        <w:t xml:space="preserve"> visit to the Warsaw Ghetto and the connections he makes between the immense suffering that occurred there and his own understanding of the colour line and the persecution of black people.</w:t>
      </w:r>
      <w:r w:rsidRPr="0048465B">
        <w:rPr>
          <w:vertAlign w:val="superscript"/>
          <w:lang w:val="en-GB"/>
        </w:rPr>
        <w:footnoteReference w:id="102"/>
      </w:r>
      <w:r w:rsidRPr="0048465B">
        <w:rPr>
          <w:lang w:val="en-GB"/>
        </w:rPr>
        <w:t xml:space="preserve"> Referring ‘in particular’ to his visit to the Warsaw Ghetto, Du </w:t>
      </w:r>
      <w:proofErr w:type="spellStart"/>
      <w:r w:rsidRPr="0048465B">
        <w:rPr>
          <w:lang w:val="en-GB"/>
        </w:rPr>
        <w:t>Bois</w:t>
      </w:r>
      <w:proofErr w:type="spellEnd"/>
      <w:r w:rsidRPr="0048465B">
        <w:rPr>
          <w:lang w:val="en-GB"/>
        </w:rPr>
        <w:t xml:space="preserve"> wrote that he had attained ‘not so much clearer understanding of the Jewish problem in the world as</w:t>
      </w:r>
      <w:r w:rsidR="000C3FB4">
        <w:rPr>
          <w:lang w:val="en-GB"/>
        </w:rPr>
        <w:t xml:space="preserve"> […] </w:t>
      </w:r>
      <w:r w:rsidRPr="0048465B">
        <w:rPr>
          <w:lang w:val="en-GB"/>
        </w:rPr>
        <w:t xml:space="preserve">a real and more complete understanding of the Negro problem’, stating that the colour line as well as ‘the problem of slavery, emancipation, and caste in the United States [were] no longer in my mind a separate and unique thing as I had so </w:t>
      </w:r>
      <w:r w:rsidRPr="0048465B">
        <w:rPr>
          <w:lang w:val="en-GB"/>
        </w:rPr>
        <w:lastRenderedPageBreak/>
        <w:t>long conceived [them]’.</w:t>
      </w:r>
      <w:r w:rsidRPr="0048465B">
        <w:rPr>
          <w:vertAlign w:val="superscript"/>
          <w:lang w:val="en-GB"/>
        </w:rPr>
        <w:footnoteReference w:id="103"/>
      </w:r>
      <w:r w:rsidRPr="0048465B">
        <w:rPr>
          <w:lang w:val="en-GB"/>
        </w:rPr>
        <w:t xml:space="preserve"> Rothberg describes this form of connection as one which ‘cuts across a variety of lines of social demarcation’, arguing that ‘this transversal conceptual movement demonstrates how those lines remain in force as efficient, local causes’, and that whilst the specificity of the colour line has been compromised, the relationships between African-American life and European </w:t>
      </w:r>
      <w:r w:rsidR="001142F0">
        <w:rPr>
          <w:lang w:val="en-GB"/>
        </w:rPr>
        <w:t>Jewish</w:t>
      </w:r>
      <w:r w:rsidR="001142F0" w:rsidRPr="0048465B">
        <w:rPr>
          <w:lang w:val="en-GB"/>
        </w:rPr>
        <w:t xml:space="preserve"> </w:t>
      </w:r>
      <w:r w:rsidRPr="0048465B">
        <w:rPr>
          <w:lang w:val="en-GB"/>
        </w:rPr>
        <w:t>life now ‘exist in a new relation to other histories of racism and violence’.</w:t>
      </w:r>
      <w:r w:rsidRPr="0048465B">
        <w:rPr>
          <w:vertAlign w:val="superscript"/>
          <w:lang w:val="en-GB"/>
        </w:rPr>
        <w:footnoteReference w:id="104"/>
      </w:r>
      <w:r w:rsidRPr="0048465B">
        <w:rPr>
          <w:lang w:val="en-GB"/>
        </w:rPr>
        <w:t xml:space="preserve"> Indeed, through Du </w:t>
      </w:r>
      <w:proofErr w:type="spellStart"/>
      <w:r w:rsidRPr="0048465B">
        <w:rPr>
          <w:lang w:val="en-GB"/>
        </w:rPr>
        <w:t>Bois’</w:t>
      </w:r>
      <w:proofErr w:type="spellEnd"/>
      <w:r w:rsidRPr="0048465B">
        <w:rPr>
          <w:lang w:val="en-GB"/>
        </w:rPr>
        <w:t xml:space="preserve"> expansion of his ideas he has certainly made such connections, the colour line referring now to black people as well as holding a meaning for those of other minority groups. </w:t>
      </w:r>
    </w:p>
    <w:p w14:paraId="6C6D5443" w14:textId="77777777" w:rsidR="00FC331F" w:rsidRPr="0048465B" w:rsidRDefault="00FC331F" w:rsidP="00FC331F">
      <w:pPr>
        <w:rPr>
          <w:lang w:val="en-GB"/>
        </w:rPr>
      </w:pPr>
    </w:p>
    <w:p w14:paraId="03314D98" w14:textId="58F9CF7C" w:rsidR="00D62F31" w:rsidRDefault="00FC331F" w:rsidP="00FC331F">
      <w:pPr>
        <w:rPr>
          <w:lang w:val="en-GB"/>
        </w:rPr>
      </w:pPr>
      <w:r w:rsidRPr="0048465B">
        <w:rPr>
          <w:lang w:val="en-GB"/>
        </w:rPr>
        <w:t xml:space="preserve">What complicates the matter, however, is the interplay between Rothberg’s idea of the ‘transversal conceptual movement’, and the ‘local cause[]’, a matter that is most simply explained when aided by a term of my own coining, Umbrella Memory. In this particular case, the colour line that originally existed as a local cause has become a less specific and more inclusive conceptual movement, all the while retaining its position as a local cause. Certainly, people from South and East Asian origins, Aboriginal origins, and Jewish origins may learn about their own oppression through developing a deeper understanding of the colour line, but the existence of the colour line remains entwined most specifically and most precisely with its original movement, that concerning </w:t>
      </w:r>
      <w:r w:rsidR="00F13356" w:rsidRPr="0048465B">
        <w:rPr>
          <w:lang w:val="en-GB"/>
        </w:rPr>
        <w:t>African American</w:t>
      </w:r>
      <w:r w:rsidRPr="0048465B">
        <w:rPr>
          <w:lang w:val="en-GB"/>
        </w:rPr>
        <w:t xml:space="preserve"> oppression. To rearrange these associations into the image of an umbrella, the central pole of the umbrella is the initial local cause, the locus of the concept, the origin of the </w:t>
      </w:r>
      <w:r w:rsidR="001D43CB">
        <w:rPr>
          <w:lang w:val="en-GB"/>
        </w:rPr>
        <w:t>thought</w:t>
      </w:r>
      <w:r w:rsidRPr="0048465B">
        <w:rPr>
          <w:lang w:val="en-GB"/>
        </w:rPr>
        <w:t xml:space="preserve">. From this central pole stretch out the ribs that support the </w:t>
      </w:r>
      <w:r w:rsidR="00597337">
        <w:rPr>
          <w:lang w:val="en-GB"/>
        </w:rPr>
        <w:t xml:space="preserve">umbrella’s </w:t>
      </w:r>
      <w:r w:rsidRPr="0048465B">
        <w:rPr>
          <w:lang w:val="en-GB"/>
        </w:rPr>
        <w:t xml:space="preserve">fabric, with the farthest point of each of these ribs representing a new associative site in the growth of this initial </w:t>
      </w:r>
      <w:r w:rsidRPr="0048465B">
        <w:rPr>
          <w:lang w:val="en-GB"/>
        </w:rPr>
        <w:lastRenderedPageBreak/>
        <w:t xml:space="preserve">cause into a ‘transversal conceptual movement’. In this case these sites may be seen as, by way of example, the persecution of Asian, Aboriginal, and Jewish peoples, these new associations functioning as new local causes between which the conceptual canopy may be stretched. </w:t>
      </w:r>
    </w:p>
    <w:p w14:paraId="16142113" w14:textId="77777777" w:rsidR="00D62F31" w:rsidRDefault="00D62F31" w:rsidP="00FC331F">
      <w:pPr>
        <w:rPr>
          <w:lang w:val="en-GB"/>
        </w:rPr>
      </w:pPr>
    </w:p>
    <w:p w14:paraId="394682A1" w14:textId="4117EE1F" w:rsidR="00FC331F" w:rsidRPr="0048465B" w:rsidRDefault="00FC331F" w:rsidP="00FC331F">
      <w:pPr>
        <w:rPr>
          <w:lang w:val="en-GB"/>
        </w:rPr>
      </w:pPr>
      <w:r w:rsidRPr="0048465B">
        <w:rPr>
          <w:lang w:val="en-GB"/>
        </w:rPr>
        <w:t>The reason this image is necessary is to highlight the very issue with such forms of connection, that whilst each individual site on the umbrella can be seen as both independent and connected simultaneously, there remains one particular point in the umbrella that holds the others aloft. Certainly, each of these instances of mass persecution are linked to one another, but in this visualisation of multidirectional memory, there is a dependency that is decidedly monodirectional. Whilst the central movement</w:t>
      </w:r>
      <w:r w:rsidR="00D62F31">
        <w:rPr>
          <w:lang w:val="en-GB"/>
        </w:rPr>
        <w:t>, the pole of the umbrella,</w:t>
      </w:r>
      <w:r w:rsidRPr="0048465B">
        <w:rPr>
          <w:lang w:val="en-GB"/>
        </w:rPr>
        <w:t xml:space="preserve"> can disconnect itself from the others and remain standing, the others cannot cut themselves off from the central movement without falling themselves.</w:t>
      </w:r>
    </w:p>
    <w:p w14:paraId="610E30BB" w14:textId="77777777" w:rsidR="00FC331F" w:rsidRPr="0048465B" w:rsidRDefault="00FC331F" w:rsidP="00FC331F">
      <w:pPr>
        <w:rPr>
          <w:lang w:val="en-GB"/>
        </w:rPr>
      </w:pPr>
    </w:p>
    <w:p w14:paraId="3ADDBF02" w14:textId="2AEEAFB8" w:rsidR="00BC341F" w:rsidRDefault="00FC331F" w:rsidP="00FC331F">
      <w:pPr>
        <w:rPr>
          <w:lang w:val="en-GB"/>
        </w:rPr>
      </w:pPr>
      <w:r w:rsidRPr="0048465B">
        <w:rPr>
          <w:lang w:val="en-GB"/>
        </w:rPr>
        <w:t xml:space="preserve">This not only highlights the dependency of the ‘rib’ movements upon the ‘pole’ movement in order for their own specificities to be illuminated, but also illuminates another issue regarding the origin of victimhood and traumatic competition. Du </w:t>
      </w:r>
      <w:proofErr w:type="spellStart"/>
      <w:r w:rsidRPr="0048465B">
        <w:rPr>
          <w:lang w:val="en-GB"/>
        </w:rPr>
        <w:t>Bois’</w:t>
      </w:r>
      <w:proofErr w:type="spellEnd"/>
      <w:r w:rsidRPr="0048465B">
        <w:rPr>
          <w:lang w:val="en-GB"/>
        </w:rPr>
        <w:t xml:space="preserve"> opening up of the concept of the colour line to Jewishness specifically, in his writings on the Warsaw Ghetto, works perhaps most simply because anti-black racism and antisemitism are the two forms of prejudice that arguably hold the most global cultural weight, and therefore </w:t>
      </w:r>
      <w:r w:rsidR="001D43CB">
        <w:rPr>
          <w:lang w:val="en-GB"/>
        </w:rPr>
        <w:t>–</w:t>
      </w:r>
      <w:r w:rsidRPr="0048465B">
        <w:rPr>
          <w:lang w:val="en-GB"/>
        </w:rPr>
        <w:t xml:space="preserve"> despite the example of Khalid Muhammad </w:t>
      </w:r>
      <w:r w:rsidR="001D43CB">
        <w:rPr>
          <w:lang w:val="en-GB"/>
        </w:rPr>
        <w:t>–</w:t>
      </w:r>
      <w:r w:rsidRPr="0048465B">
        <w:rPr>
          <w:lang w:val="en-GB"/>
        </w:rPr>
        <w:t xml:space="preserve"> are less likely to need to engage in competition over the </w:t>
      </w:r>
      <w:r w:rsidR="008B3A82">
        <w:rPr>
          <w:lang w:val="en-GB"/>
        </w:rPr>
        <w:t>‘</w:t>
      </w:r>
      <w:r w:rsidRPr="0048465B">
        <w:rPr>
          <w:lang w:val="en-GB"/>
        </w:rPr>
        <w:t>real estate</w:t>
      </w:r>
      <w:r w:rsidR="008B3A82">
        <w:rPr>
          <w:lang w:val="en-GB"/>
        </w:rPr>
        <w:t>’</w:t>
      </w:r>
      <w:r w:rsidRPr="0048465B">
        <w:rPr>
          <w:lang w:val="en-GB"/>
        </w:rPr>
        <w:t xml:space="preserve"> of traumatic memory. Indeed, as much as the anti-black racism and antisemitism that Du </w:t>
      </w:r>
      <w:proofErr w:type="spellStart"/>
      <w:r w:rsidRPr="0048465B">
        <w:rPr>
          <w:lang w:val="en-GB"/>
        </w:rPr>
        <w:t>Bois</w:t>
      </w:r>
      <w:proofErr w:type="spellEnd"/>
      <w:r w:rsidRPr="0048465B">
        <w:rPr>
          <w:lang w:val="en-GB"/>
        </w:rPr>
        <w:t xml:space="preserve"> refers to have </w:t>
      </w:r>
      <w:r w:rsidR="00BC341F">
        <w:rPr>
          <w:lang w:val="en-GB"/>
        </w:rPr>
        <w:t>some</w:t>
      </w:r>
      <w:r w:rsidRPr="0048465B">
        <w:rPr>
          <w:lang w:val="en-GB"/>
        </w:rPr>
        <w:t xml:space="preserve"> similarities,</w:t>
      </w:r>
      <w:r w:rsidR="009352E3">
        <w:rPr>
          <w:lang w:val="en-GB"/>
        </w:rPr>
        <w:t xml:space="preserve"> the enslavement of African people and the Holocaust</w:t>
      </w:r>
      <w:r w:rsidRPr="0048465B">
        <w:rPr>
          <w:lang w:val="en-GB"/>
        </w:rPr>
        <w:t xml:space="preserve"> </w:t>
      </w:r>
      <w:r w:rsidR="009352E3">
        <w:rPr>
          <w:lang w:val="en-GB"/>
        </w:rPr>
        <w:t>more specifically</w:t>
      </w:r>
      <w:r w:rsidRPr="0048465B">
        <w:rPr>
          <w:lang w:val="en-GB"/>
        </w:rPr>
        <w:t xml:space="preserve"> have </w:t>
      </w:r>
      <w:r w:rsidR="009352E3">
        <w:rPr>
          <w:lang w:val="en-GB"/>
        </w:rPr>
        <w:t>considerable</w:t>
      </w:r>
      <w:r w:rsidRPr="0048465B">
        <w:rPr>
          <w:lang w:val="en-GB"/>
        </w:rPr>
        <w:t xml:space="preserve"> differences that allow them to occupy largely different conceptual spaces. One is a primarily European tragedy, </w:t>
      </w:r>
      <w:r w:rsidRPr="0048465B">
        <w:rPr>
          <w:lang w:val="en-GB"/>
        </w:rPr>
        <w:lastRenderedPageBreak/>
        <w:t xml:space="preserve">imposed upon primarily white European subjects by, primarily, </w:t>
      </w:r>
      <w:r w:rsidR="00BC341F">
        <w:rPr>
          <w:lang w:val="en-GB"/>
        </w:rPr>
        <w:t xml:space="preserve">a small number of </w:t>
      </w:r>
      <w:r w:rsidRPr="0048465B">
        <w:rPr>
          <w:lang w:val="en-GB"/>
        </w:rPr>
        <w:t>white European</w:t>
      </w:r>
      <w:r w:rsidR="00BC341F">
        <w:rPr>
          <w:lang w:val="en-GB"/>
        </w:rPr>
        <w:t xml:space="preserve"> nations</w:t>
      </w:r>
      <w:r w:rsidRPr="0048465B">
        <w:rPr>
          <w:lang w:val="en-GB"/>
        </w:rPr>
        <w:t xml:space="preserve">. The other is a primarily black African tragedy; carried out by, primarily, white people in Portugal, Britain, the United States, and other countries across the globe. </w:t>
      </w:r>
    </w:p>
    <w:p w14:paraId="513296C7" w14:textId="77777777" w:rsidR="00BC341F" w:rsidRDefault="00BC341F" w:rsidP="00FC331F">
      <w:pPr>
        <w:rPr>
          <w:lang w:val="en-GB"/>
        </w:rPr>
      </w:pPr>
    </w:p>
    <w:p w14:paraId="1D63D91A" w14:textId="21D7EA41" w:rsidR="008F554C" w:rsidRDefault="00BC341F" w:rsidP="00FC331F">
      <w:pPr>
        <w:rPr>
          <w:lang w:val="en-GB"/>
        </w:rPr>
      </w:pPr>
      <w:r>
        <w:rPr>
          <w:lang w:val="en-GB"/>
        </w:rPr>
        <w:t>Thus</w:t>
      </w:r>
      <w:r w:rsidR="00FC331F" w:rsidRPr="0048465B">
        <w:rPr>
          <w:lang w:val="en-GB"/>
        </w:rPr>
        <w:t xml:space="preserve">, whilst Rothberg defines Du </w:t>
      </w:r>
      <w:proofErr w:type="spellStart"/>
      <w:r w:rsidR="00FC331F" w:rsidRPr="0048465B">
        <w:rPr>
          <w:lang w:val="en-GB"/>
        </w:rPr>
        <w:t>Bois’</w:t>
      </w:r>
      <w:proofErr w:type="spellEnd"/>
      <w:r w:rsidR="00FC331F" w:rsidRPr="0048465B">
        <w:rPr>
          <w:lang w:val="en-GB"/>
        </w:rPr>
        <w:t xml:space="preserve"> ‘post-Warsaw vision’ as ‘bring[</w:t>
      </w:r>
      <w:proofErr w:type="spellStart"/>
      <w:r w:rsidR="00FC331F" w:rsidRPr="0048465B">
        <w:rPr>
          <w:lang w:val="en-GB"/>
        </w:rPr>
        <w:t>ing</w:t>
      </w:r>
      <w:proofErr w:type="spellEnd"/>
      <w:r w:rsidR="00FC331F" w:rsidRPr="0048465B">
        <w:rPr>
          <w:lang w:val="en-GB"/>
        </w:rPr>
        <w:t>] black and Jewish histories into relation without erasing their differences or fetishizing their uniqueness’,</w:t>
      </w:r>
      <w:r w:rsidR="00FC331F" w:rsidRPr="0048465B">
        <w:rPr>
          <w:vertAlign w:val="superscript"/>
          <w:lang w:val="en-GB"/>
        </w:rPr>
        <w:footnoteReference w:id="105"/>
      </w:r>
      <w:r w:rsidR="00FC331F" w:rsidRPr="0048465B">
        <w:rPr>
          <w:lang w:val="en-GB"/>
        </w:rPr>
        <w:t xml:space="preserve"> this bringing of the two distinct historical and contemporary persecutions into proximity crosses few theoretical or literal boundaries. If one were to extract Khalid Muhammad and his racism from his protest on the </w:t>
      </w:r>
      <w:r w:rsidR="00333840">
        <w:rPr>
          <w:lang w:val="en-GB"/>
        </w:rPr>
        <w:t>M</w:t>
      </w:r>
      <w:r w:rsidR="00FC331F" w:rsidRPr="0048465B">
        <w:rPr>
          <w:lang w:val="en-GB"/>
        </w:rPr>
        <w:t xml:space="preserve">all in Washington DC, the true conflict is between black Americans and historical and contemporary American racism, not black people and Jewish people. </w:t>
      </w:r>
      <w:r>
        <w:rPr>
          <w:lang w:val="en-GB"/>
        </w:rPr>
        <w:t>Crucially</w:t>
      </w:r>
      <w:r w:rsidR="00FC331F" w:rsidRPr="0048465B">
        <w:rPr>
          <w:lang w:val="en-GB"/>
        </w:rPr>
        <w:t xml:space="preserve">, were black and Jewish peoples in conflict with one another, it would be seen as completely erroneous – and perhaps still is – of Rothberg to describe Du </w:t>
      </w:r>
      <w:proofErr w:type="spellStart"/>
      <w:r w:rsidR="00FC331F" w:rsidRPr="0048465B">
        <w:rPr>
          <w:lang w:val="en-GB"/>
        </w:rPr>
        <w:t>Bois’</w:t>
      </w:r>
      <w:proofErr w:type="spellEnd"/>
      <w:r w:rsidR="00FC331F" w:rsidRPr="0048465B">
        <w:rPr>
          <w:lang w:val="en-GB"/>
        </w:rPr>
        <w:t xml:space="preserve"> work as not fetishizing uniqueness, when Du </w:t>
      </w:r>
      <w:proofErr w:type="spellStart"/>
      <w:r w:rsidR="00FC331F" w:rsidRPr="0048465B">
        <w:rPr>
          <w:lang w:val="en-GB"/>
        </w:rPr>
        <w:t>Bois</w:t>
      </w:r>
      <w:proofErr w:type="spellEnd"/>
      <w:r w:rsidR="00FC331F" w:rsidRPr="0048465B">
        <w:rPr>
          <w:lang w:val="en-GB"/>
        </w:rPr>
        <w:t xml:space="preserve"> explicitly states that he had seen ‘“the scream[s] and shots of a race riot in Atlanta; the marching of the Ku Klux Klan; the threat of courts and police; the neglect and destruction of human habitation; but nothing in my wildest imagination was equal to what I saw in Warsaw’.</w:t>
      </w:r>
      <w:r w:rsidR="00FC331F" w:rsidRPr="0048465B">
        <w:rPr>
          <w:vertAlign w:val="superscript"/>
          <w:lang w:val="en-GB"/>
        </w:rPr>
        <w:footnoteReference w:id="106"/>
      </w:r>
      <w:r w:rsidR="00FC331F" w:rsidRPr="0048465B">
        <w:rPr>
          <w:lang w:val="en-GB"/>
        </w:rPr>
        <w:t xml:space="preserve"> This assessment of the quality of the Warsaw Ghetto suffering in relation to that of race riots and hate group activity in America </w:t>
      </w:r>
      <w:r w:rsidR="000D12F2">
        <w:rPr>
          <w:lang w:val="en-GB"/>
        </w:rPr>
        <w:t>undermines</w:t>
      </w:r>
      <w:r w:rsidR="00FC331F" w:rsidRPr="0048465B">
        <w:rPr>
          <w:lang w:val="en-GB"/>
        </w:rPr>
        <w:t xml:space="preserve"> Du </w:t>
      </w:r>
      <w:proofErr w:type="spellStart"/>
      <w:r w:rsidR="00FC331F" w:rsidRPr="0048465B">
        <w:rPr>
          <w:lang w:val="en-GB"/>
        </w:rPr>
        <w:t>Bois’</w:t>
      </w:r>
      <w:proofErr w:type="spellEnd"/>
      <w:r w:rsidR="00FC331F" w:rsidRPr="0048465B">
        <w:rPr>
          <w:lang w:val="en-GB"/>
        </w:rPr>
        <w:t xml:space="preserve"> own assertion that no pain be viewed as ‘“separate and unique”’,</w:t>
      </w:r>
      <w:r w:rsidR="00FC331F" w:rsidRPr="0048465B">
        <w:rPr>
          <w:vertAlign w:val="superscript"/>
          <w:lang w:val="en-GB"/>
        </w:rPr>
        <w:footnoteReference w:id="107"/>
      </w:r>
      <w:r w:rsidR="00FC331F" w:rsidRPr="0048465B">
        <w:rPr>
          <w:lang w:val="en-GB"/>
        </w:rPr>
        <w:t xml:space="preserve"> as it is, if not a strict </w:t>
      </w:r>
      <w:proofErr w:type="spellStart"/>
      <w:r w:rsidR="00FC331F" w:rsidRPr="0048465B">
        <w:rPr>
          <w:lang w:val="en-GB"/>
        </w:rPr>
        <w:t>fetishisation</w:t>
      </w:r>
      <w:proofErr w:type="spellEnd"/>
      <w:r w:rsidR="00FC331F" w:rsidRPr="0048465B">
        <w:rPr>
          <w:lang w:val="en-GB"/>
        </w:rPr>
        <w:t xml:space="preserve"> of uniqueness, certainly an affirmation of traumatic exceptionalism, and one that actively reinforces the notion of traumatic hierarchy.</w:t>
      </w:r>
    </w:p>
    <w:p w14:paraId="4F5DE003" w14:textId="77777777" w:rsidR="00EB441E" w:rsidRDefault="00EB441E" w:rsidP="00FC331F">
      <w:pPr>
        <w:rPr>
          <w:lang w:val="en-GB"/>
        </w:rPr>
      </w:pPr>
    </w:p>
    <w:p w14:paraId="78705264" w14:textId="58A2EDFE" w:rsidR="00FC331F" w:rsidRPr="0048465B" w:rsidRDefault="00FC331F" w:rsidP="00FC331F">
      <w:pPr>
        <w:rPr>
          <w:lang w:val="en-GB"/>
        </w:rPr>
      </w:pPr>
      <w:r w:rsidRPr="0048465B">
        <w:rPr>
          <w:lang w:val="en-GB"/>
        </w:rPr>
        <w:lastRenderedPageBreak/>
        <w:t xml:space="preserve"> Moreover, whilst Rothberg argues that Du </w:t>
      </w:r>
      <w:proofErr w:type="spellStart"/>
      <w:r w:rsidRPr="0048465B">
        <w:rPr>
          <w:lang w:val="en-GB"/>
        </w:rPr>
        <w:t>Bois</w:t>
      </w:r>
      <w:proofErr w:type="spellEnd"/>
      <w:r w:rsidRPr="0048465B">
        <w:rPr>
          <w:lang w:val="en-GB"/>
        </w:rPr>
        <w:t xml:space="preserve"> here ‘demonstrates how the other’s history and memory can serve as a source of renewal and reconfiguration for the self – granted one is willing to give up exclusive claims to ultimate victimization and ownership over suffering’,</w:t>
      </w:r>
      <w:r w:rsidRPr="0048465B">
        <w:rPr>
          <w:vertAlign w:val="superscript"/>
          <w:lang w:val="en-GB"/>
        </w:rPr>
        <w:footnoteReference w:id="108"/>
      </w:r>
      <w:r w:rsidRPr="0048465B">
        <w:rPr>
          <w:lang w:val="en-GB"/>
        </w:rPr>
        <w:t xml:space="preserve"> this very concession of the claim to ultimate victimisation becomes ineffective if it represents that which supports an alternative claim to ultimate victimisation. If this process is, indeed, multidirectional, then any concession of </w:t>
      </w:r>
      <w:r w:rsidR="00BC341F">
        <w:rPr>
          <w:lang w:val="en-GB"/>
        </w:rPr>
        <w:t>claims</w:t>
      </w:r>
      <w:r w:rsidRPr="0048465B">
        <w:rPr>
          <w:lang w:val="en-GB"/>
        </w:rPr>
        <w:t xml:space="preserve"> to ultimate victimisation and ownership over suffering cannot prop up a similar claim and cannot be a solitary act; it must be reciprocal. To lean upon the pain of another in order to better understand one’s own suffering means that there is a perception of shared ground between the two events that engendered said pain, or at the very least pure appreciation of shared suffering regardless of the cause. However, in order for this ground to be truly shared, as opposed to one event borrowing from another, both sides must concede any claims to exclusivity or exceptionalism.</w:t>
      </w:r>
    </w:p>
    <w:p w14:paraId="0815CC14" w14:textId="77777777" w:rsidR="00FC331F" w:rsidRPr="0048465B" w:rsidRDefault="00FC331F" w:rsidP="00FC331F">
      <w:pPr>
        <w:rPr>
          <w:lang w:val="en-GB"/>
        </w:rPr>
      </w:pPr>
    </w:p>
    <w:p w14:paraId="0520FAE9" w14:textId="7342933B" w:rsidR="00BC341F" w:rsidRDefault="00FC331F" w:rsidP="00FC331F">
      <w:pPr>
        <w:rPr>
          <w:lang w:val="en-GB"/>
        </w:rPr>
      </w:pPr>
      <w:r w:rsidRPr="0048465B">
        <w:rPr>
          <w:lang w:val="en-GB"/>
        </w:rPr>
        <w:t xml:space="preserve">This is where we </w:t>
      </w:r>
      <w:r w:rsidR="00BC341F">
        <w:rPr>
          <w:lang w:val="en-GB"/>
        </w:rPr>
        <w:t>see</w:t>
      </w:r>
      <w:r w:rsidRPr="0048465B">
        <w:rPr>
          <w:lang w:val="en-GB"/>
        </w:rPr>
        <w:t xml:space="preserve"> perhaps one of the most </w:t>
      </w:r>
      <w:r w:rsidR="000D12F2">
        <w:rPr>
          <w:lang w:val="en-GB"/>
        </w:rPr>
        <w:t>unexpected</w:t>
      </w:r>
      <w:r w:rsidRPr="0048465B">
        <w:rPr>
          <w:lang w:val="en-GB"/>
        </w:rPr>
        <w:t xml:space="preserve"> assertions made by Rothberg, the affirmation that whilst ‘no suffering should be considered “separate and unique”</w:t>
      </w:r>
      <w:r w:rsidR="000C3FB4">
        <w:rPr>
          <w:lang w:val="en-GB"/>
        </w:rPr>
        <w:t xml:space="preserve"> […] </w:t>
      </w:r>
      <w:r w:rsidRPr="0048465B">
        <w:rPr>
          <w:lang w:val="en-GB"/>
        </w:rPr>
        <w:t>different legacies of suffering are not therefore “equal”’.</w:t>
      </w:r>
      <w:r w:rsidRPr="0048465B">
        <w:rPr>
          <w:vertAlign w:val="superscript"/>
          <w:lang w:val="en-GB"/>
        </w:rPr>
        <w:footnoteReference w:id="109"/>
      </w:r>
      <w:r w:rsidRPr="0048465B">
        <w:rPr>
          <w:lang w:val="en-GB"/>
        </w:rPr>
        <w:t xml:space="preserve"> This sentiment appears throughout </w:t>
      </w:r>
      <w:r w:rsidRPr="0048465B">
        <w:rPr>
          <w:i/>
          <w:lang w:val="en-GB"/>
        </w:rPr>
        <w:t>Multidirectional Memory</w:t>
      </w:r>
      <w:r w:rsidRPr="0048465B">
        <w:rPr>
          <w:lang w:val="en-GB"/>
        </w:rPr>
        <w:t>, both in the first chapter, where Rothberg asserts that ‘all articulations of memory are not equal; powerful social, political, and psychic forces articulate themselves in every act of remembrance’,</w:t>
      </w:r>
      <w:r w:rsidRPr="0048465B">
        <w:rPr>
          <w:vertAlign w:val="superscript"/>
          <w:lang w:val="en-GB"/>
        </w:rPr>
        <w:footnoteReference w:id="110"/>
      </w:r>
      <w:r w:rsidRPr="0048465B">
        <w:rPr>
          <w:lang w:val="en-GB"/>
        </w:rPr>
        <w:t xml:space="preserve"> as well as in the epilogue, where he states that ‘[t]he unspeakable acknowledgment that “enemy” peoples share a common, if unequal, history is the utopian moment underlying the ideology of competitive victimization’.</w:t>
      </w:r>
      <w:r w:rsidRPr="0048465B">
        <w:rPr>
          <w:vertAlign w:val="superscript"/>
          <w:lang w:val="en-GB"/>
        </w:rPr>
        <w:footnoteReference w:id="111"/>
      </w:r>
      <w:r w:rsidRPr="0048465B">
        <w:rPr>
          <w:lang w:val="en-GB"/>
        </w:rPr>
        <w:t xml:space="preserve"> </w:t>
      </w:r>
    </w:p>
    <w:p w14:paraId="7042BE36" w14:textId="77777777" w:rsidR="00BC341F" w:rsidRDefault="00BC341F" w:rsidP="00FC331F">
      <w:pPr>
        <w:rPr>
          <w:lang w:val="en-GB"/>
        </w:rPr>
      </w:pPr>
    </w:p>
    <w:p w14:paraId="4742D795" w14:textId="7C5F1F9E" w:rsidR="00FC331F" w:rsidRPr="0048465B" w:rsidRDefault="00FC331F" w:rsidP="00FC331F">
      <w:pPr>
        <w:rPr>
          <w:lang w:val="en-GB"/>
        </w:rPr>
      </w:pPr>
      <w:r w:rsidRPr="0048465B">
        <w:rPr>
          <w:lang w:val="en-GB"/>
        </w:rPr>
        <w:t>What is most peculiar about this contention – besides the alignment of inequality with utopia – is that it completely contradicts one of the tenets of the multidirectional model, that events and their memorial expressions should not be seen as exceptional or evoke a discourse of uniqueness. As quoted earlier in this chapter, Rothberg declares that ‘[t]he danger[] of the uniqueness discourse [is] that it potentially creates a hierarchy of suffering’.</w:t>
      </w:r>
      <w:r w:rsidRPr="0048465B">
        <w:rPr>
          <w:vertAlign w:val="superscript"/>
          <w:lang w:val="en-GB"/>
        </w:rPr>
        <w:footnoteReference w:id="112"/>
      </w:r>
      <w:r w:rsidRPr="0048465B">
        <w:rPr>
          <w:lang w:val="en-GB"/>
        </w:rPr>
        <w:t xml:space="preserve"> In ‘From Gaza to Warsaw’, Rothberg argues that to suggest that different events are not equal is ‘not a moral judgment but a historical one with ethical and political consequences’.</w:t>
      </w:r>
      <w:r w:rsidRPr="0048465B">
        <w:rPr>
          <w:vertAlign w:val="superscript"/>
          <w:lang w:val="en-GB"/>
        </w:rPr>
        <w:footnoteReference w:id="113"/>
      </w:r>
      <w:r w:rsidRPr="0048465B">
        <w:rPr>
          <w:lang w:val="en-GB"/>
        </w:rPr>
        <w:t xml:space="preserve"> Yet, regardless of the grounding of this assessment in history rather than morality, judgements on the value of a given event within either public discourse on history, or within history itself, nonetheless serve to establish a form of stratification. Even passive, or in Rothberg’s words, ‘historical’ judgements on equality can create power dynamic</w:t>
      </w:r>
      <w:r w:rsidR="00BF3A4A">
        <w:rPr>
          <w:lang w:val="en-GB"/>
        </w:rPr>
        <w:t>s</w:t>
      </w:r>
      <w:r w:rsidRPr="0048465B">
        <w:rPr>
          <w:lang w:val="en-GB"/>
        </w:rPr>
        <w:t xml:space="preserve">, a reality that is made evident nowhere more so than in the complicated conflict between Israel and Palestine, the conflict in relation to which the conceptual particularities of connective approaches to memory are most clearly realised. When examining different instances of suffering within a single space, the preservation and protection of traumatic specificity is paramount. Yet the very notion of traumatic specificity is tarnished, and loses much of its power and appeal, if it is </w:t>
      </w:r>
      <w:r w:rsidR="00BC341F">
        <w:rPr>
          <w:lang w:val="en-GB"/>
        </w:rPr>
        <w:t>tied to the</w:t>
      </w:r>
      <w:r w:rsidRPr="0048465B">
        <w:rPr>
          <w:lang w:val="en-GB"/>
        </w:rPr>
        <w:t xml:space="preserve"> acceptance of inequality.</w:t>
      </w:r>
    </w:p>
    <w:p w14:paraId="1CBF2810" w14:textId="77777777" w:rsidR="00EB441E" w:rsidRDefault="00EB441E" w:rsidP="00FC331F">
      <w:pPr>
        <w:jc w:val="center"/>
        <w:rPr>
          <w:lang w:val="en-GB"/>
        </w:rPr>
      </w:pPr>
    </w:p>
    <w:p w14:paraId="6621F526" w14:textId="485C6C9A" w:rsidR="00FC331F" w:rsidRPr="0048465B" w:rsidRDefault="00FC331F" w:rsidP="00FC331F">
      <w:pPr>
        <w:jc w:val="center"/>
        <w:rPr>
          <w:b/>
          <w:lang w:val="en-GB"/>
        </w:rPr>
      </w:pPr>
      <w:r w:rsidRPr="0048465B">
        <w:rPr>
          <w:b/>
          <w:lang w:val="en-GB"/>
        </w:rPr>
        <w:t>Connective Memory in the Israeli-Palestinian Conflict</w:t>
      </w:r>
    </w:p>
    <w:p w14:paraId="3FC6AD3D" w14:textId="77777777" w:rsidR="00FC331F" w:rsidRPr="0048465B" w:rsidRDefault="00FC331F" w:rsidP="00FC331F">
      <w:pPr>
        <w:rPr>
          <w:lang w:val="en-GB"/>
        </w:rPr>
      </w:pPr>
    </w:p>
    <w:p w14:paraId="43F0CF5B" w14:textId="45B1DFFA" w:rsidR="00FC331F" w:rsidRPr="0048465B" w:rsidRDefault="00FC331F" w:rsidP="00FC331F">
      <w:pPr>
        <w:rPr>
          <w:lang w:val="en-GB"/>
        </w:rPr>
      </w:pPr>
      <w:r w:rsidRPr="0048465B">
        <w:rPr>
          <w:lang w:val="en-GB"/>
        </w:rPr>
        <w:t xml:space="preserve">There are numerous reasons why the Israeli-Palestinian conflict highlights potential </w:t>
      </w:r>
      <w:r w:rsidR="000D12F2">
        <w:rPr>
          <w:lang w:val="en-GB"/>
        </w:rPr>
        <w:t>problems</w:t>
      </w:r>
      <w:r w:rsidRPr="0048465B">
        <w:rPr>
          <w:lang w:val="en-GB"/>
        </w:rPr>
        <w:t xml:space="preserve"> within connective approaches to memory. To once again apply the notion of Du </w:t>
      </w:r>
      <w:proofErr w:type="spellStart"/>
      <w:r w:rsidRPr="0048465B">
        <w:rPr>
          <w:lang w:val="en-GB"/>
        </w:rPr>
        <w:t>Bois’</w:t>
      </w:r>
      <w:proofErr w:type="spellEnd"/>
      <w:r w:rsidRPr="0048465B">
        <w:rPr>
          <w:lang w:val="en-GB"/>
        </w:rPr>
        <w:t xml:space="preserve"> colour line </w:t>
      </w:r>
      <w:r w:rsidRPr="0048465B">
        <w:rPr>
          <w:lang w:val="en-GB"/>
        </w:rPr>
        <w:lastRenderedPageBreak/>
        <w:t xml:space="preserve">and Umbrella Memory, we recall that for the colour line to have a global conceptual meaning, it must spread out from its central origin, with each isolated point on the umbrella representing a group that is becoming associatively stronger through its connection to this central pole. Theoretically, however, what would happen if one of these isolated groups on the umbrella were in direct conflict with </w:t>
      </w:r>
      <w:r w:rsidR="00F13356" w:rsidRPr="0048465B">
        <w:rPr>
          <w:lang w:val="en-GB"/>
        </w:rPr>
        <w:t>African American</w:t>
      </w:r>
      <w:r w:rsidRPr="0048465B">
        <w:rPr>
          <w:lang w:val="en-GB"/>
        </w:rPr>
        <w:t xml:space="preserve"> people? Even more pertinently, what if this conflict concerned two groups with opposing claims to geographical territory? Suddenly the idea of surrendering transcendent-victim status in order to open up the concept of the colour line to other groups becomes heavily imbued with the politics of power. If, for example, there existed a scenario wherein </w:t>
      </w:r>
      <w:r w:rsidR="00F13356" w:rsidRPr="0048465B">
        <w:rPr>
          <w:lang w:val="en-GB"/>
        </w:rPr>
        <w:t>African American</w:t>
      </w:r>
      <w:r w:rsidRPr="0048465B">
        <w:rPr>
          <w:lang w:val="en-GB"/>
        </w:rPr>
        <w:t xml:space="preserve"> people were being oppressed by Jewish people </w:t>
      </w:r>
      <w:r w:rsidR="0020102F">
        <w:rPr>
          <w:lang w:val="en-GB"/>
        </w:rPr>
        <w:t>in the years after the Holocaust</w:t>
      </w:r>
      <w:r w:rsidRPr="0048465B">
        <w:rPr>
          <w:lang w:val="en-GB"/>
        </w:rPr>
        <w:t xml:space="preserve">, then Du </w:t>
      </w:r>
      <w:proofErr w:type="spellStart"/>
      <w:r w:rsidRPr="0048465B">
        <w:rPr>
          <w:lang w:val="en-GB"/>
        </w:rPr>
        <w:t>Bois’</w:t>
      </w:r>
      <w:proofErr w:type="spellEnd"/>
      <w:r w:rsidRPr="0048465B">
        <w:rPr>
          <w:lang w:val="en-GB"/>
        </w:rPr>
        <w:t xml:space="preserve"> aforementioned statement that ‘nothing in [his] wildest imagination was equal to what [he] saw in Warsaw’ would not just be a concession of theoretical or conceptual </w:t>
      </w:r>
      <w:r w:rsidR="000D12F2">
        <w:rPr>
          <w:lang w:val="en-GB"/>
        </w:rPr>
        <w:t>transcendent</w:t>
      </w:r>
      <w:r w:rsidRPr="0048465B">
        <w:rPr>
          <w:lang w:val="en-GB"/>
        </w:rPr>
        <w:t xml:space="preserve"> victimhood, but a direct comment upon the validity of </w:t>
      </w:r>
      <w:r w:rsidR="00F13356" w:rsidRPr="0048465B">
        <w:rPr>
          <w:lang w:val="en-GB"/>
        </w:rPr>
        <w:t>African American</w:t>
      </w:r>
      <w:r w:rsidRPr="0048465B">
        <w:rPr>
          <w:lang w:val="en-GB"/>
        </w:rPr>
        <w:t xml:space="preserve"> claims to suffering relative to those of their hypothetical oppressors. Similarly, if </w:t>
      </w:r>
      <w:r w:rsidR="00F13356" w:rsidRPr="0048465B">
        <w:rPr>
          <w:lang w:val="en-GB"/>
        </w:rPr>
        <w:t>African American</w:t>
      </w:r>
      <w:r w:rsidRPr="0048465B">
        <w:rPr>
          <w:lang w:val="en-GB"/>
        </w:rPr>
        <w:t xml:space="preserve"> people had been oppressing Jewish people in the same era, then Jewish adoption of the </w:t>
      </w:r>
      <w:r w:rsidR="00353497">
        <w:rPr>
          <w:lang w:val="en-GB"/>
        </w:rPr>
        <w:t xml:space="preserve">concept of the </w:t>
      </w:r>
      <w:r w:rsidRPr="0048465B">
        <w:rPr>
          <w:lang w:val="en-GB"/>
        </w:rPr>
        <w:t xml:space="preserve">colour line as a means of understanding and explaining their own oppression would be compromised by the very fact that such explanations would depend upon a concept born of </w:t>
      </w:r>
      <w:r w:rsidR="00F13356" w:rsidRPr="0048465B">
        <w:rPr>
          <w:lang w:val="en-GB"/>
        </w:rPr>
        <w:t>African American</w:t>
      </w:r>
      <w:r w:rsidRPr="0048465B">
        <w:rPr>
          <w:lang w:val="en-GB"/>
        </w:rPr>
        <w:t xml:space="preserve"> suffering, thus affirming the historical victimhood of those who (hypothetically) oppress them.</w:t>
      </w:r>
    </w:p>
    <w:p w14:paraId="084FB9DE" w14:textId="77777777" w:rsidR="00FC331F" w:rsidRPr="0048465B" w:rsidRDefault="00FC331F" w:rsidP="00FC331F">
      <w:pPr>
        <w:rPr>
          <w:lang w:val="en-GB"/>
        </w:rPr>
      </w:pPr>
    </w:p>
    <w:p w14:paraId="759A2B06" w14:textId="1694E912" w:rsidR="00FC331F" w:rsidRPr="0048465B" w:rsidRDefault="00FC331F" w:rsidP="00FC331F">
      <w:pPr>
        <w:rPr>
          <w:lang w:val="en-GB"/>
        </w:rPr>
      </w:pPr>
      <w:r w:rsidRPr="0048465B">
        <w:rPr>
          <w:lang w:val="en-GB"/>
        </w:rPr>
        <w:t xml:space="preserve">This is the scenario within which Israel and Palestine find themselves situated. When attempting to connect historical </w:t>
      </w:r>
      <w:r w:rsidR="006D513D">
        <w:rPr>
          <w:lang w:val="en-GB"/>
        </w:rPr>
        <w:t>Jewish</w:t>
      </w:r>
      <w:r w:rsidRPr="0048465B">
        <w:rPr>
          <w:lang w:val="en-GB"/>
        </w:rPr>
        <w:t xml:space="preserve"> and contemporary Palestinian expressions of suffering, the distance that one might find between typical multidirectional connections is nowhere to be found, and the notion of the zero-sum memory space that Rothberg encourages ostensibly disconnected groups </w:t>
      </w:r>
      <w:r w:rsidRPr="0048465B">
        <w:rPr>
          <w:lang w:val="en-GB"/>
        </w:rPr>
        <w:lastRenderedPageBreak/>
        <w:t>to disregard becomes seemingly indispensable. In Israel and Palestine, the geographical resources genuinely are scarce and subject to intense competition, the proclamation of one group’s suffering is often perceived as an abrogation of similar claims made by the other group, and connections between Palestinian and Jewish suffering precipitate problematic questions faster than they are able to provide answers.</w:t>
      </w:r>
    </w:p>
    <w:p w14:paraId="367179EB" w14:textId="77777777" w:rsidR="00FC331F" w:rsidRPr="0048465B" w:rsidRDefault="00FC331F" w:rsidP="00FC331F">
      <w:pPr>
        <w:rPr>
          <w:lang w:val="en-GB"/>
        </w:rPr>
      </w:pPr>
    </w:p>
    <w:p w14:paraId="3A5F0636" w14:textId="15E5F4BE" w:rsidR="00FC331F" w:rsidRPr="0048465B" w:rsidRDefault="006D513D" w:rsidP="00FC331F">
      <w:pPr>
        <w:rPr>
          <w:lang w:val="en-GB"/>
        </w:rPr>
      </w:pPr>
      <w:r>
        <w:rPr>
          <w:lang w:val="en-GB"/>
        </w:rPr>
        <w:t xml:space="preserve">The complexity of applying a multidirectional methodology to historical Jewish and contemporary Palestinian experiences of suffering is found in the inescapable interconnectivity and linearity that lies between these very experiences. </w:t>
      </w:r>
      <w:r w:rsidR="00FC331F" w:rsidRPr="0048465B">
        <w:rPr>
          <w:lang w:val="en-GB"/>
        </w:rPr>
        <w:t xml:space="preserve">Whilst connective analyses of memory seek to find the common ground between seemingly disconnected accounts of suffering, in the case of Israel-Palestine the logical extension of multidirectional memory finds itself in a kind of paradox, wherein the connection of contemporary Palestinian suffering to historical Jewish suffering seems to </w:t>
      </w:r>
      <w:r w:rsidR="00CD54BE">
        <w:rPr>
          <w:lang w:val="en-GB"/>
        </w:rPr>
        <w:t xml:space="preserve">both </w:t>
      </w:r>
      <w:r w:rsidR="00FC331F" w:rsidRPr="0048465B">
        <w:rPr>
          <w:lang w:val="en-GB"/>
        </w:rPr>
        <w:t>validate and castigate the</w:t>
      </w:r>
      <w:r w:rsidR="00CD54BE">
        <w:rPr>
          <w:lang w:val="en-GB"/>
        </w:rPr>
        <w:t xml:space="preserve"> actions of the</w:t>
      </w:r>
      <w:r w:rsidR="00FC331F" w:rsidRPr="0048465B">
        <w:rPr>
          <w:lang w:val="en-GB"/>
        </w:rPr>
        <w:t xml:space="preserve"> Israel</w:t>
      </w:r>
      <w:r w:rsidR="00CD54BE">
        <w:rPr>
          <w:lang w:val="en-GB"/>
        </w:rPr>
        <w:t>i state</w:t>
      </w:r>
      <w:r w:rsidR="00FC331F" w:rsidRPr="0048465B">
        <w:rPr>
          <w:lang w:val="en-GB"/>
        </w:rPr>
        <w:t xml:space="preserve"> simultaneously. Simply speaking, if we analyse </w:t>
      </w:r>
      <w:r w:rsidR="008F554C">
        <w:rPr>
          <w:lang w:val="en-GB"/>
        </w:rPr>
        <w:t>the Israeli-Palestinian conflict</w:t>
      </w:r>
      <w:r w:rsidR="00FC331F" w:rsidRPr="0048465B">
        <w:rPr>
          <w:lang w:val="en-GB"/>
        </w:rPr>
        <w:t xml:space="preserve"> through the lens of the Holocaust, as multidirectional memory would suggest, we see two equally legitimate, and completely contradictory outcomes. The first of these looks at the Israeli-Palestinian conflict in relation to the oppression of Jewish people during the Holocaust, and perceives the need for Palestinian rebellion against the tyranny of the Israeli government. The second of these looks at the Israeli-Palestinian conflict in relation to the oppression of Jewish people during the Holocaust, and perceives the necessary defence of Israel’s borders as a consequence of historical and contemporary antisemitism and rebel warfare, and thus necessitates the</w:t>
      </w:r>
      <w:r w:rsidR="000A3BAD">
        <w:rPr>
          <w:lang w:val="en-GB"/>
        </w:rPr>
        <w:t xml:space="preserve"> </w:t>
      </w:r>
      <w:r w:rsidR="00FC331F" w:rsidRPr="0048465B">
        <w:rPr>
          <w:lang w:val="en-GB"/>
        </w:rPr>
        <w:t xml:space="preserve">regulation of potential Palestinian adversaries. </w:t>
      </w:r>
    </w:p>
    <w:p w14:paraId="6A7E1749" w14:textId="77777777" w:rsidR="00FC331F" w:rsidRPr="0048465B" w:rsidRDefault="00FC331F" w:rsidP="00FC331F">
      <w:pPr>
        <w:rPr>
          <w:lang w:val="en-GB"/>
        </w:rPr>
      </w:pPr>
    </w:p>
    <w:p w14:paraId="02504B47" w14:textId="1C1EE434" w:rsidR="00FC331F" w:rsidRPr="0048465B" w:rsidRDefault="00FC331F" w:rsidP="00FC331F">
      <w:pPr>
        <w:rPr>
          <w:lang w:val="en-GB"/>
        </w:rPr>
      </w:pPr>
      <w:r w:rsidRPr="0048465B">
        <w:rPr>
          <w:lang w:val="en-GB"/>
        </w:rPr>
        <w:lastRenderedPageBreak/>
        <w:t xml:space="preserve">Whilst neither outcome is wholly </w:t>
      </w:r>
      <w:r w:rsidR="0020102F">
        <w:rPr>
          <w:lang w:val="en-GB"/>
        </w:rPr>
        <w:t>satisfactory</w:t>
      </w:r>
      <w:r w:rsidRPr="0048465B">
        <w:rPr>
          <w:lang w:val="en-GB"/>
        </w:rPr>
        <w:t xml:space="preserve">, each has its own legitimacy. Yet the two outcomes not only differ from one another, but also propose completely antonymic actions. </w:t>
      </w:r>
      <w:r w:rsidR="00F13356" w:rsidRPr="0048465B">
        <w:rPr>
          <w:lang w:val="en-GB"/>
        </w:rPr>
        <w:t xml:space="preserve">To demonstrate the </w:t>
      </w:r>
      <w:r w:rsidR="0020102F">
        <w:rPr>
          <w:lang w:val="en-GB"/>
        </w:rPr>
        <w:t>incompatibility</w:t>
      </w:r>
      <w:r w:rsidR="00F13356" w:rsidRPr="0048465B">
        <w:rPr>
          <w:lang w:val="en-GB"/>
        </w:rPr>
        <w:t xml:space="preserve"> of multidirectional memory in this particular context, we can look at Rothberg’s claim that the ‘demand to disobey unjust laws [is both] one of the most significant imperatives of post-Holocaust consciousness’ and also representative of how ‘past and present maintain a hold on each other [that] can be translated into a political network with a practical program’.</w:t>
      </w:r>
      <w:r w:rsidR="00F13356" w:rsidRPr="0048465B">
        <w:rPr>
          <w:vertAlign w:val="superscript"/>
          <w:lang w:val="en-GB"/>
        </w:rPr>
        <w:footnoteReference w:id="114"/>
      </w:r>
      <w:r w:rsidR="00F13356" w:rsidRPr="0048465B">
        <w:rPr>
          <w:lang w:val="en-GB"/>
        </w:rPr>
        <w:t xml:space="preserve"> Yet understandings of both justice and practicality are hugely subjective. </w:t>
      </w:r>
      <w:r w:rsidRPr="0048465B">
        <w:rPr>
          <w:lang w:val="en-GB"/>
        </w:rPr>
        <w:t xml:space="preserve">For example, the Israeli government’s continuous construction of settlements in </w:t>
      </w:r>
      <w:r w:rsidR="00CD54BE">
        <w:rPr>
          <w:lang w:val="en-GB"/>
        </w:rPr>
        <w:t xml:space="preserve">the </w:t>
      </w:r>
      <w:r w:rsidR="008A3ECC">
        <w:rPr>
          <w:lang w:val="en-GB"/>
        </w:rPr>
        <w:t>O</w:t>
      </w:r>
      <w:r w:rsidRPr="0048465B">
        <w:rPr>
          <w:lang w:val="en-GB"/>
        </w:rPr>
        <w:t xml:space="preserve">ccupied </w:t>
      </w:r>
      <w:r w:rsidR="008A3ECC">
        <w:rPr>
          <w:lang w:val="en-GB"/>
        </w:rPr>
        <w:t>T</w:t>
      </w:r>
      <w:r w:rsidRPr="0048465B">
        <w:rPr>
          <w:lang w:val="en-GB"/>
        </w:rPr>
        <w:t xml:space="preserve">erritories is an Israeli rejection of what is perceived to be an unjust international </w:t>
      </w:r>
      <w:r w:rsidR="0020102F">
        <w:rPr>
          <w:lang w:val="en-GB"/>
        </w:rPr>
        <w:t>legal ruling</w:t>
      </w:r>
      <w:r w:rsidRPr="0048465B">
        <w:rPr>
          <w:lang w:val="en-GB"/>
        </w:rPr>
        <w:t xml:space="preserve"> </w:t>
      </w:r>
      <w:r w:rsidR="00CD54BE">
        <w:rPr>
          <w:lang w:val="en-GB"/>
        </w:rPr>
        <w:t>–</w:t>
      </w:r>
      <w:r w:rsidRPr="0048465B">
        <w:rPr>
          <w:lang w:val="en-GB"/>
        </w:rPr>
        <w:t xml:space="preserve"> that which forbids further settlement expansion and regards pre-exist</w:t>
      </w:r>
      <w:r w:rsidR="00CD54BE">
        <w:rPr>
          <w:lang w:val="en-GB"/>
        </w:rPr>
        <w:t>ing</w:t>
      </w:r>
      <w:r w:rsidRPr="0048465B">
        <w:rPr>
          <w:lang w:val="en-GB"/>
        </w:rPr>
        <w:t xml:space="preserve"> settlements as illegal </w:t>
      </w:r>
      <w:r w:rsidR="00CD54BE">
        <w:rPr>
          <w:lang w:val="en-GB"/>
        </w:rPr>
        <w:t>–</w:t>
      </w:r>
      <w:r w:rsidRPr="0048465B">
        <w:rPr>
          <w:lang w:val="en-GB"/>
        </w:rPr>
        <w:t xml:space="preserve"> ostensibly in the name of self-defence against what is perceived to be antisemitic violence from Palestinians</w:t>
      </w:r>
      <w:r w:rsidR="000A3BAD">
        <w:rPr>
          <w:lang w:val="en-GB"/>
        </w:rPr>
        <w:t xml:space="preserve"> and Arab enemies</w:t>
      </w:r>
      <w:r w:rsidRPr="0048465B">
        <w:rPr>
          <w:lang w:val="en-GB"/>
        </w:rPr>
        <w:t>. In a similar fashion, Palestinian attacks on Israeli settlers in</w:t>
      </w:r>
      <w:r w:rsidR="00CD54BE">
        <w:rPr>
          <w:lang w:val="en-GB"/>
        </w:rPr>
        <w:t xml:space="preserve"> the</w:t>
      </w:r>
      <w:r w:rsidRPr="0048465B">
        <w:rPr>
          <w:lang w:val="en-GB"/>
        </w:rPr>
        <w:t xml:space="preserve"> </w:t>
      </w:r>
      <w:r w:rsidR="008A3ECC">
        <w:rPr>
          <w:lang w:val="en-GB"/>
        </w:rPr>
        <w:t>O</w:t>
      </w:r>
      <w:r w:rsidRPr="0048465B">
        <w:rPr>
          <w:lang w:val="en-GB"/>
        </w:rPr>
        <w:t xml:space="preserve">ccupied </w:t>
      </w:r>
      <w:r w:rsidR="008A3ECC">
        <w:rPr>
          <w:lang w:val="en-GB"/>
        </w:rPr>
        <w:t>T</w:t>
      </w:r>
      <w:r w:rsidRPr="0048465B">
        <w:rPr>
          <w:lang w:val="en-GB"/>
        </w:rPr>
        <w:t>erritories in order to attempt to fight back against the continuing Israeli occupation of Palestinian lands are a clear rejection of the international law</w:t>
      </w:r>
      <w:r w:rsidR="000A3BAD">
        <w:rPr>
          <w:lang w:val="en-GB"/>
        </w:rPr>
        <w:t>s</w:t>
      </w:r>
      <w:r w:rsidRPr="0048465B">
        <w:rPr>
          <w:lang w:val="en-GB"/>
        </w:rPr>
        <w:t xml:space="preserve"> that defend Israeli settlers regardless of the illegality of their presence, just as </w:t>
      </w:r>
      <w:r w:rsidR="000A3BAD">
        <w:rPr>
          <w:lang w:val="en-GB"/>
        </w:rPr>
        <w:t>they protect</w:t>
      </w:r>
      <w:r w:rsidRPr="0048465B">
        <w:rPr>
          <w:lang w:val="en-GB"/>
        </w:rPr>
        <w:t xml:space="preserve"> any other human being. Both the existence of the settlements, and the attacks on the settlers are illegal and should be condemned, yet the subjective perception of the ‘demand to disobey unjust laws’ calls simultaneously for both the Israeli defence-motivated construction of the settlements, and the Palestinian dismantling of them. In each case the defiance of one group is perceived as justifying the defiance of the other. The memory of the Holocaust</w:t>
      </w:r>
      <w:r w:rsidR="0020102F">
        <w:rPr>
          <w:lang w:val="en-GB"/>
        </w:rPr>
        <w:t xml:space="preserve">, as well as the antisemitic persecution of both before and after the Holocaust, </w:t>
      </w:r>
      <w:r w:rsidRPr="0048465B">
        <w:rPr>
          <w:lang w:val="en-GB"/>
        </w:rPr>
        <w:t xml:space="preserve">calls for Israeli people to defend that which they perceive as their land, no matter the cost, just as it calls with the same </w:t>
      </w:r>
      <w:r w:rsidRPr="0048465B">
        <w:rPr>
          <w:lang w:val="en-GB"/>
        </w:rPr>
        <w:lastRenderedPageBreak/>
        <w:t>urgency for Palestinian people to reject and contest impositions upon both that which is legally recognised as their land, and upon their freedom.</w:t>
      </w:r>
    </w:p>
    <w:p w14:paraId="5D648AA7" w14:textId="77777777" w:rsidR="00FC331F" w:rsidRPr="0048465B" w:rsidRDefault="00FC331F" w:rsidP="00FC331F">
      <w:pPr>
        <w:rPr>
          <w:lang w:val="en-GB"/>
        </w:rPr>
      </w:pPr>
    </w:p>
    <w:p w14:paraId="75281AC8" w14:textId="6C069AED" w:rsidR="00FC331F" w:rsidRPr="0048465B" w:rsidRDefault="003C340A" w:rsidP="00FC331F">
      <w:pPr>
        <w:rPr>
          <w:lang w:val="en-GB"/>
        </w:rPr>
      </w:pPr>
      <w:r>
        <w:rPr>
          <w:lang w:val="en-GB"/>
        </w:rPr>
        <w:t>Yet whilst each of these claims is seemingly centred in post-Holocaust ethical reasoning, only one group has direct ties to the Holocaust, and whilst Rothberg argues tha</w:t>
      </w:r>
      <w:r w:rsidR="0020102F">
        <w:rPr>
          <w:lang w:val="en-GB"/>
        </w:rPr>
        <w:t>t</w:t>
      </w:r>
      <w:r>
        <w:rPr>
          <w:lang w:val="en-GB"/>
        </w:rPr>
        <w:t xml:space="preserve"> </w:t>
      </w:r>
      <w:r w:rsidR="00FC331F" w:rsidRPr="0048465B">
        <w:rPr>
          <w:lang w:val="en-GB"/>
        </w:rPr>
        <w:t>‘[m]</w:t>
      </w:r>
      <w:proofErr w:type="spellStart"/>
      <w:r w:rsidR="00FC331F" w:rsidRPr="0048465B">
        <w:rPr>
          <w:lang w:val="en-GB"/>
        </w:rPr>
        <w:t>emories</w:t>
      </w:r>
      <w:proofErr w:type="spellEnd"/>
      <w:r w:rsidR="00FC331F" w:rsidRPr="0048465B">
        <w:rPr>
          <w:lang w:val="en-GB"/>
        </w:rPr>
        <w:t xml:space="preserve"> are not owned by groups’,</w:t>
      </w:r>
      <w:r w:rsidR="00FC331F" w:rsidRPr="0048465B">
        <w:rPr>
          <w:vertAlign w:val="superscript"/>
          <w:lang w:val="en-GB"/>
        </w:rPr>
        <w:footnoteReference w:id="115"/>
      </w:r>
      <w:r w:rsidR="00FC331F" w:rsidRPr="0048465B">
        <w:rPr>
          <w:lang w:val="en-GB"/>
        </w:rPr>
        <w:t xml:space="preserve"> histories are certainly most strongly associated with groups, and the historical connection between </w:t>
      </w:r>
      <w:r>
        <w:rPr>
          <w:lang w:val="en-GB"/>
        </w:rPr>
        <w:t>the Holocaust, Jewish suffering, and Israel ensures that Jewish evocations of the Holocaust are simultaneously the least controversial, the most historically accurate, and the most emotionally compelling</w:t>
      </w:r>
      <w:r w:rsidR="00FC331F" w:rsidRPr="0048465B">
        <w:rPr>
          <w:lang w:val="en-GB"/>
        </w:rPr>
        <w:t xml:space="preserve">. Therefore, when the Holocaust is made central to conversations about suffering, those groups that do not have a direct connection to the Holocaust are, to an extent, made peripheral. </w:t>
      </w:r>
      <w:r w:rsidR="00661156">
        <w:rPr>
          <w:lang w:val="en-GB"/>
        </w:rPr>
        <w:t>The peripherality of other sites of suffering within connective approaches to memory is made increasingly evident in Rothberg’s</w:t>
      </w:r>
      <w:r w:rsidR="00FC331F" w:rsidRPr="0048465B">
        <w:rPr>
          <w:lang w:val="en-GB"/>
        </w:rPr>
        <w:t xml:space="preserve"> observ</w:t>
      </w:r>
      <w:r w:rsidR="00661156">
        <w:rPr>
          <w:lang w:val="en-GB"/>
        </w:rPr>
        <w:t>ation</w:t>
      </w:r>
      <w:r w:rsidR="00FC331F" w:rsidRPr="0048465B">
        <w:rPr>
          <w:lang w:val="en-GB"/>
        </w:rPr>
        <w:t xml:space="preserve"> </w:t>
      </w:r>
      <w:r w:rsidR="00661156">
        <w:rPr>
          <w:lang w:val="en-GB"/>
        </w:rPr>
        <w:t xml:space="preserve">of </w:t>
      </w:r>
      <w:r w:rsidR="00FC331F" w:rsidRPr="0048465B">
        <w:rPr>
          <w:lang w:val="en-GB"/>
        </w:rPr>
        <w:t>the complexity of bearing witness to the Holocaust,</w:t>
      </w:r>
      <w:r w:rsidR="00661156">
        <w:rPr>
          <w:lang w:val="en-GB"/>
        </w:rPr>
        <w:t xml:space="preserve"> where he quotes</w:t>
      </w:r>
      <w:r w:rsidR="00FC331F" w:rsidRPr="0048465B">
        <w:rPr>
          <w:lang w:val="en-GB"/>
        </w:rPr>
        <w:t xml:space="preserve"> Shoshana Felman and Dori Laub</w:t>
      </w:r>
      <w:r w:rsidR="00661156">
        <w:rPr>
          <w:lang w:val="en-GB"/>
        </w:rPr>
        <w:t>’s</w:t>
      </w:r>
      <w:r w:rsidR="00FC331F" w:rsidRPr="0048465B">
        <w:rPr>
          <w:lang w:val="en-GB"/>
        </w:rPr>
        <w:t xml:space="preserve"> writ</w:t>
      </w:r>
      <w:r w:rsidR="00661156">
        <w:rPr>
          <w:lang w:val="en-GB"/>
        </w:rPr>
        <w:t>ing</w:t>
      </w:r>
      <w:r w:rsidR="00FC331F" w:rsidRPr="0048465B">
        <w:rPr>
          <w:lang w:val="en-GB"/>
        </w:rPr>
        <w:t xml:space="preserve"> </w:t>
      </w:r>
      <w:r w:rsidR="00661156">
        <w:rPr>
          <w:lang w:val="en-GB"/>
        </w:rPr>
        <w:t>on</w:t>
      </w:r>
      <w:r w:rsidR="00FC331F" w:rsidRPr="0048465B">
        <w:rPr>
          <w:lang w:val="en-GB"/>
        </w:rPr>
        <w:t xml:space="preserve"> the ‘“collapse of witnessing”’, of the fact that the Nazis not only attempted to ‘“exterminate the physical witnesses of their crime”’, but that the ‘“inherently incomprehensible and deceptive psychological structure of the event precluded its own witnessing, even by its own victims”’. Yet whilst Felman and Laub’s analysis is directly focused on the experience of the concentration camps and the Holocaust itself, Rothberg extrapolates the message and asserts that Felman and Laub’s notes on the ‘“collapse of witnessing”’ is ‘the essence of the experience of the Holocaust, and by extension trauma more generally’.</w:t>
      </w:r>
      <w:r w:rsidR="00FC331F" w:rsidRPr="0048465B">
        <w:rPr>
          <w:vertAlign w:val="superscript"/>
          <w:lang w:val="en-GB"/>
        </w:rPr>
        <w:footnoteReference w:id="116"/>
      </w:r>
      <w:r w:rsidR="00FC331F" w:rsidRPr="0048465B">
        <w:rPr>
          <w:lang w:val="en-GB"/>
        </w:rPr>
        <w:t xml:space="preserve"> Through identifying the Holocaust as a kind of shorthand for trauma, Rothberg positions the Holocaust as the centrum from which understandings of trauma and oppression are derived, an understanding that is emphasised through his appeal specifically </w:t>
      </w:r>
      <w:r w:rsidR="00FC331F" w:rsidRPr="0048465B">
        <w:rPr>
          <w:lang w:val="en-GB"/>
        </w:rPr>
        <w:lastRenderedPageBreak/>
        <w:t>for ‘a theory of multidirectional memory that focuses on exemplary sites of tension involving the remembrance of the Nazi genocide of European Jews’.</w:t>
      </w:r>
      <w:r w:rsidR="00FC331F" w:rsidRPr="0048465B">
        <w:rPr>
          <w:vertAlign w:val="superscript"/>
          <w:lang w:val="en-GB"/>
        </w:rPr>
        <w:footnoteReference w:id="117"/>
      </w:r>
      <w:r w:rsidR="00FC331F" w:rsidRPr="0048465B">
        <w:rPr>
          <w:lang w:val="en-GB"/>
        </w:rPr>
        <w:t xml:space="preserve"> Even as he praises </w:t>
      </w:r>
      <w:r w:rsidR="00661156">
        <w:rPr>
          <w:lang w:val="en-GB"/>
        </w:rPr>
        <w:t xml:space="preserve">Hannah </w:t>
      </w:r>
      <w:r w:rsidR="00FC331F" w:rsidRPr="0048465B">
        <w:rPr>
          <w:lang w:val="en-GB"/>
        </w:rPr>
        <w:t xml:space="preserve">Arendt for placing ‘events in Africa at the </w:t>
      </w:r>
      <w:proofErr w:type="spellStart"/>
      <w:r w:rsidR="00FC331F" w:rsidRPr="0048465B">
        <w:rPr>
          <w:lang w:val="en-GB"/>
        </w:rPr>
        <w:t>center</w:t>
      </w:r>
      <w:proofErr w:type="spellEnd"/>
      <w:r w:rsidR="00FC331F" w:rsidRPr="0048465B">
        <w:rPr>
          <w:lang w:val="en-GB"/>
        </w:rPr>
        <w:t xml:space="preserve"> of the making of modern politics’</w:t>
      </w:r>
      <w:r w:rsidR="0075207B">
        <w:rPr>
          <w:lang w:val="en-GB"/>
        </w:rPr>
        <w:t>,</w:t>
      </w:r>
      <w:r w:rsidR="00FC331F" w:rsidRPr="0048465B">
        <w:rPr>
          <w:lang w:val="en-GB"/>
        </w:rPr>
        <w:t xml:space="preserve"> thus ‘avoid[</w:t>
      </w:r>
      <w:proofErr w:type="spellStart"/>
      <w:r w:rsidR="00FC331F" w:rsidRPr="0048465B">
        <w:rPr>
          <w:lang w:val="en-GB"/>
        </w:rPr>
        <w:t>ing</w:t>
      </w:r>
      <w:proofErr w:type="spellEnd"/>
      <w:r w:rsidR="00FC331F" w:rsidRPr="0048465B">
        <w:rPr>
          <w:lang w:val="en-GB"/>
        </w:rPr>
        <w:t>] the danger of leaving the peripheral world “untouched”’,</w:t>
      </w:r>
      <w:r w:rsidR="00FC331F" w:rsidRPr="0048465B">
        <w:rPr>
          <w:vertAlign w:val="superscript"/>
          <w:lang w:val="en-GB"/>
        </w:rPr>
        <w:footnoteReference w:id="118"/>
      </w:r>
      <w:r w:rsidR="00FC331F" w:rsidRPr="0048465B">
        <w:rPr>
          <w:lang w:val="en-GB"/>
        </w:rPr>
        <w:t xml:space="preserve"> Rothberg’s own centralisation of the Holocaust in his analysis of traumatic memorialisation creates a vast periphery, wherein the majority of contemporary and historical suffering must thereafter reside.</w:t>
      </w:r>
    </w:p>
    <w:p w14:paraId="1E987401" w14:textId="77777777" w:rsidR="00FC331F" w:rsidRPr="0048465B" w:rsidRDefault="00FC331F" w:rsidP="00FC331F">
      <w:pPr>
        <w:rPr>
          <w:lang w:val="en-GB"/>
        </w:rPr>
      </w:pPr>
    </w:p>
    <w:p w14:paraId="59A6FBE4" w14:textId="47A5BB86" w:rsidR="00FC331F" w:rsidRPr="0048465B" w:rsidRDefault="00FC331F" w:rsidP="00FC331F">
      <w:pPr>
        <w:rPr>
          <w:lang w:val="en-GB"/>
        </w:rPr>
      </w:pPr>
      <w:r w:rsidRPr="0048465B">
        <w:rPr>
          <w:lang w:val="en-GB"/>
        </w:rPr>
        <w:t xml:space="preserve">This centralisation of the Holocaust within multidirectional memory is certainly most alienating with regard to Palestine. </w:t>
      </w:r>
      <w:r w:rsidR="00661156">
        <w:rPr>
          <w:lang w:val="en-GB"/>
        </w:rPr>
        <w:t xml:space="preserve">Early </w:t>
      </w:r>
      <w:r w:rsidR="00F13356" w:rsidRPr="0048465B">
        <w:rPr>
          <w:lang w:val="en-GB"/>
        </w:rPr>
        <w:t>in his monograph</w:t>
      </w:r>
      <w:r w:rsidR="00661156">
        <w:rPr>
          <w:lang w:val="en-GB"/>
        </w:rPr>
        <w:t>, Rothberg</w:t>
      </w:r>
      <w:r w:rsidR="00F13356" w:rsidRPr="0048465B">
        <w:rPr>
          <w:lang w:val="en-GB"/>
        </w:rPr>
        <w:t xml:space="preserve"> warns that ‘despite the ugliness of many of the invocations of the Holocaust in</w:t>
      </w:r>
      <w:r w:rsidR="000C3FB4">
        <w:rPr>
          <w:lang w:val="en-GB"/>
        </w:rPr>
        <w:t xml:space="preserve"> […] </w:t>
      </w:r>
      <w:r w:rsidR="00F13356" w:rsidRPr="0048465B">
        <w:rPr>
          <w:lang w:val="en-GB"/>
        </w:rPr>
        <w:t>contemporary Middle Eastern politics’, we should not be tempted to ‘declare a moratorium on such references’, that they are simply one element of the ‘struggle for justice’.</w:t>
      </w:r>
      <w:r w:rsidR="00F13356" w:rsidRPr="0048465B">
        <w:rPr>
          <w:vertAlign w:val="superscript"/>
          <w:lang w:val="en-GB"/>
        </w:rPr>
        <w:footnoteReference w:id="119"/>
      </w:r>
      <w:r w:rsidR="00F13356" w:rsidRPr="0048465B">
        <w:rPr>
          <w:lang w:val="en-GB"/>
        </w:rPr>
        <w:t xml:space="preserve"> Yet whilst Rothberg decries the reluctance to engage with issues regarding representations of the Holocaust in the Middle East, he also fails to engage with these issues himself. </w:t>
      </w:r>
      <w:r w:rsidRPr="0048465B">
        <w:rPr>
          <w:lang w:val="en-GB"/>
        </w:rPr>
        <w:t xml:space="preserve">Despite the fact that the </w:t>
      </w:r>
      <w:r w:rsidRPr="0048465B">
        <w:rPr>
          <w:i/>
          <w:lang w:val="en-GB"/>
        </w:rPr>
        <w:t>Age of Decoloni</w:t>
      </w:r>
      <w:r w:rsidR="001142F0">
        <w:rPr>
          <w:i/>
          <w:lang w:val="en-GB"/>
        </w:rPr>
        <w:t>z</w:t>
      </w:r>
      <w:r w:rsidRPr="0048465B">
        <w:rPr>
          <w:i/>
          <w:lang w:val="en-GB"/>
        </w:rPr>
        <w:t>ation</w:t>
      </w:r>
      <w:r w:rsidRPr="0048465B">
        <w:rPr>
          <w:lang w:val="en-GB"/>
        </w:rPr>
        <w:t xml:space="preserve"> that Rothberg refers to in the subtitle of his monograph includes the British withdrawal from Palestine, the work largely overlooks </w:t>
      </w:r>
      <w:r w:rsidR="00661156">
        <w:rPr>
          <w:lang w:val="en-GB"/>
        </w:rPr>
        <w:t xml:space="preserve">both </w:t>
      </w:r>
      <w:r w:rsidR="009641D5">
        <w:rPr>
          <w:lang w:val="en-GB"/>
        </w:rPr>
        <w:t>Britain’s colonial mandate over Palestine</w:t>
      </w:r>
      <w:r w:rsidR="00661156">
        <w:rPr>
          <w:lang w:val="en-GB"/>
        </w:rPr>
        <w:t xml:space="preserve"> </w:t>
      </w:r>
      <w:r w:rsidR="009641D5">
        <w:rPr>
          <w:lang w:val="en-GB"/>
        </w:rPr>
        <w:t xml:space="preserve">as well as </w:t>
      </w:r>
      <w:r w:rsidRPr="0048465B">
        <w:rPr>
          <w:lang w:val="en-GB"/>
        </w:rPr>
        <w:t>the on-going colonial activities that Israel ha</w:t>
      </w:r>
      <w:r w:rsidR="00ED237F">
        <w:rPr>
          <w:lang w:val="en-GB"/>
        </w:rPr>
        <w:t>s</w:t>
      </w:r>
      <w:r w:rsidRPr="0048465B">
        <w:rPr>
          <w:lang w:val="en-GB"/>
        </w:rPr>
        <w:t xml:space="preserve"> enacted since, the illegal occupation of Palestinian territories, the withholding of civil rights to Palestinians under its dominion, the restriction of the movement of goods and people in and out of Palestinian territories. The Israeli-Palestinian conflict is no</w:t>
      </w:r>
      <w:r w:rsidR="00BB6280">
        <w:rPr>
          <w:lang w:val="en-GB"/>
        </w:rPr>
        <w:t>t</w:t>
      </w:r>
      <w:r w:rsidRPr="0048465B">
        <w:rPr>
          <w:lang w:val="en-GB"/>
        </w:rPr>
        <w:t xml:space="preserve"> completely ignored within </w:t>
      </w:r>
      <w:r w:rsidR="00BB6280">
        <w:rPr>
          <w:i/>
          <w:iCs/>
          <w:lang w:val="en-GB"/>
        </w:rPr>
        <w:t>Multidirectional Memory</w:t>
      </w:r>
      <w:r w:rsidRPr="0048465B">
        <w:rPr>
          <w:lang w:val="en-GB"/>
        </w:rPr>
        <w:t xml:space="preserve">, but whilst </w:t>
      </w:r>
      <w:r w:rsidR="00BB6280">
        <w:rPr>
          <w:lang w:val="en-GB"/>
        </w:rPr>
        <w:t>Rothberg</w:t>
      </w:r>
      <w:r w:rsidRPr="0048465B">
        <w:rPr>
          <w:lang w:val="en-GB"/>
        </w:rPr>
        <w:t xml:space="preserve"> </w:t>
      </w:r>
      <w:r w:rsidR="00BB6280">
        <w:rPr>
          <w:lang w:val="en-GB"/>
        </w:rPr>
        <w:t>notes</w:t>
      </w:r>
      <w:r w:rsidRPr="0048465B">
        <w:rPr>
          <w:lang w:val="en-GB"/>
        </w:rPr>
        <w:t xml:space="preserve"> the</w:t>
      </w:r>
      <w:r w:rsidR="00BB6280">
        <w:rPr>
          <w:lang w:val="en-GB"/>
        </w:rPr>
        <w:t xml:space="preserve"> potential application of connective memory to the Israeli-Palestinian</w:t>
      </w:r>
      <w:r w:rsidRPr="0048465B">
        <w:rPr>
          <w:lang w:val="en-GB"/>
        </w:rPr>
        <w:t xml:space="preserve"> conflict in the </w:t>
      </w:r>
      <w:r w:rsidR="00BB6280">
        <w:rPr>
          <w:lang w:val="en-GB"/>
        </w:rPr>
        <w:t>introduction</w:t>
      </w:r>
      <w:r w:rsidRPr="0048465B">
        <w:rPr>
          <w:lang w:val="en-GB"/>
        </w:rPr>
        <w:t xml:space="preserve">, </w:t>
      </w:r>
      <w:r w:rsidR="00BB6280">
        <w:rPr>
          <w:lang w:val="en-GB"/>
        </w:rPr>
        <w:t xml:space="preserve">and </w:t>
      </w:r>
      <w:r w:rsidR="00741EAB">
        <w:rPr>
          <w:lang w:val="en-GB"/>
        </w:rPr>
        <w:t>attends to</w:t>
      </w:r>
      <w:r w:rsidR="00BB6280">
        <w:rPr>
          <w:lang w:val="en-GB"/>
        </w:rPr>
        <w:t xml:space="preserve"> it fleetingly in the </w:t>
      </w:r>
      <w:r w:rsidR="00BB6280">
        <w:rPr>
          <w:lang w:val="en-GB"/>
        </w:rPr>
        <w:lastRenderedPageBreak/>
        <w:t xml:space="preserve">final pages of the epilogue, variants </w:t>
      </w:r>
      <w:r w:rsidR="00741EAB">
        <w:rPr>
          <w:lang w:val="en-GB"/>
        </w:rPr>
        <w:t>of</w:t>
      </w:r>
      <w:r w:rsidR="00BB6280">
        <w:rPr>
          <w:lang w:val="en-GB"/>
        </w:rPr>
        <w:t xml:space="preserve"> the word ‘Palestine’ occur just six times throughout the rest of the monograph, four of which </w:t>
      </w:r>
      <w:r w:rsidR="009641D5">
        <w:rPr>
          <w:lang w:val="en-GB"/>
        </w:rPr>
        <w:t>are</w:t>
      </w:r>
      <w:r w:rsidR="00BB6280">
        <w:rPr>
          <w:lang w:val="en-GB"/>
        </w:rPr>
        <w:t xml:space="preserve"> in a geographical context, and all of which are in passing.</w:t>
      </w:r>
    </w:p>
    <w:p w14:paraId="761A3623" w14:textId="77777777" w:rsidR="00FC331F" w:rsidRPr="0048465B" w:rsidRDefault="00FC331F" w:rsidP="00FC331F">
      <w:pPr>
        <w:rPr>
          <w:lang w:val="en-GB"/>
        </w:rPr>
      </w:pPr>
    </w:p>
    <w:p w14:paraId="771E117B" w14:textId="78EADC62" w:rsidR="00FF361E" w:rsidRDefault="00650800" w:rsidP="00FC331F">
      <w:pPr>
        <w:rPr>
          <w:lang w:val="en-GB"/>
        </w:rPr>
      </w:pPr>
      <w:r>
        <w:rPr>
          <w:lang w:val="en-GB"/>
        </w:rPr>
        <w:t>One of the more</w:t>
      </w:r>
      <w:r w:rsidR="00FC331F" w:rsidRPr="0048465B">
        <w:rPr>
          <w:lang w:val="en-GB"/>
        </w:rPr>
        <w:t xml:space="preserve"> obvious reason</w:t>
      </w:r>
      <w:r>
        <w:rPr>
          <w:lang w:val="en-GB"/>
        </w:rPr>
        <w:t>s</w:t>
      </w:r>
      <w:r w:rsidR="00FC331F" w:rsidRPr="0048465B">
        <w:rPr>
          <w:lang w:val="en-GB"/>
        </w:rPr>
        <w:t xml:space="preserve"> for this is </w:t>
      </w:r>
      <w:r w:rsidR="00741EAB">
        <w:rPr>
          <w:lang w:val="en-GB"/>
        </w:rPr>
        <w:t>precisely</w:t>
      </w:r>
      <w:r w:rsidR="00FC331F" w:rsidRPr="0048465B">
        <w:rPr>
          <w:lang w:val="en-GB"/>
        </w:rPr>
        <w:t xml:space="preserve"> because of those ‘ugly’ invocations of the Holocaust that we see in the context of contemporary Middle Eastern politics. In recent years we have witnessed, amongst other examples, Turkish President Recep Erdoğan’s claim that the ‘[t]he spirit of Hitler</w:t>
      </w:r>
      <w:r w:rsidR="000C3FB4">
        <w:rPr>
          <w:lang w:val="en-GB"/>
        </w:rPr>
        <w:t xml:space="preserve"> […] </w:t>
      </w:r>
      <w:r w:rsidR="00FC331F" w:rsidRPr="0048465B">
        <w:rPr>
          <w:lang w:val="en-GB"/>
        </w:rPr>
        <w:t>has found its resurgence among some of Israel’s leaders’,</w:t>
      </w:r>
      <w:r w:rsidR="00FC331F" w:rsidRPr="0048465B">
        <w:rPr>
          <w:vertAlign w:val="superscript"/>
          <w:lang w:val="en-GB"/>
        </w:rPr>
        <w:footnoteReference w:id="120"/>
      </w:r>
      <w:r w:rsidR="00FC331F" w:rsidRPr="0048465B">
        <w:rPr>
          <w:lang w:val="en-GB"/>
        </w:rPr>
        <w:t xml:space="preserve"> and Palestinian President Mahmoud Abbas’ antisemitic suggestion that it was the social function and financial activities of the Jews that caused the Holocaust.</w:t>
      </w:r>
      <w:r w:rsidR="00FC331F" w:rsidRPr="0048465B">
        <w:rPr>
          <w:vertAlign w:val="superscript"/>
          <w:lang w:val="en-GB"/>
        </w:rPr>
        <w:footnoteReference w:id="121"/>
      </w:r>
      <w:r w:rsidR="00FC331F" w:rsidRPr="0048465B">
        <w:rPr>
          <w:lang w:val="en-GB"/>
        </w:rPr>
        <w:t xml:space="preserve"> Erdoğan’s statement here invests in perhaps one of the most over-determined and controversial kinds of multidirectional connection, that of comparing Israeli leadership, actions, or policy with the leadership, actions, and policy of the Nazis, and, by extension, transforming Palestinians into the ‘“new Jews”’.</w:t>
      </w:r>
      <w:r w:rsidR="00FC331F" w:rsidRPr="0048465B">
        <w:rPr>
          <w:vertAlign w:val="superscript"/>
          <w:lang w:val="en-GB"/>
        </w:rPr>
        <w:footnoteReference w:id="122"/>
      </w:r>
      <w:r w:rsidR="00FC331F" w:rsidRPr="0048465B">
        <w:rPr>
          <w:lang w:val="en-GB"/>
        </w:rPr>
        <w:t xml:space="preserve"> Mahmoud Abbas’ statement is a clear example of victim-blaming that one imagines was an attempt to delegitimise Israel’s victim status, based in the devaluation of historical Jewish persecution and thus of</w:t>
      </w:r>
      <w:r w:rsidR="0075207B">
        <w:rPr>
          <w:lang w:val="en-GB"/>
        </w:rPr>
        <w:t xml:space="preserve"> Israel’s claims to defensive</w:t>
      </w:r>
      <w:r w:rsidR="00FC331F" w:rsidRPr="0048465B">
        <w:rPr>
          <w:lang w:val="en-GB"/>
        </w:rPr>
        <w:t xml:space="preserve"> occupation</w:t>
      </w:r>
      <w:r w:rsidR="00D332D5">
        <w:rPr>
          <w:lang w:val="en-GB"/>
        </w:rPr>
        <w:t>,</w:t>
      </w:r>
      <w:r w:rsidR="00FC331F" w:rsidRPr="0048465B">
        <w:rPr>
          <w:lang w:val="en-GB"/>
        </w:rPr>
        <w:t xml:space="preserve"> an occupation that can quite readily be challenged without recourse to antisemitism. Abbas quickly apologised for this factually inaccurate statement, but the fact that, seventy-</w:t>
      </w:r>
      <w:r w:rsidR="00D332D5">
        <w:rPr>
          <w:lang w:val="en-GB"/>
        </w:rPr>
        <w:t>six</w:t>
      </w:r>
      <w:r w:rsidR="00FC331F" w:rsidRPr="0048465B">
        <w:rPr>
          <w:lang w:val="en-GB"/>
        </w:rPr>
        <w:t xml:space="preserve"> years after the end of the Second World War, the origin, meaning, and messages of the Holocaust and its architects are still being deployed in such provocative and incendiary terms, demonstrates – in addition to the continuing existence of antisemitism – the recognised centrality of the Holocaust within Middle Eastern politics. </w:t>
      </w:r>
    </w:p>
    <w:p w14:paraId="040B53C6" w14:textId="77777777" w:rsidR="00FF361E" w:rsidRDefault="00FF361E" w:rsidP="00FC331F">
      <w:pPr>
        <w:rPr>
          <w:lang w:val="en-GB"/>
        </w:rPr>
      </w:pPr>
    </w:p>
    <w:p w14:paraId="669BD486" w14:textId="099C78DD" w:rsidR="00FC331F" w:rsidRPr="0048465B" w:rsidRDefault="00FC331F" w:rsidP="00FC331F">
      <w:pPr>
        <w:rPr>
          <w:lang w:val="en-GB"/>
        </w:rPr>
      </w:pPr>
      <w:r w:rsidRPr="0048465B">
        <w:rPr>
          <w:lang w:val="en-GB"/>
        </w:rPr>
        <w:t>As the Palestinian-American academic Edward W. Said affirmed regarding the scope of Jewish suffering, one should ‘attach no conditions to</w:t>
      </w:r>
      <w:r w:rsidR="000C3FB4">
        <w:rPr>
          <w:lang w:val="en-GB"/>
        </w:rPr>
        <w:t xml:space="preserve"> […] </w:t>
      </w:r>
      <w:r w:rsidRPr="0048465B">
        <w:rPr>
          <w:lang w:val="en-GB"/>
        </w:rPr>
        <w:t>comprehension and compassion’</w:t>
      </w:r>
      <w:r w:rsidR="00D332D5">
        <w:rPr>
          <w:lang w:val="en-GB"/>
        </w:rPr>
        <w:t xml:space="preserve"> when acknowledging Jewish suffering during the Holocaust</w:t>
      </w:r>
      <w:r w:rsidRPr="0048465B">
        <w:rPr>
          <w:lang w:val="en-GB"/>
        </w:rPr>
        <w:t>.</w:t>
      </w:r>
      <w:r w:rsidRPr="0048465B">
        <w:rPr>
          <w:vertAlign w:val="superscript"/>
          <w:lang w:val="en-GB"/>
        </w:rPr>
        <w:footnoteReference w:id="123"/>
      </w:r>
      <w:r w:rsidRPr="0048465B">
        <w:rPr>
          <w:lang w:val="en-GB"/>
        </w:rPr>
        <w:t xml:space="preserve"> Comments such as Erdo</w:t>
      </w:r>
      <w:r w:rsidR="00624793" w:rsidRPr="0048465B">
        <w:rPr>
          <w:lang w:val="en-GB"/>
        </w:rPr>
        <w:t>ğ</w:t>
      </w:r>
      <w:r w:rsidRPr="0048465B">
        <w:rPr>
          <w:lang w:val="en-GB"/>
        </w:rPr>
        <w:t>an and Abbas’ not only uphold simplistic and erroneous comparative frameworks wherein representations of the Holocaust either legitimise or delegitimise the Jewish claim to Israel, but also fail to observe the specificity of the crimes that Israel continues to commit today, thus</w:t>
      </w:r>
      <w:r w:rsidR="00D332D5">
        <w:rPr>
          <w:lang w:val="en-GB"/>
        </w:rPr>
        <w:t xml:space="preserve"> strengthening the injurious association between even specific and legitimate criticism of Israel and </w:t>
      </w:r>
      <w:r w:rsidRPr="0048465B">
        <w:rPr>
          <w:lang w:val="en-GB"/>
        </w:rPr>
        <w:t>antisemitism.</w:t>
      </w:r>
    </w:p>
    <w:p w14:paraId="0335039B" w14:textId="77777777" w:rsidR="00FC331F" w:rsidRPr="0048465B" w:rsidRDefault="00FC331F" w:rsidP="00FC331F">
      <w:pPr>
        <w:rPr>
          <w:lang w:val="en-GB"/>
        </w:rPr>
      </w:pPr>
    </w:p>
    <w:p w14:paraId="12191D6D" w14:textId="52D559CD" w:rsidR="00E43D98" w:rsidRDefault="00FC331F" w:rsidP="00FC331F">
      <w:pPr>
        <w:rPr>
          <w:lang w:val="en-GB"/>
        </w:rPr>
      </w:pPr>
      <w:r w:rsidRPr="0048465B">
        <w:rPr>
          <w:lang w:val="en-GB"/>
        </w:rPr>
        <w:t>Such an understanding of the risk of connections between historical events demonstrates Rothberg’s awareness of the potential dangers of connections between the Holocaust and Palestine. Rothberg</w:t>
      </w:r>
      <w:r w:rsidR="00D332D5">
        <w:rPr>
          <w:lang w:val="en-GB"/>
        </w:rPr>
        <w:t xml:space="preserve"> </w:t>
      </w:r>
      <w:r w:rsidRPr="0048465B">
        <w:rPr>
          <w:lang w:val="en-GB"/>
        </w:rPr>
        <w:t>assert</w:t>
      </w:r>
      <w:r w:rsidR="00D332D5">
        <w:rPr>
          <w:lang w:val="en-GB"/>
        </w:rPr>
        <w:t>s</w:t>
      </w:r>
      <w:r w:rsidRPr="0048465B">
        <w:rPr>
          <w:lang w:val="en-GB"/>
        </w:rPr>
        <w:t xml:space="preserve"> that multidirectional memory encourages groups to ‘not simply articulate established positions[,] but actually come into being through their dialogical interactions with others’</w:t>
      </w:r>
      <w:r w:rsidR="00D332D5">
        <w:rPr>
          <w:lang w:val="en-GB"/>
        </w:rPr>
        <w:t>, yet whilst such interactions may function positively for those who occupy positions on nonlinear timelines, the same cannot be said for Israel and Palestine.</w:t>
      </w:r>
      <w:r w:rsidRPr="0048465B">
        <w:rPr>
          <w:vertAlign w:val="superscript"/>
          <w:lang w:val="en-GB"/>
        </w:rPr>
        <w:footnoteReference w:id="124"/>
      </w:r>
      <w:r w:rsidR="00D332D5">
        <w:rPr>
          <w:lang w:val="en-GB"/>
        </w:rPr>
        <w:t xml:space="preserve"> </w:t>
      </w:r>
      <w:r w:rsidRPr="0048465B">
        <w:rPr>
          <w:lang w:val="en-GB"/>
        </w:rPr>
        <w:t xml:space="preserve">If we understand Palestinian oppression as coming into existence through dialogical interactions with the memory of the Holocaust, then we emphasise the historical connection between the Holocaust, the creation of Israel, and the consequent oppression of Palestinians, and risk transforming Palestinian suffering into a minor event subsumed within Jewish history that can only be truly examined through this very relation. Through viewing Palestinian suffering as that which ‘come[s] into being’ through its interaction with the Holocaust, Jewish suffering is prioritised chronologically, </w:t>
      </w:r>
      <w:r w:rsidRPr="0048465B">
        <w:rPr>
          <w:lang w:val="en-GB"/>
        </w:rPr>
        <w:lastRenderedPageBreak/>
        <w:t xml:space="preserve">and all considerations of Palestinian suffering thereafter are contingent upon prior examinations of the pain of Jewish people. </w:t>
      </w:r>
    </w:p>
    <w:p w14:paraId="2A76CD85" w14:textId="77777777" w:rsidR="00E43D98" w:rsidRDefault="00E43D98" w:rsidP="00FC331F">
      <w:pPr>
        <w:rPr>
          <w:lang w:val="en-GB"/>
        </w:rPr>
      </w:pPr>
    </w:p>
    <w:p w14:paraId="23D80C81" w14:textId="5DE2EB0E" w:rsidR="00FC331F" w:rsidRPr="0048465B" w:rsidRDefault="00FC331F" w:rsidP="00FC331F">
      <w:pPr>
        <w:rPr>
          <w:lang w:val="en-GB"/>
        </w:rPr>
      </w:pPr>
      <w:r w:rsidRPr="0048465B">
        <w:rPr>
          <w:lang w:val="en-GB"/>
        </w:rPr>
        <w:t>Whilst the encouragement to identify groups through their relations to other groups may also open up the possibility of Israel being identified as oppressor as well as victim, Israeli government officials undermine the legitimacy of such accusations through recourse to the very victimhood that many Israeli Jews legitimately feel, a historical victimhood that is as authentic as any other, and which for many justifies, or at least contextually redefines, what are</w:t>
      </w:r>
      <w:r w:rsidR="00E43D98">
        <w:rPr>
          <w:lang w:val="en-GB"/>
        </w:rPr>
        <w:t>,</w:t>
      </w:r>
      <w:r w:rsidRPr="0048465B">
        <w:rPr>
          <w:lang w:val="en-GB"/>
        </w:rPr>
        <w:t xml:space="preserve"> objectively</w:t>
      </w:r>
      <w:r w:rsidR="00E43D98">
        <w:rPr>
          <w:lang w:val="en-GB"/>
        </w:rPr>
        <w:t xml:space="preserve"> speaking, brazenly obvious</w:t>
      </w:r>
      <w:r w:rsidRPr="0048465B">
        <w:rPr>
          <w:lang w:val="en-GB"/>
        </w:rPr>
        <w:t xml:space="preserve"> acts of colonial oppression. Whilst Rothberg focuses more intently on the issue of Israel and Palestine in his essay ‘From Gaza to Warsaw’, arguing that ‘a need exists to counter what Jacques Rancière would call the dominant “distribution of the sensible” in order to render Palestinian lives visible and thus </w:t>
      </w:r>
      <w:proofErr w:type="spellStart"/>
      <w:r w:rsidRPr="0048465B">
        <w:rPr>
          <w:lang w:val="en-GB"/>
        </w:rPr>
        <w:t>grievable</w:t>
      </w:r>
      <w:proofErr w:type="spellEnd"/>
      <w:r w:rsidRPr="0048465B">
        <w:rPr>
          <w:lang w:val="en-GB"/>
        </w:rPr>
        <w:t>’,</w:t>
      </w:r>
      <w:r w:rsidRPr="0048465B">
        <w:rPr>
          <w:vertAlign w:val="superscript"/>
          <w:lang w:val="en-GB"/>
        </w:rPr>
        <w:footnoteReference w:id="125"/>
      </w:r>
      <w:r w:rsidRPr="0048465B">
        <w:rPr>
          <w:lang w:val="en-GB"/>
        </w:rPr>
        <w:t xml:space="preserve"> the elemental flaw with multidirectional connections of Palestine and the Holocaust remains. The inescapability of the ‘original’ violence dynamic makes it impossible for Palestinian pain to be understood as a distinct entity when assessed through connective approaches to memory that centralise the Holocaust. Any grievability gained through this connection conditions the legitimacy </w:t>
      </w:r>
      <w:r w:rsidR="00DA3186">
        <w:rPr>
          <w:lang w:val="en-GB"/>
        </w:rPr>
        <w:t>–</w:t>
      </w:r>
      <w:r w:rsidRPr="0048465B">
        <w:rPr>
          <w:lang w:val="en-GB"/>
        </w:rPr>
        <w:t xml:space="preserve"> and to an extent the very existence </w:t>
      </w:r>
      <w:r w:rsidR="00DA3186">
        <w:rPr>
          <w:lang w:val="en-GB"/>
        </w:rPr>
        <w:t>–</w:t>
      </w:r>
      <w:r w:rsidRPr="0048465B">
        <w:rPr>
          <w:lang w:val="en-GB"/>
        </w:rPr>
        <w:t xml:space="preserve"> of Palestinian victimhood and suffering upon prior attention to Jewish suffering, thus complicating the contingent understanding of Israel as, in this specific context, perpetrator. </w:t>
      </w:r>
    </w:p>
    <w:p w14:paraId="32647760" w14:textId="77777777" w:rsidR="00FC331F" w:rsidRPr="0048465B" w:rsidRDefault="00FC331F" w:rsidP="00FC331F">
      <w:pPr>
        <w:rPr>
          <w:lang w:val="en-GB"/>
        </w:rPr>
      </w:pPr>
    </w:p>
    <w:p w14:paraId="5344656E" w14:textId="7C29EA4C" w:rsidR="00FC331F" w:rsidRPr="0048465B" w:rsidRDefault="00FC331F" w:rsidP="00FC331F">
      <w:pPr>
        <w:rPr>
          <w:lang w:val="en-GB"/>
        </w:rPr>
      </w:pPr>
      <w:r w:rsidRPr="0048465B">
        <w:rPr>
          <w:lang w:val="en-GB"/>
        </w:rPr>
        <w:t>The multidirectional connection of Israel and Palestine is complicated even further by the tendency of those making the connections to characterise similarities between experiences as equivalence, and to erase all other difference. Observations of similarities between Palestinian oppression and</w:t>
      </w:r>
      <w:r w:rsidR="00624793">
        <w:rPr>
          <w:lang w:val="en-GB"/>
        </w:rPr>
        <w:t xml:space="preserve"> </w:t>
      </w:r>
      <w:r w:rsidR="00A920A9">
        <w:rPr>
          <w:lang w:val="en-GB"/>
        </w:rPr>
        <w:lastRenderedPageBreak/>
        <w:t>the genocide of Jews s</w:t>
      </w:r>
      <w:r w:rsidRPr="0048465B">
        <w:rPr>
          <w:lang w:val="en-GB"/>
        </w:rPr>
        <w:t>hould not lead to suggestions that the Israeli mistreatment of Palestinians is exactly the same as the oppression of Jews in the Holocaust, nor should it lead to suggestions that the Israeli government are ‘Judeo-Nazis’,</w:t>
      </w:r>
      <w:r w:rsidRPr="0048465B">
        <w:rPr>
          <w:vertAlign w:val="superscript"/>
          <w:lang w:val="en-GB"/>
        </w:rPr>
        <w:footnoteReference w:id="126"/>
      </w:r>
      <w:r w:rsidRPr="0048465B">
        <w:rPr>
          <w:lang w:val="en-GB"/>
        </w:rPr>
        <w:t xml:space="preserve"> as some particularly </w:t>
      </w:r>
      <w:r w:rsidR="00A920A9">
        <w:rPr>
          <w:lang w:val="en-GB"/>
        </w:rPr>
        <w:t>inflammatory</w:t>
      </w:r>
      <w:r w:rsidRPr="0048465B">
        <w:rPr>
          <w:lang w:val="en-GB"/>
        </w:rPr>
        <w:t xml:space="preserve"> Israeli professors and journalists have claimed. Israeli critic of the occupation, Amira Hass, sums up the difference well. Whilst both events conjure up images of wire fences and watchtowers, during the Holocaust this was ‘within the context of dividing all humanity into superior and inferior races</w:t>
      </w:r>
      <w:r w:rsidR="000C3FB4">
        <w:rPr>
          <w:lang w:val="en-GB"/>
        </w:rPr>
        <w:t xml:space="preserve"> […] </w:t>
      </w:r>
      <w:r w:rsidRPr="0048465B">
        <w:rPr>
          <w:lang w:val="en-GB"/>
        </w:rPr>
        <w:t>in which the inferior races were sentenced to extermination’.</w:t>
      </w:r>
      <w:r w:rsidRPr="0048465B">
        <w:rPr>
          <w:vertAlign w:val="superscript"/>
          <w:lang w:val="en-GB"/>
        </w:rPr>
        <w:footnoteReference w:id="127"/>
      </w:r>
      <w:r w:rsidRPr="0048465B">
        <w:rPr>
          <w:lang w:val="en-GB"/>
        </w:rPr>
        <w:t xml:space="preserve"> Industrialised genocide does not exist in Palestine today, and we should neither feel the need to imply that it does, nor to place</w:t>
      </w:r>
      <w:r w:rsidR="00E3776A">
        <w:rPr>
          <w:lang w:val="en-GB"/>
        </w:rPr>
        <w:t xml:space="preserve"> the oppression of</w:t>
      </w:r>
      <w:r w:rsidRPr="0048465B">
        <w:rPr>
          <w:lang w:val="en-GB"/>
        </w:rPr>
        <w:t xml:space="preserve"> Palestinian</w:t>
      </w:r>
      <w:r w:rsidR="00E3776A">
        <w:rPr>
          <w:lang w:val="en-GB"/>
        </w:rPr>
        <w:t>s</w:t>
      </w:r>
      <w:r w:rsidRPr="0048465B">
        <w:rPr>
          <w:lang w:val="en-GB"/>
        </w:rPr>
        <w:t xml:space="preserve"> within the context of industrialised genocide, in order to </w:t>
      </w:r>
      <w:r w:rsidR="00E3776A">
        <w:rPr>
          <w:lang w:val="en-GB"/>
        </w:rPr>
        <w:t>recognise Palestinian suffering.</w:t>
      </w:r>
    </w:p>
    <w:p w14:paraId="01F418B6" w14:textId="77777777" w:rsidR="00FC331F" w:rsidRPr="0048465B" w:rsidRDefault="00FC331F" w:rsidP="00FC331F">
      <w:pPr>
        <w:rPr>
          <w:lang w:val="en-GB"/>
        </w:rPr>
      </w:pPr>
    </w:p>
    <w:p w14:paraId="0C64B93D" w14:textId="08D98C91" w:rsidR="00FC331F" w:rsidRPr="0048465B" w:rsidRDefault="00F13356" w:rsidP="00FC331F">
      <w:pPr>
        <w:rPr>
          <w:lang w:val="en-GB"/>
        </w:rPr>
      </w:pPr>
      <w:r w:rsidRPr="0048465B">
        <w:rPr>
          <w:lang w:val="en-GB"/>
        </w:rPr>
        <w:t>Connections between Israel and Palestine are thus extremely hard to balance, a</w:t>
      </w:r>
      <w:r w:rsidR="001722C7">
        <w:rPr>
          <w:lang w:val="en-GB"/>
        </w:rPr>
        <w:t xml:space="preserve"> predicament partly acknowledged by Rothberg in</w:t>
      </w:r>
      <w:r w:rsidRPr="0048465B">
        <w:rPr>
          <w:lang w:val="en-GB"/>
        </w:rPr>
        <w:t xml:space="preserve"> ‘From Gaza to Warsaw’.</w:t>
      </w:r>
      <w:r w:rsidRPr="0048465B">
        <w:rPr>
          <w:vertAlign w:val="superscript"/>
          <w:lang w:val="en-GB"/>
        </w:rPr>
        <w:footnoteReference w:id="128"/>
      </w:r>
      <w:r w:rsidRPr="0048465B">
        <w:rPr>
          <w:lang w:val="en-GB"/>
        </w:rPr>
        <w:t xml:space="preserve"> Published two years after his monograph, Rothberg uses this essay to identify some of the more self-evident misappropriations of the Holocaust in relation to Palestinian suffering. </w:t>
      </w:r>
      <w:r w:rsidR="00FC331F" w:rsidRPr="0048465B">
        <w:rPr>
          <w:lang w:val="en-GB"/>
        </w:rPr>
        <w:t>However, Rothberg nonetheless fails to acknowledge the atypicality of connections between the Holocaust and oppression in Palestine more generally, specifically due to their co-existence on a single continuum</w:t>
      </w:r>
      <w:r w:rsidR="00E43D98">
        <w:rPr>
          <w:lang w:val="en-GB"/>
        </w:rPr>
        <w:t xml:space="preserve">, the </w:t>
      </w:r>
      <w:r w:rsidR="00FC331F" w:rsidRPr="0048465B">
        <w:rPr>
          <w:lang w:val="en-GB"/>
        </w:rPr>
        <w:t>increased focus on chronology</w:t>
      </w:r>
      <w:r w:rsidR="00E43D98">
        <w:rPr>
          <w:lang w:val="en-GB"/>
        </w:rPr>
        <w:t xml:space="preserve"> that ensues</w:t>
      </w:r>
      <w:r w:rsidR="00FC331F" w:rsidRPr="0048465B">
        <w:rPr>
          <w:lang w:val="en-GB"/>
        </w:rPr>
        <w:t xml:space="preserve">, </w:t>
      </w:r>
      <w:r w:rsidR="00E43D98">
        <w:rPr>
          <w:lang w:val="en-GB"/>
        </w:rPr>
        <w:t>the</w:t>
      </w:r>
      <w:r w:rsidR="00FC331F" w:rsidRPr="0048465B">
        <w:rPr>
          <w:lang w:val="en-GB"/>
        </w:rPr>
        <w:t xml:space="preserve"> </w:t>
      </w:r>
      <w:r w:rsidR="00E43D98">
        <w:rPr>
          <w:lang w:val="en-GB"/>
        </w:rPr>
        <w:t>consequent r</w:t>
      </w:r>
      <w:r w:rsidR="00FC331F" w:rsidRPr="0048465B">
        <w:rPr>
          <w:lang w:val="en-GB"/>
        </w:rPr>
        <w:t>einforc</w:t>
      </w:r>
      <w:r w:rsidR="00E43D98">
        <w:rPr>
          <w:lang w:val="en-GB"/>
        </w:rPr>
        <w:t>ing of</w:t>
      </w:r>
      <w:r w:rsidR="00FC331F" w:rsidRPr="0048465B">
        <w:rPr>
          <w:lang w:val="en-GB"/>
        </w:rPr>
        <w:t xml:space="preserve"> the anteriority of the Holocaust, and</w:t>
      </w:r>
      <w:r w:rsidR="00E43D98">
        <w:rPr>
          <w:lang w:val="en-GB"/>
        </w:rPr>
        <w:t xml:space="preserve"> the </w:t>
      </w:r>
      <w:r w:rsidR="00FC331F" w:rsidRPr="0048465B">
        <w:rPr>
          <w:lang w:val="en-GB"/>
        </w:rPr>
        <w:t>transform</w:t>
      </w:r>
      <w:r w:rsidR="00E43D98">
        <w:rPr>
          <w:lang w:val="en-GB"/>
        </w:rPr>
        <w:t>ation of</w:t>
      </w:r>
      <w:r w:rsidR="00FC331F" w:rsidRPr="0048465B">
        <w:rPr>
          <w:lang w:val="en-GB"/>
        </w:rPr>
        <w:t xml:space="preserve"> contemporary Palestinian suffering into that which is derivative.</w:t>
      </w:r>
    </w:p>
    <w:p w14:paraId="0F2318B4" w14:textId="77777777" w:rsidR="00FC331F" w:rsidRPr="0048465B" w:rsidRDefault="00FC331F" w:rsidP="00FC331F">
      <w:pPr>
        <w:rPr>
          <w:lang w:val="en-GB"/>
        </w:rPr>
      </w:pPr>
    </w:p>
    <w:p w14:paraId="50777D0F" w14:textId="74321E38" w:rsidR="00FC331F" w:rsidRPr="0048465B" w:rsidRDefault="00FC331F" w:rsidP="00FC331F">
      <w:pPr>
        <w:rPr>
          <w:lang w:val="en-GB"/>
        </w:rPr>
      </w:pPr>
      <w:r w:rsidRPr="0048465B">
        <w:rPr>
          <w:lang w:val="en-GB"/>
        </w:rPr>
        <w:t xml:space="preserve">Before exploring this contingent subordination in more detail, however, it is pertinent to analyse some of the more premeditated connections analysed by Rothberg in ‘From Gaza to Warsaw’, starting with an interaction between Labour politician and former chief diversity officer for Channel 4, Oona King, and </w:t>
      </w:r>
      <w:r w:rsidRPr="0048465B">
        <w:rPr>
          <w:i/>
          <w:lang w:val="en-GB"/>
        </w:rPr>
        <w:t>Haaretz</w:t>
      </w:r>
      <w:r w:rsidRPr="0048465B">
        <w:rPr>
          <w:lang w:val="en-GB"/>
        </w:rPr>
        <w:t xml:space="preserve"> journalist, Amira Hass. King went to Gaza in 2003, and was in the Gaza Strip when an Israeli helicopter-attack killed a Palestinian mother and child, as well as injuring thirty-five Palestinian civilians. In her account of her time in Gaza, </w:t>
      </w:r>
      <w:r w:rsidR="007260D9">
        <w:rPr>
          <w:lang w:val="en-GB"/>
        </w:rPr>
        <w:t>King</w:t>
      </w:r>
      <w:r w:rsidR="007260D9" w:rsidRPr="0048465B">
        <w:rPr>
          <w:lang w:val="en-GB"/>
        </w:rPr>
        <w:t xml:space="preserve"> </w:t>
      </w:r>
      <w:r w:rsidRPr="0048465B">
        <w:rPr>
          <w:lang w:val="en-GB"/>
        </w:rPr>
        <w:t>wrote the following:</w:t>
      </w:r>
    </w:p>
    <w:p w14:paraId="13058494" w14:textId="77777777" w:rsidR="00FC331F" w:rsidRPr="0048465B" w:rsidRDefault="00FC331F" w:rsidP="00FC331F">
      <w:pPr>
        <w:rPr>
          <w:lang w:val="en-GB"/>
        </w:rPr>
      </w:pPr>
    </w:p>
    <w:p w14:paraId="55BBCE92" w14:textId="77777777" w:rsidR="00FC331F" w:rsidRPr="0048465B" w:rsidRDefault="00FC331F" w:rsidP="00FC331F">
      <w:pPr>
        <w:ind w:left="720"/>
        <w:rPr>
          <w:lang w:val="en-GB"/>
        </w:rPr>
      </w:pPr>
      <w:r w:rsidRPr="0048465B">
        <w:rPr>
          <w:lang w:val="en-GB"/>
        </w:rPr>
        <w:t>The original founders of the Jewish state could surely not imagine the irony facing Israel today: in escaping the ashes of the Holocaust, they have incarcerated another people in a hell similar in its nature – though not its extent – to the Warsaw ghetto.</w:t>
      </w:r>
      <w:r w:rsidRPr="0048465B">
        <w:rPr>
          <w:vertAlign w:val="superscript"/>
          <w:lang w:val="en-GB"/>
        </w:rPr>
        <w:footnoteReference w:id="129"/>
      </w:r>
    </w:p>
    <w:p w14:paraId="20F0A8B5" w14:textId="77777777" w:rsidR="00FC331F" w:rsidRPr="0048465B" w:rsidRDefault="00FC331F" w:rsidP="00FC331F">
      <w:pPr>
        <w:rPr>
          <w:lang w:val="en-GB"/>
        </w:rPr>
      </w:pPr>
    </w:p>
    <w:p w14:paraId="740DE7F8" w14:textId="1CF25B50" w:rsidR="0038392F" w:rsidRDefault="00FC331F" w:rsidP="00FC331F">
      <w:pPr>
        <w:rPr>
          <w:lang w:val="en-GB"/>
        </w:rPr>
      </w:pPr>
      <w:r w:rsidRPr="0048465B">
        <w:rPr>
          <w:lang w:val="en-GB"/>
        </w:rPr>
        <w:t xml:space="preserve">If one focuses solely on the general and superficial connections between the Warsaw Ghetto and the West Bank, then it is easy to see why King thought that such a connection might be </w:t>
      </w:r>
      <w:r w:rsidR="00A920A9">
        <w:rPr>
          <w:lang w:val="en-GB"/>
        </w:rPr>
        <w:t>convincing</w:t>
      </w:r>
      <w:r w:rsidRPr="0048465B">
        <w:rPr>
          <w:lang w:val="en-GB"/>
        </w:rPr>
        <w:t xml:space="preserve">. </w:t>
      </w:r>
      <w:r w:rsidR="00A920A9">
        <w:rPr>
          <w:lang w:val="en-GB"/>
        </w:rPr>
        <w:t>The</w:t>
      </w:r>
      <w:r w:rsidRPr="0048465B">
        <w:rPr>
          <w:lang w:val="en-GB"/>
        </w:rPr>
        <w:t xml:space="preserve"> Warsaw Ghetto</w:t>
      </w:r>
      <w:r w:rsidR="00A920A9">
        <w:rPr>
          <w:lang w:val="en-GB"/>
        </w:rPr>
        <w:t xml:space="preserve">, </w:t>
      </w:r>
      <w:r w:rsidRPr="0048465B">
        <w:rPr>
          <w:lang w:val="en-GB"/>
        </w:rPr>
        <w:t>Gaza</w:t>
      </w:r>
      <w:r w:rsidR="00A920A9">
        <w:rPr>
          <w:lang w:val="en-GB"/>
        </w:rPr>
        <w:t>,</w:t>
      </w:r>
      <w:r w:rsidRPr="0048465B">
        <w:rPr>
          <w:lang w:val="en-GB"/>
        </w:rPr>
        <w:t xml:space="preserve"> and the West Bank are</w:t>
      </w:r>
      <w:r w:rsidR="00A920A9">
        <w:rPr>
          <w:lang w:val="en-GB"/>
        </w:rPr>
        <w:t xml:space="preserve"> all</w:t>
      </w:r>
      <w:r w:rsidRPr="0048465B">
        <w:rPr>
          <w:lang w:val="en-GB"/>
        </w:rPr>
        <w:t xml:space="preserve"> united by images of military control, restriction of movement, insufficient access to food and water, overbearing barricades, fences, and walls. Yet, as seen above in Hass’s outlining of the differences between the two in detail, the issue herein is that such subjects demand more than the general and superficial</w:t>
      </w:r>
      <w:r w:rsidR="003F39E3">
        <w:rPr>
          <w:lang w:val="en-GB"/>
        </w:rPr>
        <w:t>: rather,</w:t>
      </w:r>
      <w:r w:rsidRPr="0048465B">
        <w:rPr>
          <w:lang w:val="en-GB"/>
        </w:rPr>
        <w:t xml:space="preserve"> they demand specificity. Through describing the incarceration of Palestinians as a direct, and seemingly instant, result of Jewish survival of the Holocaust, King not only corrupts the history of the Holocaust and the triumph of its Jewish survivors, but also obscures Palestinian suffering. </w:t>
      </w:r>
    </w:p>
    <w:p w14:paraId="26E97A0D" w14:textId="77777777" w:rsidR="0038392F" w:rsidRDefault="0038392F" w:rsidP="00FC331F">
      <w:pPr>
        <w:rPr>
          <w:lang w:val="en-GB"/>
        </w:rPr>
      </w:pPr>
    </w:p>
    <w:p w14:paraId="4B84F049" w14:textId="64506E46" w:rsidR="00FC331F" w:rsidRPr="0048465B" w:rsidRDefault="00FC331F" w:rsidP="00FC331F">
      <w:pPr>
        <w:rPr>
          <w:lang w:val="en-GB"/>
        </w:rPr>
      </w:pPr>
      <w:r w:rsidRPr="0048465B">
        <w:rPr>
          <w:lang w:val="en-GB"/>
        </w:rPr>
        <w:t>In response to King’s anachronistic conflation of the two events, Hass reminds the reader that, rather than being a metaphor, the Warsaw Ghetto was a ‘station[] on a deliberate, calculated[,] and industrialized road to the genocide of the Jewish people’.</w:t>
      </w:r>
      <w:r w:rsidRPr="0048465B">
        <w:rPr>
          <w:vertAlign w:val="superscript"/>
          <w:lang w:val="en-GB"/>
        </w:rPr>
        <w:footnoteReference w:id="130"/>
      </w:r>
      <w:r w:rsidRPr="0048465B">
        <w:rPr>
          <w:lang w:val="en-GB"/>
        </w:rPr>
        <w:t xml:space="preserve"> The Gaza Strip</w:t>
      </w:r>
      <w:r w:rsidR="0038392F">
        <w:rPr>
          <w:lang w:val="en-GB"/>
        </w:rPr>
        <w:t>, on the other hand,</w:t>
      </w:r>
      <w:r w:rsidRPr="0048465B">
        <w:rPr>
          <w:lang w:val="en-GB"/>
        </w:rPr>
        <w:t xml:space="preserve"> has been described by others as an ‘open-air prison’,</w:t>
      </w:r>
      <w:r w:rsidRPr="0048465B">
        <w:rPr>
          <w:vertAlign w:val="superscript"/>
          <w:lang w:val="en-GB"/>
        </w:rPr>
        <w:footnoteReference w:id="131"/>
      </w:r>
      <w:r w:rsidRPr="0048465B">
        <w:rPr>
          <w:lang w:val="en-GB"/>
        </w:rPr>
        <w:t xml:space="preserve"> ‘enclosed by wire fences and watchtowers and abusive soldiers’, the locus of a war of attrition where Palestinian access to ‘food, water[,] and medical supplies’ </w:t>
      </w:r>
      <w:r w:rsidR="000C16F1">
        <w:rPr>
          <w:lang w:val="en-GB"/>
        </w:rPr>
        <w:t>is</w:t>
      </w:r>
      <w:r w:rsidR="000C16F1" w:rsidRPr="0048465B">
        <w:rPr>
          <w:lang w:val="en-GB"/>
        </w:rPr>
        <w:t xml:space="preserve"> </w:t>
      </w:r>
      <w:r w:rsidRPr="0048465B">
        <w:rPr>
          <w:lang w:val="en-GB"/>
        </w:rPr>
        <w:t>increasingly restricted ‘by the Israeli military, and [where there are] severe levels of malnutrition and unemployment’.</w:t>
      </w:r>
      <w:r w:rsidRPr="0048465B">
        <w:rPr>
          <w:vertAlign w:val="superscript"/>
          <w:lang w:val="en-GB"/>
        </w:rPr>
        <w:footnoteReference w:id="132"/>
      </w:r>
      <w:r w:rsidRPr="0048465B">
        <w:rPr>
          <w:lang w:val="en-GB"/>
        </w:rPr>
        <w:t xml:space="preserve"> Both are abhorrent, but the difference between them, as Hass explains, is not solely in the cryptic ‘“extent”’ of these events, as suggested by King, but also in their ‘essence’.</w:t>
      </w:r>
      <w:r w:rsidRPr="0048465B">
        <w:rPr>
          <w:vertAlign w:val="superscript"/>
          <w:lang w:val="en-GB"/>
        </w:rPr>
        <w:footnoteReference w:id="133"/>
      </w:r>
      <w:r w:rsidRPr="0048465B">
        <w:rPr>
          <w:lang w:val="en-GB"/>
        </w:rPr>
        <w:t xml:space="preserve"> </w:t>
      </w:r>
    </w:p>
    <w:p w14:paraId="4602F3C4" w14:textId="77777777" w:rsidR="00FC331F" w:rsidRPr="0048465B" w:rsidRDefault="00FC331F" w:rsidP="00FC331F">
      <w:pPr>
        <w:rPr>
          <w:lang w:val="en-GB"/>
        </w:rPr>
      </w:pPr>
    </w:p>
    <w:p w14:paraId="7A4E7879" w14:textId="35AF09EB" w:rsidR="00FC331F" w:rsidRPr="0048465B" w:rsidRDefault="00FC331F" w:rsidP="00FC331F">
      <w:pPr>
        <w:rPr>
          <w:lang w:val="en-GB"/>
        </w:rPr>
      </w:pPr>
      <w:r w:rsidRPr="0048465B">
        <w:rPr>
          <w:lang w:val="en-GB"/>
        </w:rPr>
        <w:t xml:space="preserve">Yet, even as Hass explains this, we note that the specific details of King’s account are not mentioned. The thirty-five injured Palestinian civilians that King referred to have disappeared, vanished along with the dead mother and child, all completely absent in Hass’ article. In attempting to arouse strong emotions about the death and injury of Palestinian civilians through evoking the memory of the Holocaust, King succeeds in not only causing potential offence to Israelis, Jews </w:t>
      </w:r>
      <w:r w:rsidR="00C62C58">
        <w:rPr>
          <w:lang w:val="en-GB"/>
        </w:rPr>
        <w:t>across the globe</w:t>
      </w:r>
      <w:r w:rsidRPr="0048465B">
        <w:rPr>
          <w:lang w:val="en-GB"/>
        </w:rPr>
        <w:t xml:space="preserve">, and others, but also ensures that </w:t>
      </w:r>
      <w:r w:rsidR="00C342B6">
        <w:rPr>
          <w:lang w:val="en-GB"/>
        </w:rPr>
        <w:t xml:space="preserve">both </w:t>
      </w:r>
      <w:r w:rsidRPr="0048465B">
        <w:rPr>
          <w:lang w:val="en-GB"/>
        </w:rPr>
        <w:t xml:space="preserve">the Palestinian casualties that she witnessed, </w:t>
      </w:r>
      <w:r w:rsidR="00C342B6">
        <w:rPr>
          <w:lang w:val="en-GB"/>
        </w:rPr>
        <w:t>and</w:t>
      </w:r>
      <w:r w:rsidRPr="0048465B">
        <w:rPr>
          <w:lang w:val="en-GB"/>
        </w:rPr>
        <w:t xml:space="preserve"> the persecution of Palestinians more generally, are </w:t>
      </w:r>
      <w:r w:rsidR="00C342B6">
        <w:rPr>
          <w:lang w:val="en-GB"/>
        </w:rPr>
        <w:t xml:space="preserve">overshadowed </w:t>
      </w:r>
      <w:r w:rsidRPr="0048465B">
        <w:rPr>
          <w:lang w:val="en-GB"/>
        </w:rPr>
        <w:t>by her mishandling of the legacy of the Holocaust.</w:t>
      </w:r>
      <w:r w:rsidR="00A920A9">
        <w:rPr>
          <w:lang w:val="en-GB"/>
        </w:rPr>
        <w:t xml:space="preserve"> </w:t>
      </w:r>
    </w:p>
    <w:p w14:paraId="2F70A4BB" w14:textId="77777777" w:rsidR="00FC331F" w:rsidRPr="0048465B" w:rsidRDefault="00FC331F" w:rsidP="00FC331F">
      <w:pPr>
        <w:rPr>
          <w:lang w:val="en-GB"/>
        </w:rPr>
      </w:pPr>
    </w:p>
    <w:p w14:paraId="0F6C6DA2" w14:textId="298D06BA" w:rsidR="00FC331F" w:rsidRPr="0048465B" w:rsidRDefault="00FC331F" w:rsidP="00FC331F">
      <w:pPr>
        <w:rPr>
          <w:lang w:val="en-GB"/>
        </w:rPr>
      </w:pPr>
      <w:r w:rsidRPr="0048465B">
        <w:rPr>
          <w:lang w:val="en-GB"/>
        </w:rPr>
        <w:t>Here, both King and Hass fail to find the balance between ‘erasing</w:t>
      </w:r>
      <w:r w:rsidR="000C3FB4">
        <w:rPr>
          <w:lang w:val="en-GB"/>
        </w:rPr>
        <w:t xml:space="preserve"> […] </w:t>
      </w:r>
      <w:r w:rsidRPr="0048465B">
        <w:rPr>
          <w:lang w:val="en-GB"/>
        </w:rPr>
        <w:t>difference[]</w:t>
      </w:r>
      <w:r w:rsidR="000C3FB4">
        <w:rPr>
          <w:lang w:val="en-GB"/>
        </w:rPr>
        <w:t xml:space="preserve"> […] </w:t>
      </w:r>
      <w:r w:rsidRPr="0048465B">
        <w:rPr>
          <w:lang w:val="en-GB"/>
        </w:rPr>
        <w:t>and fetishizing</w:t>
      </w:r>
      <w:r w:rsidR="000C3FB4">
        <w:rPr>
          <w:lang w:val="en-GB"/>
        </w:rPr>
        <w:t xml:space="preserve"> […] </w:t>
      </w:r>
      <w:r w:rsidRPr="0048465B">
        <w:rPr>
          <w:lang w:val="en-GB"/>
        </w:rPr>
        <w:t>uniqueness’.</w:t>
      </w:r>
      <w:r w:rsidRPr="0048465B">
        <w:rPr>
          <w:vertAlign w:val="superscript"/>
          <w:lang w:val="en-GB"/>
        </w:rPr>
        <w:footnoteReference w:id="134"/>
      </w:r>
      <w:r w:rsidRPr="0048465B">
        <w:rPr>
          <w:lang w:val="en-GB"/>
        </w:rPr>
        <w:t xml:space="preserve"> Through creating a metaphorical genealogical line between Holocaust survivor and Israeli Defence Forces persecutor, King erases the vast differences between the two, and thus de-individuates the suffering of both Jews and Palestinians, as well as removing the actual persecutors from the analysis. Conversely, whilst Hass opposes the mistreatment of Palestinians, she does so by unnecessarily reinforcing the exceptional status of the Holocaust, stating that we can oppose Palestinian, and other oppression, despite it not being ‘the worst of all’.</w:t>
      </w:r>
      <w:r w:rsidRPr="0048465B">
        <w:rPr>
          <w:vertAlign w:val="superscript"/>
          <w:lang w:val="en-GB"/>
        </w:rPr>
        <w:footnoteReference w:id="135"/>
      </w:r>
    </w:p>
    <w:p w14:paraId="4DB68F35" w14:textId="77777777" w:rsidR="00FC331F" w:rsidRPr="0048465B" w:rsidRDefault="00FC331F" w:rsidP="00FC331F">
      <w:pPr>
        <w:rPr>
          <w:lang w:val="en-GB"/>
        </w:rPr>
      </w:pPr>
    </w:p>
    <w:p w14:paraId="6FA0B64C" w14:textId="77777777" w:rsidR="00FC331F" w:rsidRPr="0048465B" w:rsidRDefault="00FC331F" w:rsidP="00FC331F">
      <w:pPr>
        <w:rPr>
          <w:lang w:val="en-GB"/>
        </w:rPr>
      </w:pPr>
      <w:r w:rsidRPr="0048465B">
        <w:rPr>
          <w:lang w:val="en-GB"/>
        </w:rPr>
        <w:t>A more concrete example of the erasure of difference can be found in a connection made in 2009 by Professor William Robinson of the University of California. Professor Robinson sent an email to his students with the subject heading ‘“parallel images of Nazis and Israelis”’,</w:t>
      </w:r>
      <w:r w:rsidRPr="0048465B">
        <w:rPr>
          <w:vertAlign w:val="superscript"/>
          <w:lang w:val="en-GB"/>
        </w:rPr>
        <w:footnoteReference w:id="136"/>
      </w:r>
      <w:r w:rsidRPr="0048465B">
        <w:rPr>
          <w:lang w:val="en-GB"/>
        </w:rPr>
        <w:t xml:space="preserve"> which featured a photo-essay juxtaposing ‘images from the Nazi persecution of European Jews during World War II and images of Israeli oppression of Palestinians’.</w:t>
      </w:r>
      <w:r w:rsidRPr="0048465B">
        <w:rPr>
          <w:vertAlign w:val="superscript"/>
          <w:lang w:val="en-GB"/>
        </w:rPr>
        <w:footnoteReference w:id="137"/>
      </w:r>
      <w:r w:rsidRPr="0048465B">
        <w:rPr>
          <w:lang w:val="en-GB"/>
        </w:rPr>
        <w:t xml:space="preserve"> In the main body of the email, Robinson asserted that ‘“Gaza is Israel’s Warsaw”’.</w:t>
      </w:r>
      <w:r w:rsidRPr="0048465B">
        <w:rPr>
          <w:vertAlign w:val="superscript"/>
          <w:lang w:val="en-GB"/>
        </w:rPr>
        <w:footnoteReference w:id="138"/>
      </w:r>
    </w:p>
    <w:p w14:paraId="037E7DD8" w14:textId="77777777" w:rsidR="00FC331F" w:rsidRPr="0048465B" w:rsidRDefault="00FC331F" w:rsidP="00FC331F">
      <w:pPr>
        <w:rPr>
          <w:lang w:val="en-GB"/>
        </w:rPr>
      </w:pPr>
    </w:p>
    <w:p w14:paraId="26AE813E" w14:textId="1C49102C" w:rsidR="00FC331F" w:rsidRPr="0048465B" w:rsidRDefault="00FC331F" w:rsidP="00FC331F">
      <w:pPr>
        <w:rPr>
          <w:lang w:val="en-GB"/>
        </w:rPr>
      </w:pPr>
      <w:r w:rsidRPr="0048465B">
        <w:rPr>
          <w:lang w:val="en-GB"/>
        </w:rPr>
        <w:t xml:space="preserve">Immediately, through the use of the unambiguous word ‘is’, we see that Robinson’s email is one that fails to acknowledge difference and tease out informative connections, electing instead to go for the reductive sentiment of equation. This method of asserting </w:t>
      </w:r>
      <w:r w:rsidR="00C62C58">
        <w:rPr>
          <w:lang w:val="en-GB"/>
        </w:rPr>
        <w:t>uniformity</w:t>
      </w:r>
      <w:r w:rsidRPr="0048465B">
        <w:rPr>
          <w:lang w:val="en-GB"/>
        </w:rPr>
        <w:t xml:space="preserve"> rather than analysing </w:t>
      </w:r>
      <w:r w:rsidRPr="0048465B">
        <w:rPr>
          <w:lang w:val="en-GB"/>
        </w:rPr>
        <w:lastRenderedPageBreak/>
        <w:t>connectivity is similarly evident in the photo-essay itself. Created by political scientist and child of Warsaw Ghetto survivors, Norman Finkelstein, the photo-essay held the title ‘“</w:t>
      </w:r>
      <w:r w:rsidRPr="003C28AB">
        <w:rPr>
          <w:sz w:val="19"/>
          <w:szCs w:val="19"/>
          <w:lang w:val="en-GB"/>
        </w:rPr>
        <w:t>THE GRANDCHILDREN OF HOLOCAUST SURVIVORS FROM WORLD WAR II ARE DOING TO THE PALESTINIANS EXACTLY WHAT WAS DONE TO THEM BY NAZI GERMANY</w:t>
      </w:r>
      <w:r w:rsidRPr="0048465B">
        <w:rPr>
          <w:lang w:val="en-GB"/>
        </w:rPr>
        <w:t>”’.</w:t>
      </w:r>
      <w:r w:rsidRPr="0048465B">
        <w:rPr>
          <w:vertAlign w:val="superscript"/>
          <w:lang w:val="en-GB"/>
        </w:rPr>
        <w:footnoteReference w:id="139"/>
      </w:r>
      <w:r w:rsidRPr="0048465B">
        <w:rPr>
          <w:lang w:val="en-GB"/>
        </w:rPr>
        <w:t xml:space="preserve"> Here, the mention of grandchildren conjures up a direct bloodline from Holocaust survivor to IDF soldier and </w:t>
      </w:r>
      <w:r w:rsidR="001A0F8E">
        <w:rPr>
          <w:lang w:val="en-GB"/>
        </w:rPr>
        <w:t xml:space="preserve">oppressor of </w:t>
      </w:r>
      <w:r w:rsidRPr="0048465B">
        <w:rPr>
          <w:lang w:val="en-GB"/>
        </w:rPr>
        <w:t>Palestinian</w:t>
      </w:r>
      <w:r w:rsidR="001A0F8E">
        <w:rPr>
          <w:lang w:val="en-GB"/>
        </w:rPr>
        <w:t>s</w:t>
      </w:r>
      <w:r w:rsidR="00C62C58">
        <w:rPr>
          <w:lang w:val="en-GB"/>
        </w:rPr>
        <w:t>,</w:t>
      </w:r>
      <w:r w:rsidRPr="0048465B">
        <w:rPr>
          <w:lang w:val="en-GB"/>
        </w:rPr>
        <w:t xml:space="preserve"> where such direct lines do not necessarily exist, and the word ‘exactly’,</w:t>
      </w:r>
      <w:r w:rsidRPr="0048465B">
        <w:rPr>
          <w:vertAlign w:val="superscript"/>
          <w:lang w:val="en-GB"/>
        </w:rPr>
        <w:footnoteReference w:id="140"/>
      </w:r>
      <w:r w:rsidRPr="0048465B">
        <w:rPr>
          <w:lang w:val="en-GB"/>
        </w:rPr>
        <w:t xml:space="preserve"> as Rothberg notes, completely overlooks the differences between the two places and the events that occurred in each.</w:t>
      </w:r>
    </w:p>
    <w:p w14:paraId="0FA0DCBA" w14:textId="77777777" w:rsidR="00FC331F" w:rsidRPr="0048465B" w:rsidRDefault="00FC331F" w:rsidP="00FC331F">
      <w:pPr>
        <w:rPr>
          <w:lang w:val="en-GB"/>
        </w:rPr>
      </w:pPr>
    </w:p>
    <w:p w14:paraId="23470C27" w14:textId="2247E6E3" w:rsidR="00C62C58" w:rsidRDefault="00FC331F" w:rsidP="00FC331F">
      <w:pPr>
        <w:rPr>
          <w:lang w:val="en-GB"/>
        </w:rPr>
      </w:pPr>
      <w:r w:rsidRPr="0048465B">
        <w:rPr>
          <w:lang w:val="en-GB"/>
        </w:rPr>
        <w:t>In both the email and the photo-essay, as in the King and Hass articles, we observe a reduction of and distraction from Palestinian suffering, as it becomes drawn into ‘a form of recognition based on the</w:t>
      </w:r>
      <w:r w:rsidR="000C3FB4">
        <w:rPr>
          <w:lang w:val="en-GB"/>
        </w:rPr>
        <w:t xml:space="preserve"> […] </w:t>
      </w:r>
      <w:r w:rsidRPr="0048465B">
        <w:rPr>
          <w:lang w:val="en-GB"/>
        </w:rPr>
        <w:t>stereotypical rhetoric and iconography of the Holocaust’.</w:t>
      </w:r>
      <w:r w:rsidRPr="0048465B">
        <w:rPr>
          <w:vertAlign w:val="superscript"/>
          <w:lang w:val="en-GB"/>
        </w:rPr>
        <w:footnoteReference w:id="141"/>
      </w:r>
      <w:r w:rsidRPr="0048465B">
        <w:rPr>
          <w:lang w:val="en-GB"/>
        </w:rPr>
        <w:t xml:space="preserve"> The photo-essay in particular is designed to lead the reader towards a circumscribed set of emotions typically associated with Holocaust imagery. Ruth-Anne Lenga, Programme Director at the Centre for Holocaust Education, argues that some Holocaust image</w:t>
      </w:r>
      <w:r w:rsidR="001A0F8E">
        <w:rPr>
          <w:lang w:val="en-GB"/>
        </w:rPr>
        <w:t>s</w:t>
      </w:r>
      <w:r w:rsidRPr="0048465B">
        <w:rPr>
          <w:lang w:val="en-GB"/>
        </w:rPr>
        <w:t xml:space="preserve"> ‘such as the disturbing image of a child’s arrest during the Warsaw Ghetto Uprising or the British liberating soldier standing to attention beside a mass grave filled with a mangled heap of broken corpses’</w:t>
      </w:r>
      <w:r w:rsidR="00750660">
        <w:rPr>
          <w:lang w:val="en-GB"/>
        </w:rPr>
        <w:t>,</w:t>
      </w:r>
      <w:r w:rsidRPr="0048465B">
        <w:rPr>
          <w:lang w:val="en-GB"/>
        </w:rPr>
        <w:t xml:space="preserve"> ha</w:t>
      </w:r>
      <w:r w:rsidR="001A0F8E">
        <w:rPr>
          <w:lang w:val="en-GB"/>
        </w:rPr>
        <w:t>ve</w:t>
      </w:r>
      <w:r w:rsidRPr="0048465B">
        <w:rPr>
          <w:lang w:val="en-GB"/>
        </w:rPr>
        <w:t xml:space="preserve"> become so iconic that the emotional response </w:t>
      </w:r>
      <w:r w:rsidR="00C342B6">
        <w:rPr>
          <w:lang w:val="en-GB"/>
        </w:rPr>
        <w:t>that these images</w:t>
      </w:r>
      <w:r w:rsidRPr="0048465B">
        <w:rPr>
          <w:lang w:val="en-GB"/>
        </w:rPr>
        <w:t xml:space="preserve"> elicit, their ‘power’, has become ‘detached from their historical roots’. The evolution of such images into a kind of shorthand that evokes an instinctive emotional response </w:t>
      </w:r>
      <w:r w:rsidR="001A0F8E">
        <w:rPr>
          <w:lang w:val="en-GB"/>
        </w:rPr>
        <w:t>–</w:t>
      </w:r>
      <w:r w:rsidRPr="0048465B">
        <w:rPr>
          <w:lang w:val="en-GB"/>
        </w:rPr>
        <w:t xml:space="preserve"> rather than measured analysis </w:t>
      </w:r>
      <w:r w:rsidR="001A0F8E">
        <w:rPr>
          <w:lang w:val="en-GB"/>
        </w:rPr>
        <w:t>–</w:t>
      </w:r>
      <w:r w:rsidRPr="0048465B">
        <w:rPr>
          <w:lang w:val="en-GB"/>
        </w:rPr>
        <w:t xml:space="preserve"> heightens the risk of such images being used to circumvent the analytical consideration that the use of such images necessitates. Lenga further </w:t>
      </w:r>
      <w:r w:rsidRPr="0048465B">
        <w:rPr>
          <w:lang w:val="en-GB"/>
        </w:rPr>
        <w:lastRenderedPageBreak/>
        <w:t>argues that, within education specifically, the use of such images should always be assessed in line with the ‘context’ within which they are presented to the reader, and whether they have been used ‘for good or ill’.</w:t>
      </w:r>
      <w:r w:rsidRPr="0048465B">
        <w:rPr>
          <w:vertAlign w:val="superscript"/>
          <w:lang w:val="en-GB"/>
        </w:rPr>
        <w:footnoteReference w:id="142"/>
      </w:r>
      <w:r w:rsidRPr="0048465B">
        <w:rPr>
          <w:lang w:val="en-GB"/>
        </w:rPr>
        <w:t xml:space="preserve"> </w:t>
      </w:r>
    </w:p>
    <w:p w14:paraId="4CE06E56" w14:textId="77777777" w:rsidR="00C62C58" w:rsidRDefault="00C62C58" w:rsidP="00FC331F">
      <w:pPr>
        <w:rPr>
          <w:lang w:val="en-GB"/>
        </w:rPr>
      </w:pPr>
    </w:p>
    <w:p w14:paraId="29407DB3" w14:textId="0B6B2F46" w:rsidR="00FC331F" w:rsidRDefault="00FC331F" w:rsidP="00FC331F">
      <w:pPr>
        <w:rPr>
          <w:lang w:val="en-GB"/>
        </w:rPr>
      </w:pPr>
      <w:r w:rsidRPr="0048465B">
        <w:rPr>
          <w:lang w:val="en-GB"/>
        </w:rPr>
        <w:t xml:space="preserve">Perhaps more important than ‘good or ill’ intention, however, is the degree to which the imagery has been manipulated in order to enforce a historically inaccurate or reductive narrative. </w:t>
      </w:r>
      <w:r w:rsidR="00F13356" w:rsidRPr="0048465B">
        <w:rPr>
          <w:lang w:val="en-GB"/>
        </w:rPr>
        <w:t>Despite the positive intentions of Finke</w:t>
      </w:r>
      <w:r w:rsidR="00F13356">
        <w:rPr>
          <w:lang w:val="en-GB"/>
        </w:rPr>
        <w:t>l</w:t>
      </w:r>
      <w:r w:rsidR="00F13356" w:rsidRPr="0048465B">
        <w:rPr>
          <w:lang w:val="en-GB"/>
        </w:rPr>
        <w:t xml:space="preserve">stein’s photo-essay </w:t>
      </w:r>
      <w:r w:rsidR="001A0F8E">
        <w:rPr>
          <w:lang w:val="en-GB"/>
        </w:rPr>
        <w:t>–</w:t>
      </w:r>
      <w:r w:rsidR="00F13356" w:rsidRPr="0048465B">
        <w:rPr>
          <w:lang w:val="en-GB"/>
        </w:rPr>
        <w:t xml:space="preserve"> to raise awareness of Israeli abuses of Palestinians </w:t>
      </w:r>
      <w:r w:rsidR="001A0F8E">
        <w:rPr>
          <w:lang w:val="en-GB"/>
        </w:rPr>
        <w:t>–</w:t>
      </w:r>
      <w:r w:rsidR="00F13356" w:rsidRPr="0048465B">
        <w:rPr>
          <w:lang w:val="en-GB"/>
        </w:rPr>
        <w:t xml:space="preserve"> the manner in which the essay is constructed encourages the reader down a clearly defined narrative path, wherein the exact victimisation of those that went through the Holocaust is transferred onto those in Palestine today. </w:t>
      </w:r>
      <w:r w:rsidRPr="0048465B">
        <w:rPr>
          <w:lang w:val="en-GB"/>
        </w:rPr>
        <w:t>These false equivalencies are implied through the aesthetic similarities of the photos’ respective compositions, the fact that they appear without a border so that they blend into one another,</w:t>
      </w:r>
      <w:r w:rsidRPr="0048465B">
        <w:rPr>
          <w:vertAlign w:val="superscript"/>
          <w:lang w:val="en-GB"/>
        </w:rPr>
        <w:footnoteReference w:id="143"/>
      </w:r>
      <w:r w:rsidRPr="0048465B">
        <w:rPr>
          <w:lang w:val="en-GB"/>
        </w:rPr>
        <w:t xml:space="preserve"> and the contrast of black and white photography with colour, to indicate that this is a timeless evil that has remained the same while the world has evolved around it.</w:t>
      </w:r>
    </w:p>
    <w:p w14:paraId="2A014A47" w14:textId="77777777" w:rsidR="00C439C4" w:rsidRPr="0048465B" w:rsidRDefault="00C439C4" w:rsidP="00FC331F">
      <w:pPr>
        <w:rPr>
          <w:lang w:val="en-GB"/>
        </w:rPr>
      </w:pPr>
    </w:p>
    <w:p w14:paraId="2A23035C" w14:textId="77777777" w:rsidR="00FC331F" w:rsidRPr="0048465B" w:rsidRDefault="00FC331F" w:rsidP="00FC331F">
      <w:pPr>
        <w:jc w:val="center"/>
        <w:rPr>
          <w:lang w:val="en-GB"/>
        </w:rPr>
      </w:pPr>
      <w:r w:rsidRPr="0048465B">
        <w:rPr>
          <w:noProof/>
          <w:lang w:val="en-GB" w:eastAsia="zh-CN"/>
        </w:rPr>
        <w:lastRenderedPageBreak/>
        <w:drawing>
          <wp:inline distT="0" distB="0" distL="0" distR="0" wp14:anchorId="074B003B" wp14:editId="63548C8E">
            <wp:extent cx="2741714" cy="1989150"/>
            <wp:effectExtent l="0" t="0" r="0" b="0"/>
            <wp:docPr id="4" name="image1.jpg" descr="A picture containing outdoor, people, black, group&#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jpg" descr="A picture containing outdoor, people, black, group&#10;&#10;Description automatically generated"/>
                    <pic:cNvPicPr preferRelativeResize="0"/>
                  </pic:nvPicPr>
                  <pic:blipFill>
                    <a:blip r:embed="rId11"/>
                    <a:srcRect/>
                    <a:stretch>
                      <a:fillRect/>
                    </a:stretch>
                  </pic:blipFill>
                  <pic:spPr>
                    <a:xfrm>
                      <a:off x="0" y="0"/>
                      <a:ext cx="2741714" cy="1989150"/>
                    </a:xfrm>
                    <a:prstGeom prst="rect">
                      <a:avLst/>
                    </a:prstGeom>
                    <a:ln/>
                  </pic:spPr>
                </pic:pic>
              </a:graphicData>
            </a:graphic>
          </wp:inline>
        </w:drawing>
      </w:r>
      <w:r w:rsidRPr="0048465B">
        <w:rPr>
          <w:noProof/>
          <w:lang w:val="en-GB" w:eastAsia="zh-CN"/>
        </w:rPr>
        <w:drawing>
          <wp:inline distT="0" distB="0" distL="0" distR="0" wp14:anchorId="3DA11B79" wp14:editId="68A7BC68">
            <wp:extent cx="3155800" cy="2012019"/>
            <wp:effectExtent l="0" t="0" r="0" b="0"/>
            <wp:docPr id="5" name="image2.png" descr="A picture containing sky,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picture containing sky, outdoor&#10;&#10;Description automatically generated"/>
                    <pic:cNvPicPr preferRelativeResize="0"/>
                  </pic:nvPicPr>
                  <pic:blipFill>
                    <a:blip r:embed="rId12"/>
                    <a:srcRect/>
                    <a:stretch>
                      <a:fillRect/>
                    </a:stretch>
                  </pic:blipFill>
                  <pic:spPr>
                    <a:xfrm>
                      <a:off x="0" y="0"/>
                      <a:ext cx="3155800" cy="2012019"/>
                    </a:xfrm>
                    <a:prstGeom prst="rect">
                      <a:avLst/>
                    </a:prstGeom>
                    <a:ln/>
                  </pic:spPr>
                </pic:pic>
              </a:graphicData>
            </a:graphic>
          </wp:inline>
        </w:drawing>
      </w:r>
    </w:p>
    <w:p w14:paraId="13377330" w14:textId="6590768A" w:rsidR="00FC331F" w:rsidRPr="00BA778A" w:rsidRDefault="00FC331F" w:rsidP="00C62C58">
      <w:pPr>
        <w:jc w:val="center"/>
        <w:rPr>
          <w:sz w:val="20"/>
          <w:szCs w:val="20"/>
          <w:vertAlign w:val="superscript"/>
          <w:lang w:val="en-GB"/>
        </w:rPr>
      </w:pPr>
      <w:r w:rsidRPr="00BA778A">
        <w:rPr>
          <w:b/>
          <w:sz w:val="20"/>
          <w:szCs w:val="20"/>
          <w:lang w:val="en-GB"/>
        </w:rPr>
        <w:t>Figures 1 and 2</w:t>
      </w:r>
      <w:r w:rsidRPr="00BA778A">
        <w:rPr>
          <w:sz w:val="20"/>
          <w:szCs w:val="20"/>
          <w:lang w:val="en-GB"/>
        </w:rPr>
        <w:t xml:space="preserve"> </w:t>
      </w:r>
      <w:r w:rsidRPr="00BA778A">
        <w:rPr>
          <w:sz w:val="20"/>
          <w:szCs w:val="20"/>
          <w:vertAlign w:val="superscript"/>
          <w:lang w:val="en-GB"/>
        </w:rPr>
        <w:footnoteReference w:id="144"/>
      </w:r>
    </w:p>
    <w:p w14:paraId="72207ACD" w14:textId="77777777" w:rsidR="00C62C58" w:rsidRPr="0048465B" w:rsidRDefault="00C62C58" w:rsidP="00C62C58">
      <w:pPr>
        <w:jc w:val="center"/>
        <w:rPr>
          <w:vertAlign w:val="superscript"/>
          <w:lang w:val="en-GB"/>
        </w:rPr>
      </w:pPr>
    </w:p>
    <w:p w14:paraId="514AB6DA" w14:textId="5B2FF23F" w:rsidR="00FC331F" w:rsidRPr="0048465B" w:rsidRDefault="00FC331F" w:rsidP="00FC331F">
      <w:pPr>
        <w:rPr>
          <w:lang w:val="en-GB"/>
        </w:rPr>
      </w:pPr>
      <w:r w:rsidRPr="0048465B">
        <w:rPr>
          <w:lang w:val="en-GB"/>
        </w:rPr>
        <w:t xml:space="preserve">Yet these events are not the same. The photo on the left is from the ramp at Auschwitz-Birkenau, where ‘prisoners are about to be assigned to two groups—one that will remain in the camp and one that will be sent immediately to death in the gas chambers’. The photo on the right is of an ‘Israeli-established checkpoint at </w:t>
      </w:r>
      <w:proofErr w:type="spellStart"/>
      <w:r w:rsidRPr="0048465B">
        <w:rPr>
          <w:lang w:val="en-GB"/>
        </w:rPr>
        <w:t>Huwara</w:t>
      </w:r>
      <w:proofErr w:type="spellEnd"/>
      <w:r w:rsidRPr="0048465B">
        <w:rPr>
          <w:lang w:val="en-GB"/>
        </w:rPr>
        <w:t>’.</w:t>
      </w:r>
      <w:r w:rsidRPr="0048465B">
        <w:rPr>
          <w:vertAlign w:val="superscript"/>
          <w:lang w:val="en-GB"/>
        </w:rPr>
        <w:footnoteReference w:id="145"/>
      </w:r>
      <w:r w:rsidRPr="0048465B">
        <w:rPr>
          <w:lang w:val="en-GB"/>
        </w:rPr>
        <w:t xml:space="preserve"> Here, any legitimacy behind Finkelstein’s associated belief that there ‘have been consistent and deliberate attempts to use Jewish suffering [and ‘Holocaust imagery’] to justify human rights atrocities in Israel’</w:t>
      </w:r>
      <w:r w:rsidRPr="0048465B">
        <w:rPr>
          <w:vertAlign w:val="superscript"/>
          <w:lang w:val="en-GB"/>
        </w:rPr>
        <w:footnoteReference w:id="146"/>
      </w:r>
      <w:r w:rsidRPr="0048465B">
        <w:rPr>
          <w:lang w:val="en-GB"/>
        </w:rPr>
        <w:t xml:space="preserve"> is lost through the imprecise nature of his own manipulation of Holocaust imagery to reinforce a particular narrative. Yet again, the evocation of memories of the Holocaust in an attempt to raise awareness about the oppression of Palestinians ultimately fails to acknowledge the specificities of either group, and is unsuccessful in </w:t>
      </w:r>
      <w:r w:rsidR="00692910">
        <w:rPr>
          <w:lang w:val="en-GB"/>
        </w:rPr>
        <w:t xml:space="preserve">aiming specific </w:t>
      </w:r>
      <w:r w:rsidRPr="0048465B">
        <w:rPr>
          <w:lang w:val="en-GB"/>
        </w:rPr>
        <w:t>criticis</w:t>
      </w:r>
      <w:r w:rsidR="00692910">
        <w:rPr>
          <w:lang w:val="en-GB"/>
        </w:rPr>
        <w:t xml:space="preserve">m at </w:t>
      </w:r>
      <w:r w:rsidRPr="0048465B">
        <w:rPr>
          <w:lang w:val="en-GB"/>
        </w:rPr>
        <w:t>Israel in any way.</w:t>
      </w:r>
    </w:p>
    <w:p w14:paraId="3A55AECC" w14:textId="77777777" w:rsidR="00FC331F" w:rsidRPr="0048465B" w:rsidRDefault="00FC331F" w:rsidP="00FC331F">
      <w:pPr>
        <w:rPr>
          <w:lang w:val="en-GB"/>
        </w:rPr>
      </w:pPr>
    </w:p>
    <w:p w14:paraId="041FADA4" w14:textId="35D22384" w:rsidR="00FC331F" w:rsidRPr="0048465B" w:rsidRDefault="00FC331F" w:rsidP="00FC331F">
      <w:pPr>
        <w:tabs>
          <w:tab w:val="left" w:pos="2846"/>
        </w:tabs>
        <w:rPr>
          <w:lang w:val="en-GB"/>
        </w:rPr>
      </w:pPr>
      <w:r w:rsidRPr="0048465B">
        <w:rPr>
          <w:lang w:val="en-GB"/>
        </w:rPr>
        <w:lastRenderedPageBreak/>
        <w:t xml:space="preserve">Such connections not only fail to criticise Israel effectively, but also actively obscure genuine acts of Israeli persecution. This effect is captured distinctly in Henri Raczymow’s metafictional novel </w:t>
      </w:r>
      <w:r w:rsidRPr="0048465B">
        <w:rPr>
          <w:i/>
          <w:lang w:val="en-GB"/>
        </w:rPr>
        <w:t>Writing the Book of Esther</w:t>
      </w:r>
      <w:r w:rsidRPr="0048465B">
        <w:rPr>
          <w:lang w:val="en-GB"/>
        </w:rPr>
        <w:t xml:space="preserve">. In the novel, a fictional author named Mathieu imaginatively reconstructs the life of his sister, Esther, who survived the Holocaust as an infant, and committed suicide in her early thirties. The memory of Esther resurfaces for Mathieu years after her death, when ‘the Israeli </w:t>
      </w:r>
      <w:r w:rsidR="00F13356" w:rsidRPr="0048465B">
        <w:rPr>
          <w:lang w:val="en-GB"/>
        </w:rPr>
        <w:t>defence</w:t>
      </w:r>
      <w:r w:rsidRPr="0048465B">
        <w:rPr>
          <w:lang w:val="en-GB"/>
        </w:rPr>
        <w:t xml:space="preserve"> army invaded southern Lebanon, engaged the Palestinian army in a merciless battle, and occupied West Beirut’. Mathieu recalls, ‘[w]e also learned that West Beirut was the exact replica of the Warsaw Ghetto’, a comparison that is later retracted, as ‘the newspapers said that they had been slightly mistaken. There had been no genocide. And West Beirut had no connection to the Warsaw Ghetto between 1940 and 1943. None whatsoever. So sorry’.</w:t>
      </w:r>
      <w:r w:rsidRPr="0048465B">
        <w:rPr>
          <w:vertAlign w:val="superscript"/>
          <w:lang w:val="en-GB"/>
        </w:rPr>
        <w:footnoteReference w:id="147"/>
      </w:r>
    </w:p>
    <w:p w14:paraId="4E5524C6" w14:textId="77777777" w:rsidR="00FC331F" w:rsidRPr="0048465B" w:rsidRDefault="00FC331F" w:rsidP="00FC331F">
      <w:pPr>
        <w:tabs>
          <w:tab w:val="left" w:pos="2846"/>
        </w:tabs>
        <w:rPr>
          <w:lang w:val="en-GB"/>
        </w:rPr>
      </w:pPr>
    </w:p>
    <w:p w14:paraId="3370A29D" w14:textId="78D9B06A" w:rsidR="00FC331F" w:rsidRPr="0048465B" w:rsidRDefault="00FC331F" w:rsidP="00FC331F">
      <w:pPr>
        <w:tabs>
          <w:tab w:val="left" w:pos="2846"/>
        </w:tabs>
        <w:rPr>
          <w:lang w:val="en-GB"/>
        </w:rPr>
      </w:pPr>
      <w:r w:rsidRPr="0048465B">
        <w:rPr>
          <w:lang w:val="en-GB"/>
        </w:rPr>
        <w:t>Here, the swift turnaround of the press, transitioning from West Beirut being the ‘exact replica of the Warsaw Ghetto’ in the Summer to there being ‘no genocide</w:t>
      </w:r>
      <w:r w:rsidR="000C3FB4">
        <w:rPr>
          <w:lang w:val="en-GB"/>
        </w:rPr>
        <w:t xml:space="preserve"> [… </w:t>
      </w:r>
      <w:r w:rsidRPr="0048465B">
        <w:rPr>
          <w:lang w:val="en-GB"/>
        </w:rPr>
        <w:t>and</w:t>
      </w:r>
      <w:r w:rsidR="000C3FB4">
        <w:rPr>
          <w:lang w:val="en-GB"/>
        </w:rPr>
        <w:t xml:space="preserve"> …] </w:t>
      </w:r>
      <w:r w:rsidRPr="0048465B">
        <w:rPr>
          <w:lang w:val="en-GB"/>
        </w:rPr>
        <w:t>no connection to the Warsaw Ghetto</w:t>
      </w:r>
      <w:r w:rsidR="000C3FB4">
        <w:rPr>
          <w:lang w:val="en-GB"/>
        </w:rPr>
        <w:t xml:space="preserve"> […] </w:t>
      </w:r>
      <w:r w:rsidRPr="0048465B">
        <w:rPr>
          <w:lang w:val="en-GB"/>
        </w:rPr>
        <w:t>whatsoever’ in the Autumn, exemplifies the flaws in such over-simplified thinking. The suggestion that West Beirut is the exact replica of the Warsaw Ghetto – accentuated by Raczymow’s use of the equals symbol in the sub-chapter heading ‘</w:t>
      </w:r>
      <w:r w:rsidRPr="0048465B">
        <w:rPr>
          <w:i/>
          <w:lang w:val="en-GB"/>
        </w:rPr>
        <w:t>West Beirut = Warsaw Ghetto</w:t>
      </w:r>
      <w:r w:rsidRPr="0048465B">
        <w:rPr>
          <w:lang w:val="en-GB"/>
        </w:rPr>
        <w:t>’,</w:t>
      </w:r>
      <w:r w:rsidRPr="0048465B">
        <w:rPr>
          <w:vertAlign w:val="superscript"/>
          <w:lang w:val="en-GB"/>
        </w:rPr>
        <w:footnoteReference w:id="148"/>
      </w:r>
      <w:r w:rsidRPr="0048465B">
        <w:rPr>
          <w:lang w:val="en-GB"/>
        </w:rPr>
        <w:t xml:space="preserve"> and similar to Mathieu’s recollections of people yelling ‘</w:t>
      </w:r>
      <w:r w:rsidRPr="0048465B">
        <w:rPr>
          <w:i/>
          <w:lang w:val="en-GB"/>
        </w:rPr>
        <w:t>Israel = Nazi</w:t>
      </w:r>
      <w:r w:rsidRPr="0048465B">
        <w:rPr>
          <w:lang w:val="en-GB"/>
        </w:rPr>
        <w:t>’ and ‘</w:t>
      </w:r>
      <w:r w:rsidRPr="0048465B">
        <w:rPr>
          <w:i/>
          <w:lang w:val="en-GB"/>
        </w:rPr>
        <w:t>Israel = SS</w:t>
      </w:r>
      <w:r w:rsidRPr="0048465B">
        <w:rPr>
          <w:lang w:val="en-GB"/>
        </w:rPr>
        <w:t>’</w:t>
      </w:r>
      <w:r w:rsidRPr="0048465B">
        <w:rPr>
          <w:vertAlign w:val="superscript"/>
          <w:lang w:val="en-GB"/>
        </w:rPr>
        <w:footnoteReference w:id="149"/>
      </w:r>
      <w:r w:rsidRPr="0048465B">
        <w:rPr>
          <w:lang w:val="en-GB"/>
        </w:rPr>
        <w:t xml:space="preserve"> – is indicative of the broader tendency of ‘“automatic comparison”’, wherein the vast differences between events are compressed and elided, a process described by Claude Lanzmann </w:t>
      </w:r>
      <w:r w:rsidRPr="0048465B">
        <w:rPr>
          <w:lang w:val="en-GB"/>
        </w:rPr>
        <w:lastRenderedPageBreak/>
        <w:t>as ‘“a way of silencing all discourse. A gag rule. No more debate”’.</w:t>
      </w:r>
      <w:r w:rsidRPr="0048465B">
        <w:rPr>
          <w:vertAlign w:val="superscript"/>
          <w:lang w:val="en-GB"/>
        </w:rPr>
        <w:footnoteReference w:id="150"/>
      </w:r>
      <w:r w:rsidRPr="0048465B">
        <w:rPr>
          <w:lang w:val="en-GB"/>
        </w:rPr>
        <w:t xml:space="preserve"> Such comparisons inevitably fall apart under even the most rudimentary of analyses. Yet as these </w:t>
      </w:r>
      <w:r w:rsidR="00E3776A">
        <w:rPr>
          <w:lang w:val="en-GB"/>
        </w:rPr>
        <w:t>reductive</w:t>
      </w:r>
      <w:r w:rsidR="00E3776A" w:rsidRPr="0048465B">
        <w:rPr>
          <w:lang w:val="en-GB"/>
        </w:rPr>
        <w:t xml:space="preserve"> </w:t>
      </w:r>
      <w:r w:rsidRPr="0048465B">
        <w:rPr>
          <w:lang w:val="en-GB"/>
        </w:rPr>
        <w:t xml:space="preserve">assertions are discounted, the elements of truth that </w:t>
      </w:r>
      <w:r w:rsidR="00C342B6">
        <w:rPr>
          <w:lang w:val="en-GB"/>
        </w:rPr>
        <w:t>lie</w:t>
      </w:r>
      <w:r w:rsidRPr="0048465B">
        <w:rPr>
          <w:lang w:val="en-GB"/>
        </w:rPr>
        <w:t xml:space="preserve"> within them are discounted too, considered to be contributory to an offensive and prejudiced allegation, regardless of their individual content. Whilst it would be inaccurate to say that West Beirut and the Warsaw Ghetto were exactly the same, it would also be inaccurate to suggest that they share</w:t>
      </w:r>
      <w:r w:rsidR="00692910">
        <w:rPr>
          <w:lang w:val="en-GB"/>
        </w:rPr>
        <w:t>d</w:t>
      </w:r>
      <w:r w:rsidRPr="0048465B">
        <w:rPr>
          <w:lang w:val="en-GB"/>
        </w:rPr>
        <w:t xml:space="preserve"> no similarities whatsoever, and whilst the equation of the two events initially served to raise awareness of the massacre in West Beirut, it ultimately led to the assertion that there unequivocally ‘had been no genocide’, an assertion in direct contradiction of United Nations and independent commissions.</w:t>
      </w:r>
      <w:r w:rsidRPr="0048465B">
        <w:rPr>
          <w:vertAlign w:val="superscript"/>
          <w:lang w:val="en-GB"/>
        </w:rPr>
        <w:footnoteReference w:id="151"/>
      </w:r>
    </w:p>
    <w:p w14:paraId="031B1CFB" w14:textId="77777777" w:rsidR="00FC331F" w:rsidRPr="0048465B" w:rsidRDefault="00FC331F" w:rsidP="00FC331F">
      <w:pPr>
        <w:rPr>
          <w:lang w:val="en-GB"/>
        </w:rPr>
      </w:pPr>
    </w:p>
    <w:p w14:paraId="423388A6" w14:textId="40DF8390" w:rsidR="00FC331F" w:rsidRPr="0048465B" w:rsidRDefault="00FC331F" w:rsidP="00FC331F">
      <w:pPr>
        <w:rPr>
          <w:lang w:val="en-GB"/>
        </w:rPr>
      </w:pPr>
      <w:r w:rsidRPr="0048465B">
        <w:rPr>
          <w:lang w:val="en-GB"/>
        </w:rPr>
        <w:t>Sara Ahmed writes with regard to the act of speaking out against discrimination, ‘[w]hen we don’t speak about violence we reproduce violence. Silence about violence is violence’.</w:t>
      </w:r>
      <w:r w:rsidRPr="0048465B">
        <w:rPr>
          <w:vertAlign w:val="superscript"/>
          <w:lang w:val="en-GB"/>
        </w:rPr>
        <w:footnoteReference w:id="152"/>
      </w:r>
      <w:r w:rsidRPr="0048465B">
        <w:rPr>
          <w:lang w:val="en-GB"/>
        </w:rPr>
        <w:t xml:space="preserve"> Whilst the real media events fictionalised by Raczymow,</w:t>
      </w:r>
      <w:r w:rsidRPr="0048465B">
        <w:rPr>
          <w:vertAlign w:val="superscript"/>
          <w:lang w:val="en-GB"/>
        </w:rPr>
        <w:footnoteReference w:id="153"/>
      </w:r>
      <w:r w:rsidRPr="0048465B">
        <w:rPr>
          <w:lang w:val="en-GB"/>
        </w:rPr>
        <w:t xml:space="preserve"> in addition to both King and Robinson’s contributions, attempt to speak out and illuminate the issue of Palestinian oppression, each of these vocalisations focuses more on the history of oppression with which Israel is entwined than they do on Palestinian oppression today. Through grounding their criticisms of Israel in the Holocaust, such articulations distract from the real victims of Israeli oppression, and in doing so both bolster the ideological framework that paints criticisms of Israel as antisemitic, and contribute to the </w:t>
      </w:r>
      <w:r w:rsidRPr="0048465B">
        <w:rPr>
          <w:lang w:val="en-GB"/>
        </w:rPr>
        <w:lastRenderedPageBreak/>
        <w:t>apprehensive atmosphere surrounding such criticisms, an atmosphere that produces silence, and thus allows yet more violence.</w:t>
      </w:r>
    </w:p>
    <w:p w14:paraId="4E0E1C60" w14:textId="77777777" w:rsidR="00FC331F" w:rsidRPr="0048465B" w:rsidRDefault="00FC331F" w:rsidP="00FC331F">
      <w:pPr>
        <w:rPr>
          <w:lang w:val="en-GB"/>
        </w:rPr>
      </w:pPr>
    </w:p>
    <w:p w14:paraId="0E637814" w14:textId="77777777" w:rsidR="00FC331F" w:rsidRPr="0048465B" w:rsidRDefault="00FC331F" w:rsidP="00FC331F">
      <w:pPr>
        <w:rPr>
          <w:lang w:val="en-GB"/>
        </w:rPr>
      </w:pPr>
      <w:r w:rsidRPr="0048465B">
        <w:rPr>
          <w:lang w:val="en-GB"/>
        </w:rPr>
        <w:t xml:space="preserve">Mishandled attempts at the connection of memories such as these make what is already a very highly charged political arena even more so, and complicate even those multidirectional attempts that exercise extreme caution surrounding criticisms of Israel. One text that manages to avoid confrontation between the two peoples, yet encounters a separate complication in doing so, is the novel </w:t>
      </w:r>
      <w:r w:rsidRPr="0048465B">
        <w:rPr>
          <w:i/>
          <w:lang w:val="en-GB"/>
        </w:rPr>
        <w:t>The Nature of Blood</w:t>
      </w:r>
      <w:r w:rsidRPr="0048465B">
        <w:rPr>
          <w:lang w:val="en-GB"/>
        </w:rPr>
        <w:t>, by Caryl Phillips.</w:t>
      </w:r>
    </w:p>
    <w:p w14:paraId="19024BA5" w14:textId="77777777" w:rsidR="00FC331F" w:rsidRPr="0048465B" w:rsidRDefault="00FC331F" w:rsidP="00FC331F">
      <w:pPr>
        <w:rPr>
          <w:lang w:val="en-GB"/>
        </w:rPr>
      </w:pPr>
    </w:p>
    <w:p w14:paraId="081CAB26" w14:textId="27CC88E6" w:rsidR="00FC331F" w:rsidRPr="0048465B" w:rsidRDefault="00FC331F" w:rsidP="00FC331F">
      <w:pPr>
        <w:rPr>
          <w:lang w:val="en-GB"/>
        </w:rPr>
      </w:pPr>
      <w:r w:rsidRPr="0048465B">
        <w:rPr>
          <w:lang w:val="en-GB"/>
        </w:rPr>
        <w:t>Despite being written before the concept of multidirectional memory was formulated, Phillips’ novel is undeniably multidirectional.</w:t>
      </w:r>
      <w:r w:rsidR="0067334B">
        <w:rPr>
          <w:lang w:val="en-GB"/>
        </w:rPr>
        <w:t xml:space="preserve"> </w:t>
      </w:r>
      <w:r w:rsidR="0067334B" w:rsidRPr="0067334B">
        <w:rPr>
          <w:lang w:val="en-GB"/>
        </w:rPr>
        <w:t xml:space="preserve">Raised in England, but born in the former British colony of St. Kitts, both Phillips’ fictional and autobiographical works reflect the complexities of diaspora existence, with explorations of ethnic discrimination and the notion of belonging regular features of his work. </w:t>
      </w:r>
      <w:r w:rsidR="0067334B" w:rsidRPr="0067334B">
        <w:rPr>
          <w:i/>
          <w:iCs/>
          <w:lang w:val="en-GB"/>
        </w:rPr>
        <w:t>The Nature of Blood</w:t>
      </w:r>
      <w:r w:rsidR="0067334B" w:rsidRPr="0067334B">
        <w:rPr>
          <w:lang w:val="en-GB"/>
        </w:rPr>
        <w:t xml:space="preserve"> is no different, Phillips examining ethnic and religious persecution from a number of markedly diverse angles, the most notable of which are the first-person perspective of Othello as he attempts to ingratiate himself to Venetian high society, the internal ruminations of a Jewish Holocaust survivor named Eva, and the omniscient narration of a trial of Venetian Jews accused of religiously motivated murder in the fifteenth century. Whilst none of these narratives feature Israel or Palestine, they complement another narrative that does, that of Eva’s Uncle Stephan, who is shortly to depart for Palestine at the very beginning of the novel, and is seen living in Israel many years later in the final chapter.</w:t>
      </w:r>
      <w:r w:rsidR="00003F6C">
        <w:rPr>
          <w:lang w:val="en-GB"/>
        </w:rPr>
        <w:t xml:space="preserve"> </w:t>
      </w:r>
      <w:r w:rsidRPr="0048465B">
        <w:rPr>
          <w:lang w:val="en-GB"/>
        </w:rPr>
        <w:t>This framing of the novel, in Rothberg’s eyes, enables the creation of the Israeli state and</w:t>
      </w:r>
      <w:r w:rsidR="00003F6C">
        <w:rPr>
          <w:lang w:val="en-GB"/>
        </w:rPr>
        <w:t xml:space="preserve"> the</w:t>
      </w:r>
      <w:r w:rsidRPr="0048465B">
        <w:rPr>
          <w:lang w:val="en-GB"/>
        </w:rPr>
        <w:t xml:space="preserve"> consequent </w:t>
      </w:r>
      <w:r w:rsidR="00003F6C">
        <w:rPr>
          <w:lang w:val="en-GB"/>
        </w:rPr>
        <w:t xml:space="preserve">oppression of </w:t>
      </w:r>
      <w:r w:rsidRPr="0048465B">
        <w:rPr>
          <w:lang w:val="en-GB"/>
        </w:rPr>
        <w:lastRenderedPageBreak/>
        <w:t xml:space="preserve">Palestinian </w:t>
      </w:r>
      <w:r w:rsidR="00003F6C">
        <w:rPr>
          <w:lang w:val="en-GB"/>
        </w:rPr>
        <w:t xml:space="preserve">people </w:t>
      </w:r>
      <w:r w:rsidRPr="0048465B">
        <w:rPr>
          <w:lang w:val="en-GB"/>
        </w:rPr>
        <w:t>to hover over the book</w:t>
      </w:r>
      <w:r w:rsidR="00003F6C">
        <w:rPr>
          <w:lang w:val="en-GB"/>
        </w:rPr>
        <w:t xml:space="preserve">, </w:t>
      </w:r>
      <w:r w:rsidRPr="0048465B">
        <w:rPr>
          <w:lang w:val="en-GB"/>
        </w:rPr>
        <w:t xml:space="preserve">included in the novel’s exploration of Jewish histories of oppression, despite the fact that the novel </w:t>
      </w:r>
      <w:r w:rsidR="00003F6C">
        <w:rPr>
          <w:lang w:val="en-GB"/>
        </w:rPr>
        <w:t xml:space="preserve">makes no explicit reference to </w:t>
      </w:r>
      <w:r w:rsidRPr="0048465B">
        <w:rPr>
          <w:lang w:val="en-GB"/>
        </w:rPr>
        <w:t xml:space="preserve">the conflict itself. </w:t>
      </w:r>
    </w:p>
    <w:p w14:paraId="4EDE78BE" w14:textId="77777777" w:rsidR="00FC331F" w:rsidRPr="0048465B" w:rsidRDefault="00FC331F" w:rsidP="00FC331F">
      <w:pPr>
        <w:rPr>
          <w:lang w:val="en-GB"/>
        </w:rPr>
      </w:pPr>
    </w:p>
    <w:p w14:paraId="47CAE3BE" w14:textId="77777777" w:rsidR="00FC331F" w:rsidRPr="0048465B" w:rsidRDefault="00FC331F" w:rsidP="00FC331F">
      <w:pPr>
        <w:rPr>
          <w:lang w:val="en-GB"/>
        </w:rPr>
      </w:pPr>
      <w:r w:rsidRPr="0048465B">
        <w:rPr>
          <w:lang w:val="en-GB"/>
        </w:rPr>
        <w:t>Indeed, Phillips’ inclusion of the Israeli-Palestinian conflict through the Uncle Stephan narrative ensures that the on-going Israeli-Palestinian conflict, so vastly different to the ghettoization of Jews in the fifteenth century, and the attempted extermination of the Jews in the mid-twentieth century, is nonetheless incorporated as part of our composite understanding of what modern Jewish politico-historical identity is. Ana Miller argues that, through Phillips’ inclusion of Palestine, he succeeds in avoiding ‘an antagonist politics of memory by encouraging a sympathetic response to Jewish suffering[,] without overlooking Israel as a colonial formation that enacts unacceptable violence against Palestinians’.</w:t>
      </w:r>
      <w:r w:rsidRPr="0048465B">
        <w:rPr>
          <w:vertAlign w:val="superscript"/>
          <w:lang w:val="en-GB"/>
        </w:rPr>
        <w:footnoteReference w:id="154"/>
      </w:r>
      <w:r w:rsidRPr="0048465B">
        <w:rPr>
          <w:lang w:val="en-GB"/>
        </w:rPr>
        <w:t xml:space="preserve"> Isabelle Hesse offers a similar reading, stating that Phillips’ work, at the very least, reveals to us ‘the problems the occupation generates for contemporary Israeli Jewish identity, which still relies on images of Jewishness related to victimhood to justify the violation of human rights in order to safeguard the supposedly threatened existence of Israel’.</w:t>
      </w:r>
      <w:r w:rsidRPr="0048465B">
        <w:rPr>
          <w:vertAlign w:val="superscript"/>
          <w:lang w:val="en-GB"/>
        </w:rPr>
        <w:footnoteReference w:id="155"/>
      </w:r>
    </w:p>
    <w:p w14:paraId="4D8FDE3E" w14:textId="77777777" w:rsidR="00FC331F" w:rsidRPr="0048465B" w:rsidRDefault="00FC331F" w:rsidP="00FC331F">
      <w:pPr>
        <w:rPr>
          <w:lang w:val="en-GB"/>
        </w:rPr>
      </w:pPr>
    </w:p>
    <w:p w14:paraId="234DD1C8" w14:textId="5942CA92" w:rsidR="00FC331F" w:rsidRPr="0048465B" w:rsidRDefault="00FC331F" w:rsidP="00FC331F">
      <w:pPr>
        <w:rPr>
          <w:lang w:val="en-GB"/>
        </w:rPr>
      </w:pPr>
      <w:r w:rsidRPr="0048465B">
        <w:rPr>
          <w:lang w:val="en-GB"/>
        </w:rPr>
        <w:t xml:space="preserve">The final vestige of criticism within the novel is found in its gentle disavowal of Israel, displayed through both Stephan’s solitude and nostalgia for a time before Israel, when he was able to spend time with his nieces, wife, and child, and through the introduction of the African Jew Malka, who functions as a subversion of Israel’s ‘claims of founding an ethnic nation for the people of one </w:t>
      </w:r>
      <w:r w:rsidRPr="0048465B">
        <w:rPr>
          <w:lang w:val="en-GB"/>
        </w:rPr>
        <w:lastRenderedPageBreak/>
        <w:t>race’.</w:t>
      </w:r>
      <w:r w:rsidRPr="0048465B">
        <w:rPr>
          <w:vertAlign w:val="superscript"/>
          <w:lang w:val="en-GB"/>
        </w:rPr>
        <w:footnoteReference w:id="156"/>
      </w:r>
      <w:r w:rsidRPr="0048465B">
        <w:rPr>
          <w:lang w:val="en-GB"/>
        </w:rPr>
        <w:t xml:space="preserve"> When the ageing Stephan meets the young Malka and later shares a bed with her, he contemplates her black skin, and concludes – despite her Jewishness – that she ‘belong[s] to another land</w:t>
      </w:r>
      <w:r w:rsidR="000C3FB4">
        <w:rPr>
          <w:lang w:val="en-GB"/>
        </w:rPr>
        <w:t xml:space="preserve"> [… </w:t>
      </w:r>
      <w:r w:rsidRPr="0048465B">
        <w:rPr>
          <w:lang w:val="en-GB"/>
        </w:rPr>
        <w:t>a</w:t>
      </w:r>
      <w:r w:rsidR="000C3FB4">
        <w:rPr>
          <w:lang w:val="en-GB"/>
        </w:rPr>
        <w:t xml:space="preserve"> …] </w:t>
      </w:r>
      <w:r w:rsidRPr="0048465B">
        <w:rPr>
          <w:lang w:val="en-GB"/>
        </w:rPr>
        <w:t>primitive world’.</w:t>
      </w:r>
      <w:r w:rsidRPr="0048465B">
        <w:rPr>
          <w:vertAlign w:val="superscript"/>
          <w:lang w:val="en-GB"/>
        </w:rPr>
        <w:footnoteReference w:id="157"/>
      </w:r>
      <w:r w:rsidRPr="0048465B">
        <w:rPr>
          <w:lang w:val="en-GB"/>
        </w:rPr>
        <w:t xml:space="preserve"> The ostensible freedom and equality of Israel, where the Jewish Malka travelled in order to be ‘</w:t>
      </w:r>
      <w:r w:rsidRPr="0048465B">
        <w:rPr>
          <w:i/>
          <w:lang w:val="en-GB"/>
        </w:rPr>
        <w:t>home</w:t>
      </w:r>
      <w:r w:rsidRPr="0048465B">
        <w:rPr>
          <w:lang w:val="en-GB"/>
        </w:rPr>
        <w:t>’ and ‘</w:t>
      </w:r>
      <w:r w:rsidRPr="0048465B">
        <w:rPr>
          <w:i/>
          <w:lang w:val="en-GB"/>
        </w:rPr>
        <w:t>[n]o longer landless</w:t>
      </w:r>
      <w:r w:rsidRPr="0048465B">
        <w:rPr>
          <w:lang w:val="en-GB"/>
        </w:rPr>
        <w:t>’, is identified as inaccessible for Jews of African origin. Phillips’ text, according to Miller, thus not only reveals the ‘racial hierarchies that divide Jewish communities in Israel’, but also ‘reveals how people who have been persecuted can become implicated in oppression’,</w:t>
      </w:r>
      <w:r w:rsidRPr="0048465B">
        <w:rPr>
          <w:vertAlign w:val="superscript"/>
          <w:lang w:val="en-GB"/>
        </w:rPr>
        <w:footnoteReference w:id="158"/>
      </w:r>
      <w:r w:rsidRPr="0048465B">
        <w:rPr>
          <w:lang w:val="en-GB"/>
        </w:rPr>
        <w:t xml:space="preserve"> all the while refraining from making offensive comparisons or disparaging the trauma of the Holocaust.</w:t>
      </w:r>
    </w:p>
    <w:p w14:paraId="7B75B6A7" w14:textId="77777777" w:rsidR="00FC331F" w:rsidRPr="0048465B" w:rsidRDefault="00FC331F" w:rsidP="00FC331F">
      <w:pPr>
        <w:rPr>
          <w:lang w:val="en-GB"/>
        </w:rPr>
      </w:pPr>
    </w:p>
    <w:p w14:paraId="6DED0C11" w14:textId="251F46C4" w:rsidR="00FC331F" w:rsidRPr="0048465B" w:rsidRDefault="00FC331F" w:rsidP="00FC331F">
      <w:pPr>
        <w:rPr>
          <w:lang w:val="en-GB"/>
        </w:rPr>
      </w:pPr>
      <w:r w:rsidRPr="0048465B">
        <w:rPr>
          <w:lang w:val="en-GB"/>
        </w:rPr>
        <w:t>However, whilst Phillips refrains from downplaying the suffering encountered both during and after the Holocaust, he does so without fully engaging with the suffering of Palestinians. As previously mentioned, Rothberg claims that the ‘presence [of the Palestinians] shadows the text from the opening page’,</w:t>
      </w:r>
      <w:r w:rsidRPr="0048465B">
        <w:rPr>
          <w:vertAlign w:val="superscript"/>
          <w:lang w:val="en-GB"/>
        </w:rPr>
        <w:footnoteReference w:id="159"/>
      </w:r>
      <w:r w:rsidRPr="0048465B">
        <w:rPr>
          <w:lang w:val="en-GB"/>
        </w:rPr>
        <w:t xml:space="preserve"> yet whilst such an overshadowing is arguably present,</w:t>
      </w:r>
      <w:r w:rsidR="00003F6C">
        <w:rPr>
          <w:lang w:val="en-GB"/>
        </w:rPr>
        <w:t xml:space="preserve"> it is nonetheless defined by absence, an</w:t>
      </w:r>
      <w:r w:rsidRPr="0048465B">
        <w:rPr>
          <w:lang w:val="en-GB"/>
        </w:rPr>
        <w:t xml:space="preserve"> indirect form of representation </w:t>
      </w:r>
      <w:r w:rsidR="00003F6C">
        <w:rPr>
          <w:lang w:val="en-GB"/>
        </w:rPr>
        <w:t>that further</w:t>
      </w:r>
      <w:r w:rsidRPr="0048465B">
        <w:rPr>
          <w:lang w:val="en-GB"/>
        </w:rPr>
        <w:t xml:space="preserve"> ensures that any and all criticisms of Israel are equally hazy, abstract, and indirect. Miller suggests that Phillips’ ‘hesitation in addressing explicitly the issue of Israel/Palestine indicates the on-going influence of a taboo against criticizing Israel’s treatment of the Palestinians within British and especially North American culture’,</w:t>
      </w:r>
      <w:r w:rsidRPr="0048465B">
        <w:rPr>
          <w:vertAlign w:val="superscript"/>
          <w:lang w:val="en-GB"/>
        </w:rPr>
        <w:footnoteReference w:id="160"/>
      </w:r>
      <w:r w:rsidRPr="0048465B">
        <w:rPr>
          <w:lang w:val="en-GB"/>
        </w:rPr>
        <w:t xml:space="preserve"> the very same taboo that is strengthened by unrefined conflations of contemporary Israeli human rights abuses and Jewish historical suffering, such as those implicitly tendered by King and Robinson. Moreover, whilst Stephan’s nostalgia could represent a mild </w:t>
      </w:r>
      <w:r w:rsidRPr="0048465B">
        <w:rPr>
          <w:lang w:val="en-GB"/>
        </w:rPr>
        <w:lastRenderedPageBreak/>
        <w:t>rejection of Israel, it could just as feasibly represent an isolated longing for a time before the Holocaust specifically, and whilst Phillips skilfully highlights the racial prejudice alive in Israel today, he does so through highlighting intra-Jewish racism, rather than the more urgent and existential Israeli-Palestinian antagonism. Thus, whilst Phillips is successful in connecting the two events, the success of the connection is dependent upon its timidity, as Israel largely avoids criticism, and Palestinian pain remains unexplored.</w:t>
      </w:r>
    </w:p>
    <w:p w14:paraId="39F4DB7E" w14:textId="77777777" w:rsidR="00FC331F" w:rsidRPr="0048465B" w:rsidRDefault="00FC331F" w:rsidP="00FC331F">
      <w:pPr>
        <w:rPr>
          <w:lang w:val="en-GB"/>
        </w:rPr>
      </w:pPr>
      <w:r w:rsidRPr="0048465B">
        <w:rPr>
          <w:lang w:val="en-GB"/>
        </w:rPr>
        <w:t xml:space="preserve"> </w:t>
      </w:r>
    </w:p>
    <w:p w14:paraId="0195393C" w14:textId="77777777" w:rsidR="00FC331F" w:rsidRPr="0048465B" w:rsidRDefault="00FC331F" w:rsidP="00FC331F">
      <w:pPr>
        <w:rPr>
          <w:lang w:val="en-GB"/>
        </w:rPr>
      </w:pPr>
      <w:r w:rsidRPr="0048465B">
        <w:rPr>
          <w:lang w:val="en-GB"/>
        </w:rPr>
        <w:t xml:space="preserve">Phillips’ connection, with its exploration of the Holocaust at the expense of Palestinian suffering, is reversed in testimonial documentary </w:t>
      </w:r>
      <w:r w:rsidRPr="0048465B">
        <w:rPr>
          <w:i/>
          <w:lang w:val="en-GB"/>
        </w:rPr>
        <w:t>Disturbing the Peace</w:t>
      </w:r>
      <w:r w:rsidRPr="0048465B">
        <w:rPr>
          <w:lang w:val="en-GB"/>
        </w:rPr>
        <w:t>.</w:t>
      </w:r>
      <w:r w:rsidRPr="0048465B">
        <w:rPr>
          <w:vertAlign w:val="superscript"/>
          <w:lang w:val="en-GB"/>
        </w:rPr>
        <w:footnoteReference w:id="161"/>
      </w:r>
      <w:r w:rsidRPr="0048465B">
        <w:rPr>
          <w:lang w:val="en-GB"/>
        </w:rPr>
        <w:t xml:space="preserve"> Directed and produced by Stephen Apkon, the documentary follows former Israeli and Palestinian combatants as they tell the story of how they came to work alongside one another, a story that largely ignores the role of the Holocaust in the creation of Israel and the consequent dispossession of Palestinians.</w:t>
      </w:r>
    </w:p>
    <w:p w14:paraId="54C158B6" w14:textId="77777777" w:rsidR="00FC331F" w:rsidRPr="0048465B" w:rsidRDefault="00FC331F" w:rsidP="00FC331F">
      <w:pPr>
        <w:rPr>
          <w:lang w:val="en-GB"/>
        </w:rPr>
      </w:pPr>
    </w:p>
    <w:p w14:paraId="18751483" w14:textId="152B3B17" w:rsidR="00FC331F" w:rsidRPr="0048465B" w:rsidRDefault="00FC331F" w:rsidP="00FC331F">
      <w:pPr>
        <w:rPr>
          <w:lang w:val="en-GB"/>
        </w:rPr>
      </w:pPr>
      <w:r w:rsidRPr="0048465B">
        <w:rPr>
          <w:lang w:val="en-GB"/>
        </w:rPr>
        <w:t>One moment where the Holocaust is explored, however, is</w:t>
      </w:r>
      <w:r w:rsidR="00003F6C">
        <w:rPr>
          <w:lang w:val="en-GB"/>
        </w:rPr>
        <w:t xml:space="preserve"> as</w:t>
      </w:r>
      <w:r w:rsidRPr="0048465B">
        <w:rPr>
          <w:lang w:val="en-GB"/>
        </w:rPr>
        <w:t xml:space="preserve"> part of a series of multidirectional accounts that are triggered by the single testimony of an Israeli Airforce officer. One of these testimonies is that of </w:t>
      </w:r>
      <w:r w:rsidR="00003F6C">
        <w:rPr>
          <w:lang w:val="en-GB"/>
        </w:rPr>
        <w:t xml:space="preserve">former </w:t>
      </w:r>
      <w:r w:rsidRPr="0048465B">
        <w:rPr>
          <w:lang w:val="en-GB"/>
        </w:rPr>
        <w:t xml:space="preserve">Palestinian fighter Sulaiman Khatib, who gives an account of his time in prison alongside </w:t>
      </w:r>
      <w:r w:rsidR="006C2563">
        <w:rPr>
          <w:lang w:val="en-GB"/>
        </w:rPr>
        <w:t>others</w:t>
      </w:r>
      <w:r w:rsidRPr="0048465B">
        <w:rPr>
          <w:lang w:val="en-GB"/>
        </w:rPr>
        <w:t xml:space="preserve"> incarcerated for fighting the occupation. He recalls:</w:t>
      </w:r>
    </w:p>
    <w:p w14:paraId="5EA0B516" w14:textId="77777777" w:rsidR="00FC331F" w:rsidRPr="0048465B" w:rsidRDefault="00FC331F" w:rsidP="00FC331F">
      <w:pPr>
        <w:ind w:left="720"/>
        <w:rPr>
          <w:lang w:val="en-GB"/>
        </w:rPr>
      </w:pPr>
    </w:p>
    <w:p w14:paraId="5650027B" w14:textId="72622F02" w:rsidR="00FC331F" w:rsidRPr="0048465B" w:rsidRDefault="00FC331F" w:rsidP="00FC331F">
      <w:pPr>
        <w:ind w:left="720"/>
        <w:rPr>
          <w:lang w:val="en-GB"/>
        </w:rPr>
      </w:pPr>
      <w:r w:rsidRPr="0048465B">
        <w:rPr>
          <w:lang w:val="en-GB"/>
        </w:rPr>
        <w:t xml:space="preserve">We watched a movie about the Holocaust. I think it was called </w:t>
      </w:r>
      <w:r w:rsidRPr="0048465B">
        <w:rPr>
          <w:i/>
          <w:lang w:val="en-GB"/>
        </w:rPr>
        <w:t>Schindler’s List</w:t>
      </w:r>
      <w:r w:rsidRPr="0048465B">
        <w:rPr>
          <w:lang w:val="en-GB"/>
        </w:rPr>
        <w:t xml:space="preserve">. All of us were moved by it and even crying. This is a very complicated situation. We’re talking about the grandfathers of the Israelis </w:t>
      </w:r>
      <w:r w:rsidR="0029114E">
        <w:rPr>
          <w:lang w:val="en-GB"/>
        </w:rPr>
        <w:t>-</w:t>
      </w:r>
      <w:r w:rsidRPr="0048465B">
        <w:rPr>
          <w:lang w:val="en-GB"/>
        </w:rPr>
        <w:t xml:space="preserve"> our jailers. Yet, we felt compassion for these people. I </w:t>
      </w:r>
      <w:r w:rsidRPr="0048465B">
        <w:rPr>
          <w:lang w:val="en-GB"/>
        </w:rPr>
        <w:lastRenderedPageBreak/>
        <w:t>became open to learning about Israelis. I started to read Hebrew and try to understand the conflict from other points of view. I tried to see things</w:t>
      </w:r>
      <w:r w:rsidR="000C3FB4">
        <w:rPr>
          <w:lang w:val="en-GB"/>
        </w:rPr>
        <w:t xml:space="preserve"> […] </w:t>
      </w:r>
      <w:r w:rsidRPr="0048465B">
        <w:rPr>
          <w:lang w:val="en-GB"/>
        </w:rPr>
        <w:t>beyond boundaries.</w:t>
      </w:r>
      <w:r w:rsidRPr="0048465B">
        <w:rPr>
          <w:vertAlign w:val="superscript"/>
          <w:lang w:val="en-GB"/>
        </w:rPr>
        <w:footnoteReference w:id="162"/>
      </w:r>
    </w:p>
    <w:p w14:paraId="567BFB54" w14:textId="77777777" w:rsidR="00FC331F" w:rsidRPr="0048465B" w:rsidRDefault="00FC331F" w:rsidP="00FC331F">
      <w:pPr>
        <w:rPr>
          <w:lang w:val="en-GB"/>
        </w:rPr>
      </w:pPr>
    </w:p>
    <w:p w14:paraId="6D65ACC4" w14:textId="071E2AF8" w:rsidR="00FC331F" w:rsidRPr="0048465B" w:rsidRDefault="00FC331F" w:rsidP="00FC331F">
      <w:pPr>
        <w:rPr>
          <w:lang w:val="en-GB"/>
        </w:rPr>
      </w:pPr>
      <w:r w:rsidRPr="0048465B">
        <w:rPr>
          <w:lang w:val="en-GB"/>
        </w:rPr>
        <w:t xml:space="preserve">Whilst </w:t>
      </w:r>
      <w:r w:rsidR="00FE31CE">
        <w:rPr>
          <w:lang w:val="en-GB"/>
        </w:rPr>
        <w:t xml:space="preserve">both </w:t>
      </w:r>
      <w:r w:rsidRPr="0048465B">
        <w:rPr>
          <w:lang w:val="en-GB"/>
        </w:rPr>
        <w:t xml:space="preserve">Khatib’s account </w:t>
      </w:r>
      <w:r w:rsidR="00FE31CE">
        <w:rPr>
          <w:lang w:val="en-GB"/>
        </w:rPr>
        <w:t>and</w:t>
      </w:r>
      <w:r w:rsidRPr="0048465B">
        <w:rPr>
          <w:lang w:val="en-GB"/>
        </w:rPr>
        <w:t xml:space="preserve"> Finkelstein’s</w:t>
      </w:r>
      <w:r w:rsidR="001A656A">
        <w:rPr>
          <w:lang w:val="en-GB"/>
        </w:rPr>
        <w:t xml:space="preserve"> photo-essay</w:t>
      </w:r>
      <w:r w:rsidRPr="0048465B">
        <w:rPr>
          <w:lang w:val="en-GB"/>
        </w:rPr>
        <w:t xml:space="preserve"> draw genealogical lines between contemporary oppression in Palestine and </w:t>
      </w:r>
      <w:r w:rsidR="001A656A">
        <w:rPr>
          <w:lang w:val="en-GB"/>
        </w:rPr>
        <w:t xml:space="preserve">the </w:t>
      </w:r>
      <w:r w:rsidRPr="0048465B">
        <w:rPr>
          <w:lang w:val="en-GB"/>
        </w:rPr>
        <w:t xml:space="preserve">survivors of the Holocaust, there is a </w:t>
      </w:r>
      <w:r w:rsidR="001A656A">
        <w:rPr>
          <w:lang w:val="en-GB"/>
        </w:rPr>
        <w:t>distinct</w:t>
      </w:r>
      <w:r w:rsidRPr="0048465B">
        <w:rPr>
          <w:lang w:val="en-GB"/>
        </w:rPr>
        <w:t xml:space="preserve"> difference in the manner in which they do it. Finkelstein’s reference to the lineage of Israeli soldiers, and Professor Robinson’s subsequent circulation of it, are by no means designed to draw two warring peoples together, but are rather intended to expand the division between them by implying that there has been a</w:t>
      </w:r>
      <w:r w:rsidR="0077389C">
        <w:rPr>
          <w:lang w:val="en-GB"/>
        </w:rPr>
        <w:t>n inescapable and all-encompassing</w:t>
      </w:r>
      <w:r w:rsidRPr="0048465B">
        <w:rPr>
          <w:lang w:val="en-GB"/>
        </w:rPr>
        <w:t xml:space="preserve"> transition from pure good post-Holocaust victim, to pure evil contemporary oppressor. In stark contrast, Khatib’s compassion for those he refers to as ‘the grandfathers of the Israelis’ transforms not his understanding of his own oppression, but his understanding of the position of those who oppress him currently. Rather than becoming caught up in comparisons between the two expressions of suffering, Khatib allows this brief interaction with the Holocaust to guide him towards a deeper understanding of Israelis and the on-going conflict. Indeed, each further transformation that occurs</w:t>
      </w:r>
      <w:r w:rsidR="006C2563">
        <w:rPr>
          <w:lang w:val="en-GB"/>
        </w:rPr>
        <w:t xml:space="preserve"> within the documentary</w:t>
      </w:r>
      <w:r w:rsidRPr="0048465B">
        <w:rPr>
          <w:lang w:val="en-GB"/>
        </w:rPr>
        <w:t xml:space="preserve"> does so completely irrespective of the Holocaust itself, the connections here pertaining more to an appreciation of the basic humanity of the other, than </w:t>
      </w:r>
      <w:r w:rsidR="001A656A">
        <w:rPr>
          <w:lang w:val="en-GB"/>
        </w:rPr>
        <w:t>an</w:t>
      </w:r>
      <w:r w:rsidRPr="0048465B">
        <w:rPr>
          <w:lang w:val="en-GB"/>
        </w:rPr>
        <w:t xml:space="preserve"> appreciation of their experience</w:t>
      </w:r>
      <w:r w:rsidR="0077389C">
        <w:rPr>
          <w:lang w:val="en-GB"/>
        </w:rPr>
        <w:t>s of suffering</w:t>
      </w:r>
      <w:r w:rsidRPr="0048465B">
        <w:rPr>
          <w:lang w:val="en-GB"/>
        </w:rPr>
        <w:t>.</w:t>
      </w:r>
    </w:p>
    <w:p w14:paraId="70A1C094" w14:textId="77777777" w:rsidR="00FC331F" w:rsidRPr="0048465B" w:rsidRDefault="00FC331F" w:rsidP="00FC331F">
      <w:pPr>
        <w:rPr>
          <w:lang w:val="en-GB"/>
        </w:rPr>
      </w:pPr>
    </w:p>
    <w:p w14:paraId="0865E4D5" w14:textId="56CE99DE" w:rsidR="00FC331F" w:rsidRPr="0048465B" w:rsidRDefault="00FC331F" w:rsidP="00FC331F">
      <w:pPr>
        <w:rPr>
          <w:lang w:val="en-GB"/>
        </w:rPr>
      </w:pPr>
      <w:r w:rsidRPr="0048465B">
        <w:rPr>
          <w:lang w:val="en-GB"/>
        </w:rPr>
        <w:t xml:space="preserve">Israeli former-soldier Chen Alon’s transformation occurs when he receives a phone call from his wife at the very moment that he denies Palestinian children entry through a checkpoint in order to receive medical attention. The phone call forces him to reconcile his position as a soldier with his </w:t>
      </w:r>
      <w:r w:rsidRPr="0048465B">
        <w:rPr>
          <w:lang w:val="en-GB"/>
        </w:rPr>
        <w:lastRenderedPageBreak/>
        <w:t>position as a husband and father. ‘I realize that there is a split here between me as a father, responsible and worried for my daughter, and me as a soldier, looking at these children. I’m not really able to see them’.</w:t>
      </w:r>
      <w:r w:rsidRPr="0048465B">
        <w:rPr>
          <w:vertAlign w:val="superscript"/>
          <w:lang w:val="en-GB"/>
        </w:rPr>
        <w:footnoteReference w:id="163"/>
      </w:r>
    </w:p>
    <w:p w14:paraId="4808649E" w14:textId="77777777" w:rsidR="00FC331F" w:rsidRPr="0048465B" w:rsidRDefault="00FC331F" w:rsidP="00FC331F">
      <w:pPr>
        <w:rPr>
          <w:lang w:val="en-GB"/>
        </w:rPr>
      </w:pPr>
    </w:p>
    <w:p w14:paraId="0508E5CE" w14:textId="77777777" w:rsidR="00FC331F" w:rsidRPr="0048465B" w:rsidRDefault="00FC331F" w:rsidP="00FC331F">
      <w:pPr>
        <w:rPr>
          <w:lang w:val="en-GB"/>
        </w:rPr>
      </w:pPr>
      <w:r w:rsidRPr="0048465B">
        <w:rPr>
          <w:lang w:val="en-GB"/>
        </w:rPr>
        <w:t>Palestinian Jamel Qassas’ transformation occurs when he finds his mother crying following a bus bombing that killed Israeli children. His mother explains, ‘“[t]he suffering that a mother endures when she loses her son, whether she’s Israeli or Palestinian is the same. Exactly the same”’. Qassas, whose brother was killed by Israeli soldiers, realises ‘any act of violence I commit will cause someone else to suffer’.</w:t>
      </w:r>
      <w:r w:rsidRPr="0048465B">
        <w:rPr>
          <w:vertAlign w:val="superscript"/>
          <w:lang w:val="en-GB"/>
        </w:rPr>
        <w:footnoteReference w:id="164"/>
      </w:r>
    </w:p>
    <w:p w14:paraId="4164D299" w14:textId="77777777" w:rsidR="00FC331F" w:rsidRPr="0048465B" w:rsidRDefault="00FC331F" w:rsidP="00FC331F">
      <w:pPr>
        <w:rPr>
          <w:lang w:val="en-GB"/>
        </w:rPr>
      </w:pPr>
    </w:p>
    <w:p w14:paraId="53F00B5A" w14:textId="439E7013" w:rsidR="00FC331F" w:rsidRPr="0048465B" w:rsidRDefault="00FC331F" w:rsidP="00FC331F">
      <w:pPr>
        <w:rPr>
          <w:lang w:val="en-GB"/>
        </w:rPr>
      </w:pPr>
      <w:r w:rsidRPr="0048465B">
        <w:rPr>
          <w:lang w:val="en-GB"/>
        </w:rPr>
        <w:t xml:space="preserve">Israeli Airforce </w:t>
      </w:r>
      <w:r w:rsidR="003D3D66">
        <w:rPr>
          <w:lang w:val="en-GB"/>
        </w:rPr>
        <w:t>o</w:t>
      </w:r>
      <w:r w:rsidRPr="0048465B">
        <w:rPr>
          <w:lang w:val="en-GB"/>
        </w:rPr>
        <w:t xml:space="preserve">fficer Assaf </w:t>
      </w:r>
      <w:proofErr w:type="spellStart"/>
      <w:r w:rsidRPr="0048465B">
        <w:rPr>
          <w:lang w:val="en-GB"/>
        </w:rPr>
        <w:t>Yacobovitz</w:t>
      </w:r>
      <w:proofErr w:type="spellEnd"/>
      <w:r w:rsidRPr="0048465B">
        <w:rPr>
          <w:lang w:val="en-GB"/>
        </w:rPr>
        <w:t>’ transformation occurs when he witnesses the breakdown of the barrier between the act of authorising an attack, and the reality of the attack itself. ‘[F]rom this little spot of south Gaza, came terrible images on TV</w:t>
      </w:r>
      <w:r w:rsidR="000C3FB4">
        <w:rPr>
          <w:lang w:val="en-GB"/>
        </w:rPr>
        <w:t xml:space="preserve"> […] </w:t>
      </w:r>
      <w:r w:rsidRPr="0048465B">
        <w:rPr>
          <w:lang w:val="en-GB"/>
        </w:rPr>
        <w:t>[a]</w:t>
      </w:r>
      <w:proofErr w:type="spellStart"/>
      <w:r w:rsidRPr="0048465B">
        <w:rPr>
          <w:lang w:val="en-GB"/>
        </w:rPr>
        <w:t>nd</w:t>
      </w:r>
      <w:proofErr w:type="spellEnd"/>
      <w:r w:rsidRPr="0048465B">
        <w:rPr>
          <w:lang w:val="en-GB"/>
        </w:rPr>
        <w:t xml:space="preserve"> something about the sterility of the digital, air-conditioned representation versus the bleeding reality</w:t>
      </w:r>
      <w:r w:rsidR="000C3FB4">
        <w:rPr>
          <w:lang w:val="en-GB"/>
        </w:rPr>
        <w:t xml:space="preserve"> […] </w:t>
      </w:r>
      <w:r w:rsidRPr="0048465B">
        <w:rPr>
          <w:lang w:val="en-GB"/>
        </w:rPr>
        <w:t>broke down’.</w:t>
      </w:r>
      <w:r w:rsidRPr="0048465B">
        <w:rPr>
          <w:vertAlign w:val="superscript"/>
          <w:lang w:val="en-GB"/>
        </w:rPr>
        <w:footnoteReference w:id="165"/>
      </w:r>
    </w:p>
    <w:p w14:paraId="3AF05862" w14:textId="77777777" w:rsidR="00FC331F" w:rsidRPr="0048465B" w:rsidRDefault="00FC331F" w:rsidP="00FC331F">
      <w:pPr>
        <w:rPr>
          <w:lang w:val="en-GB"/>
        </w:rPr>
      </w:pPr>
    </w:p>
    <w:p w14:paraId="317B7587" w14:textId="7C31DBB3" w:rsidR="00FC331F" w:rsidRPr="0048465B" w:rsidRDefault="00FC331F" w:rsidP="00FC331F">
      <w:pPr>
        <w:rPr>
          <w:lang w:val="en-GB"/>
        </w:rPr>
      </w:pPr>
      <w:r w:rsidRPr="0048465B">
        <w:rPr>
          <w:lang w:val="en-GB"/>
        </w:rPr>
        <w:t xml:space="preserve">Palestinian attempted suicide-bomber </w:t>
      </w:r>
      <w:proofErr w:type="spellStart"/>
      <w:r w:rsidRPr="0048465B">
        <w:rPr>
          <w:lang w:val="en-GB"/>
        </w:rPr>
        <w:t>Shifa</w:t>
      </w:r>
      <w:proofErr w:type="spellEnd"/>
      <w:r w:rsidRPr="0048465B">
        <w:rPr>
          <w:lang w:val="en-GB"/>
        </w:rPr>
        <w:t xml:space="preserve"> Al-</w:t>
      </w:r>
      <w:proofErr w:type="spellStart"/>
      <w:r w:rsidRPr="0048465B">
        <w:rPr>
          <w:lang w:val="en-GB"/>
        </w:rPr>
        <w:t>Qudsi’s</w:t>
      </w:r>
      <w:proofErr w:type="spellEnd"/>
      <w:r w:rsidRPr="0048465B">
        <w:rPr>
          <w:lang w:val="en-GB"/>
        </w:rPr>
        <w:t xml:space="preserve"> transformation occurs when she feels the unexpected compassion of an Israeli prison officer whose sibling ha</w:t>
      </w:r>
      <w:r w:rsidR="001A656A">
        <w:rPr>
          <w:lang w:val="en-GB"/>
        </w:rPr>
        <w:t>d recently</w:t>
      </w:r>
      <w:r w:rsidRPr="0048465B">
        <w:rPr>
          <w:lang w:val="en-GB"/>
        </w:rPr>
        <w:t xml:space="preserve"> been killed by a Palestinian suicide-bomber. ‘I started to rethink things. I found that there is goodness everywhere, that goodness is possible’.</w:t>
      </w:r>
      <w:r w:rsidRPr="0048465B">
        <w:rPr>
          <w:vertAlign w:val="superscript"/>
          <w:lang w:val="en-GB"/>
        </w:rPr>
        <w:footnoteReference w:id="166"/>
      </w:r>
    </w:p>
    <w:p w14:paraId="68589249" w14:textId="77777777" w:rsidR="00FC331F" w:rsidRPr="0048465B" w:rsidRDefault="00FC331F" w:rsidP="00FC331F">
      <w:pPr>
        <w:rPr>
          <w:lang w:val="en-GB"/>
        </w:rPr>
      </w:pPr>
    </w:p>
    <w:p w14:paraId="28F0D6FC" w14:textId="23DD03BF" w:rsidR="00FC331F" w:rsidRPr="0048465B" w:rsidRDefault="0077389C" w:rsidP="00FC331F">
      <w:pPr>
        <w:rPr>
          <w:lang w:val="en-GB"/>
        </w:rPr>
      </w:pPr>
      <w:r>
        <w:rPr>
          <w:lang w:val="en-GB"/>
        </w:rPr>
        <w:lastRenderedPageBreak/>
        <w:t>Each</w:t>
      </w:r>
      <w:r w:rsidR="00FC331F" w:rsidRPr="0048465B">
        <w:rPr>
          <w:lang w:val="en-GB"/>
        </w:rPr>
        <w:t xml:space="preserve"> of these accounts refuse</w:t>
      </w:r>
      <w:r w:rsidR="003D3D66">
        <w:rPr>
          <w:lang w:val="en-GB"/>
        </w:rPr>
        <w:t>s</w:t>
      </w:r>
      <w:r w:rsidR="00FC331F" w:rsidRPr="0048465B">
        <w:rPr>
          <w:lang w:val="en-GB"/>
        </w:rPr>
        <w:t xml:space="preserve"> to view Israel and Palestine in black and white terms. They understand that the emotional responses of Jewish and Palestinian individuals are greater unifiers than the shared features of their respective histories, and that the status quo does not have to mean that Israeli pain is Palestinian joy, or that Israeli joy is Palestinian pain. Most importantly, however, they focus on the contemporary suffering of both groups, refusing to be caught up in the events of the past, choosing instead to prioritise the current realities of humanity and life in the present.</w:t>
      </w:r>
    </w:p>
    <w:p w14:paraId="3A743A91" w14:textId="77777777" w:rsidR="00FC331F" w:rsidRPr="0048465B" w:rsidRDefault="00FC331F" w:rsidP="00FC331F">
      <w:pPr>
        <w:rPr>
          <w:highlight w:val="red"/>
          <w:lang w:val="en-GB"/>
        </w:rPr>
      </w:pPr>
    </w:p>
    <w:p w14:paraId="17F7AF49" w14:textId="77777777" w:rsidR="00FC331F" w:rsidRPr="0048465B" w:rsidRDefault="00FC331F" w:rsidP="00FC331F">
      <w:pPr>
        <w:jc w:val="center"/>
        <w:rPr>
          <w:b/>
          <w:lang w:val="en-GB"/>
        </w:rPr>
      </w:pPr>
      <w:r w:rsidRPr="0048465B">
        <w:rPr>
          <w:b/>
          <w:lang w:val="en-GB"/>
        </w:rPr>
        <w:t>The Centrality of the Holocaust within Israeli Political Discourse on the Conflict</w:t>
      </w:r>
    </w:p>
    <w:p w14:paraId="140C387F" w14:textId="77777777" w:rsidR="00FC331F" w:rsidRPr="0048465B" w:rsidRDefault="00FC331F" w:rsidP="00FC331F">
      <w:pPr>
        <w:rPr>
          <w:highlight w:val="red"/>
          <w:lang w:val="en-GB"/>
        </w:rPr>
      </w:pPr>
    </w:p>
    <w:p w14:paraId="33E023B9" w14:textId="64B800AF" w:rsidR="00FC331F" w:rsidRPr="0048465B" w:rsidRDefault="00FC331F" w:rsidP="00FC331F">
      <w:pPr>
        <w:rPr>
          <w:lang w:val="en-GB"/>
        </w:rPr>
      </w:pPr>
      <w:r w:rsidRPr="0048465B">
        <w:rPr>
          <w:lang w:val="en-GB"/>
        </w:rPr>
        <w:t xml:space="preserve">The difficulty with such an approach, however, comes with the realisation that it requires both Palestinians and Israelis to challenge the central position of the Holocaust within Israeli political discourse, a confrontation that is particularly complex due to the prevalence of Holocaust-related evocations in Israeli politics. It is worth noting here that the necessity of this challenge is not due to anything relating to the Holocaust itself or its enduring effects on Jewish individuals and communities. The arguments for the decentralisation of the Holocaust within Israeli political discourse are </w:t>
      </w:r>
      <w:r w:rsidR="0077389C">
        <w:rPr>
          <w:lang w:val="en-GB"/>
        </w:rPr>
        <w:t xml:space="preserve">instead rooted in a </w:t>
      </w:r>
      <w:r w:rsidRPr="0048465B">
        <w:rPr>
          <w:lang w:val="en-GB"/>
        </w:rPr>
        <w:t>varie</w:t>
      </w:r>
      <w:r w:rsidR="0077389C">
        <w:rPr>
          <w:lang w:val="en-GB"/>
        </w:rPr>
        <w:t>ty of other reasons</w:t>
      </w:r>
      <w:r w:rsidRPr="0048465B">
        <w:rPr>
          <w:lang w:val="en-GB"/>
        </w:rPr>
        <w:t xml:space="preserve">. </w:t>
      </w:r>
      <w:proofErr w:type="spellStart"/>
      <w:r w:rsidRPr="0048465B">
        <w:rPr>
          <w:lang w:val="en-GB"/>
        </w:rPr>
        <w:t>Finkielkraut</w:t>
      </w:r>
      <w:proofErr w:type="spellEnd"/>
      <w:r w:rsidR="001741CE">
        <w:rPr>
          <w:lang w:val="en-GB"/>
        </w:rPr>
        <w:t>, for example,</w:t>
      </w:r>
      <w:r w:rsidRPr="0048465B">
        <w:rPr>
          <w:lang w:val="en-GB"/>
        </w:rPr>
        <w:t xml:space="preserve"> condemns the prevalence of depictions of Jewish suffering within Jewish politics because ‘[t]he more the Holocaust is invoked</w:t>
      </w:r>
      <w:r w:rsidR="000C3FB4">
        <w:rPr>
          <w:lang w:val="en-GB"/>
        </w:rPr>
        <w:t xml:space="preserve"> […] </w:t>
      </w:r>
      <w:r w:rsidRPr="0048465B">
        <w:rPr>
          <w:lang w:val="en-GB"/>
        </w:rPr>
        <w:t xml:space="preserve">the more it is </w:t>
      </w:r>
      <w:r w:rsidR="007B25E0" w:rsidRPr="0048465B">
        <w:rPr>
          <w:lang w:val="en-GB"/>
        </w:rPr>
        <w:t>trivialised</w:t>
      </w:r>
      <w:r w:rsidRPr="0048465B">
        <w:rPr>
          <w:lang w:val="en-GB"/>
        </w:rPr>
        <w:t xml:space="preserve"> and divorced from its original meaning’, whilst also arguing that such uses promote the metaphorisation of the Holocaust.</w:t>
      </w:r>
      <w:r w:rsidRPr="0048465B">
        <w:rPr>
          <w:vertAlign w:val="superscript"/>
          <w:lang w:val="en-GB"/>
        </w:rPr>
        <w:footnoteReference w:id="167"/>
      </w:r>
      <w:r w:rsidRPr="0048465B">
        <w:rPr>
          <w:lang w:val="en-GB"/>
        </w:rPr>
        <w:t xml:space="preserve"> In relation to the Israeli-Palestinian conflict specifically, such decentralisation is necessary because recourse to the past heavily obscures the abundance of issues that exist in the present, and because over the past seventy years and more, references to the Holocaust in political discourse, in the Middle East </w:t>
      </w:r>
      <w:r w:rsidRPr="0048465B">
        <w:rPr>
          <w:lang w:val="en-GB"/>
        </w:rPr>
        <w:lastRenderedPageBreak/>
        <w:t>especially, have come to represent a kind of ‘</w:t>
      </w:r>
      <w:r w:rsidR="0077389C">
        <w:rPr>
          <w:lang w:val="en-GB"/>
        </w:rPr>
        <w:t>“</w:t>
      </w:r>
      <w:r w:rsidRPr="0048465B">
        <w:rPr>
          <w:lang w:val="en-GB"/>
        </w:rPr>
        <w:t>moral and ideological Rorschach test</w:t>
      </w:r>
      <w:r w:rsidR="0077389C">
        <w:rPr>
          <w:lang w:val="en-GB"/>
        </w:rPr>
        <w:t>”</w:t>
      </w:r>
      <w:r w:rsidRPr="0048465B">
        <w:rPr>
          <w:lang w:val="en-GB"/>
        </w:rPr>
        <w:t>’</w:t>
      </w:r>
      <w:r w:rsidRPr="0048465B">
        <w:rPr>
          <w:vertAlign w:val="superscript"/>
          <w:lang w:val="en-GB"/>
        </w:rPr>
        <w:footnoteReference w:id="168"/>
      </w:r>
      <w:r w:rsidRPr="0048465B">
        <w:rPr>
          <w:lang w:val="en-GB"/>
        </w:rPr>
        <w:t xml:space="preserve"> that not only hinder</w:t>
      </w:r>
      <w:r w:rsidR="001741CE">
        <w:rPr>
          <w:lang w:val="en-GB"/>
        </w:rPr>
        <w:t>s</w:t>
      </w:r>
      <w:r w:rsidRPr="0048465B">
        <w:rPr>
          <w:lang w:val="en-GB"/>
        </w:rPr>
        <w:t xml:space="preserve"> deeper discussion on important matters, but encourage</w:t>
      </w:r>
      <w:r w:rsidR="001741CE">
        <w:rPr>
          <w:lang w:val="en-GB"/>
        </w:rPr>
        <w:t>s</w:t>
      </w:r>
      <w:r w:rsidRPr="0048465B">
        <w:rPr>
          <w:lang w:val="en-GB"/>
        </w:rPr>
        <w:t xml:space="preserve"> broad generalisation</w:t>
      </w:r>
      <w:r w:rsidR="001741CE">
        <w:rPr>
          <w:lang w:val="en-GB"/>
        </w:rPr>
        <w:t>s</w:t>
      </w:r>
      <w:r w:rsidRPr="0048465B">
        <w:rPr>
          <w:lang w:val="en-GB"/>
        </w:rPr>
        <w:t xml:space="preserve"> rather than thorough, albeit sometimes burdensome, analysis.</w:t>
      </w:r>
    </w:p>
    <w:p w14:paraId="38C743E7" w14:textId="77777777" w:rsidR="00FC331F" w:rsidRPr="0048465B" w:rsidRDefault="00FC331F" w:rsidP="00FC331F">
      <w:pPr>
        <w:rPr>
          <w:lang w:val="en-GB"/>
        </w:rPr>
      </w:pPr>
    </w:p>
    <w:p w14:paraId="4F84CAA3" w14:textId="35614F99" w:rsidR="00FC331F" w:rsidRPr="0048465B" w:rsidRDefault="00FC331F" w:rsidP="00FC331F">
      <w:pPr>
        <w:rPr>
          <w:lang w:val="en-GB"/>
        </w:rPr>
      </w:pPr>
      <w:r w:rsidRPr="0048465B">
        <w:rPr>
          <w:lang w:val="en-GB"/>
        </w:rPr>
        <w:t xml:space="preserve">Ironically, it is in line with King and Robinson’s approaches to Holocaust evocation </w:t>
      </w:r>
      <w:r w:rsidR="00271D9A">
        <w:rPr>
          <w:lang w:val="en-GB"/>
        </w:rPr>
        <w:t>–</w:t>
      </w:r>
      <w:r w:rsidRPr="0048465B">
        <w:rPr>
          <w:lang w:val="en-GB"/>
        </w:rPr>
        <w:t xml:space="preserve"> wherein specific analysis of the Holocaust’s features is disregarded in favour of its reification as a cultural referent for pure evil </w:t>
      </w:r>
      <w:r w:rsidR="00271D9A">
        <w:rPr>
          <w:lang w:val="en-GB"/>
        </w:rPr>
        <w:t>–</w:t>
      </w:r>
      <w:r w:rsidRPr="0048465B">
        <w:rPr>
          <w:lang w:val="en-GB"/>
        </w:rPr>
        <w:t xml:space="preserve"> that the Holocaust is most commonly used in Israeli political rhetoric. </w:t>
      </w:r>
      <w:r w:rsidR="007B25E0" w:rsidRPr="0048465B">
        <w:rPr>
          <w:lang w:val="en-GB"/>
        </w:rPr>
        <w:t xml:space="preserve">Whilst Erdoğan stated that the spirit of Hitler was alive in some of Israel’s leaders, Menachem Begin, founder of the Likud party and the sixth Prime-Minister of Israel, ‘liked to compare the Palestinian National Covenant with </w:t>
      </w:r>
      <w:r w:rsidR="007B25E0" w:rsidRPr="0048465B">
        <w:rPr>
          <w:i/>
          <w:lang w:val="en-GB"/>
        </w:rPr>
        <w:t>Mein Kampf</w:t>
      </w:r>
      <w:r w:rsidR="007B25E0" w:rsidRPr="0048465B">
        <w:rPr>
          <w:lang w:val="en-GB"/>
        </w:rPr>
        <w:t xml:space="preserve"> and Yasser Arafat with Hitler’,</w:t>
      </w:r>
      <w:r w:rsidR="007B25E0" w:rsidRPr="0048465B">
        <w:rPr>
          <w:vertAlign w:val="superscript"/>
          <w:lang w:val="en-GB"/>
        </w:rPr>
        <w:footnoteReference w:id="169"/>
      </w:r>
      <w:r w:rsidR="007B25E0" w:rsidRPr="0048465B">
        <w:rPr>
          <w:lang w:val="en-GB"/>
        </w:rPr>
        <w:t xml:space="preserve"> and former Israeli Foreign Minister Abba Elan referred to the 1967 borders as the ‘“Auschwitz lines”’.</w:t>
      </w:r>
      <w:r w:rsidR="007B25E0" w:rsidRPr="0048465B">
        <w:rPr>
          <w:vertAlign w:val="superscript"/>
          <w:lang w:val="en-GB"/>
        </w:rPr>
        <w:footnoteReference w:id="170"/>
      </w:r>
      <w:r w:rsidR="007B25E0" w:rsidRPr="0048465B">
        <w:rPr>
          <w:vertAlign w:val="superscript"/>
          <w:lang w:val="en-GB"/>
        </w:rPr>
        <w:t xml:space="preserve"> </w:t>
      </w:r>
      <w:r w:rsidR="007B25E0" w:rsidRPr="0048465B">
        <w:rPr>
          <w:lang w:val="en-GB"/>
        </w:rPr>
        <w:t xml:space="preserve">Achcar argues that whilst ‘exorbitant comparison[s]’ such as the above should have no place in the political rhetoric of either group, the very fact that some perceive ‘likening conquered peoples, whose lands have been occupied and who have been uprooted and reduced to refugee status, to the Nazis </w:t>
      </w:r>
      <w:r w:rsidR="00F57231">
        <w:rPr>
          <w:lang w:val="en-GB"/>
        </w:rPr>
        <w:t>[a]</w:t>
      </w:r>
      <w:r w:rsidR="00F57231" w:rsidRPr="0048465B">
        <w:rPr>
          <w:lang w:val="en-GB"/>
        </w:rPr>
        <w:t xml:space="preserve">s </w:t>
      </w:r>
      <w:r w:rsidR="007B25E0" w:rsidRPr="0048465B">
        <w:rPr>
          <w:lang w:val="en-GB"/>
        </w:rPr>
        <w:t>less shocking than likening an occupying army that has conquered territory from four neighbouring countries to the Nazis’,</w:t>
      </w:r>
      <w:r w:rsidR="007B25E0" w:rsidRPr="0048465B">
        <w:rPr>
          <w:vertAlign w:val="superscript"/>
          <w:lang w:val="en-GB"/>
        </w:rPr>
        <w:footnoteReference w:id="171"/>
      </w:r>
      <w:r w:rsidR="007B25E0" w:rsidRPr="0048465B">
        <w:rPr>
          <w:lang w:val="en-GB"/>
        </w:rPr>
        <w:t xml:space="preserve"> reveals the degree to which Israel’s chronological and ethno-religious ties to the Holocaust </w:t>
      </w:r>
      <w:r w:rsidR="00F57231">
        <w:rPr>
          <w:lang w:val="en-GB"/>
        </w:rPr>
        <w:t xml:space="preserve">have </w:t>
      </w:r>
      <w:r w:rsidR="007B25E0" w:rsidRPr="0048465B">
        <w:rPr>
          <w:lang w:val="en-GB"/>
        </w:rPr>
        <w:t>provide</w:t>
      </w:r>
      <w:r w:rsidR="00F57231">
        <w:rPr>
          <w:lang w:val="en-GB"/>
        </w:rPr>
        <w:t>d</w:t>
      </w:r>
      <w:r w:rsidR="007B25E0" w:rsidRPr="0048465B">
        <w:rPr>
          <w:lang w:val="en-GB"/>
        </w:rPr>
        <w:t xml:space="preserve"> </w:t>
      </w:r>
      <w:r w:rsidR="00F57231">
        <w:rPr>
          <w:lang w:val="en-GB"/>
        </w:rPr>
        <w:t>it</w:t>
      </w:r>
      <w:r w:rsidR="00F57231" w:rsidRPr="0048465B">
        <w:rPr>
          <w:lang w:val="en-GB"/>
        </w:rPr>
        <w:t xml:space="preserve"> </w:t>
      </w:r>
      <w:r w:rsidR="007B25E0" w:rsidRPr="0048465B">
        <w:rPr>
          <w:lang w:val="en-GB"/>
        </w:rPr>
        <w:t xml:space="preserve">with para-immunity from accusations of </w:t>
      </w:r>
      <w:r w:rsidR="00F57231">
        <w:rPr>
          <w:lang w:val="en-GB"/>
        </w:rPr>
        <w:t xml:space="preserve">colonialism, </w:t>
      </w:r>
      <w:r w:rsidR="007B25E0" w:rsidRPr="0048465B">
        <w:rPr>
          <w:lang w:val="en-GB"/>
        </w:rPr>
        <w:t>no matter how well founded.</w:t>
      </w:r>
    </w:p>
    <w:p w14:paraId="345EA143" w14:textId="77777777" w:rsidR="00FC331F" w:rsidRPr="0048465B" w:rsidRDefault="00FC331F" w:rsidP="00FC331F">
      <w:pPr>
        <w:rPr>
          <w:lang w:val="en-GB"/>
        </w:rPr>
      </w:pPr>
    </w:p>
    <w:p w14:paraId="2D5D5D36" w14:textId="71377241" w:rsidR="00FC331F" w:rsidRPr="0048465B" w:rsidRDefault="00FC331F" w:rsidP="00FC331F">
      <w:pPr>
        <w:rPr>
          <w:lang w:val="en-GB"/>
        </w:rPr>
      </w:pPr>
      <w:r w:rsidRPr="0048465B">
        <w:rPr>
          <w:lang w:val="en-GB"/>
        </w:rPr>
        <w:lastRenderedPageBreak/>
        <w:t xml:space="preserve">Yet the contexts of Israel’s creation ensure that is no wonder that the Holocaust continues to have such a considerable role in </w:t>
      </w:r>
      <w:r w:rsidR="0077389C">
        <w:rPr>
          <w:lang w:val="en-GB"/>
        </w:rPr>
        <w:t>Israeli</w:t>
      </w:r>
      <w:r w:rsidRPr="0048465B">
        <w:rPr>
          <w:lang w:val="en-GB"/>
        </w:rPr>
        <w:t xml:space="preserve"> culture</w:t>
      </w:r>
      <w:r w:rsidR="0077389C">
        <w:rPr>
          <w:lang w:val="en-GB"/>
        </w:rPr>
        <w:t xml:space="preserve">, </w:t>
      </w:r>
      <w:r w:rsidRPr="0048465B">
        <w:rPr>
          <w:lang w:val="en-GB"/>
        </w:rPr>
        <w:t>politics</w:t>
      </w:r>
      <w:r w:rsidR="0077389C">
        <w:rPr>
          <w:lang w:val="en-GB"/>
        </w:rPr>
        <w:t>,</w:t>
      </w:r>
      <w:r w:rsidRPr="0048465B">
        <w:rPr>
          <w:lang w:val="en-GB"/>
        </w:rPr>
        <w:t xml:space="preserve"> and national identity. </w:t>
      </w:r>
      <w:r w:rsidR="007B25E0" w:rsidRPr="0048465B">
        <w:rPr>
          <w:lang w:val="en-GB"/>
        </w:rPr>
        <w:t>Israel’s independence was declared shortly after the Nazi genocide of six million Jews, and Israel represented a new home not just for many Holocaust survivors who found their own homes occupied upon their return, or for whom return was an undesirable prospect altogether, but also for many Jews living in lesser affected nations who saw a Jewish homeland as the best hope for survival amidst the still discern</w:t>
      </w:r>
      <w:r w:rsidR="007B25E0">
        <w:rPr>
          <w:lang w:val="en-GB"/>
        </w:rPr>
        <w:t>i</w:t>
      </w:r>
      <w:r w:rsidR="007B25E0" w:rsidRPr="0048465B">
        <w:rPr>
          <w:lang w:val="en-GB"/>
        </w:rPr>
        <w:t xml:space="preserve">ble echoes of genocide. </w:t>
      </w:r>
      <w:r w:rsidRPr="0048465B">
        <w:rPr>
          <w:lang w:val="en-GB"/>
        </w:rPr>
        <w:t>As demonstrated through Begin’s comments above, however, the Holocaust has also had an active role in Israeli international relations, particularly with surrounding Middle Eastern countries. Anita Shapira states that ‘[t]he Holocaust played a major role in explaining Israel’s position in the Arab-Israeli conflict’ and that ‘in presenting Arab antisemitism as one branch of the “Jew-hating Nazi” trunk, the covert message was the memory of the Holocaust: antisemitism must never be disregarded; we already know where it can lead’.</w:t>
      </w:r>
      <w:r w:rsidRPr="0048465B">
        <w:rPr>
          <w:vertAlign w:val="superscript"/>
          <w:lang w:val="en-GB"/>
        </w:rPr>
        <w:footnoteReference w:id="172"/>
      </w:r>
      <w:r w:rsidRPr="0048465B">
        <w:rPr>
          <w:lang w:val="en-GB"/>
        </w:rPr>
        <w:t xml:space="preserve"> Whilst such fears in the years immediately after the Holocaust seem grounded in understandable anxiety, similar understandings of Arab and Palestinian anti-Israeli sentiment exist today, and whilst Arab antisemitism remains a real and undeniable issue, it </w:t>
      </w:r>
      <w:r w:rsidR="008F554C">
        <w:rPr>
          <w:lang w:val="en-GB"/>
        </w:rPr>
        <w:t xml:space="preserve">is </w:t>
      </w:r>
      <w:r w:rsidRPr="0048465B">
        <w:rPr>
          <w:lang w:val="en-GB"/>
        </w:rPr>
        <w:t>no longer justifiable to divorce Arab anti-Israeli sentiment specifically from Israel’s colonial actions.</w:t>
      </w:r>
    </w:p>
    <w:p w14:paraId="71CD9A3C" w14:textId="77777777" w:rsidR="00FC331F" w:rsidRPr="0048465B" w:rsidRDefault="00FC331F" w:rsidP="00FC331F">
      <w:pPr>
        <w:rPr>
          <w:lang w:val="en-GB"/>
        </w:rPr>
      </w:pPr>
    </w:p>
    <w:p w14:paraId="77A2E3C8" w14:textId="6F1B326F" w:rsidR="00FC331F" w:rsidRPr="0048465B" w:rsidRDefault="00FC331F" w:rsidP="00FC331F">
      <w:pPr>
        <w:rPr>
          <w:lang w:val="en-GB"/>
        </w:rPr>
      </w:pPr>
      <w:r w:rsidRPr="0048465B">
        <w:rPr>
          <w:lang w:val="en-GB"/>
        </w:rPr>
        <w:t xml:space="preserve">This view, however, is not universally shared. Meir Litvak, Chair of the Department of Middle Eastern and African History at Tel Aviv University, has argued that, instead of being rooted in Israeli persecution of Palestinians, ‘“Arab anti-Semitism has become an integral part of the intellectual and cultural discourse of the Arab world”’, arguing that it is ‘“much harder to uproot </w:t>
      </w:r>
      <w:r w:rsidRPr="0048465B">
        <w:rPr>
          <w:lang w:val="en-GB"/>
        </w:rPr>
        <w:lastRenderedPageBreak/>
        <w:t>than was the case 30 or 40 years ago”’.</w:t>
      </w:r>
      <w:r w:rsidRPr="0048465B">
        <w:rPr>
          <w:vertAlign w:val="superscript"/>
          <w:lang w:val="en-GB"/>
        </w:rPr>
        <w:footnoteReference w:id="173"/>
      </w:r>
      <w:r w:rsidRPr="0048465B">
        <w:rPr>
          <w:lang w:val="en-GB"/>
        </w:rPr>
        <w:t xml:space="preserve"> Similarly, in 2008 Mikael Tossavainen, an academic who has worked at the Stephen Roth Institute for the Study of Contemporary Antisemitism and Racism at Tel Aviv University, published a paper in the </w:t>
      </w:r>
      <w:r w:rsidRPr="0048465B">
        <w:rPr>
          <w:i/>
          <w:lang w:val="en-GB"/>
        </w:rPr>
        <w:t>Jewish Political Studies Review</w:t>
      </w:r>
      <w:r w:rsidRPr="0048465B">
        <w:rPr>
          <w:lang w:val="en-GB"/>
        </w:rPr>
        <w:t xml:space="preserve"> stating that ‘there is no saying whether a settling of the [Israeli-Palestinian] conflict would open Arab public discourse to the international understanding of the Holocaust and its universal messages of tolerance and anti-racism’.</w:t>
      </w:r>
      <w:r w:rsidRPr="0048465B">
        <w:rPr>
          <w:vertAlign w:val="superscript"/>
          <w:lang w:val="en-GB"/>
        </w:rPr>
        <w:footnoteReference w:id="174"/>
      </w:r>
      <w:r w:rsidRPr="0048465B">
        <w:rPr>
          <w:lang w:val="en-GB"/>
        </w:rPr>
        <w:t xml:space="preserve"> Tossavainen’s paper, which – at best – fails to view the state of affairs with the requisite objectivity,</w:t>
      </w:r>
      <w:r w:rsidRPr="0048465B">
        <w:rPr>
          <w:vertAlign w:val="superscript"/>
          <w:lang w:val="en-GB"/>
        </w:rPr>
        <w:footnoteReference w:id="175"/>
      </w:r>
      <w:r w:rsidRPr="0048465B">
        <w:rPr>
          <w:lang w:val="en-GB"/>
        </w:rPr>
        <w:t xml:space="preserve"> goes on to state that, due to ‘political resentment’ centred in Israel’s ‘repeated victories over Arab armies’, it is ‘virtually impossible to assimilate the dominant Western understanding of the Holocaust into Arab public discourse’, and that ‘Arab public discourse on the Holocaust is highly politicized and almost always displays hostility towards Israel or Jews’.</w:t>
      </w:r>
      <w:r w:rsidRPr="0048465B">
        <w:rPr>
          <w:vertAlign w:val="superscript"/>
          <w:lang w:val="en-GB"/>
        </w:rPr>
        <w:footnoteReference w:id="176"/>
      </w:r>
      <w:r w:rsidRPr="0048465B">
        <w:rPr>
          <w:lang w:val="en-GB"/>
        </w:rPr>
        <w:t xml:space="preserve"> Far from being rooted in Israeli victories over Arab armies or divorced from Israel’s domination of Palestine, Palestinian discourse on the Holocaust </w:t>
      </w:r>
      <w:r w:rsidR="00271D9A">
        <w:rPr>
          <w:lang w:val="en-GB"/>
        </w:rPr>
        <w:t>– a b</w:t>
      </w:r>
      <w:r w:rsidRPr="0048465B">
        <w:rPr>
          <w:lang w:val="en-GB"/>
        </w:rPr>
        <w:t xml:space="preserve">road and varied schema within which antisemitism does exist </w:t>
      </w:r>
      <w:r w:rsidR="00271D9A">
        <w:rPr>
          <w:lang w:val="en-GB"/>
        </w:rPr>
        <w:t>–</w:t>
      </w:r>
      <w:r w:rsidRPr="0048465B">
        <w:rPr>
          <w:lang w:val="en-GB"/>
        </w:rPr>
        <w:t xml:space="preserve"> is grounded instead upon the understanding</w:t>
      </w:r>
      <w:r w:rsidR="00271D9A">
        <w:rPr>
          <w:lang w:val="en-GB"/>
        </w:rPr>
        <w:t>,</w:t>
      </w:r>
      <w:r w:rsidRPr="0048465B">
        <w:rPr>
          <w:lang w:val="en-GB"/>
        </w:rPr>
        <w:t xml:space="preserve"> amongst Palestinian communities</w:t>
      </w:r>
      <w:r w:rsidR="00271D9A">
        <w:rPr>
          <w:lang w:val="en-GB"/>
        </w:rPr>
        <w:t>,</w:t>
      </w:r>
      <w:r w:rsidRPr="0048465B">
        <w:rPr>
          <w:lang w:val="en-GB"/>
        </w:rPr>
        <w:t xml:space="preserve"> of the Holocaust as ‘the case which made the Jews establish their state on their land’.</w:t>
      </w:r>
      <w:r w:rsidRPr="0048465B">
        <w:rPr>
          <w:vertAlign w:val="superscript"/>
          <w:lang w:val="en-GB"/>
        </w:rPr>
        <w:footnoteReference w:id="177"/>
      </w:r>
      <w:r w:rsidRPr="0048465B">
        <w:rPr>
          <w:lang w:val="en-GB"/>
        </w:rPr>
        <w:t xml:space="preserve"> This understanding is not founded upon a denial of the Holocaust or, indeed, support for its intentions, but formulated instead upon the notion that the Holocaust has led to Palestinian people having to pay </w:t>
      </w:r>
      <w:r w:rsidR="00CA3551">
        <w:rPr>
          <w:lang w:val="en-GB"/>
        </w:rPr>
        <w:t xml:space="preserve">the price </w:t>
      </w:r>
      <w:r w:rsidRPr="0048465B">
        <w:rPr>
          <w:lang w:val="en-GB"/>
        </w:rPr>
        <w:t xml:space="preserve">for depravities that they themselves did not commit. </w:t>
      </w:r>
      <w:r w:rsidR="007B25E0" w:rsidRPr="0048465B">
        <w:rPr>
          <w:lang w:val="en-GB"/>
        </w:rPr>
        <w:t xml:space="preserve">This same sentiment was put forward in a 1967 issue of </w:t>
      </w:r>
      <w:r w:rsidR="007B25E0" w:rsidRPr="0048465B">
        <w:rPr>
          <w:i/>
          <w:lang w:val="en-GB"/>
        </w:rPr>
        <w:t xml:space="preserve">Les Temps </w:t>
      </w:r>
      <w:proofErr w:type="spellStart"/>
      <w:r w:rsidR="007B25E0" w:rsidRPr="0048465B">
        <w:rPr>
          <w:i/>
          <w:lang w:val="en-GB"/>
        </w:rPr>
        <w:t>Modernes</w:t>
      </w:r>
      <w:proofErr w:type="spellEnd"/>
      <w:r w:rsidR="007B25E0" w:rsidRPr="0048465B">
        <w:rPr>
          <w:lang w:val="en-GB"/>
        </w:rPr>
        <w:t xml:space="preserve"> by Palestinian author Lotfallah Soliman, who argued that the Holocaust troubles the Palestinian </w:t>
      </w:r>
      <w:r w:rsidR="007B25E0" w:rsidRPr="0048465B">
        <w:rPr>
          <w:lang w:val="en-GB"/>
        </w:rPr>
        <w:lastRenderedPageBreak/>
        <w:t>people ‘“only in the precise measure that we are concerned by the universal</w:t>
      </w:r>
      <w:r w:rsidR="000C3FB4">
        <w:rPr>
          <w:lang w:val="en-GB"/>
        </w:rPr>
        <w:t xml:space="preserve"> […] </w:t>
      </w:r>
      <w:r w:rsidRPr="0048465B">
        <w:rPr>
          <w:lang w:val="en-GB"/>
        </w:rPr>
        <w:t>Since we did not participate in any way whatsoever in the Holocaust, neither actively nor by our passivity, we have no guilt complex at all”’.</w:t>
      </w:r>
      <w:r w:rsidRPr="0048465B">
        <w:rPr>
          <w:vertAlign w:val="superscript"/>
          <w:lang w:val="en-GB"/>
        </w:rPr>
        <w:footnoteReference w:id="178"/>
      </w:r>
      <w:r w:rsidRPr="0048465B">
        <w:rPr>
          <w:lang w:val="en-GB"/>
        </w:rPr>
        <w:t xml:space="preserve"> Tossavainen’s very desire to </w:t>
      </w:r>
      <w:r w:rsidR="007B25E0" w:rsidRPr="0048465B">
        <w:rPr>
          <w:lang w:val="en-GB"/>
        </w:rPr>
        <w:t>assimilate</w:t>
      </w:r>
      <w:r w:rsidRPr="0048465B">
        <w:rPr>
          <w:lang w:val="en-GB"/>
        </w:rPr>
        <w:t xml:space="preserve"> Western understandings of the Holocaust into the discourse of a Middle</w:t>
      </w:r>
      <w:r w:rsidR="00271D9A">
        <w:rPr>
          <w:lang w:val="en-GB"/>
        </w:rPr>
        <w:t xml:space="preserve"> </w:t>
      </w:r>
      <w:r w:rsidRPr="0048465B">
        <w:rPr>
          <w:lang w:val="en-GB"/>
        </w:rPr>
        <w:t xml:space="preserve">Eastern people </w:t>
      </w:r>
      <w:r w:rsidR="00271D9A">
        <w:rPr>
          <w:lang w:val="en-GB"/>
        </w:rPr>
        <w:t>–</w:t>
      </w:r>
      <w:r w:rsidRPr="0048465B">
        <w:rPr>
          <w:lang w:val="en-GB"/>
        </w:rPr>
        <w:t xml:space="preserve"> whose very dispossession continues to be justified through recourse to the Holocaust </w:t>
      </w:r>
      <w:r w:rsidR="00271D9A">
        <w:rPr>
          <w:lang w:val="en-GB"/>
        </w:rPr>
        <w:t>–</w:t>
      </w:r>
      <w:r w:rsidRPr="0048465B">
        <w:rPr>
          <w:lang w:val="en-GB"/>
        </w:rPr>
        <w:t xml:space="preserve"> not only</w:t>
      </w:r>
      <w:r w:rsidR="008F554C">
        <w:rPr>
          <w:lang w:val="en-GB"/>
        </w:rPr>
        <w:t xml:space="preserve"> seeks to</w:t>
      </w:r>
      <w:r w:rsidRPr="0048465B">
        <w:rPr>
          <w:lang w:val="en-GB"/>
        </w:rPr>
        <w:t xml:space="preserve"> centralise European conceptions of suffering</w:t>
      </w:r>
      <w:r w:rsidR="008F554C">
        <w:rPr>
          <w:lang w:val="en-GB"/>
        </w:rPr>
        <w:t xml:space="preserve"> in a non-European land</w:t>
      </w:r>
      <w:r w:rsidRPr="0048465B">
        <w:rPr>
          <w:lang w:val="en-GB"/>
        </w:rPr>
        <w:t xml:space="preserve">, but </w:t>
      </w:r>
      <w:r w:rsidR="008F554C">
        <w:rPr>
          <w:lang w:val="en-GB"/>
        </w:rPr>
        <w:t xml:space="preserve">supports </w:t>
      </w:r>
      <w:r w:rsidRPr="0048465B">
        <w:rPr>
          <w:lang w:val="en-GB"/>
        </w:rPr>
        <w:t xml:space="preserve">false </w:t>
      </w:r>
      <w:r w:rsidR="008F554C">
        <w:rPr>
          <w:lang w:val="en-GB"/>
        </w:rPr>
        <w:t>equivalencies</w:t>
      </w:r>
      <w:r w:rsidR="008F554C" w:rsidRPr="0048465B">
        <w:rPr>
          <w:lang w:val="en-GB"/>
        </w:rPr>
        <w:t xml:space="preserve"> </w:t>
      </w:r>
      <w:r w:rsidRPr="0048465B">
        <w:rPr>
          <w:lang w:val="en-GB"/>
        </w:rPr>
        <w:t xml:space="preserve">between the absence of Western </w:t>
      </w:r>
      <w:r w:rsidR="008F554C">
        <w:rPr>
          <w:lang w:val="en-GB"/>
        </w:rPr>
        <w:t>understandings</w:t>
      </w:r>
      <w:r w:rsidR="008F554C" w:rsidRPr="0048465B">
        <w:rPr>
          <w:lang w:val="en-GB"/>
        </w:rPr>
        <w:t xml:space="preserve"> </w:t>
      </w:r>
      <w:r w:rsidRPr="0048465B">
        <w:rPr>
          <w:lang w:val="en-GB"/>
        </w:rPr>
        <w:t>of the Holocaust in Palestine</w:t>
      </w:r>
      <w:r w:rsidR="00271D9A">
        <w:rPr>
          <w:lang w:val="en-GB"/>
        </w:rPr>
        <w:t>,</w:t>
      </w:r>
      <w:r w:rsidRPr="0048465B">
        <w:rPr>
          <w:lang w:val="en-GB"/>
        </w:rPr>
        <w:t xml:space="preserve"> and Arab antisemitism.</w:t>
      </w:r>
    </w:p>
    <w:p w14:paraId="3F0976C1" w14:textId="77777777" w:rsidR="00FC331F" w:rsidRPr="0048465B" w:rsidRDefault="00FC331F" w:rsidP="00FC331F">
      <w:pPr>
        <w:rPr>
          <w:lang w:val="en-GB"/>
        </w:rPr>
      </w:pPr>
    </w:p>
    <w:p w14:paraId="691D90C5" w14:textId="016AACB0" w:rsidR="00FC331F" w:rsidRPr="0048465B" w:rsidRDefault="00FC331F" w:rsidP="00FC331F">
      <w:pPr>
        <w:rPr>
          <w:lang w:val="en-GB"/>
        </w:rPr>
      </w:pPr>
      <w:r w:rsidRPr="0048465B">
        <w:rPr>
          <w:lang w:val="en-GB"/>
        </w:rPr>
        <w:t xml:space="preserve">Moreover, Tossavainen’s criticism of Arab discourse on the Holocaust completely overlooks Israel’s corresponding failure to adhere to the Holocaust’s universal messages of tolerance and anti-racism, both in 2008 when Tossavainen’s essay was published, when Palestinian deaths outnumbered Israeli deaths </w:t>
      </w:r>
      <w:r w:rsidR="00CA3551">
        <w:rPr>
          <w:lang w:val="en-GB"/>
        </w:rPr>
        <w:t>877</w:t>
      </w:r>
      <w:r w:rsidRPr="0048465B">
        <w:rPr>
          <w:lang w:val="en-GB"/>
        </w:rPr>
        <w:t xml:space="preserve"> to </w:t>
      </w:r>
      <w:r w:rsidR="00CA3551">
        <w:rPr>
          <w:lang w:val="en-GB"/>
        </w:rPr>
        <w:t>34</w:t>
      </w:r>
      <w:r w:rsidRPr="0048465B">
        <w:rPr>
          <w:lang w:val="en-GB"/>
        </w:rPr>
        <w:t>,</w:t>
      </w:r>
      <w:r w:rsidRPr="0048465B">
        <w:rPr>
          <w:vertAlign w:val="superscript"/>
          <w:lang w:val="en-GB"/>
        </w:rPr>
        <w:footnoteReference w:id="179"/>
      </w:r>
      <w:r w:rsidRPr="0048465B">
        <w:rPr>
          <w:lang w:val="en-GB"/>
        </w:rPr>
        <w:t xml:space="preserve"> and </w:t>
      </w:r>
      <w:r w:rsidR="00F22355">
        <w:rPr>
          <w:lang w:val="en-GB"/>
        </w:rPr>
        <w:t>more recently</w:t>
      </w:r>
      <w:r w:rsidRPr="0048465B">
        <w:rPr>
          <w:lang w:val="en-GB"/>
        </w:rPr>
        <w:t>, when Israel’s recent passing of the Basic Law has not only ‘essentially define[d] Israel first and foremost as a Jewish state’, but also, worryingly ambiguously, ‘</w:t>
      </w:r>
      <w:proofErr w:type="spellStart"/>
      <w:r w:rsidRPr="0048465B">
        <w:rPr>
          <w:lang w:val="en-GB"/>
        </w:rPr>
        <w:t>stresse</w:t>
      </w:r>
      <w:proofErr w:type="spellEnd"/>
      <w:r w:rsidRPr="0048465B">
        <w:rPr>
          <w:lang w:val="en-GB"/>
        </w:rPr>
        <w:t>[d] the importance of “development of Jewish settlements as a national value”’.</w:t>
      </w:r>
      <w:r w:rsidRPr="0048465B">
        <w:rPr>
          <w:vertAlign w:val="superscript"/>
          <w:lang w:val="en-GB"/>
        </w:rPr>
        <w:footnoteReference w:id="180"/>
      </w:r>
      <w:r w:rsidRPr="0048465B">
        <w:rPr>
          <w:lang w:val="en-GB"/>
        </w:rPr>
        <w:t xml:space="preserve"> Moreover, Tossavainen’s characterisation of Arab antisemitism as ‘resentment’ for having lost against Israeli armies, fails to acknowledge the stakes of those wars and intifadas, namely Palestinian</w:t>
      </w:r>
      <w:r w:rsidR="00F22355">
        <w:rPr>
          <w:lang w:val="en-GB"/>
        </w:rPr>
        <w:t xml:space="preserve"> lives,</w:t>
      </w:r>
      <w:r w:rsidRPr="0048465B">
        <w:rPr>
          <w:lang w:val="en-GB"/>
        </w:rPr>
        <w:t xml:space="preserve"> lands, homes, culture, and autonomy. This oversight, when twinned with both Tossavainen and Litvak’s reluctance to acknowledge the link between Arab discourse on the Holocaust and Israeli maltreatment of Palestinians, demonstrates a clear bias with regard to the Israeli-Palestinian conflict. Both authors, with a particular emphasis on Tossavainen, </w:t>
      </w:r>
      <w:r w:rsidRPr="0048465B">
        <w:rPr>
          <w:lang w:val="en-GB"/>
        </w:rPr>
        <w:lastRenderedPageBreak/>
        <w:t xml:space="preserve">place Palestinians as the architects of their own oppression, not only falsely implying that there is only one Arab perspective on the Holocaust, but </w:t>
      </w:r>
      <w:r w:rsidR="00F22355">
        <w:rPr>
          <w:lang w:val="en-GB"/>
        </w:rPr>
        <w:t xml:space="preserve">suggesting </w:t>
      </w:r>
      <w:r w:rsidRPr="0048465B">
        <w:rPr>
          <w:lang w:val="en-GB"/>
        </w:rPr>
        <w:t xml:space="preserve">that until Arab public discourse on the Holocaust changes there can be no certainty that Arab antisemitism is not completely unrelated to the on-going conflict, and that the </w:t>
      </w:r>
      <w:r w:rsidR="008F554C">
        <w:rPr>
          <w:lang w:val="en-GB"/>
        </w:rPr>
        <w:t>occupation</w:t>
      </w:r>
      <w:r w:rsidR="008F554C" w:rsidRPr="0048465B">
        <w:rPr>
          <w:lang w:val="en-GB"/>
        </w:rPr>
        <w:t xml:space="preserve"> </w:t>
      </w:r>
      <w:r w:rsidRPr="0048465B">
        <w:rPr>
          <w:lang w:val="en-GB"/>
        </w:rPr>
        <w:t>must therefore continue in the name of defence.</w:t>
      </w:r>
    </w:p>
    <w:p w14:paraId="2E47BA6C" w14:textId="77777777" w:rsidR="00FC331F" w:rsidRPr="0048465B" w:rsidRDefault="00FC331F" w:rsidP="00FC331F">
      <w:pPr>
        <w:rPr>
          <w:lang w:val="en-GB"/>
        </w:rPr>
      </w:pPr>
    </w:p>
    <w:p w14:paraId="10C78772" w14:textId="746F7FD3" w:rsidR="00FC331F" w:rsidRPr="0048465B" w:rsidRDefault="00FC331F" w:rsidP="00FC331F">
      <w:pPr>
        <w:rPr>
          <w:lang w:val="en-GB"/>
        </w:rPr>
      </w:pPr>
      <w:r w:rsidRPr="0048465B">
        <w:rPr>
          <w:lang w:val="en-GB"/>
        </w:rPr>
        <w:t>As Said states, ‘there is no reason at all, in my opinion, not to submit oneself in horror and awe to the special tragedy besetting the Jewish people’,</w:t>
      </w:r>
      <w:r w:rsidRPr="0048465B">
        <w:rPr>
          <w:vertAlign w:val="superscript"/>
          <w:lang w:val="en-GB"/>
        </w:rPr>
        <w:footnoteReference w:id="181"/>
      </w:r>
      <w:r w:rsidRPr="0048465B">
        <w:rPr>
          <w:lang w:val="en-GB"/>
        </w:rPr>
        <w:t xml:space="preserve"> and whilst his use of the word ‘special’ may stray towards </w:t>
      </w:r>
      <w:r w:rsidR="00FA3397">
        <w:rPr>
          <w:lang w:val="en-GB"/>
        </w:rPr>
        <w:t>a discourse of exceptionalism</w:t>
      </w:r>
      <w:r w:rsidRPr="0048465B">
        <w:rPr>
          <w:lang w:val="en-GB"/>
        </w:rPr>
        <w:t xml:space="preserve">, first and foremost this statement is intended to assert unequivocally that not only was the Holocaust an </w:t>
      </w:r>
      <w:r w:rsidR="00BF28EF">
        <w:rPr>
          <w:lang w:val="en-GB"/>
        </w:rPr>
        <w:t>act of transnational genocide,</w:t>
      </w:r>
      <w:r w:rsidRPr="0048465B">
        <w:rPr>
          <w:lang w:val="en-GB"/>
        </w:rPr>
        <w:t xml:space="preserve"> but that antisemitism is inexcusable. Whilst placing no conditions on such recognition, this very recognition coexists</w:t>
      </w:r>
      <w:r w:rsidR="00A904E6">
        <w:rPr>
          <w:lang w:val="en-GB"/>
        </w:rPr>
        <w:t>, for Said,</w:t>
      </w:r>
      <w:r w:rsidRPr="0048465B">
        <w:rPr>
          <w:lang w:val="en-GB"/>
        </w:rPr>
        <w:t xml:space="preserve"> with the immutable belief that the horrific events of the Holocaust in no way excuse the mistreatment of Palestinians that has occurred since. Tossavainen’s analysis fails to understand the difference between antisemitism </w:t>
      </w:r>
      <w:r w:rsidR="00F22355">
        <w:rPr>
          <w:lang w:val="en-GB"/>
        </w:rPr>
        <w:t>–</w:t>
      </w:r>
      <w:r w:rsidRPr="0048465B">
        <w:rPr>
          <w:lang w:val="en-GB"/>
        </w:rPr>
        <w:t xml:space="preserve"> intolerance without reason </w:t>
      </w:r>
      <w:r w:rsidR="00F22355">
        <w:rPr>
          <w:lang w:val="en-GB"/>
        </w:rPr>
        <w:t>–</w:t>
      </w:r>
      <w:r w:rsidRPr="0048465B">
        <w:rPr>
          <w:lang w:val="en-GB"/>
        </w:rPr>
        <w:t xml:space="preserve"> and contextualised frustration</w:t>
      </w:r>
      <w:r w:rsidR="00A904E6">
        <w:rPr>
          <w:lang w:val="en-GB"/>
        </w:rPr>
        <w:t>, anger,</w:t>
      </w:r>
      <w:r w:rsidRPr="0048465B">
        <w:rPr>
          <w:lang w:val="en-GB"/>
        </w:rPr>
        <w:t xml:space="preserve"> and </w:t>
      </w:r>
      <w:r w:rsidR="00A904E6">
        <w:rPr>
          <w:lang w:val="en-GB"/>
        </w:rPr>
        <w:t>grief</w:t>
      </w:r>
      <w:r w:rsidRPr="0048465B">
        <w:rPr>
          <w:lang w:val="en-GB"/>
        </w:rPr>
        <w:t xml:space="preserve">, the latter of which is the background against which the majority of Palestinian and, more generally, Arab understandings of both Israel and the Holocaust have been shaped. Belgian theologian Didier </w:t>
      </w:r>
      <w:proofErr w:type="spellStart"/>
      <w:r w:rsidRPr="0048465B">
        <w:rPr>
          <w:lang w:val="en-GB"/>
        </w:rPr>
        <w:t>Pollefeyt</w:t>
      </w:r>
      <w:proofErr w:type="spellEnd"/>
      <w:r w:rsidRPr="0048465B">
        <w:rPr>
          <w:lang w:val="en-GB"/>
        </w:rPr>
        <w:t xml:space="preserve"> describes the pertinent notion of ‘“Holocaust fatigue”’, as ‘“the result of a certain canonization of the history [of] the Holocaust, which fixes the meaning of the Holocaust to serve clear or (seemingly) hidden moral, ideological, or political agendas”’. As Achcar affirms, it is no wonder that ‘[p]</w:t>
      </w:r>
      <w:proofErr w:type="spellStart"/>
      <w:r w:rsidRPr="0048465B">
        <w:rPr>
          <w:lang w:val="en-GB"/>
        </w:rPr>
        <w:t>olitical</w:t>
      </w:r>
      <w:proofErr w:type="spellEnd"/>
      <w:r w:rsidRPr="0048465B">
        <w:rPr>
          <w:lang w:val="en-GB"/>
        </w:rPr>
        <w:t xml:space="preserve"> exploitation of the Holocaust naturally causes [such fatigue in] Arabs, more than others’,</w:t>
      </w:r>
      <w:r w:rsidRPr="0048465B">
        <w:rPr>
          <w:vertAlign w:val="superscript"/>
          <w:lang w:val="en-GB"/>
        </w:rPr>
        <w:footnoteReference w:id="182"/>
      </w:r>
      <w:r w:rsidRPr="0048465B">
        <w:rPr>
          <w:lang w:val="en-GB"/>
        </w:rPr>
        <w:t xml:space="preserve"> especially</w:t>
      </w:r>
      <w:r w:rsidR="00A904E6">
        <w:rPr>
          <w:lang w:val="en-GB"/>
        </w:rPr>
        <w:t xml:space="preserve"> since</w:t>
      </w:r>
      <w:r w:rsidRPr="0048465B">
        <w:rPr>
          <w:lang w:val="en-GB"/>
        </w:rPr>
        <w:t xml:space="preserve"> the very articulation of such fatigue invites yet further accusations of ignorance or insensitivity.</w:t>
      </w:r>
    </w:p>
    <w:p w14:paraId="51A3DB75" w14:textId="77777777" w:rsidR="00FC331F" w:rsidRPr="0048465B" w:rsidRDefault="00FC331F" w:rsidP="00FC331F">
      <w:pPr>
        <w:rPr>
          <w:lang w:val="en-GB"/>
        </w:rPr>
      </w:pPr>
    </w:p>
    <w:p w14:paraId="1626F671" w14:textId="7487C214" w:rsidR="00FC331F" w:rsidRPr="0048465B" w:rsidRDefault="00FC331F" w:rsidP="00FC331F">
      <w:pPr>
        <w:rPr>
          <w:lang w:val="en-GB"/>
        </w:rPr>
      </w:pPr>
      <w:r w:rsidRPr="0048465B">
        <w:rPr>
          <w:lang w:val="en-GB"/>
        </w:rPr>
        <w:lastRenderedPageBreak/>
        <w:t>This lack of context for Palestinian frustrations is further evident both in Tossavainen’s description of how ‘Arab public discourse on the Holocaust is highly politicized and almost always displays hostility towards Israel or Jews’,</w:t>
      </w:r>
      <w:r w:rsidR="009631D4">
        <w:rPr>
          <w:rStyle w:val="FootnoteReference"/>
          <w:lang w:val="en-GB"/>
        </w:rPr>
        <w:footnoteReference w:id="183"/>
      </w:r>
      <w:r w:rsidRPr="0048465B">
        <w:rPr>
          <w:lang w:val="en-GB"/>
        </w:rPr>
        <w:t xml:space="preserve"> and, more conspicuously, </w:t>
      </w:r>
      <w:r w:rsidR="00BF28EF">
        <w:rPr>
          <w:lang w:val="en-GB"/>
        </w:rPr>
        <w:t>in</w:t>
      </w:r>
      <w:r w:rsidR="00F6238A" w:rsidRPr="0048465B">
        <w:rPr>
          <w:lang w:val="en-GB"/>
        </w:rPr>
        <w:t xml:space="preserve"> </w:t>
      </w:r>
      <w:r w:rsidRPr="0048465B">
        <w:rPr>
          <w:lang w:val="en-GB"/>
        </w:rPr>
        <w:t>an ‘Israeli-American study of textbooks used in Palestinian schools under the Palestinian Authority’, which ‘deplored the [‘wholly negative’] image of Israel they purveyed’. The books analysed in the study represented Israel as ‘an occupying entity since 1948</w:t>
      </w:r>
      <w:r w:rsidR="003C27CA">
        <w:rPr>
          <w:lang w:val="en-GB"/>
        </w:rPr>
        <w:t xml:space="preserve"> […]</w:t>
      </w:r>
      <w:r w:rsidRPr="0048465B">
        <w:rPr>
          <w:lang w:val="en-GB"/>
        </w:rPr>
        <w:t xml:space="preserve"> responsible for the Palestinian Catastrophe of that year and the source of violence’, as well as an entity that:</w:t>
      </w:r>
    </w:p>
    <w:p w14:paraId="6FC905D8" w14:textId="77777777" w:rsidR="00FC331F" w:rsidRPr="0048465B" w:rsidRDefault="00FC331F" w:rsidP="00FC331F">
      <w:pPr>
        <w:rPr>
          <w:lang w:val="en-GB"/>
        </w:rPr>
      </w:pPr>
    </w:p>
    <w:p w14:paraId="0DF22389" w14:textId="745394B3" w:rsidR="00FC331F" w:rsidRPr="0048465B" w:rsidRDefault="00FC331F" w:rsidP="00FC331F">
      <w:pPr>
        <w:ind w:left="720"/>
        <w:rPr>
          <w:lang w:val="en-GB"/>
        </w:rPr>
      </w:pPr>
      <w:r w:rsidRPr="0048465B">
        <w:rPr>
          <w:lang w:val="en-GB"/>
        </w:rPr>
        <w:t xml:space="preserve">shells schools, arrests and tortures people, demolishes Palestinian houses, blocks roads, oppresses the Palestinians including by means of the </w:t>
      </w:r>
      <w:r w:rsidR="00F22355">
        <w:rPr>
          <w:lang w:val="en-GB"/>
        </w:rPr>
        <w:t>“</w:t>
      </w:r>
      <w:r w:rsidRPr="0048465B">
        <w:rPr>
          <w:lang w:val="en-GB"/>
        </w:rPr>
        <w:t>racist annexation and separation wall,</w:t>
      </w:r>
      <w:r w:rsidR="00F22355">
        <w:rPr>
          <w:lang w:val="en-GB"/>
        </w:rPr>
        <w:t>”</w:t>
      </w:r>
      <w:r w:rsidRPr="0048465B">
        <w:rPr>
          <w:lang w:val="en-GB"/>
        </w:rPr>
        <w:t xml:space="preserve"> steals Palestinian land and water, strives to destroy Muslim and Christian holy places, tries to impoverish the Palestinians and destroy their agriculture and economy, [and] maltreats its citizens.</w:t>
      </w:r>
    </w:p>
    <w:p w14:paraId="1D4A002F" w14:textId="77777777" w:rsidR="00FC331F" w:rsidRPr="0048465B" w:rsidRDefault="00FC331F" w:rsidP="00FC331F">
      <w:pPr>
        <w:ind w:left="720"/>
        <w:rPr>
          <w:lang w:val="en-GB"/>
        </w:rPr>
      </w:pPr>
    </w:p>
    <w:p w14:paraId="3AF5D481" w14:textId="180BA085" w:rsidR="00FC331F" w:rsidRPr="0048465B" w:rsidRDefault="00FC331F" w:rsidP="00FC331F">
      <w:pPr>
        <w:rPr>
          <w:lang w:val="en-GB"/>
        </w:rPr>
      </w:pPr>
      <w:r w:rsidRPr="0048465B">
        <w:rPr>
          <w:lang w:val="en-GB"/>
        </w:rPr>
        <w:t xml:space="preserve">Yet despite the </w:t>
      </w:r>
      <w:r w:rsidR="00F22355">
        <w:rPr>
          <w:lang w:val="en-GB"/>
        </w:rPr>
        <w:t>indignation</w:t>
      </w:r>
      <w:r w:rsidRPr="0048465B">
        <w:rPr>
          <w:lang w:val="en-GB"/>
        </w:rPr>
        <w:t xml:space="preserve"> of the Israeli-American authors, all of the above is, as noted by Achcar, ‘literally true’.</w:t>
      </w:r>
      <w:r w:rsidRPr="0048465B">
        <w:rPr>
          <w:vertAlign w:val="superscript"/>
          <w:lang w:val="en-GB"/>
        </w:rPr>
        <w:footnoteReference w:id="184"/>
      </w:r>
      <w:r w:rsidRPr="0048465B">
        <w:rPr>
          <w:lang w:val="en-GB"/>
        </w:rPr>
        <w:t xml:space="preserve"> The reality of the injustices to which Palestinians have been submitted under Israeli dominion forces us to reconsider Palestinian aversion to Israel and </w:t>
      </w:r>
      <w:r w:rsidR="00B85626">
        <w:rPr>
          <w:lang w:val="en-GB"/>
        </w:rPr>
        <w:t>the</w:t>
      </w:r>
      <w:r w:rsidRPr="0048465B">
        <w:rPr>
          <w:lang w:val="en-GB"/>
        </w:rPr>
        <w:t xml:space="preserve"> citizens</w:t>
      </w:r>
      <w:r w:rsidR="00B85626">
        <w:rPr>
          <w:lang w:val="en-GB"/>
        </w:rPr>
        <w:t xml:space="preserve"> who</w:t>
      </w:r>
      <w:r w:rsidR="00BF28EF">
        <w:rPr>
          <w:lang w:val="en-GB"/>
        </w:rPr>
        <w:t xml:space="preserve"> choose to</w:t>
      </w:r>
      <w:r w:rsidR="00B85626">
        <w:rPr>
          <w:lang w:val="en-GB"/>
        </w:rPr>
        <w:t xml:space="preserve"> sustain its leaders</w:t>
      </w:r>
      <w:r w:rsidRPr="0048465B">
        <w:rPr>
          <w:lang w:val="en-GB"/>
        </w:rPr>
        <w:t xml:space="preserve">, Achcar querying whether the ‘fantasy-based hatred of the Jews that was and still is typical of European racists’ or the ‘genocidal Judeophobia of Nazism’ can truly be compared to ‘the hatred felt by Arabs enraged by the occupation and/or destruction of Arab lands; the expulsion/dispossession or subjugation of the populations living on them; and the war crimes </w:t>
      </w:r>
      <w:r w:rsidRPr="0048465B">
        <w:rPr>
          <w:lang w:val="en-GB"/>
        </w:rPr>
        <w:lastRenderedPageBreak/>
        <w:t>committed by the armed forces’?</w:t>
      </w:r>
      <w:r w:rsidRPr="0048465B">
        <w:rPr>
          <w:vertAlign w:val="superscript"/>
          <w:lang w:val="en-GB"/>
        </w:rPr>
        <w:footnoteReference w:id="185"/>
      </w:r>
      <w:r w:rsidRPr="0048465B">
        <w:rPr>
          <w:lang w:val="en-GB"/>
        </w:rPr>
        <w:t xml:space="preserve"> It is self-evident that the two are not synonymous. Whilst the former is prejudicial by definition </w:t>
      </w:r>
      <w:r w:rsidR="00F22355">
        <w:rPr>
          <w:lang w:val="en-GB"/>
        </w:rPr>
        <w:t>–</w:t>
      </w:r>
      <w:r w:rsidRPr="0048465B">
        <w:rPr>
          <w:lang w:val="en-GB"/>
        </w:rPr>
        <w:t xml:space="preserve"> having its basis in delusion and malevolent predisposition </w:t>
      </w:r>
      <w:r w:rsidR="00F22355">
        <w:rPr>
          <w:lang w:val="en-GB"/>
        </w:rPr>
        <w:t>–</w:t>
      </w:r>
      <w:r w:rsidRPr="0048465B">
        <w:rPr>
          <w:lang w:val="en-GB"/>
        </w:rPr>
        <w:t xml:space="preserve"> the latter </w:t>
      </w:r>
      <w:r w:rsidR="00AE40C6">
        <w:rPr>
          <w:lang w:val="en-GB"/>
        </w:rPr>
        <w:t>finds</w:t>
      </w:r>
      <w:r w:rsidRPr="0048465B">
        <w:rPr>
          <w:lang w:val="en-GB"/>
        </w:rPr>
        <w:t xml:space="preserve"> its foundation in the acts of the coloniser. Moreover, Tossavainen’s wilful omission of the contexts surrounding Arab attitudes to Israel and the Holocaust suggests an expectation that the Holocaust sit outside of this context in Palestinian discourse. Such expectations are completely at odds with the fact that the </w:t>
      </w:r>
      <w:r w:rsidR="008E7D20">
        <w:rPr>
          <w:lang w:val="en-GB"/>
        </w:rPr>
        <w:t>advent</w:t>
      </w:r>
      <w:r w:rsidRPr="0048465B">
        <w:rPr>
          <w:lang w:val="en-GB"/>
        </w:rPr>
        <w:t xml:space="preserve"> of Palestinian understanding of the Holocaust directly coincided with </w:t>
      </w:r>
      <w:r w:rsidR="003D09A3">
        <w:rPr>
          <w:lang w:val="en-GB"/>
        </w:rPr>
        <w:t>dramatically increased Jewish immigration</w:t>
      </w:r>
      <w:r w:rsidR="00097FA9">
        <w:rPr>
          <w:lang w:val="en-GB"/>
        </w:rPr>
        <w:t xml:space="preserve"> and </w:t>
      </w:r>
      <w:r w:rsidR="003D09A3">
        <w:rPr>
          <w:lang w:val="en-GB"/>
        </w:rPr>
        <w:t>land purchases</w:t>
      </w:r>
      <w:r w:rsidR="00097FA9">
        <w:rPr>
          <w:lang w:val="en-GB"/>
        </w:rPr>
        <w:t xml:space="preserve"> which caused yet further </w:t>
      </w:r>
      <w:r w:rsidRPr="0048465B">
        <w:rPr>
          <w:lang w:val="en-GB"/>
        </w:rPr>
        <w:t>Palestinian</w:t>
      </w:r>
      <w:r w:rsidR="003D09A3">
        <w:rPr>
          <w:lang w:val="en-GB"/>
        </w:rPr>
        <w:t xml:space="preserve"> dispossession</w:t>
      </w:r>
      <w:r w:rsidRPr="0048465B">
        <w:rPr>
          <w:lang w:val="en-GB"/>
        </w:rPr>
        <w:t>, and, moreover, sits at odds with the fact that the Holocaust continues to be exploited to justify the persecution of Palestinians.</w:t>
      </w:r>
    </w:p>
    <w:p w14:paraId="03E63302" w14:textId="77777777" w:rsidR="00FC331F" w:rsidRPr="0048465B" w:rsidRDefault="00FC331F" w:rsidP="00FC331F">
      <w:pPr>
        <w:rPr>
          <w:lang w:val="en-GB"/>
        </w:rPr>
      </w:pPr>
    </w:p>
    <w:p w14:paraId="313F748C" w14:textId="2881E880" w:rsidR="00FC331F" w:rsidRPr="0048465B" w:rsidRDefault="00FC331F" w:rsidP="00FC331F">
      <w:pPr>
        <w:rPr>
          <w:lang w:val="en-GB"/>
        </w:rPr>
      </w:pPr>
      <w:r w:rsidRPr="0048465B">
        <w:rPr>
          <w:lang w:val="en-GB"/>
        </w:rPr>
        <w:t>Perhaps the most infamous example of the assimilation of the Holocaust into Israeli political rhetoric is that of former Deputy Minister of Defence, Matan Vilnai. The incident in question occurred in 2008, the same year that Tossavainen’s paper was published, when Vilnai warned Palestinians that they would ‘bring upon themselves a bigger Shoah’,</w:t>
      </w:r>
      <w:r w:rsidRPr="0048465B">
        <w:rPr>
          <w:vertAlign w:val="superscript"/>
          <w:lang w:val="en-GB"/>
        </w:rPr>
        <w:footnoteReference w:id="186"/>
      </w:r>
      <w:r w:rsidRPr="0048465B">
        <w:rPr>
          <w:lang w:val="en-GB"/>
        </w:rPr>
        <w:t xml:space="preserve"> if they did not stop firing rockets into Israel. Particularly noteworthy here for a number of reasons is Vilnai’s use of the word ‘Shoah’, the standard Hebrew term for the ‘murder and persecution of European Jewry’ during the Holocaust.</w:t>
      </w:r>
      <w:r w:rsidR="008E7D20" w:rsidRPr="0048465B">
        <w:rPr>
          <w:vertAlign w:val="superscript"/>
          <w:lang w:val="en-GB"/>
        </w:rPr>
        <w:footnoteReference w:id="187"/>
      </w:r>
      <w:r w:rsidRPr="0048465B">
        <w:rPr>
          <w:lang w:val="en-GB"/>
        </w:rPr>
        <w:t xml:space="preserve"> Firstly, as noted by Mark </w:t>
      </w:r>
      <w:proofErr w:type="spellStart"/>
      <w:r w:rsidRPr="0048465B">
        <w:rPr>
          <w:lang w:val="en-GB"/>
        </w:rPr>
        <w:t>LeVine</w:t>
      </w:r>
      <w:proofErr w:type="spellEnd"/>
      <w:r w:rsidRPr="0048465B">
        <w:rPr>
          <w:lang w:val="en-GB"/>
        </w:rPr>
        <w:t>, it exposes the fact that ‘Israeli officials are well aware of the magnitude of the suffering that they have inflicted on Gaza’,</w:t>
      </w:r>
      <w:r w:rsidRPr="0048465B">
        <w:rPr>
          <w:vertAlign w:val="superscript"/>
          <w:lang w:val="en-GB"/>
        </w:rPr>
        <w:footnoteReference w:id="188"/>
      </w:r>
      <w:r w:rsidRPr="0048465B">
        <w:rPr>
          <w:lang w:val="en-GB"/>
        </w:rPr>
        <w:t xml:space="preserve"> but perhaps more </w:t>
      </w:r>
      <w:r w:rsidR="00AE40C6">
        <w:rPr>
          <w:lang w:val="en-GB"/>
        </w:rPr>
        <w:t>revealing</w:t>
      </w:r>
      <w:r w:rsidRPr="0048465B">
        <w:rPr>
          <w:lang w:val="en-GB"/>
        </w:rPr>
        <w:t xml:space="preserve"> is the fact that through using the word Shoah – specifically relating to the persecution of European Jews – to describe treatment of Palestinians, Vilnai inextricably associates the </w:t>
      </w:r>
      <w:r w:rsidRPr="0048465B">
        <w:rPr>
          <w:lang w:val="en-GB"/>
        </w:rPr>
        <w:lastRenderedPageBreak/>
        <w:t xml:space="preserve">contemporary suffering of Palestinians with the historical suffering of Jews in the Holocaust. Yet whilst such an association would usually be made in an attempt to highlight Palestinian suffering, Vilnai professes that this Palestinian Shoah is one that the Palestinians would ‘bring upon themselves’. Vilnai thus paints Palestinians as both oppressed and self-oppressor, as both victim of ‘murder and persecution [similar to that] of European Jewry’, and as perpetrator of this same destruction. </w:t>
      </w:r>
      <w:r w:rsidR="007B25E0" w:rsidRPr="0048465B">
        <w:rPr>
          <w:lang w:val="en-GB"/>
        </w:rPr>
        <w:t>Thus,</w:t>
      </w:r>
      <w:r w:rsidRPr="0048465B">
        <w:rPr>
          <w:lang w:val="en-GB"/>
        </w:rPr>
        <w:t xml:space="preserve"> whilst the objective acknowledgement of shared suffering between Israelis and Palestinians would usually be progressive for an Israeli government official, Vilnai here manages to associate the two in the shape of a threat to Palestine of colossal proportions, whil</w:t>
      </w:r>
      <w:r w:rsidR="00FA3397">
        <w:rPr>
          <w:lang w:val="en-GB"/>
        </w:rPr>
        <w:t>st simultaneously reinforcing historical Jewish victimhood, and</w:t>
      </w:r>
      <w:r w:rsidRPr="0048465B">
        <w:rPr>
          <w:lang w:val="en-GB"/>
        </w:rPr>
        <w:t xml:space="preserve"> removing both himself, and Israel, from any accountability. Such reinsertions of Holocaust terminology, history, and imagery into the political rhetoric of Israeli-Palestinian and Israeli</w:t>
      </w:r>
      <w:r w:rsidR="001C47C6">
        <w:rPr>
          <w:lang w:val="en-GB"/>
        </w:rPr>
        <w:t>-</w:t>
      </w:r>
      <w:r w:rsidRPr="0048465B">
        <w:rPr>
          <w:lang w:val="en-GB"/>
        </w:rPr>
        <w:t>Arab conflicts are not unusual. Other examples, in addition to those mentioned earlier in the chapter, include Menachem Begin’s statement that the alternative to war with Lebanon ‘“is Treblinka’”,</w:t>
      </w:r>
      <w:r w:rsidRPr="0048465B">
        <w:rPr>
          <w:vertAlign w:val="superscript"/>
          <w:lang w:val="en-GB"/>
        </w:rPr>
        <w:footnoteReference w:id="189"/>
      </w:r>
      <w:r w:rsidRPr="0048465B">
        <w:rPr>
          <w:lang w:val="en-GB"/>
        </w:rPr>
        <w:t xml:space="preserve"> the continuous Israeli depictions of Gamal Abdel Nasser and other Arab leaders as the ‘new Hitler’, and, in the same vein, even Israeli depictions of other Israeli leaders as ‘Hitler’ as Ben-Gurion did with Begin.</w:t>
      </w:r>
      <w:r w:rsidRPr="0048465B">
        <w:rPr>
          <w:vertAlign w:val="superscript"/>
          <w:lang w:val="en-GB"/>
        </w:rPr>
        <w:footnoteReference w:id="190"/>
      </w:r>
    </w:p>
    <w:p w14:paraId="6A66E7C3" w14:textId="77777777" w:rsidR="00FC331F" w:rsidRPr="0048465B" w:rsidRDefault="00FC331F" w:rsidP="00FC331F">
      <w:pPr>
        <w:rPr>
          <w:lang w:val="en-GB"/>
        </w:rPr>
      </w:pPr>
    </w:p>
    <w:p w14:paraId="08D619EE" w14:textId="77777777" w:rsidR="00FC331F" w:rsidRPr="0048465B" w:rsidRDefault="00FC331F" w:rsidP="00FC331F">
      <w:pPr>
        <w:rPr>
          <w:lang w:val="en-GB"/>
        </w:rPr>
      </w:pPr>
      <w:r w:rsidRPr="0048465B">
        <w:rPr>
          <w:lang w:val="en-GB"/>
        </w:rPr>
        <w:t xml:space="preserve">However, whilst Vilnai’s statement would seem to incriminate himself and Israel more than it would Palestine, this illogical and aggressive insertion of the Shoah into modern politics was met with a similarly naive reply when Hamas suggested that this very comment was ‘proof their enemies in the Jewish state were the “new Nazis”’, with Hamas leader Ismail Haniyeh stating that Israel ‘“want the world to condemn what they call the Holocaust and now they are threatening our </w:t>
      </w:r>
      <w:r w:rsidRPr="0048465B">
        <w:rPr>
          <w:lang w:val="en-GB"/>
        </w:rPr>
        <w:lastRenderedPageBreak/>
        <w:t>people with a holocaust”’.</w:t>
      </w:r>
      <w:r w:rsidRPr="0048465B">
        <w:rPr>
          <w:vertAlign w:val="superscript"/>
          <w:lang w:val="en-GB"/>
        </w:rPr>
        <w:footnoteReference w:id="191"/>
      </w:r>
      <w:r w:rsidRPr="0048465B">
        <w:rPr>
          <w:lang w:val="en-GB"/>
        </w:rPr>
        <w:t xml:space="preserve"> The cycle is thus repeated, wherein Palestinian oppression is lost within comments that, when divorced from their context, appear not as an alternative conclusion to the language of Vilnai’s initial threat, but as reductive and antisemitic.</w:t>
      </w:r>
    </w:p>
    <w:p w14:paraId="18AD7D21" w14:textId="77777777" w:rsidR="00FC331F" w:rsidRPr="0048465B" w:rsidRDefault="00FC331F" w:rsidP="00FC331F">
      <w:pPr>
        <w:rPr>
          <w:lang w:val="en-GB"/>
        </w:rPr>
      </w:pPr>
    </w:p>
    <w:p w14:paraId="52A62145" w14:textId="09B053D5" w:rsidR="00FC331F" w:rsidRPr="0048465B" w:rsidRDefault="00FC331F" w:rsidP="00FC331F">
      <w:pPr>
        <w:rPr>
          <w:vertAlign w:val="superscript"/>
          <w:lang w:val="en-GB"/>
        </w:rPr>
      </w:pPr>
      <w:r w:rsidRPr="0048465B">
        <w:rPr>
          <w:lang w:val="en-GB"/>
        </w:rPr>
        <w:t xml:space="preserve">Here we see how Tossavainen’s original assertion that Arab discourse on the Holocaust may not be contingent on the </w:t>
      </w:r>
      <w:r w:rsidR="0023678C">
        <w:rPr>
          <w:lang w:val="en-GB"/>
        </w:rPr>
        <w:t>Israeli-Palestinian</w:t>
      </w:r>
      <w:r w:rsidRPr="0048465B">
        <w:rPr>
          <w:lang w:val="en-GB"/>
        </w:rPr>
        <w:t xml:space="preserve"> conflict overlooks the centrality of the Holocaust within Israeli politics. Vilnai’s threat demonstrates the ways in which invocations of the Holocaust allow the Israeli state to continue to present itself as innocent victim defending itself against Arab antisemitism, whilst simultaneously committing human rights abuses against Palestinians. Hannan </w:t>
      </w:r>
      <w:proofErr w:type="spellStart"/>
      <w:r w:rsidRPr="0048465B">
        <w:rPr>
          <w:lang w:val="en-GB"/>
        </w:rPr>
        <w:t>Hever</w:t>
      </w:r>
      <w:proofErr w:type="spellEnd"/>
      <w:r w:rsidRPr="0048465B">
        <w:rPr>
          <w:lang w:val="en-GB"/>
        </w:rPr>
        <w:t>, professor of Judaic Studies and Comparative Literature at Yale University, highlights the disjunction between cause and effect regarding Israeli-Palestinian relations when he states that the ‘recognition of the Jewish Holocaust constituted the justification for the establishment of a Jewish nation-state at the expense of the Palestinians’. However, he asserts that</w:t>
      </w:r>
      <w:r w:rsidR="003B0E00">
        <w:rPr>
          <w:lang w:val="en-GB"/>
        </w:rPr>
        <w:t>, at the very same time,</w:t>
      </w:r>
      <w:r w:rsidRPr="0048465B">
        <w:rPr>
          <w:lang w:val="en-GB"/>
        </w:rPr>
        <w:t xml:space="preserve"> there nonetheless remains ‘an aporia</w:t>
      </w:r>
      <w:r w:rsidR="000C3FB4">
        <w:rPr>
          <w:lang w:val="en-GB"/>
        </w:rPr>
        <w:t xml:space="preserve"> [… </w:t>
      </w:r>
      <w:r w:rsidRPr="0048465B">
        <w:rPr>
          <w:lang w:val="en-GB"/>
        </w:rPr>
        <w:t>wherein</w:t>
      </w:r>
      <w:r w:rsidR="000C3FB4">
        <w:rPr>
          <w:lang w:val="en-GB"/>
        </w:rPr>
        <w:t xml:space="preserve"> …] </w:t>
      </w:r>
      <w:r w:rsidRPr="0048465B">
        <w:rPr>
          <w:lang w:val="en-GB"/>
        </w:rPr>
        <w:t>taking responsibility for the lesson of the Jewish Holocaust – which results in the establishment of a nation-state, which in turn brings about the Nakba – does not allow for the assumption of responsibility precisely toward the Palestinian Nakba’.</w:t>
      </w:r>
      <w:r w:rsidRPr="0048465B">
        <w:rPr>
          <w:vertAlign w:val="superscript"/>
          <w:lang w:val="en-GB"/>
        </w:rPr>
        <w:footnoteReference w:id="192"/>
      </w:r>
      <w:r w:rsidRPr="0048465B">
        <w:rPr>
          <w:vertAlign w:val="superscript"/>
          <w:lang w:val="en-GB"/>
        </w:rPr>
        <w:t xml:space="preserve"> </w:t>
      </w:r>
      <w:r w:rsidRPr="0048465B">
        <w:rPr>
          <w:lang w:val="en-GB"/>
        </w:rPr>
        <w:t>It is this absence of responsibility, the ability to suspend both the corporal reality of violence committed and one</w:t>
      </w:r>
      <w:r w:rsidR="00092E5F">
        <w:rPr>
          <w:lang w:val="en-GB"/>
        </w:rPr>
        <w:t>’</w:t>
      </w:r>
      <w:r w:rsidRPr="0048465B">
        <w:rPr>
          <w:lang w:val="en-GB"/>
        </w:rPr>
        <w:t xml:space="preserve">s accountability in condoning it, that continues to provide moral </w:t>
      </w:r>
      <w:r w:rsidRPr="0048465B">
        <w:rPr>
          <w:lang w:val="en-GB"/>
        </w:rPr>
        <w:lastRenderedPageBreak/>
        <w:t>impunity to Israel, thus allowing ‘an attempt to defend Israel’ to constitute, in reality, the death of sixty-two Palestinians including six minors, as it did on the Nakba day protests in 2018.</w:t>
      </w:r>
      <w:r w:rsidR="00FA3397" w:rsidRPr="0048465B">
        <w:rPr>
          <w:vertAlign w:val="superscript"/>
          <w:lang w:val="en-GB"/>
        </w:rPr>
        <w:footnoteReference w:id="193"/>
      </w:r>
    </w:p>
    <w:p w14:paraId="4A573C71" w14:textId="77777777" w:rsidR="00FC331F" w:rsidRPr="0048465B" w:rsidRDefault="00FC331F" w:rsidP="00FC331F">
      <w:pPr>
        <w:rPr>
          <w:vertAlign w:val="superscript"/>
          <w:lang w:val="en-GB"/>
        </w:rPr>
      </w:pPr>
    </w:p>
    <w:p w14:paraId="0FB695DE" w14:textId="77BE2CD2" w:rsidR="00FC331F" w:rsidRPr="0048465B" w:rsidRDefault="00FC331F" w:rsidP="00FC331F">
      <w:pPr>
        <w:rPr>
          <w:lang w:val="en-GB"/>
        </w:rPr>
      </w:pPr>
      <w:r w:rsidRPr="0048465B">
        <w:rPr>
          <w:lang w:val="en-GB"/>
        </w:rPr>
        <w:t>Whilst Rothberg sees multidirectional memory as an exploration of ‘[w]</w:t>
      </w:r>
      <w:proofErr w:type="spellStart"/>
      <w:r w:rsidRPr="0048465B">
        <w:rPr>
          <w:lang w:val="en-GB"/>
        </w:rPr>
        <w:t>hat</w:t>
      </w:r>
      <w:proofErr w:type="spellEnd"/>
      <w:r w:rsidRPr="0048465B">
        <w:rPr>
          <w:lang w:val="en-GB"/>
        </w:rPr>
        <w:t xml:space="preserve"> happens when different histories confront each other in the public sphere’,</w:t>
      </w:r>
      <w:r w:rsidRPr="0048465B">
        <w:rPr>
          <w:vertAlign w:val="superscript"/>
          <w:lang w:val="en-GB"/>
        </w:rPr>
        <w:footnoteReference w:id="194"/>
      </w:r>
      <w:r w:rsidRPr="0048465B">
        <w:rPr>
          <w:lang w:val="en-GB"/>
        </w:rPr>
        <w:t xml:space="preserve"> the consistency with which the memories and meanings of the Holocaust find themselves inserted and reinserted into deliberations on the Israeli-Palestinian conflict demands our consideration of a different question. Can the Holocaust, the creation of Israel, and the oppression of Palestinians truly be considered different histories? Whilst the Holocaust was by no means the sole reason behind the creation of Israel, it nonetheless galvanised support behind the idea of an Israeli state, sped up wartime and post-war immigration, and served as a catalyst for the rapid realisation of the state’s existence and independence. Achcar describes Nazi policy as ‘a decisive factor lending credence to the views of the Zionists and leading ultimately to the realization of their project’, before noting immigration statistics that observe that the Jewish population of Palestine </w:t>
      </w:r>
      <w:r w:rsidR="00C63191">
        <w:rPr>
          <w:lang w:val="en-GB"/>
        </w:rPr>
        <w:t xml:space="preserve">almost </w:t>
      </w:r>
      <w:r w:rsidRPr="0048465B">
        <w:rPr>
          <w:lang w:val="en-GB"/>
        </w:rPr>
        <w:t>doubled between 1932 and 1948,</w:t>
      </w:r>
      <w:r w:rsidRPr="0048465B">
        <w:rPr>
          <w:vertAlign w:val="superscript"/>
          <w:lang w:val="en-GB"/>
        </w:rPr>
        <w:footnoteReference w:id="195"/>
      </w:r>
      <w:r w:rsidRPr="0048465B">
        <w:rPr>
          <w:lang w:val="en-GB"/>
        </w:rPr>
        <w:t xml:space="preserve"> and that ‘nearly two-thirds’ of this post-independence Jewish population ‘had been born abroad’.</w:t>
      </w:r>
      <w:r w:rsidRPr="0048465B">
        <w:rPr>
          <w:vertAlign w:val="superscript"/>
          <w:lang w:val="en-GB"/>
        </w:rPr>
        <w:footnoteReference w:id="196"/>
      </w:r>
      <w:r w:rsidRPr="0048465B">
        <w:rPr>
          <w:lang w:val="en-GB"/>
        </w:rPr>
        <w:t xml:space="preserve"> Rothberg claims that in paying due attention to both the political and ethical elements of memory, one is able to ‘produce[] a sense of the “present” of any context as defined by multidirectional currents of history and layers of unevenly worked through historical time’.</w:t>
      </w:r>
      <w:r w:rsidRPr="0048465B">
        <w:rPr>
          <w:vertAlign w:val="superscript"/>
          <w:lang w:val="en-GB"/>
        </w:rPr>
        <w:footnoteReference w:id="197"/>
      </w:r>
      <w:r w:rsidRPr="0048465B">
        <w:rPr>
          <w:lang w:val="en-GB"/>
        </w:rPr>
        <w:t xml:space="preserve"> Whilst this claim is completely rational and sensical in any number of contexts, the chronological links between the Holocaust and the Israeli-Palestinian conflict, the continued politico-cultural </w:t>
      </w:r>
      <w:r w:rsidRPr="0048465B">
        <w:rPr>
          <w:lang w:val="en-GB"/>
        </w:rPr>
        <w:lastRenderedPageBreak/>
        <w:t>emphasis on these links, and the complexity of Israel’s victim/perpetrator identity makes it difficult to view the Palestinian ‘present’ without risking becoming overwhelmed by the Jewish past.</w:t>
      </w:r>
    </w:p>
    <w:p w14:paraId="6AA01ED1" w14:textId="77777777" w:rsidR="00FC331F" w:rsidRPr="0048465B" w:rsidRDefault="00FC331F" w:rsidP="00FC331F">
      <w:pPr>
        <w:rPr>
          <w:lang w:val="en-GB"/>
        </w:rPr>
      </w:pPr>
    </w:p>
    <w:p w14:paraId="1BCB2878" w14:textId="4C8CB7B1" w:rsidR="00FC331F" w:rsidRPr="0048465B" w:rsidRDefault="00FC331F" w:rsidP="00FC331F">
      <w:pPr>
        <w:rPr>
          <w:lang w:val="en-GB"/>
        </w:rPr>
      </w:pPr>
      <w:r w:rsidRPr="0048465B">
        <w:rPr>
          <w:lang w:val="en-GB"/>
        </w:rPr>
        <w:t xml:space="preserve">This reality is further reinforced by the fact that in the ‘unevenly worked through historical time’ that Rothberg refers to, the body of ‘working through’ that has been done in relation to the Holocaust vastly </w:t>
      </w:r>
      <w:r w:rsidR="007B25E0" w:rsidRPr="0048465B">
        <w:rPr>
          <w:lang w:val="en-GB"/>
        </w:rPr>
        <w:t>outweighs</w:t>
      </w:r>
      <w:r w:rsidRPr="0048465B">
        <w:rPr>
          <w:lang w:val="en-GB"/>
        </w:rPr>
        <w:t xml:space="preserve"> that done in relation to the Nakba and Palestinian suffering thereafter, meaning that the sense of the Palestinian present, of which the history of Jewish suffering is a part, is disproportionately influenced by the history of the Holocaust. Indeed, the Israeli perspective on the conflict has been consistently reinforced on the global stage, with </w:t>
      </w:r>
      <w:r w:rsidR="00F2581A" w:rsidRPr="0048465B">
        <w:rPr>
          <w:lang w:val="en-GB"/>
        </w:rPr>
        <w:t>Israeli</w:t>
      </w:r>
      <w:r w:rsidRPr="0048465B">
        <w:rPr>
          <w:lang w:val="en-GB"/>
        </w:rPr>
        <w:t xml:space="preserve"> historian Tom </w:t>
      </w:r>
      <w:proofErr w:type="spellStart"/>
      <w:r w:rsidRPr="0048465B">
        <w:rPr>
          <w:lang w:val="en-GB"/>
        </w:rPr>
        <w:t>Segev</w:t>
      </w:r>
      <w:proofErr w:type="spellEnd"/>
      <w:r w:rsidRPr="0048465B">
        <w:rPr>
          <w:lang w:val="en-GB"/>
        </w:rPr>
        <w:t xml:space="preserve"> noting Ben-Gurion</w:t>
      </w:r>
      <w:r w:rsidR="003B0E00">
        <w:rPr>
          <w:lang w:val="en-GB"/>
        </w:rPr>
        <w:t>’s aforementioned identification of</w:t>
      </w:r>
      <w:r w:rsidRPr="0048465B">
        <w:rPr>
          <w:lang w:val="en-GB"/>
        </w:rPr>
        <w:t xml:space="preserve"> the Eichmann trial as a means of ‘“remind[</w:t>
      </w:r>
      <w:proofErr w:type="spellStart"/>
      <w:r w:rsidRPr="0048465B">
        <w:rPr>
          <w:lang w:val="en-GB"/>
        </w:rPr>
        <w:t>ing</w:t>
      </w:r>
      <w:proofErr w:type="spellEnd"/>
      <w:r w:rsidRPr="0048465B">
        <w:rPr>
          <w:lang w:val="en-GB"/>
        </w:rPr>
        <w:t>] the countries of the world that the Holocaust obligated them to support the only Jewish state on earth”’, as well as seeing its potential to ‘“unmask other Nazi criminal</w:t>
      </w:r>
      <w:r w:rsidR="00AE40C6">
        <w:rPr>
          <w:lang w:val="en-GB"/>
        </w:rPr>
        <w:t>s</w:t>
      </w:r>
      <w:r w:rsidRPr="0048465B">
        <w:rPr>
          <w:lang w:val="en-GB"/>
        </w:rPr>
        <w:t xml:space="preserve"> and</w:t>
      </w:r>
      <w:r w:rsidR="000C3FB4">
        <w:rPr>
          <w:lang w:val="en-GB"/>
        </w:rPr>
        <w:t xml:space="preserve"> […] </w:t>
      </w:r>
      <w:r w:rsidRPr="0048465B">
        <w:rPr>
          <w:lang w:val="en-GB"/>
        </w:rPr>
        <w:t>their links with several Arab rulers.”’</w:t>
      </w:r>
      <w:r w:rsidRPr="0048465B">
        <w:rPr>
          <w:vertAlign w:val="superscript"/>
          <w:lang w:val="en-GB"/>
        </w:rPr>
        <w:footnoteReference w:id="198"/>
      </w:r>
      <w:r w:rsidRPr="0048465B">
        <w:rPr>
          <w:lang w:val="en-GB"/>
        </w:rPr>
        <w:t xml:space="preserve"> Here we see the deliberate association of the memory of the Holocaust not only with the support of Israel and its Jewish identity, but also with the intentional alignment of Arabs with Nazi antisemitism, despite the realities that Arab nations were far more abstracted from the Jewish genocide than European ones were, that </w:t>
      </w:r>
      <w:r w:rsidR="00BB6FD1">
        <w:rPr>
          <w:lang w:val="en-GB"/>
        </w:rPr>
        <w:t>–</w:t>
      </w:r>
      <w:r w:rsidRPr="0048465B">
        <w:rPr>
          <w:lang w:val="en-GB"/>
        </w:rPr>
        <w:t xml:space="preserve"> despite this distance </w:t>
      </w:r>
      <w:r w:rsidR="00BB6FD1">
        <w:rPr>
          <w:lang w:val="en-GB"/>
        </w:rPr>
        <w:t>–</w:t>
      </w:r>
      <w:r w:rsidRPr="0048465B">
        <w:rPr>
          <w:lang w:val="en-GB"/>
        </w:rPr>
        <w:t xml:space="preserve"> some Arabs were ‘willing to do their share in providing for refugees on a quota basis if the United States, the British Commonwealth and other Western countries would do the same’,</w:t>
      </w:r>
      <w:r w:rsidRPr="0048465B">
        <w:rPr>
          <w:vertAlign w:val="superscript"/>
          <w:lang w:val="en-GB"/>
        </w:rPr>
        <w:footnoteReference w:id="199"/>
      </w:r>
      <w:r w:rsidRPr="0048465B">
        <w:rPr>
          <w:lang w:val="en-GB"/>
        </w:rPr>
        <w:t xml:space="preserve"> and that ‘[t]he official position of the Arab states explicitly ruled out the expulsion of Jews who had already settled in Palestine’.</w:t>
      </w:r>
      <w:r w:rsidRPr="0048465B">
        <w:rPr>
          <w:vertAlign w:val="superscript"/>
          <w:lang w:val="en-GB"/>
        </w:rPr>
        <w:footnoteReference w:id="200"/>
      </w:r>
      <w:r w:rsidRPr="0048465B">
        <w:rPr>
          <w:lang w:val="en-GB"/>
        </w:rPr>
        <w:t xml:space="preserve"> Ben-Gurion’s alignment of Arab leaders with Nazis sought to recast Palestinians as para-Nazi aggressors despite their exile and disenfranchisement at the hands of the </w:t>
      </w:r>
      <w:r w:rsidRPr="0048465B">
        <w:rPr>
          <w:lang w:val="en-GB"/>
        </w:rPr>
        <w:lastRenderedPageBreak/>
        <w:t xml:space="preserve">Israeli forces. Yet, regardless of the largely illegitimate nature of Ben-Gurion’s assertion, the association between the Holocaust and Arab leaders was made and endures even today. In 2015, Benjamin Netanyahu, the longest serving Prime Minister in Israel’s history, claimed for the second time that in 1941 ‘“Hitler didn’t want to exterminate the Jews at the time, he wanted to expel the Jews”” and that it was the Palestinian Amin al-Husseini, a known </w:t>
      </w:r>
      <w:proofErr w:type="spellStart"/>
      <w:r w:rsidRPr="0048465B">
        <w:rPr>
          <w:lang w:val="en-GB"/>
        </w:rPr>
        <w:t>antisemite</w:t>
      </w:r>
      <w:proofErr w:type="spellEnd"/>
      <w:r w:rsidRPr="0048465B">
        <w:rPr>
          <w:lang w:val="en-GB"/>
        </w:rPr>
        <w:t>, who told Hitler, ‘“burn them”’.</w:t>
      </w:r>
      <w:r w:rsidRPr="0048465B">
        <w:rPr>
          <w:vertAlign w:val="superscript"/>
          <w:lang w:val="en-GB"/>
        </w:rPr>
        <w:footnoteReference w:id="201"/>
      </w:r>
      <w:r w:rsidRPr="0048465B">
        <w:rPr>
          <w:lang w:val="en-GB"/>
        </w:rPr>
        <w:t xml:space="preserve"> Regardless of the historical inaccuracy of this accusation, the abiding Israeli effort to tie Holocaust persecution to the Palestinian and Arab people ultimately reinforces the spurious argument that contemporary Palestinian aggression towards Israelis </w:t>
      </w:r>
      <w:r w:rsidR="00BB6FD1">
        <w:rPr>
          <w:lang w:val="en-GB"/>
        </w:rPr>
        <w:t>–</w:t>
      </w:r>
      <w:r w:rsidRPr="0048465B">
        <w:rPr>
          <w:lang w:val="en-GB"/>
        </w:rPr>
        <w:t xml:space="preserve"> most logically the result of Israel’s colonial occupation of Palestinian lands </w:t>
      </w:r>
      <w:r w:rsidR="00BB6FD1">
        <w:rPr>
          <w:lang w:val="en-GB"/>
        </w:rPr>
        <w:t>–</w:t>
      </w:r>
      <w:r w:rsidRPr="0048465B">
        <w:rPr>
          <w:lang w:val="en-GB"/>
        </w:rPr>
        <w:t xml:space="preserve"> is not only situated on the same historical plane as </w:t>
      </w:r>
      <w:r w:rsidR="007950A4">
        <w:rPr>
          <w:lang w:val="en-GB"/>
        </w:rPr>
        <w:t xml:space="preserve">the </w:t>
      </w:r>
      <w:r w:rsidRPr="0048465B">
        <w:rPr>
          <w:lang w:val="en-GB"/>
        </w:rPr>
        <w:t xml:space="preserve">antisemitism that </w:t>
      </w:r>
      <w:r w:rsidR="007950A4">
        <w:rPr>
          <w:lang w:val="en-GB"/>
        </w:rPr>
        <w:t>caused</w:t>
      </w:r>
      <w:r w:rsidRPr="0048465B">
        <w:rPr>
          <w:lang w:val="en-GB"/>
        </w:rPr>
        <w:t xml:space="preserve"> the Holocaust, but may in fact be a continuation of that very same </w:t>
      </w:r>
      <w:r w:rsidR="007950A4">
        <w:rPr>
          <w:lang w:val="en-GB"/>
        </w:rPr>
        <w:t>hatred</w:t>
      </w:r>
      <w:r w:rsidRPr="0048465B">
        <w:rPr>
          <w:lang w:val="en-GB"/>
        </w:rPr>
        <w:t>.</w:t>
      </w:r>
    </w:p>
    <w:p w14:paraId="5BDC56B0" w14:textId="77777777" w:rsidR="00FC331F" w:rsidRPr="0048465B" w:rsidRDefault="00FC331F" w:rsidP="00FC331F">
      <w:pPr>
        <w:rPr>
          <w:highlight w:val="red"/>
          <w:lang w:val="en-GB"/>
        </w:rPr>
      </w:pPr>
    </w:p>
    <w:p w14:paraId="2EF688A3" w14:textId="6E3862CC" w:rsidR="00FC331F" w:rsidRPr="0048465B" w:rsidRDefault="00FC331F" w:rsidP="00FC331F">
      <w:pPr>
        <w:rPr>
          <w:lang w:val="en-GB"/>
        </w:rPr>
      </w:pPr>
      <w:r w:rsidRPr="0048465B">
        <w:rPr>
          <w:lang w:val="en-GB"/>
        </w:rPr>
        <w:t xml:space="preserve">When analysing the Israeli-Palestinian conflict, there are few claims that can be disregarded out of hand. Even those that may seem biased, contradictory, or completely groundless are </w:t>
      </w:r>
      <w:r w:rsidR="00BB6FD1">
        <w:rPr>
          <w:lang w:val="en-GB"/>
        </w:rPr>
        <w:t>–</w:t>
      </w:r>
      <w:r w:rsidRPr="0048465B">
        <w:rPr>
          <w:lang w:val="en-GB"/>
        </w:rPr>
        <w:t xml:space="preserve"> for both sides </w:t>
      </w:r>
      <w:r w:rsidR="00BB6FD1">
        <w:rPr>
          <w:lang w:val="en-GB"/>
        </w:rPr>
        <w:t>–</w:t>
      </w:r>
      <w:r w:rsidRPr="0048465B">
        <w:rPr>
          <w:lang w:val="en-GB"/>
        </w:rPr>
        <w:t xml:space="preserve"> often based in complex feelings of frustration, anxiety, and fear that derive from persecutions past and present. The prevalent culture of Holocaust memory and study continues to shape understandings of trauma, testimony, genocide, and more, and there are certainly lessons to be learned from the Holocaust when analysing the oppression of the Palestinian people. If, however, we find ourselves in a situation wherein recourse to the Holocaust closes our eyes to other histories of suffering, then we should not be timid in calling for its decentralisation. The chronology of the Israeli-Palestinian conflict ensures that connections between contemporary </w:t>
      </w:r>
      <w:r w:rsidRPr="0048465B">
        <w:rPr>
          <w:lang w:val="en-GB"/>
        </w:rPr>
        <w:lastRenderedPageBreak/>
        <w:t>Palestinian suffering and the wartime suffering of Jews are unavoidable. What must be avoided, however, is the loss of Palestinian voices as a result.</w:t>
      </w:r>
    </w:p>
    <w:p w14:paraId="42E4A1DE" w14:textId="77777777" w:rsidR="00FC331F" w:rsidRPr="0048465B" w:rsidRDefault="00FC331F" w:rsidP="00FC331F">
      <w:pPr>
        <w:rPr>
          <w:lang w:val="en-GB"/>
        </w:rPr>
      </w:pPr>
    </w:p>
    <w:p w14:paraId="58229485" w14:textId="35C82FB4" w:rsidR="00FC331F" w:rsidRPr="0048465B" w:rsidRDefault="00FC331F" w:rsidP="00FC331F">
      <w:pPr>
        <w:rPr>
          <w:lang w:val="en-GB"/>
        </w:rPr>
      </w:pPr>
      <w:r w:rsidRPr="0048465B">
        <w:rPr>
          <w:lang w:val="en-GB"/>
        </w:rPr>
        <w:t xml:space="preserve">It is due to this very loss that connective approaches to memory, especially those centred upon the Holocaust, struggle to enable expressions of Palestinian suffering. </w:t>
      </w:r>
      <w:r w:rsidR="00F2581A" w:rsidRPr="0048465B">
        <w:rPr>
          <w:lang w:val="en-GB"/>
        </w:rPr>
        <w:t xml:space="preserve">Even if one were able to </w:t>
      </w:r>
      <w:r w:rsidR="00BB6FD1">
        <w:rPr>
          <w:lang w:val="en-GB"/>
        </w:rPr>
        <w:t>disregard</w:t>
      </w:r>
      <w:r w:rsidR="00F2581A" w:rsidRPr="0048465B">
        <w:rPr>
          <w:lang w:val="en-GB"/>
        </w:rPr>
        <w:t xml:space="preserve"> the overpowering redistribution of attention towards the Holocaust necessitated by its sheer historical and cultural gravity, much of the promise of connective approaches is found in the expectation that each group set aside all claims to traumatic ascendancy, a demand that the statements of David Ben-Gurion, Matan Vilnai, and Tzipi Livni suggest is unlikely, at least politically</w:t>
      </w:r>
      <w:r w:rsidR="00F2581A">
        <w:rPr>
          <w:lang w:val="en-GB"/>
        </w:rPr>
        <w:t xml:space="preserve"> and historically</w:t>
      </w:r>
      <w:r w:rsidR="00F2581A" w:rsidRPr="0048465B">
        <w:rPr>
          <w:lang w:val="en-GB"/>
        </w:rPr>
        <w:t xml:space="preserve">, to be met. </w:t>
      </w:r>
      <w:r w:rsidRPr="0048465B">
        <w:rPr>
          <w:lang w:val="en-GB"/>
        </w:rPr>
        <w:t>Such a movement, for Israel, whilst greatly enhancing the possibility of peace in the region, would also mean abandoning the safety and security that such exceptionalism provided in the aftermath of the Holocaust and beyond. For many in Israel, and beyond, the stakes of such an abdication are simply too high.</w:t>
      </w:r>
    </w:p>
    <w:p w14:paraId="41A8881C" w14:textId="77777777" w:rsidR="00FC331F" w:rsidRPr="0048465B" w:rsidRDefault="00FC331F" w:rsidP="00FC331F">
      <w:pPr>
        <w:tabs>
          <w:tab w:val="left" w:pos="720"/>
          <w:tab w:val="left" w:pos="3131"/>
        </w:tabs>
        <w:rPr>
          <w:lang w:val="en-GB"/>
        </w:rPr>
      </w:pPr>
    </w:p>
    <w:p w14:paraId="797A732F" w14:textId="4D6FECAC" w:rsidR="00FC331F" w:rsidRPr="0048465B" w:rsidRDefault="00FC331F" w:rsidP="00FC331F">
      <w:pPr>
        <w:tabs>
          <w:tab w:val="left" w:pos="720"/>
          <w:tab w:val="left" w:pos="3131"/>
        </w:tabs>
        <w:rPr>
          <w:lang w:val="en-GB"/>
        </w:rPr>
      </w:pPr>
      <w:r w:rsidRPr="0048465B">
        <w:rPr>
          <w:lang w:val="en-GB"/>
        </w:rPr>
        <w:t xml:space="preserve">If we look back to W. E. B. Du </w:t>
      </w:r>
      <w:proofErr w:type="spellStart"/>
      <w:r w:rsidRPr="0048465B">
        <w:rPr>
          <w:lang w:val="en-GB"/>
        </w:rPr>
        <w:t>Bois’</w:t>
      </w:r>
      <w:proofErr w:type="spellEnd"/>
      <w:r w:rsidRPr="0048465B">
        <w:rPr>
          <w:lang w:val="en-GB"/>
        </w:rPr>
        <w:t xml:space="preserve"> exploration of black identity upon visiting the Warsaw </w:t>
      </w:r>
      <w:r w:rsidR="00AE40C6">
        <w:rPr>
          <w:lang w:val="en-GB"/>
        </w:rPr>
        <w:t>G</w:t>
      </w:r>
      <w:r w:rsidRPr="0048465B">
        <w:rPr>
          <w:lang w:val="en-GB"/>
        </w:rPr>
        <w:t xml:space="preserve">hetto, Du </w:t>
      </w:r>
      <w:proofErr w:type="spellStart"/>
      <w:r w:rsidRPr="0048465B">
        <w:rPr>
          <w:lang w:val="en-GB"/>
        </w:rPr>
        <w:t>Bois</w:t>
      </w:r>
      <w:proofErr w:type="spellEnd"/>
      <w:r w:rsidRPr="0048465B">
        <w:rPr>
          <w:lang w:val="en-GB"/>
        </w:rPr>
        <w:t xml:space="preserve"> states that he gained ‘not so much [a] clearer understanding of the Jewish problem in the world as</w:t>
      </w:r>
      <w:r w:rsidR="000C3FB4">
        <w:rPr>
          <w:lang w:val="en-GB"/>
        </w:rPr>
        <w:t xml:space="preserve"> […] </w:t>
      </w:r>
      <w:r w:rsidRPr="0048465B">
        <w:rPr>
          <w:lang w:val="en-GB"/>
        </w:rPr>
        <w:t>a real and more complete understanding of the Negro problem’.</w:t>
      </w:r>
      <w:r w:rsidRPr="0048465B">
        <w:rPr>
          <w:vertAlign w:val="superscript"/>
          <w:lang w:val="en-GB"/>
        </w:rPr>
        <w:footnoteReference w:id="202"/>
      </w:r>
      <w:r w:rsidRPr="0048465B">
        <w:rPr>
          <w:lang w:val="en-GB"/>
        </w:rPr>
        <w:t xml:space="preserve"> According to Rothberg, Du </w:t>
      </w:r>
      <w:proofErr w:type="spellStart"/>
      <w:r w:rsidRPr="0048465B">
        <w:rPr>
          <w:lang w:val="en-GB"/>
        </w:rPr>
        <w:t>Bois</w:t>
      </w:r>
      <w:proofErr w:type="spellEnd"/>
      <w:r w:rsidRPr="0048465B">
        <w:rPr>
          <w:lang w:val="en-GB"/>
        </w:rPr>
        <w:t xml:space="preserve"> here ‘draws on the material traces of the Nazi genocide in order to rethink his understanding of the African American past and present’,</w:t>
      </w:r>
      <w:r w:rsidRPr="0048465B">
        <w:rPr>
          <w:vertAlign w:val="superscript"/>
          <w:lang w:val="en-GB"/>
        </w:rPr>
        <w:footnoteReference w:id="203"/>
      </w:r>
      <w:r w:rsidRPr="0048465B">
        <w:rPr>
          <w:lang w:val="en-GB"/>
        </w:rPr>
        <w:t xml:space="preserve"> a connective, sensitive, and ultimately progressive understanding of two diverse events, Du </w:t>
      </w:r>
      <w:proofErr w:type="spellStart"/>
      <w:r w:rsidRPr="0048465B">
        <w:rPr>
          <w:lang w:val="en-GB"/>
        </w:rPr>
        <w:t>Bois</w:t>
      </w:r>
      <w:proofErr w:type="spellEnd"/>
      <w:r w:rsidRPr="0048465B">
        <w:rPr>
          <w:lang w:val="en-GB"/>
        </w:rPr>
        <w:t xml:space="preserve"> allowing the suffering of another people to inform his understanding of his own pain, and of oppression more generally. However, there is a significant difference between the connection of Jewish oppression and anti-</w:t>
      </w:r>
      <w:r w:rsidRPr="0048465B">
        <w:rPr>
          <w:lang w:val="en-GB"/>
        </w:rPr>
        <w:lastRenderedPageBreak/>
        <w:t>black racism, and the connection of Israeli inherited trauma and contemporary Palestinian suffering, a difference made evident by the simple question: What is at stake?</w:t>
      </w:r>
    </w:p>
    <w:p w14:paraId="69A1CA2F" w14:textId="77777777" w:rsidR="00FC331F" w:rsidRPr="0048465B" w:rsidRDefault="00FC331F" w:rsidP="00FC331F">
      <w:pPr>
        <w:tabs>
          <w:tab w:val="left" w:pos="720"/>
          <w:tab w:val="left" w:pos="3131"/>
        </w:tabs>
        <w:rPr>
          <w:lang w:val="en-GB"/>
        </w:rPr>
      </w:pPr>
    </w:p>
    <w:p w14:paraId="7ED64D81" w14:textId="14B2988E" w:rsidR="00FC331F" w:rsidRPr="0048465B" w:rsidRDefault="00FC331F" w:rsidP="00FC331F">
      <w:pPr>
        <w:tabs>
          <w:tab w:val="left" w:pos="720"/>
          <w:tab w:val="left" w:pos="3131"/>
        </w:tabs>
        <w:rPr>
          <w:lang w:val="en-GB"/>
        </w:rPr>
      </w:pPr>
      <w:r w:rsidRPr="0048465B">
        <w:rPr>
          <w:lang w:val="en-GB"/>
        </w:rPr>
        <w:t xml:space="preserve">For Du </w:t>
      </w:r>
      <w:proofErr w:type="spellStart"/>
      <w:r w:rsidRPr="0048465B">
        <w:rPr>
          <w:lang w:val="en-GB"/>
        </w:rPr>
        <w:t>Bois</w:t>
      </w:r>
      <w:proofErr w:type="spellEnd"/>
      <w:r w:rsidRPr="0048465B">
        <w:rPr>
          <w:lang w:val="en-GB"/>
        </w:rPr>
        <w:t xml:space="preserve">, the stakes are low. Whilst he does not gain a clearer understanding of ‘the Jewish problem’, he does gain a clearer understanding, as he says, ‘of the Negro problem’, and its place within the world more generally. Whilst the concern exists that, in making this connection, both black and Jewish suffering become de-specified and </w:t>
      </w:r>
      <w:r w:rsidR="00453977">
        <w:rPr>
          <w:lang w:val="en-GB"/>
        </w:rPr>
        <w:t>indeterminate</w:t>
      </w:r>
      <w:r w:rsidRPr="0048465B">
        <w:rPr>
          <w:lang w:val="en-GB"/>
        </w:rPr>
        <w:t>, as long as we subscribe to multidirectional memory’s rejection of the zero-sum logic surrounding memorialisations of violence – that the cultural evolution and growth of a particular event does not have to reduce the space available for other events – there is nothing monumental at stake here. Both groups have the potential to make new insights as a result of their affiliation with the other, and through this growth they become more powerful individually. Here, black acknowledgement of Jewish suffering has no directly negative effect on explorations or understandings of black or Jewish discrimination as individual concepts, and vice versa.</w:t>
      </w:r>
    </w:p>
    <w:p w14:paraId="7E68454C" w14:textId="77777777" w:rsidR="00FC331F" w:rsidRPr="0048465B" w:rsidRDefault="00FC331F" w:rsidP="00FC331F">
      <w:pPr>
        <w:tabs>
          <w:tab w:val="left" w:pos="720"/>
          <w:tab w:val="left" w:pos="3131"/>
        </w:tabs>
        <w:rPr>
          <w:lang w:val="en-GB"/>
        </w:rPr>
      </w:pPr>
    </w:p>
    <w:p w14:paraId="01376322" w14:textId="77777777" w:rsidR="00FC331F" w:rsidRPr="0048465B" w:rsidRDefault="00FC331F" w:rsidP="00FC331F">
      <w:pPr>
        <w:tabs>
          <w:tab w:val="left" w:pos="720"/>
          <w:tab w:val="left" w:pos="3131"/>
        </w:tabs>
        <w:rPr>
          <w:lang w:val="en-GB"/>
        </w:rPr>
      </w:pPr>
      <w:r w:rsidRPr="0048465B">
        <w:rPr>
          <w:lang w:val="en-GB"/>
        </w:rPr>
        <w:t>The same cannot be said for Israel or Palestine.</w:t>
      </w:r>
    </w:p>
    <w:p w14:paraId="44E2BFD5" w14:textId="77777777" w:rsidR="00FC331F" w:rsidRPr="0048465B" w:rsidRDefault="00FC331F" w:rsidP="00FC331F">
      <w:pPr>
        <w:tabs>
          <w:tab w:val="left" w:pos="720"/>
          <w:tab w:val="left" w:pos="3131"/>
        </w:tabs>
        <w:rPr>
          <w:lang w:val="en-GB"/>
        </w:rPr>
      </w:pPr>
    </w:p>
    <w:p w14:paraId="49E615DD" w14:textId="0785DD09" w:rsidR="00FC331F" w:rsidRPr="0048465B" w:rsidRDefault="00FC331F" w:rsidP="00FC331F">
      <w:pPr>
        <w:tabs>
          <w:tab w:val="left" w:pos="720"/>
          <w:tab w:val="left" w:pos="3131"/>
        </w:tabs>
        <w:rPr>
          <w:lang w:val="en-GB"/>
        </w:rPr>
      </w:pPr>
      <w:r w:rsidRPr="0048465B">
        <w:rPr>
          <w:lang w:val="en-GB"/>
        </w:rPr>
        <w:t xml:space="preserve">For the Israeli state, unlike for Du </w:t>
      </w:r>
      <w:proofErr w:type="spellStart"/>
      <w:r w:rsidRPr="0048465B">
        <w:rPr>
          <w:lang w:val="en-GB"/>
        </w:rPr>
        <w:t>Bois</w:t>
      </w:r>
      <w:proofErr w:type="spellEnd"/>
      <w:r w:rsidRPr="0048465B">
        <w:rPr>
          <w:lang w:val="en-GB"/>
        </w:rPr>
        <w:t>, there is very little distance – either geographically or chronologically – between Israeli</w:t>
      </w:r>
      <w:r w:rsidR="00B45635">
        <w:rPr>
          <w:lang w:val="en-GB"/>
        </w:rPr>
        <w:t xml:space="preserve"> </w:t>
      </w:r>
      <w:r w:rsidRPr="0048465B">
        <w:rPr>
          <w:lang w:val="en-GB"/>
        </w:rPr>
        <w:t xml:space="preserve">Jewish suffering and Palestinian suffering. Whilst a rejection of the zero-sum logic that surrounds traumatic events is </w:t>
      </w:r>
      <w:r w:rsidR="00C15425">
        <w:rPr>
          <w:lang w:val="en-GB"/>
        </w:rPr>
        <w:t>relatively simple</w:t>
      </w:r>
      <w:r w:rsidRPr="0048465B">
        <w:rPr>
          <w:lang w:val="en-GB"/>
        </w:rPr>
        <w:t xml:space="preserve"> in the Du </w:t>
      </w:r>
      <w:proofErr w:type="spellStart"/>
      <w:r w:rsidRPr="0048465B">
        <w:rPr>
          <w:lang w:val="en-GB"/>
        </w:rPr>
        <w:t>Bois</w:t>
      </w:r>
      <w:proofErr w:type="spellEnd"/>
      <w:r w:rsidRPr="0048465B">
        <w:rPr>
          <w:lang w:val="en-GB"/>
        </w:rPr>
        <w:t xml:space="preserve"> case, the same is </w:t>
      </w:r>
      <w:r w:rsidR="00C15425">
        <w:rPr>
          <w:lang w:val="en-GB"/>
        </w:rPr>
        <w:t>both complex and problematic</w:t>
      </w:r>
      <w:r w:rsidRPr="0048465B">
        <w:rPr>
          <w:lang w:val="en-GB"/>
        </w:rPr>
        <w:t xml:space="preserve"> </w:t>
      </w:r>
      <w:r w:rsidR="00C15425">
        <w:rPr>
          <w:lang w:val="en-GB"/>
        </w:rPr>
        <w:t>when concerning</w:t>
      </w:r>
      <w:r w:rsidRPr="0048465B">
        <w:rPr>
          <w:lang w:val="en-GB"/>
        </w:rPr>
        <w:t xml:space="preserve"> the Israeli-Palestinian conflict, as the Israeli-Palestinian conflict is</w:t>
      </w:r>
      <w:r w:rsidR="00453977">
        <w:rPr>
          <w:lang w:val="en-GB"/>
        </w:rPr>
        <w:t xml:space="preserve">, </w:t>
      </w:r>
      <w:r w:rsidR="00C15425">
        <w:rPr>
          <w:lang w:val="en-GB"/>
        </w:rPr>
        <w:t>if we confine ourselves to two-state understandings</w:t>
      </w:r>
      <w:r w:rsidR="00453977">
        <w:rPr>
          <w:lang w:val="en-GB"/>
        </w:rPr>
        <w:t>,</w:t>
      </w:r>
      <w:r w:rsidRPr="0048465B">
        <w:rPr>
          <w:lang w:val="en-GB"/>
        </w:rPr>
        <w:t xml:space="preserve"> zero-sum. Understandings of the suffering of both groups are inextricably entwined with claims to land, and </w:t>
      </w:r>
      <w:r w:rsidRPr="0048465B">
        <w:rPr>
          <w:lang w:val="en-GB"/>
        </w:rPr>
        <w:lastRenderedPageBreak/>
        <w:t xml:space="preserve">if one country loses land, it has been historically, or will one day be, taken by the other. Israel’s illegal occupation of Palestinian lands depends upon the characterisation of Palestine as aggressive, and of Israel as victim. Thus, whilst the acceptance of Palestinian suffering as sharing parallels with Jewish suffering could lead to peace, it would undeniably highlight Israel’s colonial techniques of control. Such an acceptance would thus invalidate the arguments that underpin the existence of Israeli settlements, </w:t>
      </w:r>
      <w:r w:rsidR="000D78E7">
        <w:rPr>
          <w:lang w:val="en-GB"/>
        </w:rPr>
        <w:t>undermine</w:t>
      </w:r>
      <w:r w:rsidRPr="0048465B">
        <w:rPr>
          <w:lang w:val="en-GB"/>
        </w:rPr>
        <w:t xml:space="preserve"> the aggressive defence of Israeli borders and restriction of Palestinian movement; and </w:t>
      </w:r>
      <w:r w:rsidR="000D78E7">
        <w:rPr>
          <w:lang w:val="en-GB"/>
        </w:rPr>
        <w:t>potentially result in the return</w:t>
      </w:r>
      <w:r w:rsidRPr="0048465B">
        <w:rPr>
          <w:lang w:val="en-GB"/>
        </w:rPr>
        <w:t xml:space="preserve"> of hundreds of thousands of Palestinians. Thus, the potential stakes of validating Palestinian suffering, for Israel, are their land, potentially the ethno-religious status of their nation, and their feeling of safety and security.</w:t>
      </w:r>
    </w:p>
    <w:p w14:paraId="1AE1892B" w14:textId="77777777" w:rsidR="00FC331F" w:rsidRPr="0048465B" w:rsidRDefault="00FC331F" w:rsidP="00FC331F">
      <w:pPr>
        <w:tabs>
          <w:tab w:val="left" w:pos="720"/>
          <w:tab w:val="left" w:pos="3131"/>
        </w:tabs>
        <w:rPr>
          <w:lang w:val="en-GB"/>
        </w:rPr>
      </w:pPr>
    </w:p>
    <w:p w14:paraId="5957EDD8" w14:textId="6EAD15EB" w:rsidR="00FC331F" w:rsidRPr="0048465B" w:rsidRDefault="00FC331F" w:rsidP="00FC331F">
      <w:pPr>
        <w:tabs>
          <w:tab w:val="left" w:pos="720"/>
          <w:tab w:val="left" w:pos="3131"/>
        </w:tabs>
        <w:rPr>
          <w:u w:val="single"/>
          <w:lang w:val="en-GB"/>
        </w:rPr>
      </w:pPr>
      <w:r w:rsidRPr="0048465B">
        <w:rPr>
          <w:lang w:val="en-GB"/>
        </w:rPr>
        <w:t xml:space="preserve">For Palestine, as noted above, the physical growth or reduction of </w:t>
      </w:r>
      <w:r w:rsidR="000D78E7">
        <w:rPr>
          <w:lang w:val="en-GB"/>
        </w:rPr>
        <w:t xml:space="preserve">a prospective </w:t>
      </w:r>
      <w:r w:rsidRPr="0048465B">
        <w:rPr>
          <w:lang w:val="en-GB"/>
        </w:rPr>
        <w:t xml:space="preserve">Palestinian </w:t>
      </w:r>
      <w:r w:rsidR="000D78E7">
        <w:rPr>
          <w:lang w:val="en-GB"/>
        </w:rPr>
        <w:t>state</w:t>
      </w:r>
      <w:r w:rsidRPr="0048465B">
        <w:rPr>
          <w:lang w:val="en-GB"/>
        </w:rPr>
        <w:t xml:space="preserve"> is directly correlated to the physical growth or reduction of the Israeli state. Just as Israeli discourse, at its worst, has rejected the existence of the Palestinian people </w:t>
      </w:r>
      <w:r w:rsidR="000D78E7">
        <w:rPr>
          <w:lang w:val="en-GB"/>
        </w:rPr>
        <w:t>and</w:t>
      </w:r>
      <w:r w:rsidRPr="0048465B">
        <w:rPr>
          <w:lang w:val="en-GB"/>
        </w:rPr>
        <w:t xml:space="preserve"> the Nakba, Palestinian discourse, at its worst, exhibits the antisemitic minimising or denial of the Holocaust, the perception</w:t>
      </w:r>
      <w:r w:rsidR="000D78E7">
        <w:rPr>
          <w:lang w:val="en-GB"/>
        </w:rPr>
        <w:t xml:space="preserve"> in these particular cases</w:t>
      </w:r>
      <w:r w:rsidRPr="0048465B">
        <w:rPr>
          <w:lang w:val="en-GB"/>
        </w:rPr>
        <w:t xml:space="preserve"> being that the acknowledgement of Jewish suffering contextually weakens the legitimacy of Palestinian suffering. In addition to this, Palestinians have to negotiate the fact that the legitimacy of their suffering continues to be overlooked by </w:t>
      </w:r>
      <w:r w:rsidR="0027719D">
        <w:rPr>
          <w:lang w:val="en-GB"/>
        </w:rPr>
        <w:t>those in power</w:t>
      </w:r>
      <w:r w:rsidRPr="0048465B">
        <w:rPr>
          <w:lang w:val="en-GB"/>
        </w:rPr>
        <w:t>,</w:t>
      </w:r>
      <w:r w:rsidRPr="0048465B">
        <w:rPr>
          <w:vertAlign w:val="superscript"/>
          <w:lang w:val="en-GB"/>
        </w:rPr>
        <w:footnoteReference w:id="204"/>
      </w:r>
      <w:r w:rsidRPr="0048465B">
        <w:rPr>
          <w:lang w:val="en-GB"/>
        </w:rPr>
        <w:t xml:space="preserve"> the reality that Western understandings of oppression and discrimination regularly centre upon the Holocaust, and the fact that there also exists, in places, an expectation for Palestine to adopt the Holocaust as its primary identifier of evil as a precursor to peace negotiations.</w:t>
      </w:r>
      <w:r w:rsidRPr="0048465B">
        <w:rPr>
          <w:vertAlign w:val="superscript"/>
          <w:lang w:val="en-GB"/>
        </w:rPr>
        <w:footnoteReference w:id="205"/>
      </w:r>
      <w:r w:rsidRPr="0048465B">
        <w:rPr>
          <w:lang w:val="en-GB"/>
        </w:rPr>
        <w:t xml:space="preserve"> Whilst the acceptance of Jewish suffering as sharing parallels with Palestinian suffering might promote </w:t>
      </w:r>
      <w:r w:rsidRPr="0048465B">
        <w:rPr>
          <w:lang w:val="en-GB"/>
        </w:rPr>
        <w:lastRenderedPageBreak/>
        <w:t xml:space="preserve">peace, it could equally lead to yet further justification of displacement, disenfranchisement, and death. Thus, the potential stakes of </w:t>
      </w:r>
      <w:r w:rsidR="00380905">
        <w:rPr>
          <w:lang w:val="en-GB"/>
        </w:rPr>
        <w:t>validating</w:t>
      </w:r>
      <w:r w:rsidRPr="0048465B">
        <w:rPr>
          <w:lang w:val="en-GB"/>
        </w:rPr>
        <w:t xml:space="preserve"> Israeli suffering, for Palestine, are the legitimacy of their own pain, their land, and their lives.</w:t>
      </w:r>
    </w:p>
    <w:p w14:paraId="1D4C4C4A" w14:textId="77777777" w:rsidR="00FC331F" w:rsidRPr="0048465B" w:rsidRDefault="00FC331F" w:rsidP="00FC331F">
      <w:pPr>
        <w:tabs>
          <w:tab w:val="left" w:pos="720"/>
          <w:tab w:val="left" w:pos="3926"/>
        </w:tabs>
        <w:rPr>
          <w:lang w:val="en-GB"/>
        </w:rPr>
      </w:pPr>
    </w:p>
    <w:p w14:paraId="67A2AC59" w14:textId="3AA2D030" w:rsidR="00AF18FC" w:rsidRDefault="00FC331F" w:rsidP="000A70CC">
      <w:pPr>
        <w:tabs>
          <w:tab w:val="left" w:pos="720"/>
          <w:tab w:val="left" w:pos="3926"/>
        </w:tabs>
        <w:rPr>
          <w:lang w:val="en-GB"/>
        </w:rPr>
        <w:sectPr w:rsidR="00AF18FC" w:rsidSect="009953FE">
          <w:footnotePr>
            <w:numRestart w:val="eachSect"/>
          </w:footnotePr>
          <w:pgSz w:w="12240" w:h="15840"/>
          <w:pgMar w:top="1440" w:right="1440" w:bottom="1440" w:left="1440" w:header="720" w:footer="720" w:gutter="0"/>
          <w:cols w:space="720"/>
        </w:sectPr>
      </w:pPr>
      <w:r w:rsidRPr="0048465B">
        <w:rPr>
          <w:lang w:val="en-GB"/>
        </w:rPr>
        <w:t>Whilst Rothberg claims that the Israeli-Palestinian conflict is a prominent site of multidirectional memory, and suggests that the ‘only way forward is through their entanglement’,</w:t>
      </w:r>
      <w:r w:rsidRPr="0048465B">
        <w:rPr>
          <w:vertAlign w:val="superscript"/>
          <w:lang w:val="en-GB"/>
        </w:rPr>
        <w:footnoteReference w:id="206"/>
      </w:r>
      <w:r w:rsidRPr="0048465B">
        <w:rPr>
          <w:lang w:val="en-GB"/>
        </w:rPr>
        <w:t xml:space="preserve"> his lack of interaction with the conflict suggests that the issue of Israel</w:t>
      </w:r>
      <w:r w:rsidR="000D78E7">
        <w:rPr>
          <w:lang w:val="en-GB"/>
        </w:rPr>
        <w:t>-</w:t>
      </w:r>
      <w:r w:rsidRPr="0048465B">
        <w:rPr>
          <w:lang w:val="en-GB"/>
        </w:rPr>
        <w:t xml:space="preserve">Palestine, at the very least, demands a more refined approach. The histories </w:t>
      </w:r>
      <w:r w:rsidR="00380905">
        <w:rPr>
          <w:lang w:val="en-GB"/>
        </w:rPr>
        <w:t xml:space="preserve">of these two peoples </w:t>
      </w:r>
      <w:r w:rsidRPr="0048465B">
        <w:rPr>
          <w:lang w:val="en-GB"/>
        </w:rPr>
        <w:t xml:space="preserve">are inextricably connected, and the wall that Israel </w:t>
      </w:r>
      <w:r w:rsidR="000D78E7">
        <w:rPr>
          <w:lang w:val="en-GB"/>
        </w:rPr>
        <w:t>is building</w:t>
      </w:r>
      <w:r w:rsidRPr="0048465B">
        <w:rPr>
          <w:lang w:val="en-GB"/>
        </w:rPr>
        <w:t xml:space="preserve"> between </w:t>
      </w:r>
      <w:r w:rsidR="0027719D">
        <w:rPr>
          <w:lang w:val="en-GB"/>
        </w:rPr>
        <w:t>the two lands</w:t>
      </w:r>
      <w:r w:rsidRPr="0048465B">
        <w:rPr>
          <w:lang w:val="en-GB"/>
        </w:rPr>
        <w:t xml:space="preserve"> only binds them closer together. However, whilst the</w:t>
      </w:r>
      <w:r w:rsidR="000D78E7">
        <w:rPr>
          <w:lang w:val="en-GB"/>
        </w:rPr>
        <w:t xml:space="preserve"> contemporary</w:t>
      </w:r>
      <w:r w:rsidRPr="0048465B">
        <w:rPr>
          <w:lang w:val="en-GB"/>
        </w:rPr>
        <w:t xml:space="preserve"> suffering of Palestinian and </w:t>
      </w:r>
      <w:r w:rsidR="000D78E7">
        <w:rPr>
          <w:lang w:val="en-GB"/>
        </w:rPr>
        <w:t xml:space="preserve">historical suffering of </w:t>
      </w:r>
      <w:r w:rsidRPr="0048465B">
        <w:rPr>
          <w:lang w:val="en-GB"/>
        </w:rPr>
        <w:t>Jewish peoples cannot be separated completely, deliberate connections between them seem to promote imprecision, erasure, and traumatic hierarchy more than they do mutual understanding and recognition. Yes, the only way forward is through their entanglement, but whilst bringing expressions of Israeli and Palestinian suffering closer together may seem productive at times, we must remember that the coexistence of these histories, rather than their conflation, is the ultimate goal.</w:t>
      </w:r>
    </w:p>
    <w:p w14:paraId="5F4ED5BB" w14:textId="7E93FC72" w:rsidR="00FC331F" w:rsidRPr="0048465B" w:rsidRDefault="00FC331F" w:rsidP="00FC331F">
      <w:pPr>
        <w:jc w:val="center"/>
        <w:rPr>
          <w:b/>
          <w:sz w:val="28"/>
          <w:szCs w:val="28"/>
          <w:lang w:val="en-GB"/>
        </w:rPr>
      </w:pPr>
      <w:r w:rsidRPr="0048465B">
        <w:rPr>
          <w:b/>
          <w:sz w:val="28"/>
          <w:szCs w:val="28"/>
          <w:lang w:val="en-GB"/>
        </w:rPr>
        <w:lastRenderedPageBreak/>
        <w:t xml:space="preserve">Chapter Two </w:t>
      </w:r>
    </w:p>
    <w:p w14:paraId="6E6A40EC" w14:textId="77777777" w:rsidR="00FC331F" w:rsidRPr="0048465B" w:rsidRDefault="00FC331F" w:rsidP="00FC331F">
      <w:pPr>
        <w:jc w:val="center"/>
        <w:rPr>
          <w:b/>
          <w:sz w:val="28"/>
          <w:szCs w:val="28"/>
          <w:lang w:val="en-GB"/>
        </w:rPr>
      </w:pPr>
    </w:p>
    <w:p w14:paraId="7D497D57" w14:textId="179EA814" w:rsidR="00FC331F" w:rsidRPr="0048465B" w:rsidRDefault="00F2581A" w:rsidP="00FC331F">
      <w:pPr>
        <w:jc w:val="center"/>
        <w:rPr>
          <w:b/>
          <w:sz w:val="28"/>
          <w:szCs w:val="28"/>
          <w:lang w:val="en-GB"/>
        </w:rPr>
      </w:pPr>
      <w:r w:rsidRPr="0048465B">
        <w:rPr>
          <w:b/>
          <w:sz w:val="28"/>
          <w:szCs w:val="28"/>
          <w:lang w:val="en-GB"/>
        </w:rPr>
        <w:t>First-hand</w:t>
      </w:r>
      <w:r w:rsidR="00FC331F" w:rsidRPr="0048465B">
        <w:rPr>
          <w:b/>
          <w:sz w:val="28"/>
          <w:szCs w:val="28"/>
          <w:lang w:val="en-GB"/>
        </w:rPr>
        <w:t xml:space="preserve"> Fiction: </w:t>
      </w:r>
    </w:p>
    <w:p w14:paraId="075A6A1F" w14:textId="77777777" w:rsidR="00FC331F" w:rsidRPr="0048465B" w:rsidRDefault="00FC331F" w:rsidP="00FC331F">
      <w:pPr>
        <w:jc w:val="center"/>
        <w:rPr>
          <w:sz w:val="28"/>
          <w:szCs w:val="28"/>
          <w:lang w:val="en-GB"/>
        </w:rPr>
      </w:pPr>
      <w:r w:rsidRPr="0048465B">
        <w:rPr>
          <w:b/>
          <w:sz w:val="28"/>
          <w:szCs w:val="28"/>
          <w:lang w:val="en-GB"/>
        </w:rPr>
        <w:t xml:space="preserve">Palestinian and Israeli Perceptions of the Nakba and the Holocaust </w:t>
      </w:r>
      <w:r w:rsidRPr="0048465B">
        <w:rPr>
          <w:sz w:val="28"/>
          <w:szCs w:val="28"/>
          <w:lang w:val="en-GB"/>
        </w:rPr>
        <w:t xml:space="preserve">  </w:t>
      </w:r>
    </w:p>
    <w:p w14:paraId="32A5CFF3" w14:textId="77777777" w:rsidR="00FC331F" w:rsidRPr="0048465B" w:rsidRDefault="00FC331F" w:rsidP="00FC331F">
      <w:pPr>
        <w:jc w:val="center"/>
        <w:rPr>
          <w:lang w:val="en-GB"/>
        </w:rPr>
      </w:pPr>
    </w:p>
    <w:p w14:paraId="1E2768F5" w14:textId="66950663" w:rsidR="00FC331F" w:rsidRPr="0048465B" w:rsidRDefault="00FC331F" w:rsidP="00FC331F">
      <w:pPr>
        <w:rPr>
          <w:b/>
          <w:lang w:val="en-GB"/>
        </w:rPr>
      </w:pPr>
      <w:r w:rsidRPr="0048465B">
        <w:rPr>
          <w:lang w:val="en-GB"/>
        </w:rPr>
        <w:t>Having explored the theoretical implications of connective approaches to Israeli and Palestinian legacies of suffering, and offered some analysis of this issue within global news, literature, and politics, this second chapter concentrates more closely on fictional works that explore these same issues. All primary works explored in this chapter</w:t>
      </w:r>
      <w:r w:rsidR="009342AB">
        <w:rPr>
          <w:lang w:val="en-GB"/>
        </w:rPr>
        <w:t xml:space="preserve"> </w:t>
      </w:r>
      <w:r w:rsidRPr="0048465B">
        <w:rPr>
          <w:lang w:val="en-GB"/>
        </w:rPr>
        <w:t>are produced by Israeli, Jewish or Palestinian authors, with th</w:t>
      </w:r>
      <w:r w:rsidR="009342AB">
        <w:rPr>
          <w:lang w:val="en-GB"/>
        </w:rPr>
        <w:t>e</w:t>
      </w:r>
      <w:r w:rsidRPr="0048465B">
        <w:rPr>
          <w:lang w:val="en-GB"/>
        </w:rPr>
        <w:t xml:space="preserve"> solitary exception </w:t>
      </w:r>
      <w:r w:rsidR="00E643E7">
        <w:rPr>
          <w:lang w:val="en-GB"/>
        </w:rPr>
        <w:t xml:space="preserve">of </w:t>
      </w:r>
      <w:r w:rsidR="009342AB">
        <w:rPr>
          <w:lang w:val="en-GB"/>
        </w:rPr>
        <w:t xml:space="preserve">David Hare’s </w:t>
      </w:r>
      <w:r w:rsidR="009342AB">
        <w:rPr>
          <w:i/>
          <w:iCs/>
          <w:lang w:val="en-GB"/>
        </w:rPr>
        <w:t>Via Dolorosa</w:t>
      </w:r>
      <w:r w:rsidR="009342AB">
        <w:rPr>
          <w:lang w:val="en-GB"/>
        </w:rPr>
        <w:t>,</w:t>
      </w:r>
      <w:r w:rsidR="003B63D8">
        <w:rPr>
          <w:rStyle w:val="FootnoteReference"/>
          <w:lang w:val="en-GB"/>
        </w:rPr>
        <w:footnoteReference w:id="207"/>
      </w:r>
      <w:r w:rsidR="009342AB">
        <w:rPr>
          <w:lang w:val="en-GB"/>
        </w:rPr>
        <w:t xml:space="preserve"> included</w:t>
      </w:r>
      <w:r w:rsidRPr="0048465B">
        <w:rPr>
          <w:lang w:val="en-GB"/>
        </w:rPr>
        <w:t xml:space="preserve"> due to the insights provided by Israelis within </w:t>
      </w:r>
      <w:r w:rsidR="009342AB">
        <w:rPr>
          <w:lang w:val="en-GB"/>
        </w:rPr>
        <w:t>this</w:t>
      </w:r>
      <w:r w:rsidRPr="0048465B">
        <w:rPr>
          <w:lang w:val="en-GB"/>
        </w:rPr>
        <w:t xml:space="preserve"> play,</w:t>
      </w:r>
      <w:r w:rsidR="009342AB">
        <w:rPr>
          <w:lang w:val="en-GB"/>
        </w:rPr>
        <w:t xml:space="preserve"> which was based upon Hare’s real-life experiences of travelling in Israel and Palestine.</w:t>
      </w:r>
      <w:r w:rsidRPr="0048465B">
        <w:rPr>
          <w:lang w:val="en-GB"/>
        </w:rPr>
        <w:t xml:space="preserve"> Whilst texts and connections explored by those outside of the conflict itself can be indicative of broader understandings regarding Israel and Palestine, texts written from the perspectives of those whom the conflict affects</w:t>
      </w:r>
      <w:r w:rsidR="00250A1D">
        <w:rPr>
          <w:lang w:val="en-GB"/>
        </w:rPr>
        <w:t xml:space="preserve"> directly</w:t>
      </w:r>
      <w:r w:rsidRPr="0048465B">
        <w:rPr>
          <w:lang w:val="en-GB"/>
        </w:rPr>
        <w:t xml:space="preserve"> are forged in the </w:t>
      </w:r>
      <w:r w:rsidR="00F2581A" w:rsidRPr="0048465B">
        <w:rPr>
          <w:lang w:val="en-GB"/>
        </w:rPr>
        <w:t>epicentre</w:t>
      </w:r>
      <w:r w:rsidRPr="0048465B">
        <w:rPr>
          <w:lang w:val="en-GB"/>
        </w:rPr>
        <w:t xml:space="preserve"> of this adversity, whether through personal experience or through the inheritance of experience as observed by Hirsch. </w:t>
      </w:r>
      <w:r w:rsidR="003C27CA" w:rsidRPr="0048465B">
        <w:rPr>
          <w:lang w:val="en-GB"/>
        </w:rPr>
        <w:t xml:space="preserve">Moreover, whilst texts written from </w:t>
      </w:r>
      <w:r w:rsidR="003C27CA">
        <w:rPr>
          <w:lang w:val="en-GB"/>
        </w:rPr>
        <w:t>the outside</w:t>
      </w:r>
      <w:r w:rsidR="003C27CA" w:rsidRPr="0048465B">
        <w:rPr>
          <w:lang w:val="en-GB"/>
        </w:rPr>
        <w:t xml:space="preserve"> may be able to affirm </w:t>
      </w:r>
      <w:r w:rsidR="003C27CA">
        <w:rPr>
          <w:lang w:val="en-GB"/>
        </w:rPr>
        <w:t>the existence of an event with greater objectivity,</w:t>
      </w:r>
      <w:r w:rsidR="003C27CA" w:rsidRPr="0048465B">
        <w:rPr>
          <w:lang w:val="en-GB"/>
        </w:rPr>
        <w:t xml:space="preserve"> and imagine what its emotional effects might be through referencing universal or personal understandings of pain, texts written by authors who have first-hand experience of the subject position in question are able </w:t>
      </w:r>
      <w:r w:rsidR="003C27CA">
        <w:rPr>
          <w:lang w:val="en-GB"/>
        </w:rPr>
        <w:t xml:space="preserve">to </w:t>
      </w:r>
      <w:r w:rsidR="00097FA9">
        <w:rPr>
          <w:lang w:val="en-GB"/>
        </w:rPr>
        <w:t>offer</w:t>
      </w:r>
      <w:r w:rsidR="003C27CA" w:rsidRPr="0048465B">
        <w:rPr>
          <w:lang w:val="en-GB"/>
        </w:rPr>
        <w:t xml:space="preserve"> </w:t>
      </w:r>
      <w:r w:rsidR="003C27CA">
        <w:rPr>
          <w:lang w:val="en-GB"/>
        </w:rPr>
        <w:t xml:space="preserve">more </w:t>
      </w:r>
      <w:r w:rsidR="00097FA9">
        <w:rPr>
          <w:lang w:val="en-GB"/>
        </w:rPr>
        <w:t>nuanced</w:t>
      </w:r>
      <w:r w:rsidR="003C27CA">
        <w:rPr>
          <w:lang w:val="en-GB"/>
        </w:rPr>
        <w:t xml:space="preserve"> </w:t>
      </w:r>
      <w:r w:rsidR="003C27CA" w:rsidRPr="0048465B">
        <w:rPr>
          <w:lang w:val="en-GB"/>
        </w:rPr>
        <w:t>understandings of the event,</w:t>
      </w:r>
      <w:r w:rsidR="003C27CA">
        <w:rPr>
          <w:lang w:val="en-GB"/>
        </w:rPr>
        <w:t xml:space="preserve"> giving the reader insight into the minor details of the lived experience that might otherwise be missed by those looking in from the outside.</w:t>
      </w:r>
      <w:r w:rsidRPr="0048465B">
        <w:rPr>
          <w:lang w:val="en-GB"/>
        </w:rPr>
        <w:t xml:space="preserve"> It is worth noting that </w:t>
      </w:r>
      <w:r w:rsidR="003C27CA">
        <w:rPr>
          <w:lang w:val="en-GB"/>
        </w:rPr>
        <w:t xml:space="preserve">some </w:t>
      </w:r>
      <w:r w:rsidRPr="0048465B">
        <w:rPr>
          <w:lang w:val="en-GB"/>
        </w:rPr>
        <w:lastRenderedPageBreak/>
        <w:t xml:space="preserve">of the texts explored </w:t>
      </w:r>
      <w:r w:rsidR="00250A1D">
        <w:rPr>
          <w:lang w:val="en-GB"/>
        </w:rPr>
        <w:t xml:space="preserve">in this chapter </w:t>
      </w:r>
      <w:r w:rsidRPr="0048465B">
        <w:rPr>
          <w:lang w:val="en-GB"/>
        </w:rPr>
        <w:t>have been translated. Whilst this imposes limitations upon the breadth of literature available for analysis,</w:t>
      </w:r>
      <w:r w:rsidR="003C27CA">
        <w:rPr>
          <w:lang w:val="en-GB"/>
        </w:rPr>
        <w:t xml:space="preserve"> and introduces an</w:t>
      </w:r>
      <w:r w:rsidRPr="0048465B">
        <w:rPr>
          <w:lang w:val="en-GB"/>
        </w:rPr>
        <w:t xml:space="preserve"> </w:t>
      </w:r>
      <w:r w:rsidR="003C27CA">
        <w:rPr>
          <w:lang w:val="en-GB"/>
        </w:rPr>
        <w:t xml:space="preserve">unfortunate – if unavoidable – filter between author and reader, </w:t>
      </w:r>
      <w:r w:rsidRPr="0048465B">
        <w:rPr>
          <w:lang w:val="en-GB"/>
        </w:rPr>
        <w:t xml:space="preserve">it also serves as an organic means of exploring the degree to which first-hand accounts of the suffering of each group are represented in Western </w:t>
      </w:r>
      <w:r w:rsidR="00071E1B">
        <w:rPr>
          <w:lang w:val="en-GB"/>
        </w:rPr>
        <w:t xml:space="preserve">Anglophone </w:t>
      </w:r>
      <w:r w:rsidRPr="0048465B">
        <w:rPr>
          <w:lang w:val="en-GB"/>
        </w:rPr>
        <w:t xml:space="preserve">media. It is also worth noting, as this chapter is centred upon texts </w:t>
      </w:r>
      <w:r w:rsidR="007750E4">
        <w:rPr>
          <w:lang w:val="en-GB"/>
        </w:rPr>
        <w:t>that explore Palestinian suffering more specifically,</w:t>
      </w:r>
      <w:r w:rsidRPr="0048465B">
        <w:rPr>
          <w:lang w:val="en-GB"/>
        </w:rPr>
        <w:t xml:space="preserve"> that the immense body of work revolving around the Holocaust as an isolated event, whether historical, testimonial, or fictional, does not feature in this chapter.</w:t>
      </w:r>
    </w:p>
    <w:p w14:paraId="68F24403" w14:textId="77777777" w:rsidR="00FC331F" w:rsidRPr="0048465B" w:rsidRDefault="00FC331F" w:rsidP="00FC331F">
      <w:pPr>
        <w:rPr>
          <w:lang w:val="en-GB"/>
        </w:rPr>
      </w:pPr>
    </w:p>
    <w:p w14:paraId="31280C18" w14:textId="46E08107" w:rsidR="00FC331F" w:rsidRPr="0048465B" w:rsidRDefault="007750E4" w:rsidP="00FC331F">
      <w:pPr>
        <w:rPr>
          <w:lang w:val="en-GB"/>
        </w:rPr>
      </w:pPr>
      <w:r>
        <w:rPr>
          <w:lang w:val="en-GB"/>
        </w:rPr>
        <w:t>Whilst Chapter One’s</w:t>
      </w:r>
      <w:r w:rsidR="00FC331F" w:rsidRPr="0048465B">
        <w:rPr>
          <w:lang w:val="en-GB"/>
        </w:rPr>
        <w:t xml:space="preserve"> analysis of </w:t>
      </w:r>
      <w:r>
        <w:rPr>
          <w:lang w:val="en-GB"/>
        </w:rPr>
        <w:t>Holocaust-centric</w:t>
      </w:r>
      <w:r w:rsidR="00FC331F" w:rsidRPr="0048465B">
        <w:rPr>
          <w:lang w:val="en-GB"/>
        </w:rPr>
        <w:t xml:space="preserve"> approaches to memory studies </w:t>
      </w:r>
      <w:r w:rsidR="00250A1D">
        <w:rPr>
          <w:lang w:val="en-GB"/>
        </w:rPr>
        <w:t>–</w:t>
      </w:r>
      <w:r w:rsidR="00FC331F" w:rsidRPr="0048465B">
        <w:rPr>
          <w:lang w:val="en-GB"/>
        </w:rPr>
        <w:t xml:space="preserve"> and the absence </w:t>
      </w:r>
      <w:r w:rsidR="001223EF">
        <w:rPr>
          <w:lang w:val="en-GB"/>
        </w:rPr>
        <w:t xml:space="preserve">of </w:t>
      </w:r>
      <w:r w:rsidR="00FC331F" w:rsidRPr="0048465B">
        <w:rPr>
          <w:lang w:val="en-GB"/>
        </w:rPr>
        <w:t xml:space="preserve">Palestinian suffering within these works </w:t>
      </w:r>
      <w:r>
        <w:rPr>
          <w:lang w:val="en-GB"/>
        </w:rPr>
        <w:t>–</w:t>
      </w:r>
      <w:r w:rsidR="00FC331F" w:rsidRPr="0048465B">
        <w:rPr>
          <w:lang w:val="en-GB"/>
        </w:rPr>
        <w:t xml:space="preserve"> </w:t>
      </w:r>
      <w:r>
        <w:rPr>
          <w:lang w:val="en-GB"/>
        </w:rPr>
        <w:t>demanded a necessary focus on</w:t>
      </w:r>
      <w:r w:rsidR="00BA778A">
        <w:rPr>
          <w:lang w:val="en-GB"/>
        </w:rPr>
        <w:t xml:space="preserve"> the</w:t>
      </w:r>
      <w:r>
        <w:rPr>
          <w:lang w:val="en-GB"/>
        </w:rPr>
        <w:t xml:space="preserve"> Holocaust, it also</w:t>
      </w:r>
      <w:r w:rsidR="00FC331F" w:rsidRPr="0048465B">
        <w:rPr>
          <w:lang w:val="en-GB"/>
        </w:rPr>
        <w:t xml:space="preserve"> meant that </w:t>
      </w:r>
      <w:r w:rsidR="001307AD">
        <w:rPr>
          <w:lang w:val="en-GB"/>
        </w:rPr>
        <w:t xml:space="preserve">the specificity of </w:t>
      </w:r>
      <w:r w:rsidR="00FC331F" w:rsidRPr="0048465B">
        <w:rPr>
          <w:lang w:val="en-GB"/>
        </w:rPr>
        <w:t xml:space="preserve">Palestinian suffering has remained remote from this thesis thus far. In exploring the ethical and theoretical implications of comparisons between the Holocaust and the oppression of Palestinians, we have looked at a number of works that engage with the complicated and nuanced relationships between the genocide of European Jews under Nazi rule and the Israeli oppression of Palestinians thereafter. Such analyses have featured a number of Israeli and Jewish voices, Marianne Hirsch, Henri Raczymow, Amira Hass, Hannan </w:t>
      </w:r>
      <w:proofErr w:type="spellStart"/>
      <w:r w:rsidR="00FC331F" w:rsidRPr="0048465B">
        <w:rPr>
          <w:lang w:val="en-GB"/>
        </w:rPr>
        <w:t>Hever</w:t>
      </w:r>
      <w:proofErr w:type="spellEnd"/>
      <w:r w:rsidR="00FC331F" w:rsidRPr="0048465B">
        <w:rPr>
          <w:lang w:val="en-GB"/>
        </w:rPr>
        <w:t xml:space="preserve">, Meir Litvak, Esther </w:t>
      </w:r>
      <w:proofErr w:type="spellStart"/>
      <w:r w:rsidR="00FC331F" w:rsidRPr="0048465B">
        <w:rPr>
          <w:lang w:val="en-GB"/>
        </w:rPr>
        <w:t>Webman</w:t>
      </w:r>
      <w:proofErr w:type="spellEnd"/>
      <w:r w:rsidR="00FC331F" w:rsidRPr="0048465B">
        <w:rPr>
          <w:lang w:val="en-GB"/>
        </w:rPr>
        <w:t xml:space="preserve">, Anita Shapira, and Robert S. Wistrich, to name but a few. </w:t>
      </w:r>
      <w:r w:rsidR="00F2581A" w:rsidRPr="0048465B">
        <w:rPr>
          <w:lang w:val="en-GB"/>
        </w:rPr>
        <w:t xml:space="preserve">Whilst the prevalence of Jewish voices by no means implies unanimity, the relative absence of Arab and Palestinian voices, represented by Edward W. Said, Gilbert Achcar, and the participants of the documentary </w:t>
      </w:r>
      <w:r w:rsidR="00F2581A" w:rsidRPr="0048465B">
        <w:rPr>
          <w:i/>
          <w:lang w:val="en-GB"/>
        </w:rPr>
        <w:t>Disturbing the Peace</w:t>
      </w:r>
      <w:r w:rsidR="00F2581A" w:rsidRPr="0048465B">
        <w:rPr>
          <w:lang w:val="en-GB"/>
        </w:rPr>
        <w:t>, means that the Palestinian viewpoint remains, as yet, largely unexplored.</w:t>
      </w:r>
    </w:p>
    <w:p w14:paraId="6864C8DC" w14:textId="77777777" w:rsidR="00FC331F" w:rsidRPr="0048465B" w:rsidRDefault="00FC331F" w:rsidP="00FC331F">
      <w:pPr>
        <w:rPr>
          <w:lang w:val="en-GB"/>
        </w:rPr>
      </w:pPr>
    </w:p>
    <w:p w14:paraId="039A7BD7" w14:textId="1AC1FB9B" w:rsidR="00860AF8" w:rsidRDefault="00FC331F" w:rsidP="00FC331F">
      <w:pPr>
        <w:rPr>
          <w:lang w:val="en-GB"/>
        </w:rPr>
      </w:pPr>
      <w:r w:rsidRPr="0048465B">
        <w:rPr>
          <w:lang w:val="en-GB"/>
        </w:rPr>
        <w:lastRenderedPageBreak/>
        <w:t xml:space="preserve">This omission is </w:t>
      </w:r>
      <w:r w:rsidR="007750E4">
        <w:rPr>
          <w:lang w:val="en-GB"/>
        </w:rPr>
        <w:t>also</w:t>
      </w:r>
      <w:r w:rsidRPr="0048465B">
        <w:rPr>
          <w:lang w:val="en-GB"/>
        </w:rPr>
        <w:t xml:space="preserve"> indicative of the multiplicity of Israeli and Jewish voices available for comment on the Israeli-Palestinian conflict, and the relative scarcity of mainstream Palestinian voices within </w:t>
      </w:r>
      <w:r w:rsidR="0023678C">
        <w:rPr>
          <w:lang w:val="en-GB"/>
        </w:rPr>
        <w:t>West</w:t>
      </w:r>
      <w:r w:rsidR="007750E4">
        <w:rPr>
          <w:lang w:val="en-GB"/>
        </w:rPr>
        <w:t xml:space="preserve">ern </w:t>
      </w:r>
      <w:r w:rsidR="00D42ED7">
        <w:rPr>
          <w:lang w:val="en-GB"/>
        </w:rPr>
        <w:t>media both historically and contemporarily</w:t>
      </w:r>
      <w:r w:rsidRPr="0048465B">
        <w:rPr>
          <w:lang w:val="en-GB"/>
        </w:rPr>
        <w:t>. Such asymmetry speaks simultaneously to multiple truths surrounding the Israeli-Palestinian conflict, explored here briefly</w:t>
      </w:r>
      <w:r w:rsidR="00250A1D">
        <w:rPr>
          <w:lang w:val="en-GB"/>
        </w:rPr>
        <w:t>, and</w:t>
      </w:r>
      <w:r w:rsidRPr="0048465B">
        <w:rPr>
          <w:lang w:val="en-GB"/>
        </w:rPr>
        <w:t xml:space="preserve"> expand</w:t>
      </w:r>
      <w:r w:rsidR="00250A1D">
        <w:rPr>
          <w:lang w:val="en-GB"/>
        </w:rPr>
        <w:t>ed upon</w:t>
      </w:r>
      <w:r w:rsidRPr="0048465B">
        <w:rPr>
          <w:lang w:val="en-GB"/>
        </w:rPr>
        <w:t xml:space="preserve"> further as the chapter progresses. Primarily, this imbalance is indicative of the intellectual and geographical homogeneity of the majority of texts written regarding Israel and Palestine, the pervasiveness of the European-Israeli and Occidental ‘expert’ opinion, and the associated apparent Western contentment </w:t>
      </w:r>
      <w:r w:rsidR="003D09A3">
        <w:rPr>
          <w:lang w:val="en-GB"/>
        </w:rPr>
        <w:t>with Palestinian silence, either knowingly or not</w:t>
      </w:r>
      <w:r w:rsidRPr="0048465B">
        <w:rPr>
          <w:lang w:val="en-GB"/>
        </w:rPr>
        <w:t xml:space="preserve">. </w:t>
      </w:r>
    </w:p>
    <w:p w14:paraId="4B5918D6" w14:textId="77777777" w:rsidR="00860AF8" w:rsidRDefault="00860AF8" w:rsidP="00FC331F">
      <w:pPr>
        <w:rPr>
          <w:lang w:val="en-GB"/>
        </w:rPr>
      </w:pPr>
    </w:p>
    <w:p w14:paraId="03096606" w14:textId="66C2F7EC" w:rsidR="001E70ED" w:rsidRDefault="00FC331F" w:rsidP="00FC331F">
      <w:pPr>
        <w:rPr>
          <w:lang w:val="en-GB"/>
        </w:rPr>
      </w:pPr>
      <w:r w:rsidRPr="0048465B">
        <w:rPr>
          <w:lang w:val="en-GB"/>
        </w:rPr>
        <w:t>Whilst</w:t>
      </w:r>
      <w:r w:rsidR="007750E4">
        <w:rPr>
          <w:lang w:val="en-GB"/>
        </w:rPr>
        <w:t xml:space="preserve"> </w:t>
      </w:r>
      <w:r w:rsidRPr="0048465B">
        <w:rPr>
          <w:lang w:val="en-GB"/>
        </w:rPr>
        <w:t xml:space="preserve">Said argued that ‘“the Palestinian </w:t>
      </w:r>
      <w:r w:rsidRPr="0048465B">
        <w:rPr>
          <w:i/>
          <w:lang w:val="en-GB"/>
        </w:rPr>
        <w:t>Intifada</w:t>
      </w:r>
      <w:r w:rsidRPr="0048465B">
        <w:rPr>
          <w:lang w:val="en-GB"/>
        </w:rPr>
        <w:t xml:space="preserve"> put an end to the idea of Palestinian silence and absence”’, his declaration is nonetheless challenged by the fact that </w:t>
      </w:r>
      <w:r w:rsidR="008F554C">
        <w:rPr>
          <w:lang w:val="en-GB"/>
        </w:rPr>
        <w:t>the alternative</w:t>
      </w:r>
      <w:r w:rsidRPr="0048465B">
        <w:rPr>
          <w:lang w:val="en-GB"/>
        </w:rPr>
        <w:t xml:space="preserve">, </w:t>
      </w:r>
      <w:r w:rsidR="008F554C">
        <w:rPr>
          <w:lang w:val="en-GB"/>
        </w:rPr>
        <w:t>sound and presence</w:t>
      </w:r>
      <w:r w:rsidRPr="0048465B">
        <w:rPr>
          <w:lang w:val="en-GB"/>
        </w:rPr>
        <w:t xml:space="preserve">, do not necessarily ensure that one’s voice is heard. As Judith Butler has argued in relation to a politico-cultural environment permeated by images of war and destruction, we are sometimes victims of ‘“our </w:t>
      </w:r>
      <w:r w:rsidRPr="0048465B">
        <w:rPr>
          <w:i/>
          <w:lang w:val="en-GB"/>
        </w:rPr>
        <w:t xml:space="preserve">inability </w:t>
      </w:r>
      <w:r w:rsidRPr="0048465B">
        <w:rPr>
          <w:lang w:val="en-GB"/>
        </w:rPr>
        <w:t>to see what we see</w:t>
      </w:r>
      <w:r w:rsidR="000C3FB4">
        <w:rPr>
          <w:lang w:val="en-GB"/>
        </w:rPr>
        <w:t xml:space="preserve"> […] </w:t>
      </w:r>
      <w:r w:rsidRPr="0048465B">
        <w:rPr>
          <w:lang w:val="en-GB"/>
        </w:rPr>
        <w:t>to see the frame that blinds us”’.</w:t>
      </w:r>
      <w:r w:rsidRPr="0048465B">
        <w:rPr>
          <w:vertAlign w:val="superscript"/>
          <w:lang w:val="en-GB"/>
        </w:rPr>
        <w:footnoteReference w:id="208"/>
      </w:r>
      <w:r w:rsidRPr="0048465B">
        <w:rPr>
          <w:lang w:val="en-GB"/>
        </w:rPr>
        <w:t xml:space="preserve"> Indeed, it is not </w:t>
      </w:r>
      <w:r w:rsidR="00250A1D">
        <w:rPr>
          <w:lang w:val="en-GB"/>
        </w:rPr>
        <w:t xml:space="preserve">necessarily </w:t>
      </w:r>
      <w:r w:rsidRPr="0048465B">
        <w:rPr>
          <w:lang w:val="en-GB"/>
        </w:rPr>
        <w:t xml:space="preserve">the absence of Palestinian voices altogether that compromises understandings of the Israeli-Palestinian conflict, but the combined effect of this absence in addition to the inability or unwillingness of those who do hear Palestinian voices to truly listen to them. In spite of Said’s declaration, participants at a 2020 meeting between ‘Palestinian civil society and political and human rights activists’, hosted by an independent group of global leaders </w:t>
      </w:r>
      <w:r w:rsidR="00860AF8">
        <w:rPr>
          <w:lang w:val="en-GB"/>
        </w:rPr>
        <w:t xml:space="preserve">originally </w:t>
      </w:r>
      <w:r w:rsidRPr="0048465B">
        <w:rPr>
          <w:lang w:val="en-GB"/>
        </w:rPr>
        <w:t xml:space="preserve">founded by </w:t>
      </w:r>
      <w:r w:rsidRPr="0048465B">
        <w:rPr>
          <w:lang w:val="en-GB"/>
        </w:rPr>
        <w:lastRenderedPageBreak/>
        <w:t>Nelson Mandela</w:t>
      </w:r>
      <w:r w:rsidR="00860AF8">
        <w:rPr>
          <w:lang w:val="en-GB"/>
        </w:rPr>
        <w:t>,</w:t>
      </w:r>
      <w:r w:rsidRPr="0048465B">
        <w:rPr>
          <w:lang w:val="en-GB"/>
        </w:rPr>
        <w:t xml:space="preserve"> felt that ‘Palestinian voices and stories [we]re not being heard internationally’, and that ‘Liberal Zionist voices [we]re what the international community [took] notice of’.</w:t>
      </w:r>
      <w:r w:rsidRPr="0048465B">
        <w:rPr>
          <w:vertAlign w:val="superscript"/>
          <w:lang w:val="en-GB"/>
        </w:rPr>
        <w:footnoteReference w:id="209"/>
      </w:r>
      <w:r w:rsidRPr="0048465B">
        <w:rPr>
          <w:lang w:val="en-GB"/>
        </w:rPr>
        <w:t xml:space="preserve"> </w:t>
      </w:r>
    </w:p>
    <w:p w14:paraId="61F9F881" w14:textId="77777777" w:rsidR="001E70ED" w:rsidRDefault="001E70ED" w:rsidP="00FC331F">
      <w:pPr>
        <w:rPr>
          <w:lang w:val="en-GB"/>
        </w:rPr>
      </w:pPr>
    </w:p>
    <w:p w14:paraId="7D7A9F72" w14:textId="60ADF7F7" w:rsidR="00FC331F" w:rsidRPr="0048465B" w:rsidRDefault="00FC331F" w:rsidP="00FC331F">
      <w:pPr>
        <w:rPr>
          <w:lang w:val="en-GB"/>
        </w:rPr>
      </w:pPr>
      <w:r w:rsidRPr="0048465B">
        <w:rPr>
          <w:lang w:val="en-GB"/>
        </w:rPr>
        <w:t xml:space="preserve">This is by no means to say </w:t>
      </w:r>
      <w:r w:rsidR="00D4262D">
        <w:rPr>
          <w:lang w:val="en-GB"/>
        </w:rPr>
        <w:t xml:space="preserve">that </w:t>
      </w:r>
      <w:r w:rsidRPr="0048465B">
        <w:rPr>
          <w:lang w:val="en-GB"/>
        </w:rPr>
        <w:t>Israeli</w:t>
      </w:r>
      <w:r w:rsidR="00FA3397">
        <w:rPr>
          <w:lang w:val="en-GB"/>
        </w:rPr>
        <w:t>-</w:t>
      </w:r>
      <w:r w:rsidRPr="0048465B">
        <w:rPr>
          <w:lang w:val="en-GB"/>
        </w:rPr>
        <w:t>Jewish authored representations of Palestinians and the conflict</w:t>
      </w:r>
      <w:r w:rsidR="00FA3397">
        <w:rPr>
          <w:lang w:val="en-GB"/>
        </w:rPr>
        <w:t>, or representations originating beyond the borders of Israel-Palestine,</w:t>
      </w:r>
      <w:r w:rsidRPr="0048465B">
        <w:rPr>
          <w:lang w:val="en-GB"/>
        </w:rPr>
        <w:t xml:space="preserve"> are of no value, or that </w:t>
      </w:r>
      <w:r w:rsidR="00FA3397">
        <w:rPr>
          <w:lang w:val="en-GB"/>
        </w:rPr>
        <w:t>these</w:t>
      </w:r>
      <w:r w:rsidR="00FA3397" w:rsidRPr="0048465B">
        <w:rPr>
          <w:lang w:val="en-GB"/>
        </w:rPr>
        <w:t xml:space="preserve"> </w:t>
      </w:r>
      <w:r w:rsidRPr="0048465B">
        <w:rPr>
          <w:lang w:val="en-GB"/>
        </w:rPr>
        <w:t>viewpoints are in any way tainted due to the country of birth, ancestry, or ethno-religious origin of their authors. It is to say instead,</w:t>
      </w:r>
      <w:r w:rsidR="00262C2D">
        <w:rPr>
          <w:lang w:val="en-GB"/>
        </w:rPr>
        <w:t xml:space="preserve"> in line with standpoint theory,</w:t>
      </w:r>
      <w:r w:rsidRPr="0048465B">
        <w:rPr>
          <w:lang w:val="en-GB"/>
        </w:rPr>
        <w:t xml:space="preserve"> that when two sides exist in a conflict, the most subjectively and experientially honest representation of each side can only come directly from the source of that experience itself. As will become clear in this chapter’s analysis of the Israeli-authored, produced, and narrated </w:t>
      </w:r>
      <w:r w:rsidRPr="0048465B">
        <w:rPr>
          <w:i/>
          <w:lang w:val="en-GB"/>
        </w:rPr>
        <w:t>Waltz with Bashir</w:t>
      </w:r>
      <w:r w:rsidRPr="0048465B">
        <w:rPr>
          <w:lang w:val="en-GB"/>
        </w:rPr>
        <w:t>,</w:t>
      </w:r>
      <w:r w:rsidR="003B63D8">
        <w:rPr>
          <w:rStyle w:val="FootnoteReference"/>
          <w:lang w:val="en-GB"/>
        </w:rPr>
        <w:footnoteReference w:id="210"/>
      </w:r>
      <w:r w:rsidRPr="0048465B">
        <w:rPr>
          <w:lang w:val="en-GB"/>
        </w:rPr>
        <w:t xml:space="preserve"> there are significant complications when Israeli representations of Arabs </w:t>
      </w:r>
      <w:r w:rsidR="00860AF8">
        <w:rPr>
          <w:lang w:val="en-GB"/>
        </w:rPr>
        <w:t>risk</w:t>
      </w:r>
      <w:r w:rsidRPr="0048465B">
        <w:rPr>
          <w:lang w:val="en-GB"/>
        </w:rPr>
        <w:t xml:space="preserve"> render</w:t>
      </w:r>
      <w:r w:rsidR="00860AF8">
        <w:rPr>
          <w:lang w:val="en-GB"/>
        </w:rPr>
        <w:t>ing</w:t>
      </w:r>
      <w:r w:rsidRPr="0048465B">
        <w:rPr>
          <w:lang w:val="en-GB"/>
        </w:rPr>
        <w:t xml:space="preserve"> these Arabs silent.</w:t>
      </w:r>
    </w:p>
    <w:p w14:paraId="6443DE75" w14:textId="32DDA75D" w:rsidR="00FC331F" w:rsidRDefault="00FC331F" w:rsidP="00FC331F">
      <w:pPr>
        <w:rPr>
          <w:lang w:val="en-GB"/>
        </w:rPr>
      </w:pPr>
    </w:p>
    <w:p w14:paraId="545DF484" w14:textId="607A6C84" w:rsidR="001E70ED" w:rsidRPr="001E70ED" w:rsidRDefault="001E70ED" w:rsidP="001E70ED">
      <w:pPr>
        <w:rPr>
          <w:lang w:val="en-GB"/>
        </w:rPr>
      </w:pPr>
      <w:r w:rsidRPr="001E70ED">
        <w:rPr>
          <w:lang w:val="en-GB"/>
        </w:rPr>
        <w:t xml:space="preserve">The importance of centring those voices involved in the conflict is even more pronounced in relation to Palestinian experience, due to the overwhelming suppression of Palestinian voices in both historical and contemporary politics. The silencing of Palestinians has been a consistent </w:t>
      </w:r>
      <w:r>
        <w:rPr>
          <w:lang w:val="en-GB"/>
        </w:rPr>
        <w:t>technique in the colonial erasure of Palestine</w:t>
      </w:r>
      <w:r w:rsidRPr="001E70ED">
        <w:rPr>
          <w:lang w:val="en-GB"/>
        </w:rPr>
        <w:t>, first enshrined by the British refusal to consult Palestinian leadership, academics, or civilians in the original Mandate for Palestine in 1922, and reflected almost one hundred years later in Trump’s 2020 Peace to Prosperity plan, which failed to solicit Palestinian input. The centring of Palestinian voices, in this chapter and throughout this thesis, is intended as a means of resisting this practice.</w:t>
      </w:r>
    </w:p>
    <w:p w14:paraId="1ABA2D0F" w14:textId="08F9516C" w:rsidR="00FC331F" w:rsidRPr="0048465B" w:rsidRDefault="001E70ED" w:rsidP="001E70ED">
      <w:pPr>
        <w:rPr>
          <w:lang w:val="en-GB"/>
        </w:rPr>
      </w:pPr>
      <w:r w:rsidRPr="001E70ED">
        <w:rPr>
          <w:lang w:val="en-GB"/>
        </w:rPr>
        <w:lastRenderedPageBreak/>
        <w:br/>
        <w:t xml:space="preserve">Contributory to this silencing of the Palestinian perspective within politics is the absence of Palestinian perspectives as represented in global literature, which in turn contributes to the absence of a more detailed understanding of Palestinian concerns in public, and academic, arenas. Some reasons behind this absence </w:t>
      </w:r>
      <w:r w:rsidR="00FC331F" w:rsidRPr="0048465B">
        <w:rPr>
          <w:lang w:val="en-GB"/>
        </w:rPr>
        <w:t xml:space="preserve">are self-evident, such as a given reader’s lack of language skills (this thesis has been written without knowledge of either Arabic or Hebrew, though many works originally in Hebrew are widely available in English translation), or the need for humanitarian assistance for many Palestinian children to access quality education, thus ensuring that Palestinian voices are less likely to travel beyond Palestine’s borders. Other reasons are less visible, such as the ‘repression of speech and scholarship on Palestine’ within academia, particularly in the United States, and the censorship of pro-Palestinian voices on </w:t>
      </w:r>
      <w:r w:rsidR="00F2581A" w:rsidRPr="0048465B">
        <w:rPr>
          <w:lang w:val="en-GB"/>
        </w:rPr>
        <w:t>social media</w:t>
      </w:r>
      <w:r w:rsidR="00FC331F" w:rsidRPr="0048465B">
        <w:rPr>
          <w:lang w:val="en-GB"/>
        </w:rPr>
        <w:t>, both of which contribute to the continued repression of Palestinian self-determination.</w:t>
      </w:r>
      <w:r w:rsidR="00D42ED7" w:rsidRPr="0048465B">
        <w:rPr>
          <w:vertAlign w:val="superscript"/>
          <w:lang w:val="en-GB"/>
        </w:rPr>
        <w:footnoteReference w:id="211"/>
      </w:r>
    </w:p>
    <w:p w14:paraId="735F6A45" w14:textId="528579A3" w:rsidR="00FC331F" w:rsidRDefault="00FC331F" w:rsidP="00FC331F">
      <w:pPr>
        <w:rPr>
          <w:lang w:val="en-GB"/>
        </w:rPr>
      </w:pPr>
    </w:p>
    <w:p w14:paraId="01090806" w14:textId="12DD334F" w:rsidR="001E70ED" w:rsidRDefault="001E70ED" w:rsidP="00FC331F">
      <w:pPr>
        <w:rPr>
          <w:lang w:val="en-GB"/>
        </w:rPr>
      </w:pPr>
      <w:r w:rsidRPr="001E70ED">
        <w:rPr>
          <w:lang w:val="en-GB"/>
        </w:rPr>
        <w:t xml:space="preserve">Yet enough texts exist in translation for there to be a clearly defined body of Palestinian works in the English language, a canon that marries first-hand understandings of the Palestinian experience, collective understandings of historical Palestinian suffering, and universal understandings of dispossession, anguish, and loss. It is beyond the remit of this thesis to attempt to construct such a collection, yet the texts within this chapter nonetheless </w:t>
      </w:r>
      <w:r>
        <w:rPr>
          <w:lang w:val="en-GB"/>
        </w:rPr>
        <w:t>function</w:t>
      </w:r>
      <w:r w:rsidRPr="001E70ED">
        <w:rPr>
          <w:lang w:val="en-GB"/>
        </w:rPr>
        <w:t xml:space="preserve"> as a contribution towards the growth of one, </w:t>
      </w:r>
      <w:r w:rsidR="00651265">
        <w:rPr>
          <w:lang w:val="en-GB"/>
        </w:rPr>
        <w:t>thus placing</w:t>
      </w:r>
      <w:r w:rsidRPr="001E70ED">
        <w:rPr>
          <w:lang w:val="en-GB"/>
        </w:rPr>
        <w:t xml:space="preserve"> greater importance upon the </w:t>
      </w:r>
      <w:r>
        <w:rPr>
          <w:lang w:val="en-GB"/>
        </w:rPr>
        <w:t>origins</w:t>
      </w:r>
      <w:r w:rsidRPr="001E70ED">
        <w:rPr>
          <w:lang w:val="en-GB"/>
        </w:rPr>
        <w:t xml:space="preserve"> of the representations offered within this chapter. If these texts are to be thought of as contributing to a broader understanding </w:t>
      </w:r>
      <w:r w:rsidRPr="001E70ED">
        <w:rPr>
          <w:lang w:val="en-GB"/>
        </w:rPr>
        <w:lastRenderedPageBreak/>
        <w:t>of what it is to be Palestinian, an understanding that is woefully absent in academic, public, and political spheres, then the legitimacy of these representations is of paramount importance.</w:t>
      </w:r>
    </w:p>
    <w:p w14:paraId="5341B298" w14:textId="77777777" w:rsidR="008736DA" w:rsidRPr="0048465B" w:rsidRDefault="008736DA" w:rsidP="00FC331F">
      <w:pPr>
        <w:rPr>
          <w:lang w:val="en-GB"/>
        </w:rPr>
      </w:pPr>
    </w:p>
    <w:p w14:paraId="2E7CC065" w14:textId="2F649657" w:rsidR="00FC331F" w:rsidRPr="0048465B" w:rsidRDefault="00FC331F" w:rsidP="00FC331F">
      <w:pPr>
        <w:rPr>
          <w:lang w:val="en-GB"/>
        </w:rPr>
      </w:pPr>
      <w:r w:rsidRPr="0048465B">
        <w:rPr>
          <w:lang w:val="en-GB"/>
        </w:rPr>
        <w:t xml:space="preserve">The late Edward W. Said, one of the most prominent Palestinian literary and political theorists, explores each of these hindrances to the Palestinian voice in detail. His work </w:t>
      </w:r>
      <w:r w:rsidRPr="0048465B">
        <w:rPr>
          <w:i/>
          <w:lang w:val="en-GB"/>
        </w:rPr>
        <w:t>The Question of Palestine</w:t>
      </w:r>
      <w:r w:rsidRPr="0048465B">
        <w:rPr>
          <w:lang w:val="en-GB"/>
        </w:rPr>
        <w:t xml:space="preserve"> </w:t>
      </w:r>
      <w:r w:rsidR="00D4262D">
        <w:rPr>
          <w:lang w:val="en-GB"/>
        </w:rPr>
        <w:t>acts</w:t>
      </w:r>
      <w:r w:rsidR="008F554C">
        <w:rPr>
          <w:lang w:val="en-GB"/>
        </w:rPr>
        <w:t>, within this chapter,</w:t>
      </w:r>
      <w:r w:rsidR="00D4262D">
        <w:rPr>
          <w:lang w:val="en-GB"/>
        </w:rPr>
        <w:t xml:space="preserve"> as a means of cultivating</w:t>
      </w:r>
      <w:r w:rsidRPr="0048465B">
        <w:rPr>
          <w:lang w:val="en-GB"/>
        </w:rPr>
        <w:t xml:space="preserve"> analysis of Palestinian texts, and as a Palestinian text within its own right. Said asserts throughout his study that no event has ever been subject to the same particular political and historical nuances that complicate the Israeli-Palestinian conflict. More so than the majority of texts explored in this chapter, Said is focused and deliberate in his explications of the connections between the Holocaust and contemporary Palestinian oppression, but manages to do so whilst refusing to allow the experiences of one group to, in any way, justify the other.</w:t>
      </w:r>
    </w:p>
    <w:p w14:paraId="02EDA8C1" w14:textId="77777777" w:rsidR="00FC331F" w:rsidRPr="0048465B" w:rsidRDefault="00FC331F" w:rsidP="00FC331F">
      <w:pPr>
        <w:rPr>
          <w:lang w:val="en-GB"/>
        </w:rPr>
      </w:pPr>
    </w:p>
    <w:p w14:paraId="726FA138" w14:textId="2892FCA5" w:rsidR="00FC331F" w:rsidRPr="0048465B" w:rsidRDefault="00FC331F" w:rsidP="00FC331F">
      <w:pPr>
        <w:rPr>
          <w:lang w:val="en-GB"/>
        </w:rPr>
      </w:pPr>
      <w:r w:rsidRPr="0048465B">
        <w:rPr>
          <w:lang w:val="en-GB"/>
        </w:rPr>
        <w:t>Said’s work focuses primarily on Palestinian pain as felt and presented by Palestinians. Yet whilst he ‘“cannot accept the idea that the Holocaust excuses Zionism for what it has done to Palestinians”’,</w:t>
      </w:r>
      <w:r w:rsidRPr="0048465B">
        <w:rPr>
          <w:vertAlign w:val="superscript"/>
          <w:lang w:val="en-GB"/>
        </w:rPr>
        <w:footnoteReference w:id="212"/>
      </w:r>
      <w:r w:rsidRPr="0048465B">
        <w:rPr>
          <w:lang w:val="en-GB"/>
        </w:rPr>
        <w:t xml:space="preserve"> he nonetheless understands that focusing solely on Palestinian dispossession ‘corresponds only to what has happened to [Palestinians] as victims’, and that such a singular focus </w:t>
      </w:r>
      <w:r w:rsidR="00D42ED7">
        <w:rPr>
          <w:lang w:val="en-GB"/>
        </w:rPr>
        <w:t>does not</w:t>
      </w:r>
      <w:r w:rsidRPr="0048465B">
        <w:rPr>
          <w:lang w:val="en-GB"/>
        </w:rPr>
        <w:t xml:space="preserve"> take sufficient note of ‘the real horrors of European anti-Semitism’.</w:t>
      </w:r>
      <w:r w:rsidRPr="0048465B">
        <w:rPr>
          <w:vertAlign w:val="superscript"/>
          <w:lang w:val="en-GB"/>
        </w:rPr>
        <w:footnoteReference w:id="213"/>
      </w:r>
      <w:r w:rsidRPr="0048465B">
        <w:rPr>
          <w:lang w:val="en-GB"/>
        </w:rPr>
        <w:t xml:space="preserve"> An understanding of this central duality, of the twin legitimacies of both Israeli</w:t>
      </w:r>
      <w:r w:rsidR="00B45635">
        <w:rPr>
          <w:lang w:val="en-GB"/>
        </w:rPr>
        <w:t xml:space="preserve"> </w:t>
      </w:r>
      <w:r w:rsidRPr="0048465B">
        <w:rPr>
          <w:lang w:val="en-GB"/>
        </w:rPr>
        <w:t>Jewish and Palestinian fear, pain, and victimhood, is a prerequisite to an unbiased analysis of the conflict.</w:t>
      </w:r>
      <w:r w:rsidR="00D42ED7">
        <w:rPr>
          <w:lang w:val="en-GB"/>
        </w:rPr>
        <w:t xml:space="preserve"> </w:t>
      </w:r>
      <w:r w:rsidRPr="0048465B">
        <w:rPr>
          <w:lang w:val="en-GB"/>
        </w:rPr>
        <w:t xml:space="preserve">Conversations surrounding Israel and Palestine are infused with a rich and painful history that has become so universally </w:t>
      </w:r>
      <w:r w:rsidRPr="0048465B">
        <w:rPr>
          <w:lang w:val="en-GB"/>
        </w:rPr>
        <w:lastRenderedPageBreak/>
        <w:t>evocative that it can, at times, be difficult to make even the simplest of statements without provoking the emergence of complications rooted in these complex histories. It would be foolish to suggest that this should be remedied entirely, as it is as much the enduring emotional resonance of the Holocaust and Nakba that this thesis explores as it is the historical facts.</w:t>
      </w:r>
      <w:r w:rsidR="00D42ED7">
        <w:rPr>
          <w:lang w:val="en-GB"/>
        </w:rPr>
        <w:t xml:space="preserve"> It is the reductive consequences of the connections between these two histories that this thesis seeks to challenge, not their connection in its entirety.</w:t>
      </w:r>
      <w:r w:rsidRPr="0048465B">
        <w:rPr>
          <w:lang w:val="en-GB"/>
        </w:rPr>
        <w:t xml:space="preserve"> With that in mind, it would serve both this chapter and its readers well to keep in mind at all times Said’s words, to understand that the victimhood of Palestinians today does not detract from or take away the historical victimhood of Jews, and that the victimhood of Jews in the past in no way legitimises the pain or oppression of Palestinians today.</w:t>
      </w:r>
    </w:p>
    <w:p w14:paraId="3F88C886" w14:textId="77777777" w:rsidR="00FC331F" w:rsidRPr="0048465B" w:rsidRDefault="00FC331F" w:rsidP="00FC331F">
      <w:pPr>
        <w:rPr>
          <w:lang w:val="en-GB"/>
        </w:rPr>
      </w:pPr>
    </w:p>
    <w:p w14:paraId="7D818BBA" w14:textId="5FB55F12" w:rsidR="00FC331F" w:rsidRPr="0048465B" w:rsidRDefault="00FC331F" w:rsidP="00FC331F">
      <w:pPr>
        <w:rPr>
          <w:lang w:val="en-GB"/>
        </w:rPr>
      </w:pPr>
      <w:r w:rsidRPr="0048465B">
        <w:rPr>
          <w:lang w:val="en-GB"/>
        </w:rPr>
        <w:t xml:space="preserve">This understanding, or more accurately, the tangible absence of such an understanding, is one of the reasons behind the notable deficiency of Palestinian voices regarding their own oppression. A clear and simple example of this is offered by Sabri Jiryis, in an article in </w:t>
      </w:r>
      <w:r w:rsidRPr="0048465B">
        <w:rPr>
          <w:i/>
          <w:lang w:val="en-GB"/>
        </w:rPr>
        <w:t>Haaretz</w:t>
      </w:r>
      <w:r w:rsidRPr="0048465B">
        <w:rPr>
          <w:lang w:val="en-GB"/>
        </w:rPr>
        <w:t>, where he writes that history in the Israeli education system ‘“is geared to celebrating the history of the Jews and presenting it in the best possible light, whereas the view of Arab history is warped to a point bordering on falsehood”’.</w:t>
      </w:r>
      <w:r w:rsidRPr="0048465B">
        <w:rPr>
          <w:vertAlign w:val="superscript"/>
          <w:lang w:val="en-GB"/>
        </w:rPr>
        <w:footnoteReference w:id="214"/>
      </w:r>
      <w:r w:rsidRPr="0048465B">
        <w:rPr>
          <w:lang w:val="en-GB"/>
        </w:rPr>
        <w:t xml:space="preserve"> This particular example of the </w:t>
      </w:r>
      <w:r w:rsidR="00FA3397">
        <w:rPr>
          <w:lang w:val="en-GB"/>
        </w:rPr>
        <w:t>distortion</w:t>
      </w:r>
      <w:r w:rsidR="00FA3397" w:rsidRPr="0048465B">
        <w:rPr>
          <w:lang w:val="en-GB"/>
        </w:rPr>
        <w:t xml:space="preserve"> </w:t>
      </w:r>
      <w:r w:rsidRPr="0048465B">
        <w:rPr>
          <w:lang w:val="en-GB"/>
        </w:rPr>
        <w:t xml:space="preserve">of Arab history and identity was observed in 1971, but when paired with the classification of contemporary Israeli history and geography textbooks as ‘“propagators of collective popular memory more than the product of historical or geographical inquiry”’, we see that this problem is not one isolated to the past, but one component of the still present and </w:t>
      </w:r>
      <w:r w:rsidR="00D42ED7">
        <w:rPr>
          <w:lang w:val="en-GB"/>
        </w:rPr>
        <w:t>pervasive</w:t>
      </w:r>
      <w:r w:rsidRPr="0048465B">
        <w:rPr>
          <w:lang w:val="en-GB"/>
        </w:rPr>
        <w:t xml:space="preserve"> erasure of the Palestinian experience.</w:t>
      </w:r>
      <w:r w:rsidR="00D42ED7" w:rsidRPr="0048465B">
        <w:rPr>
          <w:vertAlign w:val="superscript"/>
          <w:lang w:val="en-GB"/>
        </w:rPr>
        <w:footnoteReference w:id="215"/>
      </w:r>
    </w:p>
    <w:p w14:paraId="6DDA509C" w14:textId="77777777" w:rsidR="00FC331F" w:rsidRPr="0048465B" w:rsidRDefault="00FC331F" w:rsidP="00FC331F">
      <w:pPr>
        <w:rPr>
          <w:lang w:val="en-GB"/>
        </w:rPr>
      </w:pPr>
    </w:p>
    <w:p w14:paraId="6B535C31" w14:textId="4C0D1047" w:rsidR="00FC331F" w:rsidRPr="0048465B" w:rsidRDefault="00FC331F" w:rsidP="00FC331F">
      <w:pPr>
        <w:rPr>
          <w:lang w:val="en-GB"/>
        </w:rPr>
      </w:pPr>
      <w:r w:rsidRPr="0048465B">
        <w:rPr>
          <w:lang w:val="en-GB"/>
        </w:rPr>
        <w:t>This dispossession of Palestinians, starting through the negation of their very existence (</w:t>
      </w:r>
      <w:r w:rsidR="003C27CA">
        <w:rPr>
          <w:lang w:val="en-GB"/>
        </w:rPr>
        <w:t>prominent cultural Zionist Israel Zangwill said, in 1901, ‘Palestine is a country without a people; the Jews are a people without a country)</w:t>
      </w:r>
      <w:r w:rsidR="003C27CA">
        <w:rPr>
          <w:rStyle w:val="FootnoteReference"/>
          <w:lang w:val="en-GB"/>
        </w:rPr>
        <w:footnoteReference w:id="216"/>
      </w:r>
      <w:r w:rsidRPr="0048465B">
        <w:rPr>
          <w:lang w:val="en-GB"/>
        </w:rPr>
        <w:t xml:space="preserve"> has meant that Palestinian resistance to Israeli domination has ‘often been limited to denying their nonentity’.</w:t>
      </w:r>
      <w:r w:rsidRPr="0048465B">
        <w:rPr>
          <w:vertAlign w:val="superscript"/>
          <w:lang w:val="en-GB"/>
        </w:rPr>
        <w:footnoteReference w:id="217"/>
      </w:r>
      <w:r w:rsidRPr="0048465B">
        <w:rPr>
          <w:lang w:val="en-GB"/>
        </w:rPr>
        <w:t xml:space="preserve"> Whilst Said believes that ‘most Palestinians realize that their Other, the Israeli-Jewish people, is a concrete political reality with which they must live in the future’,</w:t>
      </w:r>
      <w:r w:rsidRPr="0048465B">
        <w:rPr>
          <w:vertAlign w:val="superscript"/>
          <w:lang w:val="en-GB"/>
        </w:rPr>
        <w:footnoteReference w:id="218"/>
      </w:r>
      <w:r w:rsidRPr="0048465B">
        <w:rPr>
          <w:lang w:val="en-GB"/>
        </w:rPr>
        <w:t xml:space="preserve"> Palestinians, in contrast, have found their very existence denied over the past seventy years, having to appeal against statements such as that offered by Israeli Prime Minister Golda Meir in 1969 that there was ‘no such thing as Palestinians’,</w:t>
      </w:r>
      <w:r w:rsidRPr="0048465B">
        <w:rPr>
          <w:vertAlign w:val="superscript"/>
          <w:lang w:val="en-GB"/>
        </w:rPr>
        <w:footnoteReference w:id="219"/>
      </w:r>
      <w:r w:rsidRPr="0048465B">
        <w:rPr>
          <w:lang w:val="en-GB"/>
        </w:rPr>
        <w:t xml:space="preserve"> as well as those that promise yet further settlement and erasure, as made by </w:t>
      </w:r>
      <w:r w:rsidR="009214E1">
        <w:rPr>
          <w:lang w:val="en-GB"/>
        </w:rPr>
        <w:t xml:space="preserve">Israel’s </w:t>
      </w:r>
      <w:r w:rsidRPr="0048465B">
        <w:rPr>
          <w:lang w:val="en-GB"/>
        </w:rPr>
        <w:t>long</w:t>
      </w:r>
      <w:r w:rsidR="009214E1">
        <w:rPr>
          <w:lang w:val="en-GB"/>
        </w:rPr>
        <w:t>est</w:t>
      </w:r>
      <w:r w:rsidRPr="0048465B">
        <w:rPr>
          <w:lang w:val="en-GB"/>
        </w:rPr>
        <w:t>-serving Prime Minister Benjamin Netanyahu.</w:t>
      </w:r>
      <w:r w:rsidRPr="0048465B">
        <w:rPr>
          <w:vertAlign w:val="superscript"/>
          <w:lang w:val="en-GB"/>
        </w:rPr>
        <w:footnoteReference w:id="220"/>
      </w:r>
      <w:r w:rsidRPr="0048465B">
        <w:rPr>
          <w:lang w:val="en-GB"/>
        </w:rPr>
        <w:t xml:space="preserve"> Whilst the balance of power in the Middle East suggests that the future existence of an Israeli state in some shape or form is a firm reality, the very existence of Palestinians has been attacked, condemned to fiction, completely denied on occasion, ignored consistently, and seldom simply accepted.</w:t>
      </w:r>
    </w:p>
    <w:p w14:paraId="7804B6D0" w14:textId="77777777" w:rsidR="00FC331F" w:rsidRPr="0048465B" w:rsidRDefault="00FC331F" w:rsidP="00FC331F">
      <w:pPr>
        <w:rPr>
          <w:lang w:val="en-GB"/>
        </w:rPr>
      </w:pPr>
    </w:p>
    <w:p w14:paraId="4F9110DC" w14:textId="66F912ED" w:rsidR="007C5101" w:rsidRDefault="00FC331F" w:rsidP="00FC331F">
      <w:pPr>
        <w:rPr>
          <w:lang w:val="en-GB"/>
        </w:rPr>
      </w:pPr>
      <w:r w:rsidRPr="0048465B">
        <w:rPr>
          <w:lang w:val="en-GB"/>
        </w:rPr>
        <w:t>Yet even when Palestinian existence is acknowledged, it is rarely the Palestinian</w:t>
      </w:r>
      <w:r w:rsidR="00BA778A">
        <w:rPr>
          <w:lang w:val="en-GB"/>
        </w:rPr>
        <w:t>s</w:t>
      </w:r>
      <w:r w:rsidRPr="0048465B">
        <w:rPr>
          <w:lang w:val="en-GB"/>
        </w:rPr>
        <w:t xml:space="preserve"> themsel</w:t>
      </w:r>
      <w:r w:rsidR="00BA778A">
        <w:rPr>
          <w:lang w:val="en-GB"/>
        </w:rPr>
        <w:t>ves</w:t>
      </w:r>
      <w:r w:rsidRPr="0048465B">
        <w:rPr>
          <w:lang w:val="en-GB"/>
        </w:rPr>
        <w:t xml:space="preserve"> who give shape to or define this existence. Said writes that ‘if during the nineteenth century the expert </w:t>
      </w:r>
      <w:r w:rsidRPr="0048465B">
        <w:rPr>
          <w:lang w:val="en-GB"/>
        </w:rPr>
        <w:lastRenderedPageBreak/>
        <w:t>scholar-Orientalist was looked to for knowledge about the Orient, the situation has changed drastically in the twentieth century. For now a Westerner turns for his evidence of and knowledge about the Orient (and Orientals) to the Zionist’.</w:t>
      </w:r>
      <w:r w:rsidRPr="0048465B">
        <w:rPr>
          <w:vertAlign w:val="superscript"/>
          <w:lang w:val="en-GB"/>
        </w:rPr>
        <w:footnoteReference w:id="221"/>
      </w:r>
      <w:r w:rsidRPr="0048465B">
        <w:rPr>
          <w:lang w:val="en-GB"/>
        </w:rPr>
        <w:t xml:space="preserve"> This historical deferral to Israel for our understanding of the Orient, in addition to encouraging colonial practice through depending upon a</w:t>
      </w:r>
      <w:r w:rsidR="00162C9B">
        <w:rPr>
          <w:lang w:val="en-GB"/>
        </w:rPr>
        <w:t xml:space="preserve"> largely white</w:t>
      </w:r>
      <w:r w:rsidR="00162C9B" w:rsidRPr="0048465B">
        <w:rPr>
          <w:vertAlign w:val="superscript"/>
          <w:lang w:val="en-GB"/>
        </w:rPr>
        <w:footnoteReference w:id="222"/>
      </w:r>
      <w:r w:rsidR="00162C9B">
        <w:rPr>
          <w:lang w:val="en-GB"/>
        </w:rPr>
        <w:t xml:space="preserve"> exogenous</w:t>
      </w:r>
      <w:r w:rsidRPr="0048465B">
        <w:rPr>
          <w:lang w:val="en-GB"/>
        </w:rPr>
        <w:t xml:space="preserve"> </w:t>
      </w:r>
      <w:r w:rsidR="00162C9B">
        <w:rPr>
          <w:lang w:val="en-GB"/>
        </w:rPr>
        <w:t>European-Ashkenazi community</w:t>
      </w:r>
      <w:r w:rsidRPr="0048465B">
        <w:rPr>
          <w:lang w:val="en-GB"/>
        </w:rPr>
        <w:t xml:space="preserve"> for representations of the surrounding non-whiteness, </w:t>
      </w:r>
      <w:r w:rsidR="00910BCE">
        <w:rPr>
          <w:lang w:val="en-GB"/>
        </w:rPr>
        <w:t>also</w:t>
      </w:r>
      <w:r w:rsidRPr="0048465B">
        <w:rPr>
          <w:lang w:val="en-GB"/>
        </w:rPr>
        <w:t xml:space="preserve"> cultivated the position of ‘Arab expert[] </w:t>
      </w:r>
      <w:r w:rsidR="0029114E">
        <w:rPr>
          <w:lang w:val="en-GB"/>
        </w:rPr>
        <w:t>-</w:t>
      </w:r>
      <w:r w:rsidRPr="0048465B">
        <w:rPr>
          <w:lang w:val="en-GB"/>
        </w:rPr>
        <w:t xml:space="preserve"> Israeli Jews who understand the Arab “mentality”’,</w:t>
      </w:r>
      <w:r w:rsidRPr="0048465B">
        <w:rPr>
          <w:vertAlign w:val="superscript"/>
          <w:lang w:val="en-GB"/>
        </w:rPr>
        <w:footnoteReference w:id="223"/>
      </w:r>
      <w:r w:rsidRPr="0048465B">
        <w:rPr>
          <w:lang w:val="en-GB"/>
        </w:rPr>
        <w:t xml:space="preserve"> as if this is something that can be reduced to a unifying set of characteristics. </w:t>
      </w:r>
      <w:r w:rsidR="007C5101">
        <w:rPr>
          <w:lang w:val="en-GB"/>
        </w:rPr>
        <w:t>This is the background against which the Palestinian search for self-determination en</w:t>
      </w:r>
      <w:r w:rsidR="003B63D8">
        <w:rPr>
          <w:lang w:val="en-GB"/>
        </w:rPr>
        <w:t>d</w:t>
      </w:r>
      <w:r w:rsidR="007C5101">
        <w:rPr>
          <w:lang w:val="en-GB"/>
        </w:rPr>
        <w:t xml:space="preserve">ures. Whilst the position of ‘Arab expert’ is certainly </w:t>
      </w:r>
      <w:r w:rsidR="00910BCE">
        <w:rPr>
          <w:lang w:val="en-GB"/>
        </w:rPr>
        <w:t>more contested</w:t>
      </w:r>
      <w:r w:rsidR="007C5101">
        <w:rPr>
          <w:lang w:val="en-GB"/>
        </w:rPr>
        <w:t xml:space="preserve"> today</w:t>
      </w:r>
      <w:r w:rsidR="00910BCE">
        <w:rPr>
          <w:lang w:val="en-GB"/>
        </w:rPr>
        <w:t xml:space="preserve"> than it was in the past</w:t>
      </w:r>
      <w:r w:rsidR="007C5101">
        <w:rPr>
          <w:lang w:val="en-GB"/>
        </w:rPr>
        <w:t xml:space="preserve">, historical reliance upon </w:t>
      </w:r>
      <w:r w:rsidRPr="0048465B">
        <w:rPr>
          <w:lang w:val="en-GB"/>
        </w:rPr>
        <w:t>Israeli authors</w:t>
      </w:r>
      <w:r w:rsidR="007C5101">
        <w:rPr>
          <w:lang w:val="en-GB"/>
        </w:rPr>
        <w:t xml:space="preserve"> in order to shape our</w:t>
      </w:r>
      <w:r w:rsidRPr="0048465B">
        <w:rPr>
          <w:lang w:val="en-GB"/>
        </w:rPr>
        <w:t xml:space="preserve"> understanding</w:t>
      </w:r>
      <w:r w:rsidR="007C5101">
        <w:rPr>
          <w:lang w:val="en-GB"/>
        </w:rPr>
        <w:t xml:space="preserve"> of</w:t>
      </w:r>
      <w:r w:rsidRPr="0048465B">
        <w:rPr>
          <w:lang w:val="en-GB"/>
        </w:rPr>
        <w:t xml:space="preserve"> Palestinians</w:t>
      </w:r>
      <w:r w:rsidR="007C5101">
        <w:rPr>
          <w:lang w:val="en-GB"/>
        </w:rPr>
        <w:t xml:space="preserve"> nonetheless ensures that even contemporary frames of reference are shaped </w:t>
      </w:r>
      <w:r w:rsidR="00162C9B">
        <w:rPr>
          <w:lang w:val="en-GB"/>
        </w:rPr>
        <w:t>–</w:t>
      </w:r>
      <w:r w:rsidR="007C5101">
        <w:rPr>
          <w:lang w:val="en-GB"/>
        </w:rPr>
        <w:t xml:space="preserve"> if not directly by these authors – by the </w:t>
      </w:r>
      <w:r w:rsidRPr="0048465B">
        <w:rPr>
          <w:lang w:val="en-GB"/>
        </w:rPr>
        <w:t>notions</w:t>
      </w:r>
      <w:r w:rsidR="007C5101">
        <w:rPr>
          <w:lang w:val="en-GB"/>
        </w:rPr>
        <w:t xml:space="preserve"> that arose from these works</w:t>
      </w:r>
      <w:r w:rsidRPr="0048465B">
        <w:rPr>
          <w:lang w:val="en-GB"/>
        </w:rPr>
        <w:t>.</w:t>
      </w:r>
    </w:p>
    <w:p w14:paraId="4A0901D2" w14:textId="77777777" w:rsidR="007C5101" w:rsidRDefault="007C5101" w:rsidP="00FC331F">
      <w:pPr>
        <w:rPr>
          <w:lang w:val="en-GB"/>
        </w:rPr>
      </w:pPr>
    </w:p>
    <w:p w14:paraId="67E642DF" w14:textId="43F65AB9" w:rsidR="00FC331F" w:rsidRPr="0048465B" w:rsidRDefault="00FC331F" w:rsidP="00FC331F">
      <w:pPr>
        <w:rPr>
          <w:lang w:val="en-GB"/>
        </w:rPr>
      </w:pPr>
      <w:r w:rsidRPr="0048465B">
        <w:rPr>
          <w:lang w:val="en-GB"/>
        </w:rPr>
        <w:t xml:space="preserve">When an individual looks towards the Middle East and searches for understanding, Said states that ‘Israel is the norm, Israelis are the presence, their ideas and institutions the authentically native ones; Arabs are a nuisance, Palestinians a </w:t>
      </w:r>
      <w:proofErr w:type="spellStart"/>
      <w:r w:rsidRPr="0048465B">
        <w:rPr>
          <w:lang w:val="en-GB"/>
        </w:rPr>
        <w:t>quasi mythical</w:t>
      </w:r>
      <w:proofErr w:type="spellEnd"/>
      <w:r w:rsidRPr="0048465B">
        <w:rPr>
          <w:lang w:val="en-GB"/>
        </w:rPr>
        <w:t xml:space="preserve"> reality’.</w:t>
      </w:r>
      <w:r w:rsidRPr="0048465B">
        <w:rPr>
          <w:vertAlign w:val="superscript"/>
          <w:lang w:val="en-GB"/>
        </w:rPr>
        <w:footnoteReference w:id="224"/>
      </w:r>
      <w:r w:rsidRPr="0048465B">
        <w:rPr>
          <w:lang w:val="en-GB"/>
        </w:rPr>
        <w:t xml:space="preserve"> </w:t>
      </w:r>
      <w:r w:rsidR="007C5101">
        <w:rPr>
          <w:lang w:val="en-GB"/>
        </w:rPr>
        <w:t xml:space="preserve">Whilst Said last </w:t>
      </w:r>
      <w:r w:rsidR="001C75E7">
        <w:rPr>
          <w:lang w:val="en-GB"/>
        </w:rPr>
        <w:t>revised</w:t>
      </w:r>
      <w:r w:rsidR="007C5101">
        <w:rPr>
          <w:lang w:val="en-GB"/>
        </w:rPr>
        <w:t xml:space="preserve"> these words almost thirty years ago, </w:t>
      </w:r>
      <w:r w:rsidR="00F6600F">
        <w:rPr>
          <w:lang w:val="en-GB"/>
        </w:rPr>
        <w:t xml:space="preserve">recent normalisation deals between Israel and many of its Arab neighbours and the consequent weakening of Arab unity surrounding the Palestinian cause – </w:t>
      </w:r>
      <w:r w:rsidR="00F6600F">
        <w:rPr>
          <w:lang w:val="en-GB"/>
        </w:rPr>
        <w:lastRenderedPageBreak/>
        <w:t>explored in more depth in Chapter Four – suggest that Israeli presence on occupied Palestinian lands is even more accepted today than it was in the 1990s</w:t>
      </w:r>
      <w:r w:rsidR="001C75E7">
        <w:rPr>
          <w:lang w:val="en-GB"/>
        </w:rPr>
        <w:t xml:space="preserve">. </w:t>
      </w:r>
      <w:r w:rsidR="00F6600F">
        <w:rPr>
          <w:lang w:val="en-GB"/>
        </w:rPr>
        <w:t>Looking beyond the Middle East specifically, t</w:t>
      </w:r>
      <w:r w:rsidR="00F6600F" w:rsidRPr="0048465B">
        <w:rPr>
          <w:lang w:val="en-GB"/>
        </w:rPr>
        <w:t xml:space="preserve">he </w:t>
      </w:r>
      <w:r w:rsidRPr="0048465B">
        <w:rPr>
          <w:lang w:val="en-GB"/>
        </w:rPr>
        <w:t xml:space="preserve">Occidental familiarity and perceived cultural superiority that unites the U.S. the U.K. and Israel, the guilt </w:t>
      </w:r>
      <w:r w:rsidR="00162C9B">
        <w:rPr>
          <w:lang w:val="en-GB"/>
        </w:rPr>
        <w:t>–</w:t>
      </w:r>
      <w:r w:rsidRPr="0048465B">
        <w:rPr>
          <w:lang w:val="en-GB"/>
        </w:rPr>
        <w:t xml:space="preserve"> or ‘responsibility’</w:t>
      </w:r>
      <w:r w:rsidRPr="0048465B">
        <w:rPr>
          <w:vertAlign w:val="superscript"/>
          <w:lang w:val="en-GB"/>
        </w:rPr>
        <w:footnoteReference w:id="225"/>
      </w:r>
      <w:r w:rsidRPr="0048465B">
        <w:rPr>
          <w:lang w:val="en-GB"/>
        </w:rPr>
        <w:t xml:space="preserve"> </w:t>
      </w:r>
      <w:r w:rsidR="00162C9B">
        <w:rPr>
          <w:lang w:val="en-GB"/>
        </w:rPr>
        <w:t>–</w:t>
      </w:r>
      <w:r w:rsidRPr="0048465B">
        <w:rPr>
          <w:lang w:val="en-GB"/>
        </w:rPr>
        <w:t xml:space="preserve"> that Europe and </w:t>
      </w:r>
      <w:r w:rsidR="0023678C">
        <w:rPr>
          <w:lang w:val="en-GB"/>
        </w:rPr>
        <w:t>Western nations</w:t>
      </w:r>
      <w:r w:rsidRPr="0048465B">
        <w:rPr>
          <w:lang w:val="en-GB"/>
        </w:rPr>
        <w:t xml:space="preserve"> feel due to both their failure to stop the Nazi genocide of Jews and their reluctance to take in </w:t>
      </w:r>
      <w:r w:rsidR="00D178E0">
        <w:rPr>
          <w:lang w:val="en-GB"/>
        </w:rPr>
        <w:t xml:space="preserve">wartime and </w:t>
      </w:r>
      <w:r w:rsidRPr="0048465B">
        <w:rPr>
          <w:lang w:val="en-GB"/>
        </w:rPr>
        <w:t>post-war Jewish refugees, and the fact that Palestine’s ‘world-historical appearances’ have primarily taken the shape of ‘refusals and rejections’ ha</w:t>
      </w:r>
      <w:r w:rsidR="00162C9B">
        <w:rPr>
          <w:lang w:val="en-GB"/>
        </w:rPr>
        <w:t>ve</w:t>
      </w:r>
      <w:r w:rsidRPr="0048465B">
        <w:rPr>
          <w:lang w:val="en-GB"/>
        </w:rPr>
        <w:t xml:space="preserve"> shaped global understandings of Palestine and its people. Palestinians have, in Said’s words,</w:t>
      </w:r>
      <w:r w:rsidR="001C75E7">
        <w:rPr>
          <w:lang w:val="en-GB"/>
        </w:rPr>
        <w:t xml:space="preserve"> and especially in North America,</w:t>
      </w:r>
      <w:r w:rsidRPr="0048465B">
        <w:rPr>
          <w:lang w:val="en-GB"/>
        </w:rPr>
        <w:t xml:space="preserve"> become more affiliated with ‘opposition to Zionism, with being the “heart” of the Middle East problem, with being terrorists, with being intransigent’, than they have with being largely powerless refugees, victims of colonialism forced out of their own land and homes, and driven to desperation by unreliable or non-existent access to the most basic of human rights.</w:t>
      </w:r>
    </w:p>
    <w:p w14:paraId="07A041DA" w14:textId="77777777" w:rsidR="00FC331F" w:rsidRPr="0048465B" w:rsidRDefault="00FC331F" w:rsidP="00FC331F">
      <w:pPr>
        <w:rPr>
          <w:lang w:val="en-GB"/>
        </w:rPr>
      </w:pPr>
    </w:p>
    <w:p w14:paraId="2A0AFDB2" w14:textId="45341FB7" w:rsidR="00FC331F" w:rsidRPr="0048465B" w:rsidRDefault="00FC331F" w:rsidP="00FC331F">
      <w:pPr>
        <w:rPr>
          <w:lang w:val="en-GB"/>
        </w:rPr>
      </w:pPr>
      <w:r w:rsidRPr="0048465B">
        <w:rPr>
          <w:lang w:val="en-GB"/>
        </w:rPr>
        <w:t>Whilst there is hope that Said’s professed ‘impossibility of finding a space in which to speak for the Palestinians’</w:t>
      </w:r>
      <w:r w:rsidRPr="0048465B">
        <w:rPr>
          <w:vertAlign w:val="superscript"/>
          <w:lang w:val="en-GB"/>
        </w:rPr>
        <w:footnoteReference w:id="226"/>
      </w:r>
      <w:r w:rsidRPr="0048465B">
        <w:rPr>
          <w:lang w:val="en-GB"/>
        </w:rPr>
        <w:t xml:space="preserve"> is changing, with debate </w:t>
      </w:r>
      <w:r w:rsidR="001C75E7">
        <w:rPr>
          <w:lang w:val="en-GB"/>
        </w:rPr>
        <w:t>now increasingly</w:t>
      </w:r>
      <w:r w:rsidRPr="0048465B">
        <w:rPr>
          <w:lang w:val="en-GB"/>
        </w:rPr>
        <w:t xml:space="preserve"> possible in certain circumstances, the Palestinian voice nonetheless remains</w:t>
      </w:r>
      <w:r w:rsidR="00910BCE">
        <w:rPr>
          <w:lang w:val="en-GB"/>
        </w:rPr>
        <w:t xml:space="preserve"> barely audible,</w:t>
      </w:r>
      <w:r w:rsidRPr="0048465B">
        <w:rPr>
          <w:lang w:val="en-GB"/>
        </w:rPr>
        <w:t xml:space="preserve"> especially when attempting to find a space that allows Palestinians to speak (or to be spoken about) that does not, in some way, connect the plight of the Palestinians back to the Holocaust. Moreover, assuming such a place is found where Palestinians can speak or be spoken for in some way, its ‘rarity and isolation </w:t>
      </w:r>
      <w:r w:rsidR="0022211B">
        <w:rPr>
          <w:lang w:val="en-GB"/>
        </w:rPr>
        <w:t>–</w:t>
      </w:r>
      <w:r w:rsidRPr="0048465B">
        <w:rPr>
          <w:lang w:val="en-GB"/>
        </w:rPr>
        <w:t xml:space="preserve"> which come[] from the absence of a context or tradition to set it in </w:t>
      </w:r>
      <w:r w:rsidR="0022211B">
        <w:rPr>
          <w:lang w:val="en-GB"/>
        </w:rPr>
        <w:t>–</w:t>
      </w:r>
      <w:r w:rsidRPr="0048465B">
        <w:rPr>
          <w:lang w:val="en-GB"/>
        </w:rPr>
        <w:t xml:space="preserve"> drain it of any effectiveness’. Said argued in 1992, that when placed in contrast to the immensity of ‘discourse such as [that which] exists between Israel and liberal opinion’, the enormity of this ‘institutional presence dispels any evidence to the </w:t>
      </w:r>
      <w:r w:rsidRPr="0048465B">
        <w:rPr>
          <w:lang w:val="en-GB"/>
        </w:rPr>
        <w:lastRenderedPageBreak/>
        <w:t>contrary, flicks it away as irrelevant’.</w:t>
      </w:r>
      <w:r w:rsidRPr="0048465B">
        <w:rPr>
          <w:vertAlign w:val="superscript"/>
          <w:lang w:val="en-GB"/>
        </w:rPr>
        <w:footnoteReference w:id="227"/>
      </w:r>
      <w:r w:rsidRPr="0048465B">
        <w:rPr>
          <w:lang w:val="en-GB"/>
        </w:rPr>
        <w:t xml:space="preserve"> Whilst th</w:t>
      </w:r>
      <w:r w:rsidR="00910BCE">
        <w:rPr>
          <w:lang w:val="en-GB"/>
        </w:rPr>
        <w:t>is same</w:t>
      </w:r>
      <w:r w:rsidRPr="0048465B">
        <w:rPr>
          <w:lang w:val="en-GB"/>
        </w:rPr>
        <w:t xml:space="preserve"> alignment of Israel with liberal opinion</w:t>
      </w:r>
      <w:r w:rsidR="00910BCE">
        <w:rPr>
          <w:lang w:val="en-GB"/>
        </w:rPr>
        <w:t xml:space="preserve"> is hard to find</w:t>
      </w:r>
      <w:r w:rsidRPr="0048465B">
        <w:rPr>
          <w:lang w:val="en-GB"/>
        </w:rPr>
        <w:t xml:space="preserve"> i</w:t>
      </w:r>
      <w:r w:rsidR="00910BCE">
        <w:rPr>
          <w:lang w:val="en-GB"/>
        </w:rPr>
        <w:t xml:space="preserve">n contemporary public discourse, </w:t>
      </w:r>
      <w:r w:rsidRPr="0048465B">
        <w:rPr>
          <w:lang w:val="en-GB"/>
        </w:rPr>
        <w:t>this transformation of public opinion remains fragmentary and fragile, and</w:t>
      </w:r>
      <w:r w:rsidR="001C75E7">
        <w:rPr>
          <w:lang w:val="en-GB"/>
        </w:rPr>
        <w:t>, crucially,</w:t>
      </w:r>
      <w:r w:rsidRPr="0048465B">
        <w:rPr>
          <w:lang w:val="en-GB"/>
        </w:rPr>
        <w:t xml:space="preserve"> has had little</w:t>
      </w:r>
      <w:r w:rsidR="001C75E7">
        <w:rPr>
          <w:lang w:val="en-GB"/>
        </w:rPr>
        <w:t xml:space="preserve"> to no</w:t>
      </w:r>
      <w:r w:rsidRPr="0048465B">
        <w:rPr>
          <w:lang w:val="en-GB"/>
        </w:rPr>
        <w:t xml:space="preserve"> effect on the political status quo, with the Middle Eastern Peace Process today little more than a reiteration of the failed Peace Processes which began in Oslo just one year after Said’s republication of </w:t>
      </w:r>
      <w:r w:rsidRPr="0048465B">
        <w:rPr>
          <w:i/>
          <w:lang w:val="en-GB"/>
        </w:rPr>
        <w:t>The Question of Palestine</w:t>
      </w:r>
      <w:r w:rsidRPr="0048465B">
        <w:rPr>
          <w:lang w:val="en-GB"/>
        </w:rPr>
        <w:t>. Such are the challenges that face even those who only wish to attempt to raise awareness of the Palestinian cause from without, let alone those who actually live in the West Bank or Gaza, where the act of writing or speaking to an international audience is complicated by the travails of occupation.</w:t>
      </w:r>
    </w:p>
    <w:p w14:paraId="02B363AB" w14:textId="77777777" w:rsidR="00FC331F" w:rsidRPr="0048465B" w:rsidRDefault="00FC331F" w:rsidP="00FC331F">
      <w:pPr>
        <w:rPr>
          <w:lang w:val="en-GB"/>
        </w:rPr>
      </w:pPr>
    </w:p>
    <w:p w14:paraId="37034DF8" w14:textId="6E7D8A92" w:rsidR="00FC331F" w:rsidRPr="0048465B" w:rsidRDefault="00FC331F" w:rsidP="00FC331F">
      <w:pPr>
        <w:rPr>
          <w:lang w:val="en-GB"/>
        </w:rPr>
      </w:pPr>
      <w:r w:rsidRPr="0048465B">
        <w:rPr>
          <w:lang w:val="en-GB"/>
        </w:rPr>
        <w:t>Counteracting this suppression of the Palestinian voice, then, is essential in order to better and more accurately understand the Palestinian experience. Most importantly, it is essential that we assess these works in isolation from preconceived notions about Palestin</w:t>
      </w:r>
      <w:r w:rsidR="00262C2D">
        <w:rPr>
          <w:lang w:val="en-GB"/>
        </w:rPr>
        <w:t>e and its inhabitants</w:t>
      </w:r>
      <w:r w:rsidRPr="0048465B">
        <w:rPr>
          <w:lang w:val="en-GB"/>
        </w:rPr>
        <w:t xml:space="preserve">, and furthermore allow these works to exist in their own right </w:t>
      </w:r>
      <w:r w:rsidR="00604028">
        <w:rPr>
          <w:lang w:val="en-GB"/>
        </w:rPr>
        <w:t>–</w:t>
      </w:r>
      <w:r w:rsidRPr="0048465B">
        <w:rPr>
          <w:lang w:val="en-GB"/>
        </w:rPr>
        <w:t xml:space="preserve"> in isolation from the historical connections between Palestinian suffering and the Holocaust </w:t>
      </w:r>
      <w:r w:rsidR="00604028">
        <w:rPr>
          <w:lang w:val="en-GB"/>
        </w:rPr>
        <w:t>–</w:t>
      </w:r>
      <w:r w:rsidRPr="0048465B">
        <w:rPr>
          <w:lang w:val="en-GB"/>
        </w:rPr>
        <w:t xml:space="preserve"> as the building blocks of what is a growing </w:t>
      </w:r>
      <w:r w:rsidR="00910BCE">
        <w:rPr>
          <w:lang w:val="en-GB"/>
        </w:rPr>
        <w:t>Palestinian voice</w:t>
      </w:r>
      <w:r w:rsidRPr="0048465B">
        <w:rPr>
          <w:lang w:val="en-GB"/>
        </w:rPr>
        <w:t xml:space="preserve"> in </w:t>
      </w:r>
      <w:r w:rsidR="00604028" w:rsidRPr="0048465B">
        <w:rPr>
          <w:lang w:val="en-GB"/>
        </w:rPr>
        <w:t xml:space="preserve">both </w:t>
      </w:r>
      <w:r w:rsidRPr="0048465B">
        <w:rPr>
          <w:lang w:val="en-GB"/>
        </w:rPr>
        <w:t xml:space="preserve">academic circles and more generally. </w:t>
      </w:r>
    </w:p>
    <w:p w14:paraId="14D2FB71" w14:textId="77777777" w:rsidR="00FC331F" w:rsidRPr="0048465B" w:rsidRDefault="00FC331F" w:rsidP="00FC331F">
      <w:pPr>
        <w:rPr>
          <w:lang w:val="en-GB"/>
        </w:rPr>
      </w:pPr>
    </w:p>
    <w:p w14:paraId="7D04C815" w14:textId="27464440" w:rsidR="00FC331F" w:rsidRPr="0048465B" w:rsidRDefault="00FC331F" w:rsidP="00FC331F">
      <w:pPr>
        <w:rPr>
          <w:lang w:val="en-GB"/>
        </w:rPr>
      </w:pPr>
      <w:r w:rsidRPr="0048465B">
        <w:rPr>
          <w:lang w:val="en-GB"/>
        </w:rPr>
        <w:t xml:space="preserve">A clarification that must be made before exploring these texts, however, is that whilst Palestinian connections between their own suffering and the Holocaust may complicate a pure focus on their own experience, such connections should not automatically be considered as politically motivated. If we desire to read the Palestinian experience as truly lived by </w:t>
      </w:r>
      <w:r w:rsidR="008B3AA1">
        <w:rPr>
          <w:lang w:val="en-GB"/>
        </w:rPr>
        <w:t>those individuals</w:t>
      </w:r>
      <w:r w:rsidRPr="0048465B">
        <w:rPr>
          <w:lang w:val="en-GB"/>
        </w:rPr>
        <w:t xml:space="preserve">, then such connections are logical in spite of the fact that they ultimately obscure </w:t>
      </w:r>
      <w:r w:rsidR="008B3AA1">
        <w:rPr>
          <w:lang w:val="en-GB"/>
        </w:rPr>
        <w:t>that</w:t>
      </w:r>
      <w:r w:rsidR="008B3AA1" w:rsidRPr="0048465B">
        <w:rPr>
          <w:lang w:val="en-GB"/>
        </w:rPr>
        <w:t xml:space="preserve"> </w:t>
      </w:r>
      <w:r w:rsidRPr="0048465B">
        <w:rPr>
          <w:lang w:val="en-GB"/>
        </w:rPr>
        <w:t xml:space="preserve">experience. The risk </w:t>
      </w:r>
      <w:r w:rsidRPr="0048465B">
        <w:rPr>
          <w:lang w:val="en-GB"/>
        </w:rPr>
        <w:lastRenderedPageBreak/>
        <w:t xml:space="preserve">with such connections is that they can lead to the kind of partisan analysis offered by Litvak and </w:t>
      </w:r>
      <w:proofErr w:type="spellStart"/>
      <w:r w:rsidRPr="0048465B">
        <w:rPr>
          <w:lang w:val="en-GB"/>
        </w:rPr>
        <w:t>Webman</w:t>
      </w:r>
      <w:proofErr w:type="spellEnd"/>
      <w:r w:rsidRPr="0048465B">
        <w:rPr>
          <w:lang w:val="en-GB"/>
        </w:rPr>
        <w:t>, who, as Gilbert Achcar notes, argue that:</w:t>
      </w:r>
    </w:p>
    <w:p w14:paraId="3B7CCA03" w14:textId="77777777" w:rsidR="00FC331F" w:rsidRPr="0048465B" w:rsidRDefault="00FC331F" w:rsidP="00FC331F">
      <w:pPr>
        <w:rPr>
          <w:lang w:val="en-GB"/>
        </w:rPr>
      </w:pPr>
    </w:p>
    <w:p w14:paraId="3D5E9CA6" w14:textId="77777777" w:rsidR="00FC331F" w:rsidRPr="0048465B" w:rsidRDefault="00FC331F" w:rsidP="00FC331F">
      <w:pPr>
        <w:ind w:left="720"/>
        <w:rPr>
          <w:lang w:val="en-GB"/>
        </w:rPr>
      </w:pPr>
      <w:r w:rsidRPr="0048465B">
        <w:rPr>
          <w:lang w:val="en-GB"/>
        </w:rPr>
        <w:t>The recognition of the Holocaust by Saghiya, Said, Khouri, Bishara, and others is instrumental. The persecution of the Jews is acknowledged, but at the same time is linked to the Palestinian tragedy and its acknowledgement by Israel and the West. The comparison between the two, either directly or by inference, involved by definition the minimization and relativization of the Holocaust.</w:t>
      </w:r>
    </w:p>
    <w:p w14:paraId="71AC51B0" w14:textId="77777777" w:rsidR="00FC331F" w:rsidRPr="0048465B" w:rsidRDefault="00FC331F" w:rsidP="00FC331F">
      <w:pPr>
        <w:ind w:left="720"/>
        <w:rPr>
          <w:lang w:val="en-GB"/>
        </w:rPr>
      </w:pPr>
    </w:p>
    <w:p w14:paraId="7AC6AE6A" w14:textId="5FDBE1C8" w:rsidR="00FC331F" w:rsidRPr="0048465B" w:rsidRDefault="00FC331F" w:rsidP="00FC331F">
      <w:pPr>
        <w:rPr>
          <w:lang w:val="en-GB"/>
        </w:rPr>
      </w:pPr>
      <w:r w:rsidRPr="0048465B">
        <w:rPr>
          <w:lang w:val="en-GB"/>
        </w:rPr>
        <w:t>Achcar condemns Litvak and Webman’s attempted defamation of Palestinian and Arab authors who are ‘endeavour[</w:t>
      </w:r>
      <w:proofErr w:type="spellStart"/>
      <w:r w:rsidRPr="0048465B">
        <w:rPr>
          <w:lang w:val="en-GB"/>
        </w:rPr>
        <w:t>ing</w:t>
      </w:r>
      <w:proofErr w:type="spellEnd"/>
      <w:r w:rsidRPr="0048465B">
        <w:rPr>
          <w:lang w:val="en-GB"/>
        </w:rPr>
        <w:t>] to build bridges’ as being equivalent to ‘certain Arabs’ rejection of all post-Zionists as, in the end, “Zionists”’,</w:t>
      </w:r>
      <w:r w:rsidRPr="0048465B">
        <w:rPr>
          <w:vertAlign w:val="superscript"/>
          <w:lang w:val="en-GB"/>
        </w:rPr>
        <w:footnoteReference w:id="228"/>
      </w:r>
      <w:r w:rsidRPr="0048465B">
        <w:rPr>
          <w:vertAlign w:val="superscript"/>
          <w:lang w:val="en-GB"/>
        </w:rPr>
        <w:t xml:space="preserve"> </w:t>
      </w:r>
      <w:r w:rsidRPr="0048465B">
        <w:rPr>
          <w:lang w:val="en-GB"/>
        </w:rPr>
        <w:t>as well as pointing out at another juncture the ‘ethnocentric complacency that leads two Israeli authors to criticize a Palestinian for explaining that if his compatriots do not acknowledge the suffering of others, they cannot demand that others acknowledg</w:t>
      </w:r>
      <w:r w:rsidR="001C75E7">
        <w:rPr>
          <w:lang w:val="en-GB"/>
        </w:rPr>
        <w:t>e</w:t>
      </w:r>
      <w:r w:rsidRPr="0048465B">
        <w:rPr>
          <w:lang w:val="en-GB"/>
        </w:rPr>
        <w:t xml:space="preserve"> theirs’.</w:t>
      </w:r>
      <w:r w:rsidRPr="0048465B">
        <w:rPr>
          <w:vertAlign w:val="superscript"/>
          <w:lang w:val="en-GB"/>
        </w:rPr>
        <w:footnoteReference w:id="229"/>
      </w:r>
      <w:r w:rsidRPr="0048465B">
        <w:rPr>
          <w:lang w:val="en-GB"/>
        </w:rPr>
        <w:t xml:space="preserve"> Just as Israeli </w:t>
      </w:r>
      <w:r w:rsidR="00910BCE">
        <w:rPr>
          <w:lang w:val="en-GB"/>
        </w:rPr>
        <w:t>assertions</w:t>
      </w:r>
      <w:r w:rsidRPr="0048465B">
        <w:rPr>
          <w:lang w:val="en-GB"/>
        </w:rPr>
        <w:t xml:space="preserve"> of Palestinian non-existence have been an unfortunate reality, instances of Palestinian relativisation of the Holocaust are </w:t>
      </w:r>
      <w:r w:rsidR="00D90F71">
        <w:rPr>
          <w:lang w:val="en-GB"/>
        </w:rPr>
        <w:t>a lamentable</w:t>
      </w:r>
      <w:r w:rsidRPr="0048465B">
        <w:rPr>
          <w:lang w:val="en-GB"/>
        </w:rPr>
        <w:t xml:space="preserve"> real</w:t>
      </w:r>
      <w:r w:rsidR="00D90F71">
        <w:rPr>
          <w:lang w:val="en-GB"/>
        </w:rPr>
        <w:t>ity</w:t>
      </w:r>
      <w:r w:rsidRPr="0048465B">
        <w:rPr>
          <w:lang w:val="en-GB"/>
        </w:rPr>
        <w:t xml:space="preserve">. Relativisation, however, must be active, and simply stating that two events exist and are historically connected is not by necessity relativisation. Equally, noting the discrepancy between the expectation of Palestinian recognition of the Holocaust, and the Israeli and Western reluctance to recognise Palestinian suffering, is not relativisation. The potential </w:t>
      </w:r>
      <w:r w:rsidR="00910BCE">
        <w:rPr>
          <w:lang w:val="en-GB"/>
        </w:rPr>
        <w:t>problem</w:t>
      </w:r>
      <w:r w:rsidRPr="0048465B">
        <w:rPr>
          <w:lang w:val="en-GB"/>
        </w:rPr>
        <w:t xml:space="preserve"> between the </w:t>
      </w:r>
      <w:r w:rsidR="008F554C" w:rsidRPr="0048465B">
        <w:rPr>
          <w:lang w:val="en-GB"/>
        </w:rPr>
        <w:t>connecti</w:t>
      </w:r>
      <w:r w:rsidR="008F554C">
        <w:rPr>
          <w:lang w:val="en-GB"/>
        </w:rPr>
        <w:t>on</w:t>
      </w:r>
      <w:r w:rsidR="008F554C" w:rsidRPr="0048465B">
        <w:rPr>
          <w:lang w:val="en-GB"/>
        </w:rPr>
        <w:t xml:space="preserve"> </w:t>
      </w:r>
      <w:r w:rsidRPr="0048465B">
        <w:rPr>
          <w:lang w:val="en-GB"/>
        </w:rPr>
        <w:t xml:space="preserve">of these two events lies not in the connection itself, but in either the discrediting of one event in order to affirm the other, or in the marginalisation of one due to the other’s prominence. </w:t>
      </w:r>
      <w:r w:rsidRPr="0048465B">
        <w:rPr>
          <w:lang w:val="en-GB"/>
        </w:rPr>
        <w:lastRenderedPageBreak/>
        <w:t>That acts of recognition from the Palestinian and Arab authors noted in Achcar’s monograph are openly criticised and categorised as minimising and relativising is an indication of the difficulty of expressing the Palestinian experience. It is only through reading Palestinian texts first</w:t>
      </w:r>
      <w:r w:rsidR="00D90F71">
        <w:rPr>
          <w:lang w:val="en-GB"/>
        </w:rPr>
        <w:t>-</w:t>
      </w:r>
      <w:r w:rsidRPr="0048465B">
        <w:rPr>
          <w:lang w:val="en-GB"/>
        </w:rPr>
        <w:t>hand that we might discover truly the extent to which such accusations of relativisation are founded or not.</w:t>
      </w:r>
    </w:p>
    <w:p w14:paraId="331E24DA" w14:textId="77777777" w:rsidR="00FC331F" w:rsidRPr="0048465B" w:rsidRDefault="00FC331F" w:rsidP="00FC331F">
      <w:pPr>
        <w:rPr>
          <w:lang w:val="en-GB"/>
        </w:rPr>
      </w:pPr>
    </w:p>
    <w:p w14:paraId="26787AEA" w14:textId="49612368" w:rsidR="00FC331F" w:rsidRPr="0048465B" w:rsidRDefault="00FC331F" w:rsidP="00FC331F">
      <w:pPr>
        <w:rPr>
          <w:lang w:val="en-GB"/>
        </w:rPr>
      </w:pPr>
      <w:r w:rsidRPr="0048465B">
        <w:rPr>
          <w:lang w:val="en-GB"/>
        </w:rPr>
        <w:t xml:space="preserve">Finally, whilst contemporary understandings of Palestinians are associated with a wide variety of notions such as terrorism and intransigence, as well as the conflicting claims of victimhood, all such associations exist in strict relation to Palestine as made relative to Israel. The ties between the Palestinian people and the land upon which they lived and worked for years before the founding of Israel </w:t>
      </w:r>
      <w:r w:rsidR="00D90F71">
        <w:rPr>
          <w:lang w:val="en-GB"/>
        </w:rPr>
        <w:t>–</w:t>
      </w:r>
      <w:r w:rsidRPr="0048465B">
        <w:rPr>
          <w:lang w:val="en-GB"/>
        </w:rPr>
        <w:t xml:space="preserve"> an essential fact when contemplating the Israeli-Palestinian conflict </w:t>
      </w:r>
      <w:r w:rsidR="00D90F71">
        <w:rPr>
          <w:lang w:val="en-GB"/>
        </w:rPr>
        <w:t>–</w:t>
      </w:r>
      <w:r w:rsidRPr="0048465B">
        <w:rPr>
          <w:lang w:val="en-GB"/>
        </w:rPr>
        <w:t xml:space="preserve"> </w:t>
      </w:r>
      <w:r w:rsidR="00D90F71">
        <w:rPr>
          <w:lang w:val="en-GB"/>
        </w:rPr>
        <w:t>are</w:t>
      </w:r>
      <w:r w:rsidRPr="0048465B">
        <w:rPr>
          <w:lang w:val="en-GB"/>
        </w:rPr>
        <w:t xml:space="preserve"> largely forgotten. Indeed, Said observes that so absent is an understanding of the colonial nature of Israel’s presence in Palestine that ‘one forgets that the relationship between Israelis and Arabs is not a fact of nature[,] but the result of a specific, continuing process of dispossession, displacement, and colonial de facto apartheid’.</w:t>
      </w:r>
      <w:r w:rsidRPr="0048465B">
        <w:rPr>
          <w:vertAlign w:val="superscript"/>
          <w:lang w:val="en-GB"/>
        </w:rPr>
        <w:footnoteReference w:id="230"/>
      </w:r>
      <w:r w:rsidRPr="0048465B">
        <w:rPr>
          <w:lang w:val="en-GB"/>
        </w:rPr>
        <w:t xml:space="preserve"> Here, the moral complexity of Jewish identity, shaped in part by extraordinary and seemingly interminable persecution, functions to ‘dilute[] and perhaps even dissipate[]’ the ‘absolute wrong of [Israeli] settler-colonialism’.</w:t>
      </w:r>
      <w:r w:rsidRPr="0048465B">
        <w:rPr>
          <w:vertAlign w:val="superscript"/>
          <w:lang w:val="en-GB"/>
        </w:rPr>
        <w:footnoteReference w:id="231"/>
      </w:r>
      <w:r w:rsidRPr="0048465B">
        <w:rPr>
          <w:lang w:val="en-GB"/>
        </w:rPr>
        <w:t xml:space="preserve"> This history of Jewish persecution is so overwhelming that it complicates even the notion of Palestinian history, with Israeli-Jewish history actively and literally displacing Palestinian history, re-writing the street names, re-naming the villages, and, as some argue, re</w:t>
      </w:r>
      <w:r w:rsidR="00D51876">
        <w:rPr>
          <w:lang w:val="en-GB"/>
        </w:rPr>
        <w:t>-c</w:t>
      </w:r>
      <w:r w:rsidRPr="0048465B">
        <w:rPr>
          <w:lang w:val="en-GB"/>
        </w:rPr>
        <w:t xml:space="preserve">laiming the land. </w:t>
      </w:r>
    </w:p>
    <w:p w14:paraId="771033ED" w14:textId="77777777" w:rsidR="00FC331F" w:rsidRPr="0048465B" w:rsidRDefault="00FC331F" w:rsidP="00FC331F">
      <w:pPr>
        <w:rPr>
          <w:lang w:val="en-GB"/>
        </w:rPr>
      </w:pPr>
    </w:p>
    <w:p w14:paraId="43A511E5" w14:textId="0405A2D6" w:rsidR="00FC331F" w:rsidRDefault="00FC331F" w:rsidP="00FC331F">
      <w:pPr>
        <w:rPr>
          <w:lang w:val="en-GB"/>
        </w:rPr>
      </w:pPr>
      <w:r w:rsidRPr="0048465B">
        <w:rPr>
          <w:lang w:val="en-GB"/>
        </w:rPr>
        <w:t xml:space="preserve">Said explains this difficulty through invoking the words of Italian philosopher Antonio Gramsci, arguing that the Palestinian struggle is to ‘“‘know[] thyself’ as a product of the historical process </w:t>
      </w:r>
      <w:r w:rsidRPr="0048465B">
        <w:rPr>
          <w:lang w:val="en-GB"/>
        </w:rPr>
        <w:lastRenderedPageBreak/>
        <w:t>to date which has deposited in you an infinity of traces without leaving an inventory”’.</w:t>
      </w:r>
      <w:r w:rsidRPr="0048465B">
        <w:rPr>
          <w:vertAlign w:val="superscript"/>
          <w:lang w:val="en-GB"/>
        </w:rPr>
        <w:footnoteReference w:id="232"/>
      </w:r>
      <w:r w:rsidRPr="0048465B">
        <w:rPr>
          <w:lang w:val="en-GB"/>
        </w:rPr>
        <w:t xml:space="preserve"> For Palestinians, as for Jews and Israelis, contemporary identity is heavily defined by the events of the past. </w:t>
      </w:r>
      <w:r w:rsidR="00F2581A" w:rsidRPr="0048465B">
        <w:rPr>
          <w:lang w:val="en-GB"/>
        </w:rPr>
        <w:t xml:space="preserve">For Palestinians the exile of the year 1948 seems endless, whilst for Jews the years that preceded 1948 hold both the most horrific of memories, and simultaneously call for those who remember never to forget. </w:t>
      </w:r>
      <w:r w:rsidRPr="0048465B">
        <w:rPr>
          <w:lang w:val="en-GB"/>
        </w:rPr>
        <w:t xml:space="preserve">Broadly speaking, though, whilst we know (despite Golda Meir’s claims) that a Palestinian people existed pre-1948 </w:t>
      </w:r>
      <w:r w:rsidR="00D90F71">
        <w:rPr>
          <w:lang w:val="en-GB"/>
        </w:rPr>
        <w:t>–</w:t>
      </w:r>
      <w:r w:rsidRPr="0048465B">
        <w:rPr>
          <w:lang w:val="en-GB"/>
        </w:rPr>
        <w:t xml:space="preserve"> regardless of the name of those people </w:t>
      </w:r>
      <w:r w:rsidR="00D90F71">
        <w:rPr>
          <w:lang w:val="en-GB"/>
        </w:rPr>
        <w:t>–</w:t>
      </w:r>
      <w:r w:rsidRPr="0048465B">
        <w:rPr>
          <w:lang w:val="en-GB"/>
        </w:rPr>
        <w:t xml:space="preserve"> the histories of Palestinian and Jewish peoples are by no means on a level playing field in global discourse.</w:t>
      </w:r>
    </w:p>
    <w:p w14:paraId="755887A5" w14:textId="77777777" w:rsidR="001C75E7" w:rsidRDefault="001C75E7" w:rsidP="00FC331F">
      <w:pPr>
        <w:rPr>
          <w:lang w:val="en-GB"/>
        </w:rPr>
      </w:pPr>
    </w:p>
    <w:p w14:paraId="2EAC4F57" w14:textId="641D5F3F" w:rsidR="00FC331F" w:rsidRPr="0048465B" w:rsidRDefault="00FC331F" w:rsidP="00FC331F">
      <w:pPr>
        <w:rPr>
          <w:lang w:val="en-GB"/>
        </w:rPr>
      </w:pPr>
      <w:r w:rsidRPr="0048465B">
        <w:rPr>
          <w:lang w:val="en-GB"/>
        </w:rPr>
        <w:t>The years preceding 1948 for Jewish people are documented in immense and wide-ranging detail, the Holocaust is taught in schools around the globe, and has been adopted, whether rightly or wrongly, as a universal identifier of trauma, whilst Palestinian suffering remains a relatively specialised area of study. Even a cursory search on Google Ngram</w:t>
      </w:r>
      <w:r w:rsidR="00034C23">
        <w:rPr>
          <w:lang w:val="en-GB"/>
        </w:rPr>
        <w:t>, Google’s book-contents search engine,</w:t>
      </w:r>
      <w:r w:rsidRPr="0048465B">
        <w:rPr>
          <w:lang w:val="en-GB"/>
        </w:rPr>
        <w:t xml:space="preserve"> shows the vast difference between the acknowledgement and interest in the two events, especially within the English language</w:t>
      </w:r>
      <w:r w:rsidR="00034C23">
        <w:rPr>
          <w:lang w:val="en-GB"/>
        </w:rPr>
        <w:t>.</w:t>
      </w:r>
      <w:r w:rsidR="00034C23" w:rsidRPr="0048465B">
        <w:rPr>
          <w:vertAlign w:val="superscript"/>
          <w:lang w:val="en-GB"/>
        </w:rPr>
        <w:footnoteReference w:id="233"/>
      </w:r>
      <w:r w:rsidRPr="0048465B">
        <w:rPr>
          <w:lang w:val="en-GB"/>
        </w:rPr>
        <w:t xml:space="preserve"> Of all the bigrams</w:t>
      </w:r>
      <w:r w:rsidRPr="0048465B">
        <w:rPr>
          <w:vertAlign w:val="superscript"/>
          <w:lang w:val="en-GB"/>
        </w:rPr>
        <w:footnoteReference w:id="234"/>
      </w:r>
      <w:r w:rsidRPr="0048465B">
        <w:rPr>
          <w:lang w:val="en-GB"/>
        </w:rPr>
        <w:t xml:space="preserve"> contained in Google’s sample of English texts written between 1933 and 2019,</w:t>
      </w:r>
      <w:r w:rsidRPr="0048465B">
        <w:rPr>
          <w:vertAlign w:val="superscript"/>
          <w:lang w:val="en-GB"/>
        </w:rPr>
        <w:footnoteReference w:id="235"/>
      </w:r>
      <w:r w:rsidRPr="0048465B">
        <w:rPr>
          <w:lang w:val="en-GB"/>
        </w:rPr>
        <w:t xml:space="preserve"> the two words ‘the Holocaust’ peak in 2003, where roughly </w:t>
      </w:r>
      <w:r w:rsidR="00034C23">
        <w:rPr>
          <w:lang w:val="en-GB"/>
        </w:rPr>
        <w:t>1</w:t>
      </w:r>
      <w:r w:rsidRPr="0048465B">
        <w:rPr>
          <w:lang w:val="en-GB"/>
        </w:rPr>
        <w:t xml:space="preserve"> in every </w:t>
      </w:r>
      <w:r w:rsidR="00034C23">
        <w:rPr>
          <w:lang w:val="en-GB"/>
        </w:rPr>
        <w:t>217,000</w:t>
      </w:r>
      <w:r w:rsidRPr="0048465B">
        <w:rPr>
          <w:lang w:val="en-GB"/>
        </w:rPr>
        <w:t xml:space="preserve"> </w:t>
      </w:r>
      <w:r w:rsidR="00034C23">
        <w:rPr>
          <w:lang w:val="en-GB"/>
        </w:rPr>
        <w:t>two-word segments</w:t>
      </w:r>
      <w:r w:rsidRPr="0048465B">
        <w:rPr>
          <w:lang w:val="en-GB"/>
        </w:rPr>
        <w:t xml:space="preserve"> published was ‘the Holocaust’.</w:t>
      </w:r>
      <w:r w:rsidRPr="0048465B">
        <w:rPr>
          <w:vertAlign w:val="superscript"/>
          <w:lang w:val="en-GB"/>
        </w:rPr>
        <w:footnoteReference w:id="236"/>
      </w:r>
      <w:r w:rsidRPr="0048465B">
        <w:rPr>
          <w:lang w:val="en-GB"/>
        </w:rPr>
        <w:t xml:space="preserve"> Whilst this may not seem like a significant number, searching the same sample of texts for ‘the Nakba’ or ‘al - Nakba’, reveals that not only does neither term appear until ten years after the Nakba had occurred, </w:t>
      </w:r>
      <w:r w:rsidRPr="0048465B">
        <w:rPr>
          <w:lang w:val="en-GB"/>
        </w:rPr>
        <w:lastRenderedPageBreak/>
        <w:t>but the</w:t>
      </w:r>
      <w:r w:rsidR="00430220">
        <w:rPr>
          <w:lang w:val="en-GB"/>
        </w:rPr>
        <w:t xml:space="preserve"> year with the most mentions</w:t>
      </w:r>
      <w:r w:rsidRPr="0048465B">
        <w:rPr>
          <w:lang w:val="en-GB"/>
        </w:rPr>
        <w:t xml:space="preserve"> for either term, ‘the Nakba’ in 2016, was at </w:t>
      </w:r>
      <w:r w:rsidR="00034C23">
        <w:rPr>
          <w:lang w:val="en-GB"/>
        </w:rPr>
        <w:t>just 1 in 9.174 million</w:t>
      </w:r>
      <w:r w:rsidRPr="0048465B">
        <w:rPr>
          <w:lang w:val="en-GB"/>
        </w:rPr>
        <w:t>.</w:t>
      </w:r>
      <w:r w:rsidRPr="0048465B">
        <w:rPr>
          <w:vertAlign w:val="superscript"/>
          <w:lang w:val="en-GB"/>
        </w:rPr>
        <w:footnoteReference w:id="237"/>
      </w:r>
      <w:r w:rsidRPr="0048465B">
        <w:rPr>
          <w:lang w:val="en-GB"/>
        </w:rPr>
        <w:t xml:space="preserve"> Even if we entertain the notion that the inclusion of the word Holocaust, a word derived from Greek, was already in English usage and therefore more likely to arise in these searches than ‘the Nakba’, the Hebrew phrase for the genocide of Jews ‘the Shoah’ </w:t>
      </w:r>
      <w:r w:rsidR="00D90F71">
        <w:rPr>
          <w:lang w:val="en-GB"/>
        </w:rPr>
        <w:t>–</w:t>
      </w:r>
      <w:r w:rsidRPr="0048465B">
        <w:rPr>
          <w:lang w:val="en-GB"/>
        </w:rPr>
        <w:t xml:space="preserve"> whilst used far less commonly than ‘the Holocaust’ </w:t>
      </w:r>
      <w:r w:rsidR="00D90F71">
        <w:rPr>
          <w:lang w:val="en-GB"/>
        </w:rPr>
        <w:t>–</w:t>
      </w:r>
      <w:r w:rsidRPr="0048465B">
        <w:rPr>
          <w:lang w:val="en-GB"/>
        </w:rPr>
        <w:t xml:space="preserve"> is</w:t>
      </w:r>
      <w:r w:rsidR="00D90F71">
        <w:rPr>
          <w:lang w:val="en-GB"/>
        </w:rPr>
        <w:t xml:space="preserve"> </w:t>
      </w:r>
      <w:r w:rsidRPr="0048465B">
        <w:rPr>
          <w:lang w:val="en-GB"/>
        </w:rPr>
        <w:t>still more than three times as common as ‘the Nakba’, at</w:t>
      </w:r>
      <w:r w:rsidR="00034C23">
        <w:rPr>
          <w:lang w:val="en-GB"/>
        </w:rPr>
        <w:t xml:space="preserve"> 1 in 2.89 million bigrams</w:t>
      </w:r>
      <w:r w:rsidRPr="0048465B">
        <w:rPr>
          <w:lang w:val="en-GB"/>
        </w:rPr>
        <w:t>. Similarly, searches within the same sample of books for ‘Jewish history’ and ‘Palestinian history’,</w:t>
      </w:r>
      <w:r w:rsidRPr="0048465B">
        <w:rPr>
          <w:vertAlign w:val="superscript"/>
          <w:lang w:val="en-GB"/>
        </w:rPr>
        <w:footnoteReference w:id="238"/>
      </w:r>
      <w:r w:rsidRPr="0048465B">
        <w:rPr>
          <w:lang w:val="en-GB"/>
        </w:rPr>
        <w:t xml:space="preserve"> show that the former peaks at roughly </w:t>
      </w:r>
      <w:r w:rsidR="00034C23">
        <w:rPr>
          <w:lang w:val="en-GB"/>
        </w:rPr>
        <w:t xml:space="preserve">1 in every 1.27 million, whilst the latter </w:t>
      </w:r>
      <w:r w:rsidR="00B0687D">
        <w:rPr>
          <w:lang w:val="en-GB"/>
        </w:rPr>
        <w:t xml:space="preserve">rises </w:t>
      </w:r>
      <w:r w:rsidR="00D10DA7">
        <w:rPr>
          <w:lang w:val="en-GB"/>
        </w:rPr>
        <w:t>to</w:t>
      </w:r>
      <w:r w:rsidR="00034C23">
        <w:rPr>
          <w:lang w:val="en-GB"/>
        </w:rPr>
        <w:t xml:space="preserve"> just 1 in every 30.49 million.</w:t>
      </w:r>
    </w:p>
    <w:p w14:paraId="236C8B95" w14:textId="77777777" w:rsidR="00FC331F" w:rsidRPr="0048465B" w:rsidRDefault="00FC331F" w:rsidP="00FC331F">
      <w:pPr>
        <w:rPr>
          <w:lang w:val="en-GB"/>
        </w:rPr>
      </w:pPr>
    </w:p>
    <w:p w14:paraId="163397D7" w14:textId="3C80788F" w:rsidR="00FC331F" w:rsidRPr="0048465B" w:rsidRDefault="00FC331F" w:rsidP="00FC331F">
      <w:pPr>
        <w:rPr>
          <w:lang w:val="en-GB"/>
        </w:rPr>
      </w:pPr>
      <w:r w:rsidRPr="0048465B">
        <w:rPr>
          <w:lang w:val="en-GB"/>
        </w:rPr>
        <w:t xml:space="preserve">Neither personal nor mass </w:t>
      </w:r>
      <w:r w:rsidR="00430220">
        <w:rPr>
          <w:lang w:val="en-GB"/>
        </w:rPr>
        <w:t>suffering</w:t>
      </w:r>
      <w:r w:rsidRPr="0048465B">
        <w:rPr>
          <w:lang w:val="en-GB"/>
        </w:rPr>
        <w:t xml:space="preserve"> can be quantified, and these numbers are not offered as an attempt to do so. Antisemitism, for example, is in no way </w:t>
      </w:r>
      <w:r w:rsidR="00430220">
        <w:rPr>
          <w:lang w:val="en-GB"/>
        </w:rPr>
        <w:t>offset</w:t>
      </w:r>
      <w:r w:rsidRPr="0048465B">
        <w:rPr>
          <w:lang w:val="en-GB"/>
        </w:rPr>
        <w:t xml:space="preserve"> by the increased presence of the words ‘Jewish history’. These numbers are provided solely as a way of helping indicate the absence of any comprehensible and expansive English language discourse on the history and pain of Palestinians. The sad history of the Holocaust and of Jewish oppression is well researched and documented from both academic and testimonial standpoints, which means that there exists a structure within which the detail of Jewish trauma can be explored and worked through. No such structure or detail exists regarding Palestinian trauma.</w:t>
      </w:r>
    </w:p>
    <w:p w14:paraId="5454DC3C" w14:textId="77777777" w:rsidR="00FC331F" w:rsidRPr="0048465B" w:rsidRDefault="00FC331F" w:rsidP="00FC331F">
      <w:pPr>
        <w:rPr>
          <w:lang w:val="en-GB"/>
        </w:rPr>
      </w:pPr>
    </w:p>
    <w:p w14:paraId="186EAB5D" w14:textId="1171A527" w:rsidR="008736DA" w:rsidRDefault="00FC331F" w:rsidP="00FC331F">
      <w:r w:rsidRPr="0048465B">
        <w:rPr>
          <w:lang w:val="en-GB"/>
        </w:rPr>
        <w:t xml:space="preserve">It is this detailing of the Palestinian experience, a specificity found lacking in the connective approaches explored in Chapter One, that Said identifies as the central principle of crisis resolution in the Middle East. Said argues that ‘because they are at the core of the “Middle East crisis,” the </w:t>
      </w:r>
      <w:r w:rsidRPr="0048465B">
        <w:rPr>
          <w:lang w:val="en-GB"/>
        </w:rPr>
        <w:lastRenderedPageBreak/>
        <w:t xml:space="preserve">Palestinians must be involved in resolving that crisis’, but more importantly, ‘because there is a widespread </w:t>
      </w:r>
      <w:r w:rsidRPr="0048465B">
        <w:rPr>
          <w:i/>
          <w:lang w:val="en-GB"/>
        </w:rPr>
        <w:t>general</w:t>
      </w:r>
      <w:r w:rsidRPr="0048465B">
        <w:rPr>
          <w:lang w:val="en-GB"/>
        </w:rPr>
        <w:t xml:space="preserve"> (and recent) acceptance of Palestinian political identity, there is also a set of dangers that a general solution might miss, indeed </w:t>
      </w:r>
      <w:r w:rsidRPr="0048465B">
        <w:rPr>
          <w:i/>
          <w:lang w:val="en-GB"/>
        </w:rPr>
        <w:t>destroy</w:t>
      </w:r>
      <w:r w:rsidRPr="0048465B">
        <w:rPr>
          <w:lang w:val="en-GB"/>
        </w:rPr>
        <w:t xml:space="preserve">, the </w:t>
      </w:r>
      <w:r w:rsidRPr="0048465B">
        <w:rPr>
          <w:i/>
          <w:lang w:val="en-GB"/>
        </w:rPr>
        <w:t>specific</w:t>
      </w:r>
      <w:r w:rsidRPr="0048465B">
        <w:rPr>
          <w:lang w:val="en-GB"/>
        </w:rPr>
        <w:t>, detailed reality of the Palestinians’.</w:t>
      </w:r>
      <w:r w:rsidRPr="0048465B">
        <w:rPr>
          <w:vertAlign w:val="superscript"/>
          <w:lang w:val="en-GB"/>
        </w:rPr>
        <w:footnoteReference w:id="239"/>
      </w:r>
      <w:r w:rsidRPr="0048465B">
        <w:rPr>
          <w:lang w:val="en-GB"/>
        </w:rPr>
        <w:t xml:space="preserve"> It is this focus on the detailed reality of the Palestinian, the focus on the Palestinian experience as represented by Palestinians themselves,</w:t>
      </w:r>
      <w:r w:rsidR="00B0687D">
        <w:rPr>
          <w:lang w:val="en-GB"/>
        </w:rPr>
        <w:t xml:space="preserve"> and expanding beyond the purely historical,</w:t>
      </w:r>
      <w:r w:rsidRPr="0048465B">
        <w:rPr>
          <w:lang w:val="en-GB"/>
        </w:rPr>
        <w:t xml:space="preserve"> that must exist within all explorations of the conflict. Whilst this chapter engages frequently with the non-fiction Palestinian works of Said and, to a lesser extent, his geographical neighbour, Lebanese academic Gilbert Achcar, the emphasis will remain on works of fiction, as it is in these works that Palestinian authors are fully able to express the Palestinian experience in all its subjectivity and experiential artistry. Salma Khadra Jayyusi, in the introduction to Emily Habibi’s </w:t>
      </w:r>
      <w:r w:rsidRPr="0048465B">
        <w:rPr>
          <w:i/>
          <w:lang w:val="en-GB"/>
        </w:rPr>
        <w:t>The Secret Life of Saeed the Pessoptimist</w:t>
      </w:r>
      <w:r w:rsidRPr="0048465B">
        <w:rPr>
          <w:lang w:val="en-GB"/>
        </w:rPr>
        <w:t>, observes this detail, arguing that ‘[t]he use of a fictional mode</w:t>
      </w:r>
      <w:r w:rsidR="000C3FB4">
        <w:rPr>
          <w:lang w:val="en-GB"/>
        </w:rPr>
        <w:t xml:space="preserve"> […] </w:t>
      </w:r>
      <w:r w:rsidRPr="0048465B">
        <w:rPr>
          <w:lang w:val="en-GB"/>
        </w:rPr>
        <w:t>should not be seen as a necessarily less serious or, in its essence, a less reliable method of dealing with historical material’, but that fiction allows the author to decide what is ‘necessary material’, to ‘digress[] to irrelevant action or detailing’, and to engage ‘on an equal level with all aspects of an experience’.</w:t>
      </w:r>
      <w:r w:rsidRPr="0048465B">
        <w:rPr>
          <w:vertAlign w:val="superscript"/>
          <w:lang w:val="en-GB"/>
        </w:rPr>
        <w:footnoteReference w:id="240"/>
      </w:r>
      <w:r w:rsidRPr="0048465B">
        <w:rPr>
          <w:lang w:val="en-GB"/>
        </w:rPr>
        <w:t xml:space="preserve"> </w:t>
      </w:r>
      <w:r w:rsidR="008736DA" w:rsidRPr="008736DA">
        <w:t>Not every Palestinian was present during the Six-Day war, nor was every Palestinian witness to the Sabra and Shatila massacre</w:t>
      </w:r>
      <w:r w:rsidR="008736DA">
        <w:t>. The fictional</w:t>
      </w:r>
      <w:r w:rsidR="00C00B02">
        <w:t xml:space="preserve"> mode, however,</w:t>
      </w:r>
      <w:r w:rsidR="008736DA">
        <w:t xml:space="preserve"> allows these events to take their place at the </w:t>
      </w:r>
      <w:proofErr w:type="spellStart"/>
      <w:r w:rsidR="008736DA">
        <w:t>centre</w:t>
      </w:r>
      <w:proofErr w:type="spellEnd"/>
      <w:r w:rsidR="008736DA">
        <w:t xml:space="preserve"> of Palestinian literature, regardless of the experiences of the author</w:t>
      </w:r>
      <w:r w:rsidR="00C00B02">
        <w:t xml:space="preserve">. As such, we allow ourselves an insight into the creation of Palestinian identity, </w:t>
      </w:r>
      <w:r w:rsidR="008736DA">
        <w:t>something that is shaped as much by collective experience and the inheritance of memory as it is by presence.</w:t>
      </w:r>
    </w:p>
    <w:p w14:paraId="6457E520" w14:textId="77777777" w:rsidR="008736DA" w:rsidRDefault="008736DA" w:rsidP="00FC331F"/>
    <w:p w14:paraId="5691CE6D" w14:textId="4FD9876F" w:rsidR="00FC331F" w:rsidRPr="008736DA" w:rsidRDefault="00FC331F" w:rsidP="00FC331F">
      <w:pPr>
        <w:rPr>
          <w:lang w:val="en-GB"/>
        </w:rPr>
      </w:pPr>
      <w:r w:rsidRPr="0048465B">
        <w:rPr>
          <w:lang w:val="en-GB"/>
        </w:rPr>
        <w:lastRenderedPageBreak/>
        <w:t>This</w:t>
      </w:r>
      <w:r w:rsidR="00C00B02">
        <w:rPr>
          <w:lang w:val="en-GB"/>
        </w:rPr>
        <w:t xml:space="preserve"> </w:t>
      </w:r>
      <w:r w:rsidR="00B0687D">
        <w:rPr>
          <w:lang w:val="en-GB"/>
        </w:rPr>
        <w:t xml:space="preserve">subjectively honest </w:t>
      </w:r>
      <w:r w:rsidR="00F05D19">
        <w:rPr>
          <w:lang w:val="en-GB"/>
        </w:rPr>
        <w:t>approach</w:t>
      </w:r>
      <w:r w:rsidRPr="0048465B">
        <w:rPr>
          <w:lang w:val="en-GB"/>
        </w:rPr>
        <w:t>,</w:t>
      </w:r>
      <w:r w:rsidR="00F05D19">
        <w:rPr>
          <w:lang w:val="en-GB"/>
        </w:rPr>
        <w:t xml:space="preserve"> when</w:t>
      </w:r>
      <w:r w:rsidRPr="0048465B">
        <w:rPr>
          <w:lang w:val="en-GB"/>
        </w:rPr>
        <w:t xml:space="preserve"> </w:t>
      </w:r>
      <w:r w:rsidR="00F05D19">
        <w:rPr>
          <w:lang w:val="en-GB"/>
        </w:rPr>
        <w:t>inter</w:t>
      </w:r>
      <w:r w:rsidR="00F05D19" w:rsidRPr="0048465B">
        <w:rPr>
          <w:lang w:val="en-GB"/>
        </w:rPr>
        <w:t xml:space="preserve">twined </w:t>
      </w:r>
      <w:r w:rsidRPr="0048465B">
        <w:rPr>
          <w:lang w:val="en-GB"/>
        </w:rPr>
        <w:t xml:space="preserve">with a more general objective historical understanding of the story of Palestine, enables a more holistic understanding of the Palestinian experience, one that allows Palestinians individuality, provides </w:t>
      </w:r>
      <w:r w:rsidR="006D27FD">
        <w:rPr>
          <w:lang w:val="en-GB"/>
        </w:rPr>
        <w:t>them</w:t>
      </w:r>
      <w:r w:rsidR="006D27FD" w:rsidRPr="0048465B">
        <w:rPr>
          <w:lang w:val="en-GB"/>
        </w:rPr>
        <w:t xml:space="preserve"> </w:t>
      </w:r>
      <w:r w:rsidRPr="0048465B">
        <w:rPr>
          <w:lang w:val="en-GB"/>
        </w:rPr>
        <w:t>with a space in which their voices can be heard, and gives a more subjectively informed insight into the lives of Palestinians both before, and after, the creation of Israel.</w:t>
      </w:r>
    </w:p>
    <w:p w14:paraId="32A90344" w14:textId="77777777" w:rsidR="00FC331F" w:rsidRPr="0048465B" w:rsidRDefault="00FC331F" w:rsidP="00FC331F">
      <w:pPr>
        <w:rPr>
          <w:lang w:val="en-GB"/>
        </w:rPr>
      </w:pPr>
    </w:p>
    <w:p w14:paraId="18EF0F1D" w14:textId="77777777" w:rsidR="00FC331F" w:rsidRPr="0048465B" w:rsidRDefault="00FC331F" w:rsidP="00FC331F">
      <w:pPr>
        <w:jc w:val="center"/>
        <w:rPr>
          <w:b/>
          <w:lang w:val="en-GB"/>
        </w:rPr>
      </w:pPr>
      <w:r w:rsidRPr="0048465B">
        <w:rPr>
          <w:b/>
          <w:lang w:val="en-GB"/>
        </w:rPr>
        <w:t>Palestinian Representations</w:t>
      </w:r>
    </w:p>
    <w:p w14:paraId="262382FC" w14:textId="77777777" w:rsidR="00FC331F" w:rsidRPr="0048465B" w:rsidRDefault="00FC331F" w:rsidP="00FC331F">
      <w:pPr>
        <w:rPr>
          <w:lang w:val="en-GB"/>
        </w:rPr>
      </w:pPr>
    </w:p>
    <w:p w14:paraId="3B64C0E8" w14:textId="78F9FCA9" w:rsidR="00FC331F" w:rsidRPr="0048465B" w:rsidRDefault="00FC331F" w:rsidP="00FC331F">
      <w:pPr>
        <w:rPr>
          <w:lang w:val="en-GB"/>
        </w:rPr>
      </w:pPr>
      <w:r w:rsidRPr="0048465B">
        <w:rPr>
          <w:lang w:val="en-GB"/>
        </w:rPr>
        <w:t xml:space="preserve">Various patterns have emerged through the reading of the Palestinian texts in this chapter, so much so that even though </w:t>
      </w:r>
      <w:r w:rsidR="00C20F74">
        <w:rPr>
          <w:lang w:val="en-GB"/>
        </w:rPr>
        <w:t>it</w:t>
      </w:r>
      <w:r w:rsidRPr="0048465B">
        <w:rPr>
          <w:lang w:val="en-GB"/>
        </w:rPr>
        <w:t xml:space="preserve"> largely deals with these texts individually, the harmonies that exist between texts that are written by different authors from different generations, published and written in different countries of exile at different times, are powerfully resonant. One of the most striking of these unifying thematic similarities is the notion of the never ending 1948, the idea that, for Palestinians, all that has come to pass since their initial dispossession has been a continuation of the same single event. </w:t>
      </w:r>
    </w:p>
    <w:p w14:paraId="23496970" w14:textId="77777777" w:rsidR="00FC331F" w:rsidRPr="0048465B" w:rsidRDefault="00FC331F" w:rsidP="00FC331F">
      <w:pPr>
        <w:rPr>
          <w:lang w:val="en-GB"/>
        </w:rPr>
      </w:pPr>
    </w:p>
    <w:p w14:paraId="525EA968" w14:textId="672D84FD" w:rsidR="00FC331F" w:rsidRPr="0048465B" w:rsidRDefault="00FC331F" w:rsidP="00FC331F">
      <w:pPr>
        <w:rPr>
          <w:lang w:val="en-GB"/>
        </w:rPr>
      </w:pPr>
      <w:r w:rsidRPr="0048465B">
        <w:rPr>
          <w:lang w:val="en-GB"/>
        </w:rPr>
        <w:t xml:space="preserve">This sense of the Nakba as an endless event is powerfully exemplified in </w:t>
      </w:r>
      <w:r w:rsidRPr="0048465B">
        <w:rPr>
          <w:i/>
          <w:lang w:val="en-GB"/>
        </w:rPr>
        <w:t>Mornings in Jenin</w:t>
      </w:r>
      <w:r w:rsidRPr="0048465B">
        <w:rPr>
          <w:lang w:val="en-GB"/>
        </w:rPr>
        <w:t>, a work of fiction</w:t>
      </w:r>
      <w:r w:rsidR="005331BC">
        <w:rPr>
          <w:lang w:val="en-GB"/>
        </w:rPr>
        <w:t xml:space="preserve"> </w:t>
      </w:r>
      <w:r w:rsidRPr="0048465B">
        <w:rPr>
          <w:lang w:val="en-GB"/>
        </w:rPr>
        <w:t>by Palestinian</w:t>
      </w:r>
      <w:r w:rsidR="00B45635">
        <w:rPr>
          <w:lang w:val="en-GB"/>
        </w:rPr>
        <w:t xml:space="preserve"> </w:t>
      </w:r>
      <w:r w:rsidRPr="0048465B">
        <w:rPr>
          <w:lang w:val="en-GB"/>
        </w:rPr>
        <w:t>American author Susan Abulhawa.</w:t>
      </w:r>
      <w:r w:rsidR="00286B13" w:rsidRPr="0048465B">
        <w:rPr>
          <w:vertAlign w:val="superscript"/>
          <w:lang w:val="en-GB"/>
        </w:rPr>
        <w:footnoteReference w:id="241"/>
      </w:r>
      <w:r w:rsidRPr="0048465B">
        <w:rPr>
          <w:lang w:val="en-GB"/>
        </w:rPr>
        <w:t xml:space="preserve"> </w:t>
      </w:r>
      <w:r w:rsidR="005331BC">
        <w:rPr>
          <w:lang w:val="en-GB"/>
        </w:rPr>
        <w:t xml:space="preserve">Inspired by Abulhawa’s visit to </w:t>
      </w:r>
      <w:r w:rsidR="00C4283A">
        <w:rPr>
          <w:lang w:val="en-GB"/>
        </w:rPr>
        <w:t xml:space="preserve">a </w:t>
      </w:r>
      <w:r w:rsidR="005331BC">
        <w:rPr>
          <w:lang w:val="en-GB"/>
        </w:rPr>
        <w:t>Palestinian refugee camp and</w:t>
      </w:r>
      <w:r w:rsidR="00C4283A">
        <w:rPr>
          <w:lang w:val="en-GB"/>
        </w:rPr>
        <w:t xml:space="preserve"> her experiences </w:t>
      </w:r>
      <w:r w:rsidR="00122E7D">
        <w:rPr>
          <w:lang w:val="en-GB"/>
        </w:rPr>
        <w:t>at</w:t>
      </w:r>
      <w:r w:rsidR="005331BC">
        <w:rPr>
          <w:lang w:val="en-GB"/>
        </w:rPr>
        <w:t xml:space="preserve"> the </w:t>
      </w:r>
      <w:r w:rsidR="005331BC" w:rsidRPr="005331BC">
        <w:rPr>
          <w:lang w:val="en-GB"/>
        </w:rPr>
        <w:t xml:space="preserve">Dar el </w:t>
      </w:r>
      <w:proofErr w:type="spellStart"/>
      <w:r w:rsidR="005331BC" w:rsidRPr="005331BC">
        <w:rPr>
          <w:lang w:val="en-GB"/>
        </w:rPr>
        <w:t>Tifl</w:t>
      </w:r>
      <w:proofErr w:type="spellEnd"/>
      <w:r w:rsidR="005331BC" w:rsidRPr="005331BC">
        <w:rPr>
          <w:lang w:val="en-GB"/>
        </w:rPr>
        <w:t xml:space="preserve"> orphanage</w:t>
      </w:r>
      <w:r w:rsidR="005331BC">
        <w:rPr>
          <w:lang w:val="en-GB"/>
        </w:rPr>
        <w:t>,</w:t>
      </w:r>
      <w:r w:rsidR="00C4283A">
        <w:rPr>
          <w:rStyle w:val="FootnoteReference"/>
          <w:lang w:val="en-GB"/>
        </w:rPr>
        <w:footnoteReference w:id="242"/>
      </w:r>
      <w:r w:rsidR="005331BC">
        <w:rPr>
          <w:lang w:val="en-GB"/>
        </w:rPr>
        <w:t xml:space="preserve"> </w:t>
      </w:r>
      <w:r w:rsidRPr="0048465B">
        <w:rPr>
          <w:i/>
          <w:lang w:val="en-GB"/>
        </w:rPr>
        <w:t>Mornings in Jenin</w:t>
      </w:r>
      <w:r w:rsidRPr="0048465B">
        <w:rPr>
          <w:lang w:val="en-GB"/>
        </w:rPr>
        <w:t xml:space="preserve"> follows four generations of the Abulhejas, a Palestinian family originating in the Palestinian (now Israeli) village of Ein Hod. Abulhawa’s novel explores and contrasts the lives of each generation </w:t>
      </w:r>
      <w:r w:rsidRPr="0048465B">
        <w:rPr>
          <w:lang w:val="en-GB"/>
        </w:rPr>
        <w:lastRenderedPageBreak/>
        <w:t>of the Abulheja family, as Israel and Israeli persecution emerges and grows into a forcefully destructive presence. The first generation, compris</w:t>
      </w:r>
      <w:r w:rsidR="00BA778A">
        <w:rPr>
          <w:lang w:val="en-GB"/>
        </w:rPr>
        <w:t>ed</w:t>
      </w:r>
      <w:r w:rsidRPr="0048465B">
        <w:rPr>
          <w:lang w:val="en-GB"/>
        </w:rPr>
        <w:t xml:space="preserve"> of Yehya and Basima, sets the scene of pre-Israel Palestine, where connections with nature and land are paramount, where there are interfaith friendships, and where the biggest rivalry </w:t>
      </w:r>
      <w:r w:rsidR="00E6072D">
        <w:rPr>
          <w:lang w:val="en-GB"/>
        </w:rPr>
        <w:t xml:space="preserve">ostensibly </w:t>
      </w:r>
      <w:r w:rsidRPr="0048465B">
        <w:rPr>
          <w:lang w:val="en-GB"/>
        </w:rPr>
        <w:t>revolves around the speed with which a field of olives can be harvested.</w:t>
      </w:r>
      <w:r w:rsidR="00E6072D">
        <w:rPr>
          <w:rStyle w:val="FootnoteReference"/>
          <w:lang w:val="en-GB"/>
        </w:rPr>
        <w:footnoteReference w:id="243"/>
      </w:r>
      <w:r w:rsidRPr="0048465B">
        <w:rPr>
          <w:lang w:val="en-GB"/>
        </w:rPr>
        <w:t xml:space="preserve"> Basima lives and dies before the existence of Israel (although not before witnessing </w:t>
      </w:r>
      <w:r w:rsidR="00D57158">
        <w:rPr>
          <w:lang w:val="en-GB"/>
        </w:rPr>
        <w:t xml:space="preserve">pre-state Jewish </w:t>
      </w:r>
      <w:r w:rsidRPr="0048465B">
        <w:rPr>
          <w:lang w:val="en-GB"/>
        </w:rPr>
        <w:t xml:space="preserve">aggression), whilst </w:t>
      </w:r>
      <w:r w:rsidR="00F2581A" w:rsidRPr="0048465B">
        <w:rPr>
          <w:lang w:val="en-GB"/>
        </w:rPr>
        <w:t>Yehya</w:t>
      </w:r>
      <w:r w:rsidRPr="0048465B">
        <w:rPr>
          <w:lang w:val="en-GB"/>
        </w:rPr>
        <w:t xml:space="preserve"> lives just long enough to be exiled from Ein Hod, but not long enough to truly understand the permanence of his displacement. The following generation, brothers Hasan and Darweesh, and Hasan’s wife Dalia, are all born pre-Israel, but witness its creation as adults and </w:t>
      </w:r>
      <w:r w:rsidR="00122E7D">
        <w:rPr>
          <w:lang w:val="en-GB"/>
        </w:rPr>
        <w:t>–</w:t>
      </w:r>
      <w:r w:rsidRPr="0048465B">
        <w:rPr>
          <w:lang w:val="en-GB"/>
        </w:rPr>
        <w:t xml:space="preserve"> for Hasan and Dalia </w:t>
      </w:r>
      <w:r w:rsidR="00122E7D">
        <w:rPr>
          <w:lang w:val="en-GB"/>
        </w:rPr>
        <w:t>–</w:t>
      </w:r>
      <w:r w:rsidRPr="0048465B">
        <w:rPr>
          <w:lang w:val="en-GB"/>
        </w:rPr>
        <w:t xml:space="preserve"> as</w:t>
      </w:r>
      <w:r w:rsidR="00122E7D">
        <w:rPr>
          <w:lang w:val="en-GB"/>
        </w:rPr>
        <w:t xml:space="preserve"> p</w:t>
      </w:r>
      <w:r w:rsidRPr="0048465B">
        <w:rPr>
          <w:lang w:val="en-GB"/>
        </w:rPr>
        <w:t>arents. Hasan, Dalia, and Darweesh represent those who were old enough to truly know the Palestine of before, and who lived long enough to truly know the Palestine of after. Next come Yousef, Amal, and Ismael, the children of Hasan and Dalia, who grow up shortly before and in the immediate aftermath of the creation of Israel, who have little recollection, if any, of pre-1948 Palestine. The life of Amal, and especially her relationships with the women who came before and after her, constitute the majority of the novel. Finally, there is Sara, Amal’s only child, born in America, with a physical detachment from Palestine, if not an emotional one.</w:t>
      </w:r>
    </w:p>
    <w:p w14:paraId="1495CBB5" w14:textId="77777777" w:rsidR="00FC331F" w:rsidRPr="0048465B" w:rsidRDefault="00FC331F" w:rsidP="00FC331F">
      <w:pPr>
        <w:rPr>
          <w:lang w:val="en-GB"/>
        </w:rPr>
      </w:pPr>
    </w:p>
    <w:p w14:paraId="51B498D3" w14:textId="5853CBAE" w:rsidR="00FC331F" w:rsidRPr="0048465B" w:rsidRDefault="00FC331F" w:rsidP="00FC331F">
      <w:pPr>
        <w:rPr>
          <w:lang w:val="en-GB"/>
        </w:rPr>
      </w:pPr>
      <w:r w:rsidRPr="0048465B">
        <w:rPr>
          <w:lang w:val="en-GB"/>
        </w:rPr>
        <w:t xml:space="preserve">The seemingly endless agony of the Nakba is most effectively expressed through the lives of the women of the Abulheja family. The notion of female inheritance is introduced early in the novel, shortly after Basima’s death, when ‘Dalia </w:t>
      </w:r>
      <w:proofErr w:type="spellStart"/>
      <w:r w:rsidRPr="0048465B">
        <w:rPr>
          <w:lang w:val="en-GB"/>
        </w:rPr>
        <w:t>bec</w:t>
      </w:r>
      <w:proofErr w:type="spellEnd"/>
      <w:r w:rsidRPr="0048465B">
        <w:rPr>
          <w:lang w:val="en-GB"/>
        </w:rPr>
        <w:t>[</w:t>
      </w:r>
      <w:proofErr w:type="spellStart"/>
      <w:r w:rsidRPr="0048465B">
        <w:rPr>
          <w:lang w:val="en-GB"/>
        </w:rPr>
        <w:t>omes</w:t>
      </w:r>
      <w:proofErr w:type="spellEnd"/>
      <w:r w:rsidRPr="0048465B">
        <w:rPr>
          <w:lang w:val="en-GB"/>
        </w:rPr>
        <w:t>] the custodian of her beloved roses’</w:t>
      </w:r>
      <w:r w:rsidRPr="0048465B">
        <w:rPr>
          <w:vertAlign w:val="superscript"/>
          <w:lang w:val="en-GB"/>
        </w:rPr>
        <w:footnoteReference w:id="244"/>
      </w:r>
      <w:r w:rsidRPr="0048465B">
        <w:rPr>
          <w:lang w:val="en-GB"/>
        </w:rPr>
        <w:t xml:space="preserve"> and plants them at Basima’s grave, as well as slightly further along when, as Dalia is forced out of Ein </w:t>
      </w:r>
      <w:r w:rsidRPr="0048465B">
        <w:rPr>
          <w:lang w:val="en-GB"/>
        </w:rPr>
        <w:lastRenderedPageBreak/>
        <w:t xml:space="preserve">Hod, she finds that she has </w:t>
      </w:r>
      <w:r w:rsidR="00D57158">
        <w:rPr>
          <w:lang w:val="en-GB"/>
        </w:rPr>
        <w:t>unwittingly</w:t>
      </w:r>
      <w:r w:rsidRPr="0048465B">
        <w:rPr>
          <w:lang w:val="en-GB"/>
        </w:rPr>
        <w:t xml:space="preserve"> brought along ‘Basima’s pruning shears’ amongst the ‘golden </w:t>
      </w:r>
      <w:proofErr w:type="spellStart"/>
      <w:r w:rsidRPr="0048465B">
        <w:rPr>
          <w:lang w:val="en-GB"/>
        </w:rPr>
        <w:t>jewelry</w:t>
      </w:r>
      <w:proofErr w:type="spellEnd"/>
      <w:r w:rsidR="000C3FB4">
        <w:rPr>
          <w:lang w:val="en-GB"/>
        </w:rPr>
        <w:t xml:space="preserve"> […] </w:t>
      </w:r>
      <w:r w:rsidRPr="0048465B">
        <w:rPr>
          <w:lang w:val="en-GB"/>
        </w:rPr>
        <w:t>food, clothes, and blankets’.</w:t>
      </w:r>
      <w:r w:rsidRPr="0048465B">
        <w:rPr>
          <w:vertAlign w:val="superscript"/>
          <w:lang w:val="en-GB"/>
        </w:rPr>
        <w:footnoteReference w:id="245"/>
      </w:r>
      <w:r w:rsidRPr="0048465B">
        <w:rPr>
          <w:lang w:val="en-GB"/>
        </w:rPr>
        <w:t xml:space="preserve"> Here, we see not only the aforementioned powerful affiliation between Palestinians and the land upon which they live, and the beginning of the forcible separation between the two, but also a fragile sentimentality and emotional intimacy that is slowly but surely erased as the novel progresses. All of the things that Basima passes on to Dalia, her love for roses, her pruning shears, the ‘rhythms of breastfeeding and the treatments for colic’,</w:t>
      </w:r>
      <w:r w:rsidRPr="0048465B">
        <w:rPr>
          <w:vertAlign w:val="superscript"/>
          <w:lang w:val="en-GB"/>
        </w:rPr>
        <w:footnoteReference w:id="246"/>
      </w:r>
      <w:r w:rsidRPr="0048465B">
        <w:rPr>
          <w:lang w:val="en-GB"/>
        </w:rPr>
        <w:t xml:space="preserve"> are centred upon the cultivation of life and beauty. Basima finds herself ‘giddy, excited to have a female heir to her empire of enchanted herbs’,</w:t>
      </w:r>
      <w:r w:rsidRPr="0048465B">
        <w:rPr>
          <w:vertAlign w:val="superscript"/>
          <w:lang w:val="en-GB"/>
        </w:rPr>
        <w:footnoteReference w:id="247"/>
      </w:r>
      <w:r w:rsidRPr="0048465B">
        <w:rPr>
          <w:lang w:val="en-GB"/>
        </w:rPr>
        <w:t xml:space="preserve"> this excitement as much a manifestation of the pride that comparative peace allows in such small things, as it is of the fact that, for Basima, the future remains bright enough to deem such information worth passing on.</w:t>
      </w:r>
    </w:p>
    <w:p w14:paraId="1857A7BA" w14:textId="77777777" w:rsidR="00FC331F" w:rsidRPr="0048465B" w:rsidRDefault="00FC331F" w:rsidP="00FC331F">
      <w:pPr>
        <w:rPr>
          <w:lang w:val="en-GB"/>
        </w:rPr>
      </w:pPr>
    </w:p>
    <w:p w14:paraId="75CA5293" w14:textId="21B9B006" w:rsidR="00FC331F" w:rsidRPr="0048465B" w:rsidRDefault="00FC331F" w:rsidP="00FC331F">
      <w:pPr>
        <w:rPr>
          <w:lang w:val="en-GB"/>
        </w:rPr>
      </w:pPr>
      <w:r w:rsidRPr="0048465B">
        <w:rPr>
          <w:lang w:val="en-GB"/>
        </w:rPr>
        <w:t>This appreciation for nature, for the small and beautiful parts of life, largely dies alongside Basima. 1948 comes, and falls ‘from the calendar into exile, [time itself] ceasing to reckon the marching count of days, months, and years, instead becoming an infinite mist of one moment in history</w:t>
      </w:r>
      <w:r w:rsidR="000C3FB4">
        <w:rPr>
          <w:lang w:val="en-GB"/>
        </w:rPr>
        <w:t xml:space="preserve"> […] </w:t>
      </w:r>
      <w:r w:rsidRPr="0048465B">
        <w:rPr>
          <w:lang w:val="en-GB"/>
        </w:rPr>
        <w:t>swirl[</w:t>
      </w:r>
      <w:proofErr w:type="spellStart"/>
      <w:r w:rsidRPr="0048465B">
        <w:rPr>
          <w:lang w:val="en-GB"/>
        </w:rPr>
        <w:t>ing</w:t>
      </w:r>
      <w:proofErr w:type="spellEnd"/>
      <w:r w:rsidRPr="0048465B">
        <w:rPr>
          <w:lang w:val="en-GB"/>
        </w:rPr>
        <w:t>] aimlessly in the heart of Palestine’.</w:t>
      </w:r>
      <w:r w:rsidRPr="0048465B">
        <w:rPr>
          <w:vertAlign w:val="superscript"/>
          <w:lang w:val="en-GB"/>
        </w:rPr>
        <w:footnoteReference w:id="248"/>
      </w:r>
      <w:r w:rsidRPr="0048465B">
        <w:rPr>
          <w:lang w:val="en-GB"/>
        </w:rPr>
        <w:t xml:space="preserve"> It is in this year</w:t>
      </w:r>
      <w:r w:rsidR="00D80BDE">
        <w:rPr>
          <w:lang w:val="en-GB"/>
        </w:rPr>
        <w:t>, the never ending 1948</w:t>
      </w:r>
      <w:r w:rsidRPr="0048465B">
        <w:rPr>
          <w:lang w:val="en-GB"/>
        </w:rPr>
        <w:t>, during the Abulhejas’ displacement from Ein Hod, that Dalia’s third son Ismael</w:t>
      </w:r>
      <w:r w:rsidR="00C20AB2" w:rsidRPr="0048465B">
        <w:rPr>
          <w:vertAlign w:val="superscript"/>
          <w:lang w:val="en-GB"/>
        </w:rPr>
        <w:footnoteReference w:id="249"/>
      </w:r>
      <w:r w:rsidRPr="0048465B">
        <w:rPr>
          <w:lang w:val="en-GB"/>
        </w:rPr>
        <w:t xml:space="preserve"> is taken from her by an Israeli soldier to give to his wife, a Holocaust survivor who cannot bear children due to suffering </w:t>
      </w:r>
      <w:r w:rsidRPr="0048465B">
        <w:rPr>
          <w:lang w:val="en-GB"/>
        </w:rPr>
        <w:lastRenderedPageBreak/>
        <w:t>years of sexual abuse by SS soldiers. During the Six-Day war of 1967, Dalia’s husband Hasan disappears, to be confirmed dead many years later. Dalia spends those six days bringing food and milk to her daughter Amal and niece Aisha, as well as Amal’s friend Huda, all of whom Dalia secures under a false floor in their kitchen. The two young children hide there for six days as the bombs fall around them, the corpse of the infant Aisha lying beside them after a piece of shrapnel tears through her tiny body. Abulhawa writes this all from the perspective of Amal, and it is from this perspective that we see Dalia in the immediate aftermath, broken, ‘sitting on the ground, her eyes distant, uninhabited’.</w:t>
      </w:r>
      <w:r w:rsidRPr="0048465B">
        <w:rPr>
          <w:vertAlign w:val="superscript"/>
          <w:lang w:val="en-GB"/>
        </w:rPr>
        <w:footnoteReference w:id="250"/>
      </w:r>
    </w:p>
    <w:p w14:paraId="6DCEC098" w14:textId="77777777" w:rsidR="00FC331F" w:rsidRPr="0048465B" w:rsidRDefault="00FC331F" w:rsidP="00FC331F">
      <w:pPr>
        <w:rPr>
          <w:lang w:val="en-GB"/>
        </w:rPr>
      </w:pPr>
    </w:p>
    <w:p w14:paraId="2FBF7657" w14:textId="7471E4DC" w:rsidR="00FC331F" w:rsidRPr="0048465B" w:rsidRDefault="00FC331F" w:rsidP="00FC331F">
      <w:pPr>
        <w:rPr>
          <w:lang w:val="en-GB"/>
        </w:rPr>
      </w:pPr>
      <w:r w:rsidRPr="0048465B">
        <w:rPr>
          <w:lang w:val="en-GB"/>
        </w:rPr>
        <w:t xml:space="preserve">In stark contrast to the close maternal relationship between Basima and daughter-in-law Dalia, the relationship between Dalia and her daughter Amal is defined by this sense of distance and dissociation. The narrative mode changes shortly before the Six-Day war, which is told instead through Amal’s own voice, the first instance of first-person narration in the novel. As well as identifying Amal as the novel’s main protagonist, this change also marks the transition from Dalia’s and Basima’s generations </w:t>
      </w:r>
      <w:r w:rsidR="007A27B9">
        <w:rPr>
          <w:lang w:val="en-GB"/>
        </w:rPr>
        <w:t>–</w:t>
      </w:r>
      <w:r w:rsidRPr="0048465B">
        <w:rPr>
          <w:lang w:val="en-GB"/>
        </w:rPr>
        <w:t xml:space="preserve"> those that knew peace and had a physical connection to the land, represented in the third-person past tense </w:t>
      </w:r>
      <w:r w:rsidR="007A27B9">
        <w:rPr>
          <w:lang w:val="en-GB"/>
        </w:rPr>
        <w:t>–</w:t>
      </w:r>
      <w:r w:rsidRPr="0048465B">
        <w:rPr>
          <w:lang w:val="en-GB"/>
        </w:rPr>
        <w:t xml:space="preserve"> to Amal’s, those that came thereafter, for whom memories of vast olive groves and family lands are handed down rather than experienced, and for whom peace is a</w:t>
      </w:r>
      <w:r w:rsidR="00D80BDE">
        <w:rPr>
          <w:lang w:val="en-GB"/>
        </w:rPr>
        <w:t xml:space="preserve">n unstable </w:t>
      </w:r>
      <w:r w:rsidRPr="0048465B">
        <w:rPr>
          <w:lang w:val="en-GB"/>
        </w:rPr>
        <w:t xml:space="preserve">concept, always susceptible to change, exemplified by the emotional insight provided by the first-person narrative mode. Thus, having been told what Dalia inherited from Basima by an omniscient narrator, we now experience directly, through Amal, the ways in which the notion of inheritance has changed. The reader, up until Dalia’s exile from Ein Hod, knows her as the wild Bedouin girl who steals Darweesh’s horse, is publicly burned on her right </w:t>
      </w:r>
      <w:r w:rsidRPr="0048465B">
        <w:rPr>
          <w:lang w:val="en-GB"/>
        </w:rPr>
        <w:lastRenderedPageBreak/>
        <w:t xml:space="preserve">hand by her father for her crime, and then falls in love with Darweesh’s brother Hasan and wins over their reluctant mother Basima. She is the village midwife, associated with life and an abundance of energy. Amal sees her father in the same way, a vision made permanent through his death. Dalia, on the other hand, survives, and this survival, twinned with her having lost her baby Ismael, means that the Dalia we see through Amal’s eyes is nothing like the Dalia we knew in her youth. Consequently, the things Dalia passes down to Amal are not based in livelihood, flowers, herbs, </w:t>
      </w:r>
      <w:r w:rsidR="007A27B9">
        <w:rPr>
          <w:lang w:val="en-GB"/>
        </w:rPr>
        <w:t xml:space="preserve">or </w:t>
      </w:r>
      <w:r w:rsidRPr="0048465B">
        <w:rPr>
          <w:lang w:val="en-GB"/>
        </w:rPr>
        <w:t>the feeding of children, but in fear.</w:t>
      </w:r>
    </w:p>
    <w:p w14:paraId="5F2BA977" w14:textId="77777777" w:rsidR="00FC331F" w:rsidRPr="0048465B" w:rsidRDefault="00FC331F" w:rsidP="00FC331F">
      <w:pPr>
        <w:rPr>
          <w:lang w:val="en-GB"/>
        </w:rPr>
      </w:pPr>
    </w:p>
    <w:p w14:paraId="29112D79" w14:textId="57E92849" w:rsidR="00FC331F" w:rsidRPr="0048465B" w:rsidRDefault="00FC331F" w:rsidP="00FC331F">
      <w:pPr>
        <w:rPr>
          <w:lang w:val="en-GB"/>
        </w:rPr>
      </w:pPr>
      <w:r w:rsidRPr="0048465B">
        <w:rPr>
          <w:lang w:val="en-GB"/>
        </w:rPr>
        <w:t>It is when Amal is assisting Dalia with her midwifery duties that Dalia first passes on what Amal comes to think as her mother’s mantra: ‘“Don’t be weak and don’t get sick.” Stern as steel. “Whatever you feel, keep it inside.”’.</w:t>
      </w:r>
      <w:r w:rsidRPr="0048465B">
        <w:rPr>
          <w:vertAlign w:val="superscript"/>
          <w:lang w:val="en-GB"/>
        </w:rPr>
        <w:footnoteReference w:id="251"/>
      </w:r>
      <w:r w:rsidRPr="0048465B">
        <w:rPr>
          <w:lang w:val="en-GB"/>
        </w:rPr>
        <w:t xml:space="preserve"> Whilst initially this admonition appears to be strictly in relation to childbirth, a warning to Amal to stay professional and composed at a stressful, intimate, and vulnerable time, this, ironically, is actually the only time that Dalia shows any open expression of love to Amal, when Amal embodies the emotionless efficiency and practicality that Dalia has come to represent herself. Amal remembers Dalia’s love as being shown only through the acts of ‘[</w:t>
      </w:r>
      <w:proofErr w:type="spellStart"/>
      <w:r w:rsidRPr="0048465B">
        <w:rPr>
          <w:lang w:val="en-GB"/>
        </w:rPr>
        <w:t>i</w:t>
      </w:r>
      <w:proofErr w:type="spellEnd"/>
      <w:r w:rsidRPr="0048465B">
        <w:rPr>
          <w:lang w:val="en-GB"/>
        </w:rPr>
        <w:t>]</w:t>
      </w:r>
      <w:proofErr w:type="spellStart"/>
      <w:r w:rsidRPr="0048465B">
        <w:rPr>
          <w:lang w:val="en-GB"/>
        </w:rPr>
        <w:t>mparting</w:t>
      </w:r>
      <w:proofErr w:type="spellEnd"/>
      <w:r w:rsidRPr="0048465B">
        <w:rPr>
          <w:lang w:val="en-GB"/>
        </w:rPr>
        <w:t xml:space="preserve"> skills and forestalling weakness’, and that ‘everything else, the hugs and kisses I so craved, she held with the clench of her </w:t>
      </w:r>
      <w:r w:rsidR="00D80BDE">
        <w:rPr>
          <w:lang w:val="en-GB"/>
        </w:rPr>
        <w:t>jaw</w:t>
      </w:r>
      <w:r w:rsidR="000C3FB4">
        <w:rPr>
          <w:lang w:val="en-GB"/>
        </w:rPr>
        <w:t xml:space="preserve"> […] </w:t>
      </w:r>
      <w:r w:rsidRPr="0048465B">
        <w:rPr>
          <w:i/>
          <w:lang w:val="en-GB"/>
        </w:rPr>
        <w:t>Whatever you feel, keep it inside</w:t>
      </w:r>
      <w:r w:rsidRPr="0048465B">
        <w:rPr>
          <w:lang w:val="en-GB"/>
        </w:rPr>
        <w:t>’,</w:t>
      </w:r>
      <w:r w:rsidRPr="0048465B">
        <w:rPr>
          <w:vertAlign w:val="superscript"/>
          <w:lang w:val="en-GB"/>
        </w:rPr>
        <w:footnoteReference w:id="252"/>
      </w:r>
      <w:r w:rsidRPr="0048465B">
        <w:rPr>
          <w:lang w:val="en-GB"/>
        </w:rPr>
        <w:t xml:space="preserve"> a legacy of repression, centred in the denial of love, for fear of loss. </w:t>
      </w:r>
    </w:p>
    <w:p w14:paraId="130A3C5F" w14:textId="77777777" w:rsidR="00FC331F" w:rsidRPr="0048465B" w:rsidRDefault="00FC331F" w:rsidP="00FC331F">
      <w:pPr>
        <w:rPr>
          <w:lang w:val="en-GB"/>
        </w:rPr>
      </w:pPr>
    </w:p>
    <w:p w14:paraId="0ABAD1F2" w14:textId="7C95569B" w:rsidR="00FC331F" w:rsidRPr="0048465B" w:rsidRDefault="00D80BDE" w:rsidP="00FC331F">
      <w:pPr>
        <w:rPr>
          <w:lang w:val="en-GB"/>
        </w:rPr>
      </w:pPr>
      <w:r>
        <w:rPr>
          <w:lang w:val="en-GB"/>
        </w:rPr>
        <w:t>This detachment, the legacy of 1948 and the loss of land and child that Dalia experienced, serves as a foreshadowing of Amal’s own experiences in later life, one that i</w:t>
      </w:r>
      <w:r w:rsidR="00D57158">
        <w:rPr>
          <w:lang w:val="en-GB"/>
        </w:rPr>
        <w:t>s</w:t>
      </w:r>
      <w:r>
        <w:rPr>
          <w:lang w:val="en-GB"/>
        </w:rPr>
        <w:t xml:space="preserve"> made all the more powerful though Amal’s </w:t>
      </w:r>
      <w:r w:rsidR="00ED3DBE">
        <w:rPr>
          <w:lang w:val="en-GB"/>
        </w:rPr>
        <w:t>inability to understand her mother’s pain.</w:t>
      </w:r>
      <w:r>
        <w:rPr>
          <w:lang w:val="en-GB"/>
        </w:rPr>
        <w:t xml:space="preserve"> </w:t>
      </w:r>
      <w:r w:rsidR="00FC331F" w:rsidRPr="0048465B">
        <w:rPr>
          <w:lang w:val="en-GB"/>
        </w:rPr>
        <w:t xml:space="preserve">As it is through Amal’s eyes that </w:t>
      </w:r>
      <w:r w:rsidR="00FC331F" w:rsidRPr="0048465B">
        <w:rPr>
          <w:lang w:val="en-GB"/>
        </w:rPr>
        <w:lastRenderedPageBreak/>
        <w:t>Abulhawa gives shape to this depiction of Dalia, the reader is provided with a first-person insight into that which Amal feels her mother passes down to her. To Amal’s young eyes, there is no clear association between Dalia’s pain of having lost both a child and a husband, and the reluctance to invest love and the hope for a future in two more children. Amal’s childhood is permeated by memories of physical detachment, remembering a single time when she awoke in the middle of the night to find Dalia ‘tenderly stroking my hair’.</w:t>
      </w:r>
      <w:r w:rsidR="00FC331F" w:rsidRPr="0048465B">
        <w:rPr>
          <w:vertAlign w:val="superscript"/>
          <w:lang w:val="en-GB"/>
        </w:rPr>
        <w:footnoteReference w:id="253"/>
      </w:r>
      <w:r w:rsidR="00FC331F" w:rsidRPr="0048465B">
        <w:rPr>
          <w:lang w:val="en-GB"/>
        </w:rPr>
        <w:t xml:space="preserve"> When the Six-Day war is finally over, Amal sees Dalia in ‘the treatment tent and </w:t>
      </w:r>
      <w:proofErr w:type="spellStart"/>
      <w:r w:rsidR="00FC331F" w:rsidRPr="0048465B">
        <w:rPr>
          <w:lang w:val="en-GB"/>
        </w:rPr>
        <w:t>rushe</w:t>
      </w:r>
      <w:proofErr w:type="spellEnd"/>
      <w:r w:rsidR="00FC331F" w:rsidRPr="0048465B">
        <w:rPr>
          <w:lang w:val="en-GB"/>
        </w:rPr>
        <w:t>[s] toward her, aching for another embrace’, only to find Dalia ‘motionless in a corner</w:t>
      </w:r>
      <w:r w:rsidR="000C3FB4">
        <w:rPr>
          <w:lang w:val="en-GB"/>
        </w:rPr>
        <w:t xml:space="preserve"> […] </w:t>
      </w:r>
      <w:r w:rsidR="00FC331F" w:rsidRPr="0048465B">
        <w:rPr>
          <w:lang w:val="en-GB"/>
        </w:rPr>
        <w:t>seem[</w:t>
      </w:r>
      <w:proofErr w:type="spellStart"/>
      <w:r w:rsidR="00FC331F" w:rsidRPr="0048465B">
        <w:rPr>
          <w:lang w:val="en-GB"/>
        </w:rPr>
        <w:t>ing</w:t>
      </w:r>
      <w:proofErr w:type="spellEnd"/>
      <w:r w:rsidR="00FC331F" w:rsidRPr="0048465B">
        <w:rPr>
          <w:lang w:val="en-GB"/>
        </w:rPr>
        <w:t xml:space="preserve">] to see nothing’. </w:t>
      </w:r>
      <w:r w:rsidR="00ED3DBE">
        <w:rPr>
          <w:lang w:val="en-GB"/>
        </w:rPr>
        <w:t xml:space="preserve">Yet instead of understanding her mother’s grief and shock, </w:t>
      </w:r>
      <w:r w:rsidR="00FC331F" w:rsidRPr="0048465B">
        <w:rPr>
          <w:lang w:val="en-GB"/>
        </w:rPr>
        <w:t xml:space="preserve">Amal </w:t>
      </w:r>
      <w:r w:rsidR="00ED3DBE">
        <w:rPr>
          <w:lang w:val="en-GB"/>
        </w:rPr>
        <w:t>‘</w:t>
      </w:r>
      <w:r w:rsidR="00FC331F" w:rsidRPr="0048465B">
        <w:rPr>
          <w:lang w:val="en-GB"/>
        </w:rPr>
        <w:t>hate</w:t>
      </w:r>
      <w:r w:rsidR="00ED3DBE">
        <w:rPr>
          <w:lang w:val="en-GB"/>
        </w:rPr>
        <w:t>[s]</w:t>
      </w:r>
      <w:r w:rsidR="00FC331F" w:rsidRPr="0048465B">
        <w:rPr>
          <w:lang w:val="en-GB"/>
        </w:rPr>
        <w:t xml:space="preserve"> Mama for being in shock, whatever that was, for not being the one to put her arms around me, for always having been different from the other mothers’.</w:t>
      </w:r>
      <w:r w:rsidR="00FC331F" w:rsidRPr="0048465B">
        <w:rPr>
          <w:vertAlign w:val="superscript"/>
          <w:lang w:val="en-GB"/>
        </w:rPr>
        <w:footnoteReference w:id="254"/>
      </w:r>
      <w:r w:rsidR="00FC331F" w:rsidRPr="0048465B">
        <w:rPr>
          <w:vertAlign w:val="superscript"/>
          <w:lang w:val="en-GB"/>
        </w:rPr>
        <w:t xml:space="preserve"> </w:t>
      </w:r>
      <w:r w:rsidR="00FC331F" w:rsidRPr="0048465B">
        <w:rPr>
          <w:lang w:val="en-GB"/>
        </w:rPr>
        <w:t>Later in life, when Dalia is close to death, Amal</w:t>
      </w:r>
      <w:r w:rsidR="00ED3DBE">
        <w:rPr>
          <w:lang w:val="en-GB"/>
        </w:rPr>
        <w:t xml:space="preserve">, still </w:t>
      </w:r>
      <w:r w:rsidR="009C76CD">
        <w:rPr>
          <w:lang w:val="en-GB"/>
        </w:rPr>
        <w:t>reluctant to acknowledge</w:t>
      </w:r>
      <w:r w:rsidR="00ED3DBE">
        <w:rPr>
          <w:lang w:val="en-GB"/>
        </w:rPr>
        <w:t xml:space="preserve"> the suffering</w:t>
      </w:r>
      <w:r w:rsidR="009C76CD">
        <w:rPr>
          <w:lang w:val="en-GB"/>
        </w:rPr>
        <w:t xml:space="preserve"> that</w:t>
      </w:r>
      <w:r w:rsidR="00ED3DBE">
        <w:rPr>
          <w:lang w:val="en-GB"/>
        </w:rPr>
        <w:t xml:space="preserve"> her mother has been th</w:t>
      </w:r>
      <w:r w:rsidR="00ED7125">
        <w:rPr>
          <w:lang w:val="en-GB"/>
        </w:rPr>
        <w:t>r</w:t>
      </w:r>
      <w:r w:rsidR="00ED3DBE">
        <w:rPr>
          <w:lang w:val="en-GB"/>
        </w:rPr>
        <w:t>ough,</w:t>
      </w:r>
      <w:r w:rsidR="00FC331F" w:rsidRPr="0048465B">
        <w:rPr>
          <w:lang w:val="en-GB"/>
        </w:rPr>
        <w:t xml:space="preserve"> sees her mother as one ‘plunged far into the abyss of her mind, defecting even from her own body, leaving it to the epidemic of misfortune’,</w:t>
      </w:r>
      <w:r w:rsidR="00FC331F" w:rsidRPr="0048465B">
        <w:rPr>
          <w:vertAlign w:val="superscript"/>
          <w:lang w:val="en-GB"/>
        </w:rPr>
        <w:footnoteReference w:id="255"/>
      </w:r>
      <w:r w:rsidR="00FC331F" w:rsidRPr="0048465B">
        <w:rPr>
          <w:lang w:val="en-GB"/>
        </w:rPr>
        <w:t xml:space="preserve"> and upon Dalia’s death, Amal cries ‘not for this woman’s death, but for my mother, who had departed that body years before’,</w:t>
      </w:r>
      <w:r w:rsidR="00FC331F" w:rsidRPr="0048465B">
        <w:rPr>
          <w:vertAlign w:val="superscript"/>
          <w:lang w:val="en-GB"/>
        </w:rPr>
        <w:footnoteReference w:id="256"/>
      </w:r>
      <w:r w:rsidR="00FC331F" w:rsidRPr="0048465B">
        <w:rPr>
          <w:lang w:val="en-GB"/>
        </w:rPr>
        <w:t xml:space="preserve"> confirming </w:t>
      </w:r>
      <w:r w:rsidR="00ED3DBE">
        <w:rPr>
          <w:lang w:val="en-GB"/>
        </w:rPr>
        <w:t>the</w:t>
      </w:r>
      <w:r w:rsidR="00D57158">
        <w:rPr>
          <w:lang w:val="en-GB"/>
        </w:rPr>
        <w:t xml:space="preserve"> complicated fusion of grief and</w:t>
      </w:r>
      <w:r w:rsidR="00FC331F" w:rsidRPr="0048465B">
        <w:rPr>
          <w:lang w:val="en-GB"/>
        </w:rPr>
        <w:t xml:space="preserve"> </w:t>
      </w:r>
      <w:r w:rsidR="00D57158">
        <w:rPr>
          <w:lang w:val="en-GB"/>
        </w:rPr>
        <w:t>estrangement</w:t>
      </w:r>
      <w:r w:rsidR="00FC331F" w:rsidRPr="0048465B">
        <w:rPr>
          <w:lang w:val="en-GB"/>
        </w:rPr>
        <w:t xml:space="preserve"> that Amal feels </w:t>
      </w:r>
      <w:r w:rsidR="00D57158">
        <w:rPr>
          <w:lang w:val="en-GB"/>
        </w:rPr>
        <w:t xml:space="preserve">in relation to </w:t>
      </w:r>
      <w:r w:rsidR="00ED3DBE">
        <w:rPr>
          <w:lang w:val="en-GB"/>
        </w:rPr>
        <w:t>Dalia</w:t>
      </w:r>
      <w:r w:rsidR="00FC331F" w:rsidRPr="0048465B">
        <w:rPr>
          <w:lang w:val="en-GB"/>
        </w:rPr>
        <w:t xml:space="preserve">, as well as the </w:t>
      </w:r>
      <w:r w:rsidR="00ED3DBE">
        <w:rPr>
          <w:lang w:val="en-GB"/>
        </w:rPr>
        <w:t>division</w:t>
      </w:r>
      <w:r w:rsidR="00FC331F" w:rsidRPr="0048465B">
        <w:rPr>
          <w:lang w:val="en-GB"/>
        </w:rPr>
        <w:t xml:space="preserve"> evident within Dalia as a fractured individual.</w:t>
      </w:r>
    </w:p>
    <w:p w14:paraId="3C14E4B1" w14:textId="77777777" w:rsidR="00FC331F" w:rsidRPr="0048465B" w:rsidRDefault="00FC331F" w:rsidP="00FC331F">
      <w:pPr>
        <w:rPr>
          <w:lang w:val="en-GB"/>
        </w:rPr>
      </w:pPr>
    </w:p>
    <w:p w14:paraId="0896217D" w14:textId="0128C413" w:rsidR="00FC331F" w:rsidRPr="0048465B" w:rsidRDefault="009C76CD" w:rsidP="00FC331F">
      <w:pPr>
        <w:rPr>
          <w:lang w:val="en-GB"/>
        </w:rPr>
      </w:pPr>
      <w:r>
        <w:rPr>
          <w:lang w:val="en-GB"/>
        </w:rPr>
        <w:t>It</w:t>
      </w:r>
      <w:r w:rsidR="00ED3DBE">
        <w:rPr>
          <w:lang w:val="en-GB"/>
        </w:rPr>
        <w:t xml:space="preserve"> is </w:t>
      </w:r>
      <w:r w:rsidR="00FC331F" w:rsidRPr="0048465B">
        <w:rPr>
          <w:lang w:val="en-GB"/>
        </w:rPr>
        <w:t>this</w:t>
      </w:r>
      <w:r w:rsidR="00ED3DBE">
        <w:rPr>
          <w:lang w:val="en-GB"/>
        </w:rPr>
        <w:t xml:space="preserve"> same</w:t>
      </w:r>
      <w:r w:rsidR="00FC331F" w:rsidRPr="0048465B">
        <w:rPr>
          <w:lang w:val="en-GB"/>
        </w:rPr>
        <w:t xml:space="preserve"> detachment, the difficulty of providing love</w:t>
      </w:r>
      <w:r>
        <w:rPr>
          <w:lang w:val="en-GB"/>
        </w:rPr>
        <w:t xml:space="preserve"> and the</w:t>
      </w:r>
      <w:r w:rsidR="00FC331F" w:rsidRPr="0048465B">
        <w:rPr>
          <w:lang w:val="en-GB"/>
        </w:rPr>
        <w:t xml:space="preserve"> fear of investment in the future, </w:t>
      </w:r>
      <w:r w:rsidR="00ED3DBE">
        <w:rPr>
          <w:lang w:val="en-GB"/>
        </w:rPr>
        <w:t xml:space="preserve">that Abulhawa identifies </w:t>
      </w:r>
      <w:r w:rsidR="00FC331F" w:rsidRPr="0048465B">
        <w:rPr>
          <w:lang w:val="en-GB"/>
        </w:rPr>
        <w:t xml:space="preserve">as the unending legacy of 1948. As mentioned in the introduction of this thesis, such notions have a rich basis in the Holocaust-centric study of postmemory, wherein the effects of the Holocaust endure across time and into future generations. Even the notion of adapting </w:t>
      </w:r>
      <w:r w:rsidR="00FC331F" w:rsidRPr="0048465B">
        <w:rPr>
          <w:lang w:val="en-GB"/>
        </w:rPr>
        <w:lastRenderedPageBreak/>
        <w:t>one’s behaviour due to a lack of trust in the future is evident in explorations of the intergenerational consequences of the Holocaust.</w:t>
      </w:r>
      <w:r w:rsidR="00FC331F" w:rsidRPr="0048465B">
        <w:rPr>
          <w:vertAlign w:val="superscript"/>
          <w:lang w:val="en-GB"/>
        </w:rPr>
        <w:footnoteReference w:id="257"/>
      </w:r>
      <w:r w:rsidR="00FC331F" w:rsidRPr="0048465B">
        <w:rPr>
          <w:lang w:val="en-GB"/>
        </w:rPr>
        <w:t xml:space="preserve"> Yet whilst such similarities exist, as the novel progresses the reader discovers how Abulhawa’s depiction of the unending 1948 differs from these examples. Whilst the exile of </w:t>
      </w:r>
      <w:r w:rsidR="00F2581A" w:rsidRPr="0048465B">
        <w:rPr>
          <w:lang w:val="en-GB"/>
        </w:rPr>
        <w:t>Yehya</w:t>
      </w:r>
      <w:r w:rsidR="00FC331F" w:rsidRPr="0048465B">
        <w:rPr>
          <w:lang w:val="en-GB"/>
        </w:rPr>
        <w:t>, Basima, Dalia, and Hasan undeniably has ramifications for those generations after the event itself, Abulhawa’s depiction of the enduring legacy of 1948 is presented not as the aftershocks of one event, as seen in postmemory, but as different iterations of the same event perpetually reoccurring, the very events and emotions that Amal witnesses plaguing the life of her mother returning in time to haunt her as well.</w:t>
      </w:r>
    </w:p>
    <w:p w14:paraId="028F5AF5" w14:textId="77777777" w:rsidR="00FC331F" w:rsidRPr="0048465B" w:rsidRDefault="00FC331F" w:rsidP="00FC331F">
      <w:pPr>
        <w:rPr>
          <w:lang w:val="en-GB"/>
        </w:rPr>
      </w:pPr>
    </w:p>
    <w:p w14:paraId="50A1125D" w14:textId="339DEFDC" w:rsidR="00FC331F" w:rsidRPr="0048465B" w:rsidRDefault="00FC331F" w:rsidP="00FC331F">
      <w:pPr>
        <w:rPr>
          <w:lang w:val="en-GB"/>
        </w:rPr>
      </w:pPr>
      <w:r w:rsidRPr="0048465B">
        <w:rPr>
          <w:lang w:val="en-GB"/>
        </w:rPr>
        <w:t xml:space="preserve">Whilst it is the Six-Day war of 1967 that breaks Dalia, it is the 1982 invasion of Lebanon that does the same for Amal. Just as Dalia falls in love with Hasan, and becomes a beloved daughter-in-law to Basima and </w:t>
      </w:r>
      <w:r w:rsidR="00F2581A" w:rsidRPr="0048465B">
        <w:rPr>
          <w:lang w:val="en-GB"/>
        </w:rPr>
        <w:t>Yehya</w:t>
      </w:r>
      <w:r w:rsidRPr="0048465B">
        <w:rPr>
          <w:lang w:val="en-GB"/>
        </w:rPr>
        <w:t>, Amal returns to Palestine having attended university in the U.S., and falls in love with a Palestinian doctor named Majid. Whilst Majid stays to work in Lebanon during the war, Amal returns to the U.S. and, like her mother before her, finds herself taken in and cared for by ‘Ammo Mohammad and his wife, Elizabeth’, two of Majid’s friends to whom he is ‘like a son’, and who form for Amal ‘a surrogate family’.</w:t>
      </w:r>
      <w:r w:rsidRPr="0048465B">
        <w:rPr>
          <w:vertAlign w:val="superscript"/>
          <w:lang w:val="en-GB"/>
        </w:rPr>
        <w:footnoteReference w:id="258"/>
      </w:r>
      <w:r w:rsidRPr="0048465B">
        <w:rPr>
          <w:lang w:val="en-GB"/>
        </w:rPr>
        <w:t xml:space="preserve"> The deterministic parallels between the lives of mother and daughter continue when Amal, now pregnant with Majid’s child, receives a call from her brother Yousef, who informs her that Majid was killed when the building he was in was bombed. Like her father Hasan, there is no body to confirm the death, and Majid is simply never seen again. </w:t>
      </w:r>
    </w:p>
    <w:p w14:paraId="4E4A5DD1" w14:textId="77777777" w:rsidR="00FC331F" w:rsidRPr="0048465B" w:rsidRDefault="00FC331F" w:rsidP="00FC331F">
      <w:pPr>
        <w:rPr>
          <w:lang w:val="en-GB"/>
        </w:rPr>
      </w:pPr>
    </w:p>
    <w:p w14:paraId="15FDF837" w14:textId="2B4FF963" w:rsidR="00FC331F" w:rsidRPr="0048465B" w:rsidRDefault="00FC331F" w:rsidP="00FC331F">
      <w:pPr>
        <w:rPr>
          <w:lang w:val="en-GB"/>
        </w:rPr>
      </w:pPr>
      <w:r w:rsidRPr="0048465B">
        <w:rPr>
          <w:lang w:val="en-GB"/>
        </w:rPr>
        <w:lastRenderedPageBreak/>
        <w:t>Finally, to Amal, the emotional distance that Dalia tried to pass on to her, the instinct to suppress expressions of love in anticipation of loss, makes sense. Upon discovering the death of Majid, Amal states</w:t>
      </w:r>
      <w:r w:rsidR="00E73431">
        <w:rPr>
          <w:lang w:val="en-GB"/>
        </w:rPr>
        <w:t>,</w:t>
      </w:r>
      <w:r w:rsidRPr="0048465B">
        <w:rPr>
          <w:lang w:val="en-GB"/>
        </w:rPr>
        <w:t xml:space="preserve"> ‘I was not filled with grief, anger, or even love. Nothing came over me. But everything rushed out’.</w:t>
      </w:r>
      <w:r w:rsidRPr="0048465B">
        <w:rPr>
          <w:vertAlign w:val="superscript"/>
          <w:lang w:val="en-GB"/>
        </w:rPr>
        <w:footnoteReference w:id="259"/>
      </w:r>
      <w:r w:rsidRPr="0048465B">
        <w:rPr>
          <w:lang w:val="en-GB"/>
        </w:rPr>
        <w:t xml:space="preserve"> Soon after, the children and wife of Yousef are murdered, and, like Dalia, Amal represses her emotions, fearful of the anger inside her. ‘</w:t>
      </w:r>
      <w:r w:rsidRPr="0048465B">
        <w:rPr>
          <w:i/>
          <w:lang w:val="en-GB"/>
        </w:rPr>
        <w:t xml:space="preserve">Whatever you feel, keep it inside. </w:t>
      </w:r>
      <w:r w:rsidRPr="0048465B">
        <w:rPr>
          <w:lang w:val="en-GB"/>
        </w:rPr>
        <w:t>Oh, Dalia, Mother! I understand!’.</w:t>
      </w:r>
      <w:r w:rsidRPr="0048465B">
        <w:rPr>
          <w:vertAlign w:val="superscript"/>
          <w:lang w:val="en-GB"/>
        </w:rPr>
        <w:footnoteReference w:id="260"/>
      </w:r>
      <w:r w:rsidRPr="0048465B">
        <w:rPr>
          <w:lang w:val="en-GB"/>
        </w:rPr>
        <w:t xml:space="preserve"> Abulhawa stylises this desire to repress emotion and foreclose the potential for love </w:t>
      </w:r>
      <w:r w:rsidR="009C76CD">
        <w:rPr>
          <w:lang w:val="en-GB"/>
        </w:rPr>
        <w:t>–</w:t>
      </w:r>
      <w:r w:rsidRPr="0048465B">
        <w:rPr>
          <w:lang w:val="en-GB"/>
        </w:rPr>
        <w:t xml:space="preserve"> and loss </w:t>
      </w:r>
      <w:r w:rsidR="009C76CD">
        <w:rPr>
          <w:lang w:val="en-GB"/>
        </w:rPr>
        <w:t>–</w:t>
      </w:r>
      <w:r w:rsidRPr="0048465B">
        <w:rPr>
          <w:lang w:val="en-GB"/>
        </w:rPr>
        <w:t xml:space="preserve"> through Amal’s reluctance to give birth, depicting the moment of childbirth as Sara’s ‘instinct for life conquer[</w:t>
      </w:r>
      <w:proofErr w:type="spellStart"/>
      <w:r w:rsidRPr="0048465B">
        <w:rPr>
          <w:lang w:val="en-GB"/>
        </w:rPr>
        <w:t>ing</w:t>
      </w:r>
      <w:proofErr w:type="spellEnd"/>
      <w:r w:rsidRPr="0048465B">
        <w:rPr>
          <w:lang w:val="en-GB"/>
        </w:rPr>
        <w:t>]’ Amal’s reluctance to introduce new life into a world of cyclical devastation.</w:t>
      </w:r>
      <w:r w:rsidR="00ED3DBE" w:rsidRPr="0048465B">
        <w:rPr>
          <w:vertAlign w:val="superscript"/>
          <w:lang w:val="en-GB"/>
        </w:rPr>
        <w:footnoteReference w:id="261"/>
      </w:r>
      <w:r w:rsidRPr="0048465B">
        <w:rPr>
          <w:lang w:val="en-GB"/>
        </w:rPr>
        <w:t xml:space="preserve"> Finally, Amal completes the cycle. She ‘permit[s] herself a whiff of love’ only ‘at night, when Sara [</w:t>
      </w:r>
      <w:proofErr w:type="spellStart"/>
      <w:r w:rsidRPr="0048465B">
        <w:rPr>
          <w:lang w:val="en-GB"/>
        </w:rPr>
        <w:t>i</w:t>
      </w:r>
      <w:proofErr w:type="spellEnd"/>
      <w:r w:rsidRPr="0048465B">
        <w:rPr>
          <w:lang w:val="en-GB"/>
        </w:rPr>
        <w:t>]s sleeping’,</w:t>
      </w:r>
      <w:r w:rsidRPr="0048465B">
        <w:rPr>
          <w:vertAlign w:val="superscript"/>
          <w:lang w:val="en-GB"/>
        </w:rPr>
        <w:footnoteReference w:id="262"/>
      </w:r>
      <w:r w:rsidRPr="0048465B">
        <w:rPr>
          <w:lang w:val="en-GB"/>
        </w:rPr>
        <w:t xml:space="preserve"> and otherwise states of her approach to motherhood, ‘I kept my distance, going only through the mechanics of caring for a </w:t>
      </w:r>
      <w:proofErr w:type="spellStart"/>
      <w:r w:rsidRPr="0048465B">
        <w:rPr>
          <w:lang w:val="en-GB"/>
        </w:rPr>
        <w:t>newborn</w:t>
      </w:r>
      <w:proofErr w:type="spellEnd"/>
      <w:r w:rsidRPr="0048465B">
        <w:rPr>
          <w:lang w:val="en-GB"/>
        </w:rPr>
        <w:t>. This fragile infant had forced upon me the will to live, and I resented her for that, for all I really wanted then was to die’.</w:t>
      </w:r>
      <w:r w:rsidRPr="0048465B">
        <w:rPr>
          <w:vertAlign w:val="superscript"/>
          <w:lang w:val="en-GB"/>
        </w:rPr>
        <w:footnoteReference w:id="263"/>
      </w:r>
    </w:p>
    <w:p w14:paraId="4B280EED" w14:textId="77777777" w:rsidR="00FC331F" w:rsidRPr="0048465B" w:rsidRDefault="00FC331F" w:rsidP="00FC331F">
      <w:pPr>
        <w:rPr>
          <w:lang w:val="en-GB"/>
        </w:rPr>
      </w:pPr>
    </w:p>
    <w:p w14:paraId="5AD175BC" w14:textId="372730A4" w:rsidR="00FC331F" w:rsidRPr="0048465B" w:rsidRDefault="00FC331F" w:rsidP="00FC331F">
      <w:pPr>
        <w:rPr>
          <w:lang w:val="en-GB"/>
        </w:rPr>
      </w:pPr>
      <w:r w:rsidRPr="0048465B">
        <w:rPr>
          <w:lang w:val="en-GB"/>
        </w:rPr>
        <w:t xml:space="preserve">Through painting the complex and detailed stories of four generations of women in, or hailing from, Palestine, and through demonstrating the existential anguish that unites them regardless of their varied lives, Abulhawa is able to express clearly the intergenerational effects of Israel’s creation and military bombardment of Palestine and the surrounding areas. Importantly, however, whilst the Holocaust and its connection with the Israeli-Palestinian conflict are not completely effaced from the narrative </w:t>
      </w:r>
      <w:r w:rsidR="00896E3E">
        <w:rPr>
          <w:lang w:val="en-GB"/>
        </w:rPr>
        <w:t>–</w:t>
      </w:r>
      <w:r w:rsidRPr="0048465B">
        <w:rPr>
          <w:lang w:val="en-GB"/>
        </w:rPr>
        <w:t xml:space="preserve"> Abulhawa carefully attributes to a non-Arab the critique of Israeli </w:t>
      </w:r>
      <w:r w:rsidRPr="0048465B">
        <w:rPr>
          <w:lang w:val="en-GB"/>
        </w:rPr>
        <w:lastRenderedPageBreak/>
        <w:t>soldiers, ‘“[y]</w:t>
      </w:r>
      <w:proofErr w:type="spellStart"/>
      <w:r w:rsidRPr="0048465B">
        <w:rPr>
          <w:lang w:val="en-GB"/>
        </w:rPr>
        <w:t>ou</w:t>
      </w:r>
      <w:proofErr w:type="spellEnd"/>
      <w:r w:rsidRPr="0048465B">
        <w:rPr>
          <w:lang w:val="en-GB"/>
        </w:rPr>
        <w:t xml:space="preserve"> are no different from Nazis who stood in my way when I cared for Jews in the Second World War”’ </w:t>
      </w:r>
      <w:r w:rsidR="00896E3E">
        <w:rPr>
          <w:lang w:val="en-GB"/>
        </w:rPr>
        <w:t>–</w:t>
      </w:r>
      <w:r w:rsidRPr="0048465B">
        <w:rPr>
          <w:lang w:val="en-GB"/>
        </w:rPr>
        <w:t xml:space="preserve"> Abulhawa refuses to </w:t>
      </w:r>
      <w:r w:rsidR="00896E3E">
        <w:rPr>
          <w:lang w:val="en-GB"/>
        </w:rPr>
        <w:t>make</w:t>
      </w:r>
      <w:r w:rsidR="00ED3DBE">
        <w:rPr>
          <w:lang w:val="en-GB"/>
        </w:rPr>
        <w:t xml:space="preserve"> pointed</w:t>
      </w:r>
      <w:r w:rsidR="00896E3E">
        <w:rPr>
          <w:lang w:val="en-GB"/>
        </w:rPr>
        <w:t xml:space="preserve"> or extended </w:t>
      </w:r>
      <w:r w:rsidRPr="0048465B">
        <w:rPr>
          <w:lang w:val="en-GB"/>
        </w:rPr>
        <w:t>correlation</w:t>
      </w:r>
      <w:r w:rsidR="00ED3DBE">
        <w:rPr>
          <w:lang w:val="en-GB"/>
        </w:rPr>
        <w:t>s</w:t>
      </w:r>
      <w:r w:rsidRPr="0048465B">
        <w:rPr>
          <w:lang w:val="en-GB"/>
        </w:rPr>
        <w:t xml:space="preserve"> between the suffering experienced by Palestinians and that experienced by Jews during the Holocaust.</w:t>
      </w:r>
    </w:p>
    <w:p w14:paraId="309E8CC2" w14:textId="77777777" w:rsidR="00FC331F" w:rsidRPr="0048465B" w:rsidRDefault="00FC331F" w:rsidP="00FC331F">
      <w:pPr>
        <w:rPr>
          <w:lang w:val="en-GB"/>
        </w:rPr>
      </w:pPr>
    </w:p>
    <w:p w14:paraId="4D8AB1B0" w14:textId="10D36407" w:rsidR="00FC331F" w:rsidRPr="0048465B" w:rsidRDefault="00FC331F" w:rsidP="00FC331F">
      <w:pPr>
        <w:rPr>
          <w:lang w:val="en-GB"/>
        </w:rPr>
      </w:pPr>
      <w:r w:rsidRPr="0048465B">
        <w:rPr>
          <w:lang w:val="en-GB"/>
        </w:rPr>
        <w:t>In doing so, Abulhawa recentres Palestinian suffering, withdrawing it from the peripheries of discourse surrounding historical Jewish suffering, and allowing it to exist within its own space. As called for by Said, this fictional account explores the detailed variety of Palestinian existence, showing the various forms of exile and detachment from both country and trauma. However, it is in unifying the two lives of Dalia and Amal</w:t>
      </w:r>
      <w:r w:rsidR="00896E3E">
        <w:rPr>
          <w:lang w:val="en-GB"/>
        </w:rPr>
        <w:t xml:space="preserve"> specifically</w:t>
      </w:r>
      <w:r w:rsidRPr="0048465B">
        <w:rPr>
          <w:lang w:val="en-GB"/>
        </w:rPr>
        <w:t>, two lives led so very differently, that Abulhawa succeeds in highlighting those features that underlie the existence of both women, as well as those of Palestinians more generally. Dalia lives her life in the pre-war Palestine and post-Nakba refugee camps, she has an abusive father, is uneducated, and is occupied by domesticity and child rearing. Amal lives in Palestine, Jerusalem, Philadelphia, South Carolina, and Beirut, she has a caring and loving father, she has multiple degrees, little interest in domesticity, and works ‘preparing clinical trial reports for federal audits’.</w:t>
      </w:r>
      <w:r w:rsidRPr="0048465B">
        <w:rPr>
          <w:vertAlign w:val="superscript"/>
          <w:lang w:val="en-GB"/>
        </w:rPr>
        <w:footnoteReference w:id="264"/>
      </w:r>
      <w:r w:rsidRPr="0048465B">
        <w:rPr>
          <w:lang w:val="en-GB"/>
        </w:rPr>
        <w:t xml:space="preserve"> Dalia and Amal are hugely different in the ways they live out their exile, yet no matter what each of them does, this exile has a hold on them that cannot be escaped.</w:t>
      </w:r>
    </w:p>
    <w:p w14:paraId="5CCF8427" w14:textId="77777777" w:rsidR="00FC331F" w:rsidRPr="0048465B" w:rsidRDefault="00FC331F" w:rsidP="00FC331F">
      <w:pPr>
        <w:rPr>
          <w:lang w:val="en-GB"/>
        </w:rPr>
      </w:pPr>
    </w:p>
    <w:p w14:paraId="200DB67E" w14:textId="6B2304F3" w:rsidR="00FC331F" w:rsidRPr="0048465B" w:rsidRDefault="00FC331F" w:rsidP="00FC331F">
      <w:pPr>
        <w:rPr>
          <w:lang w:val="en-GB"/>
        </w:rPr>
      </w:pPr>
      <w:r w:rsidRPr="0048465B">
        <w:rPr>
          <w:lang w:val="en-GB"/>
        </w:rPr>
        <w:t xml:space="preserve">This same hold of the past over the present, whether through behavioural inheritance or through the pain of memory itself, is found throughout Palestinian literature regarding the Nakba. Ghassan Kanafani’s short story ‘Returning to Haifa’, which served as the inspiration for Abulhawa’s </w:t>
      </w:r>
      <w:r w:rsidRPr="0048465B">
        <w:rPr>
          <w:i/>
          <w:lang w:val="en-GB"/>
        </w:rPr>
        <w:t>Mornings in Jenin</w:t>
      </w:r>
      <w:r w:rsidRPr="0048465B">
        <w:rPr>
          <w:lang w:val="en-GB"/>
        </w:rPr>
        <w:t xml:space="preserve">, expresses a similar </w:t>
      </w:r>
      <w:r w:rsidR="00896E3E">
        <w:rPr>
          <w:lang w:val="en-GB"/>
        </w:rPr>
        <w:t>–</w:t>
      </w:r>
      <w:r w:rsidRPr="0048465B">
        <w:rPr>
          <w:lang w:val="en-GB"/>
        </w:rPr>
        <w:t xml:space="preserve"> if more literal </w:t>
      </w:r>
      <w:r w:rsidR="00896E3E">
        <w:rPr>
          <w:lang w:val="en-GB"/>
        </w:rPr>
        <w:t>–</w:t>
      </w:r>
      <w:r w:rsidRPr="0048465B">
        <w:rPr>
          <w:lang w:val="en-GB"/>
        </w:rPr>
        <w:t xml:space="preserve"> example of this painful entanglement of </w:t>
      </w:r>
      <w:r w:rsidRPr="0048465B">
        <w:rPr>
          <w:lang w:val="en-GB"/>
        </w:rPr>
        <w:lastRenderedPageBreak/>
        <w:t>past and present.</w:t>
      </w:r>
      <w:r w:rsidR="006809D2" w:rsidRPr="0048465B">
        <w:rPr>
          <w:vertAlign w:val="superscript"/>
          <w:lang w:val="en-GB"/>
        </w:rPr>
        <w:footnoteReference w:id="265"/>
      </w:r>
      <w:r w:rsidRPr="0048465B">
        <w:rPr>
          <w:lang w:val="en-GB"/>
        </w:rPr>
        <w:t xml:space="preserve"> </w:t>
      </w:r>
      <w:r w:rsidR="006D619E" w:rsidRPr="0048465B">
        <w:rPr>
          <w:lang w:val="en-GB"/>
        </w:rPr>
        <w:t>‘Returning to Haifa’ revolves around the return of Said S. and his wife Safi</w:t>
      </w:r>
      <w:r w:rsidR="006D619E">
        <w:rPr>
          <w:lang w:val="en-GB"/>
        </w:rPr>
        <w:t>y</w:t>
      </w:r>
      <w:r w:rsidR="006D619E" w:rsidRPr="0048465B">
        <w:rPr>
          <w:lang w:val="en-GB"/>
        </w:rPr>
        <w:t xml:space="preserve">ya to the house from which he and his family were exiled, where the chaos and horror of exile forced them to leave behind their son Khaldun, who is subsequently nurtured, like both Ismael and the lost Palestinian lands that these children embody, by Israeli hands. </w:t>
      </w:r>
    </w:p>
    <w:p w14:paraId="491ECFF2" w14:textId="77777777" w:rsidR="00FC331F" w:rsidRPr="0048465B" w:rsidRDefault="00FC331F" w:rsidP="00FC331F">
      <w:pPr>
        <w:rPr>
          <w:lang w:val="en-GB"/>
        </w:rPr>
      </w:pPr>
    </w:p>
    <w:p w14:paraId="3E1C5E64" w14:textId="1364CE2F" w:rsidR="00FC331F" w:rsidRPr="0048465B" w:rsidRDefault="00FC331F" w:rsidP="00FC331F">
      <w:pPr>
        <w:rPr>
          <w:lang w:val="en-GB"/>
        </w:rPr>
      </w:pPr>
      <w:r w:rsidRPr="0048465B">
        <w:rPr>
          <w:lang w:val="en-GB"/>
        </w:rPr>
        <w:t>It is during the drive towards this house that the memory of losing Khaldun comes to Said S. ‘Had he expected that disaster?’ the narrator questions, ‘[t]he events were mixed up, the past and present running together, both in turn jumbled up with the thoughts and illusions and imaginings of twenty successive years’.</w:t>
      </w:r>
      <w:r w:rsidRPr="0048465B">
        <w:rPr>
          <w:vertAlign w:val="superscript"/>
          <w:lang w:val="en-GB"/>
        </w:rPr>
        <w:footnoteReference w:id="266"/>
      </w:r>
      <w:r w:rsidRPr="0048465B">
        <w:rPr>
          <w:lang w:val="en-GB"/>
        </w:rPr>
        <w:t xml:space="preserve"> The stylisation of past and present as ‘running together’ exemplifies the kind of double vision that haunts Said S. throughout ‘Returning to Haifa’. Whilst the complications of applying</w:t>
      </w:r>
      <w:r w:rsidR="00DD19B4">
        <w:rPr>
          <w:lang w:val="en-GB"/>
        </w:rPr>
        <w:t xml:space="preserve"> the</w:t>
      </w:r>
      <w:r w:rsidRPr="0048465B">
        <w:rPr>
          <w:lang w:val="en-GB"/>
        </w:rPr>
        <w:t xml:space="preserve"> </w:t>
      </w:r>
      <w:r w:rsidR="002113E8">
        <w:rPr>
          <w:lang w:val="en-GB"/>
        </w:rPr>
        <w:t xml:space="preserve">Holocaust-centric </w:t>
      </w:r>
      <w:r w:rsidR="00DD19B4">
        <w:rPr>
          <w:lang w:val="en-GB"/>
        </w:rPr>
        <w:t>practice of</w:t>
      </w:r>
      <w:r w:rsidRPr="0048465B">
        <w:rPr>
          <w:lang w:val="en-GB"/>
        </w:rPr>
        <w:t xml:space="preserve"> palimpsestic memory to the Israeli-Palestinian conflict have already been explored, Said S.’s experience of driving through Israel is nonetheless infused with </w:t>
      </w:r>
      <w:r w:rsidR="00896E3E">
        <w:rPr>
          <w:lang w:val="en-GB"/>
        </w:rPr>
        <w:t xml:space="preserve">a quite literal </w:t>
      </w:r>
      <w:r w:rsidRPr="0048465B">
        <w:rPr>
          <w:lang w:val="en-GB"/>
        </w:rPr>
        <w:t xml:space="preserve">palimpsestic resonance. </w:t>
      </w:r>
      <w:r w:rsidR="002113E8">
        <w:rPr>
          <w:lang w:val="en-GB"/>
        </w:rPr>
        <w:t>Yet, w</w:t>
      </w:r>
      <w:r w:rsidRPr="0048465B">
        <w:rPr>
          <w:lang w:val="en-GB"/>
        </w:rPr>
        <w:t>hilst</w:t>
      </w:r>
      <w:r w:rsidR="002113E8">
        <w:rPr>
          <w:lang w:val="en-GB"/>
        </w:rPr>
        <w:t xml:space="preserve"> this would</w:t>
      </w:r>
      <w:r w:rsidRPr="0048465B">
        <w:rPr>
          <w:lang w:val="en-GB"/>
        </w:rPr>
        <w:t xml:space="preserve"> usually </w:t>
      </w:r>
      <w:r w:rsidR="002113E8">
        <w:rPr>
          <w:lang w:val="en-GB"/>
        </w:rPr>
        <w:t xml:space="preserve">be </w:t>
      </w:r>
      <w:r w:rsidRPr="0048465B">
        <w:rPr>
          <w:lang w:val="en-GB"/>
        </w:rPr>
        <w:t xml:space="preserve">complicated by the fact that such comparative memory analyses depend </w:t>
      </w:r>
      <w:r w:rsidR="002113E8">
        <w:rPr>
          <w:lang w:val="en-GB"/>
        </w:rPr>
        <w:t xml:space="preserve">upon </w:t>
      </w:r>
      <w:r w:rsidRPr="0048465B">
        <w:rPr>
          <w:lang w:val="en-GB"/>
        </w:rPr>
        <w:t>connection</w:t>
      </w:r>
      <w:r w:rsidR="002113E8">
        <w:rPr>
          <w:lang w:val="en-GB"/>
        </w:rPr>
        <w:t>s to the Holocaust,</w:t>
      </w:r>
      <w:r w:rsidRPr="0048465B">
        <w:rPr>
          <w:lang w:val="en-GB"/>
        </w:rPr>
        <w:t xml:space="preserve"> and thus transform even the dawn of Palestinian pain into an after</w:t>
      </w:r>
      <w:r w:rsidR="00537350">
        <w:rPr>
          <w:lang w:val="en-GB"/>
        </w:rPr>
        <w:t>-</w:t>
      </w:r>
      <w:r w:rsidRPr="0048465B">
        <w:rPr>
          <w:lang w:val="en-GB"/>
        </w:rPr>
        <w:t>effect of the Holocaust, this is not the case in Kanafani’s short story. Through depending upon the memory of Said S., a Palestinian, to evoke these more literal palimpsests, the origin of the suffering is placed confidently with Said S. himself, rather than with another people. As Said S. drives through Haifa, he is threatened by his own memories, as we read, ‘[a]</w:t>
      </w:r>
      <w:proofErr w:type="spellStart"/>
      <w:r w:rsidRPr="0048465B">
        <w:rPr>
          <w:lang w:val="en-GB"/>
        </w:rPr>
        <w:t>ll</w:t>
      </w:r>
      <w:proofErr w:type="spellEnd"/>
      <w:r w:rsidRPr="0048465B">
        <w:rPr>
          <w:lang w:val="en-GB"/>
        </w:rPr>
        <w:t xml:space="preserve"> at once the past was upon him, sharp as a knife’.</w:t>
      </w:r>
      <w:r w:rsidRPr="0048465B">
        <w:rPr>
          <w:vertAlign w:val="superscript"/>
          <w:lang w:val="en-GB"/>
        </w:rPr>
        <w:footnoteReference w:id="267"/>
      </w:r>
      <w:r w:rsidRPr="0048465B">
        <w:rPr>
          <w:lang w:val="en-GB"/>
        </w:rPr>
        <w:t xml:space="preserve"> Said S. remembers the alleyways being shut down or blocked by bullets or soldiers, and the feeling of </w:t>
      </w:r>
      <w:r w:rsidRPr="0048465B">
        <w:rPr>
          <w:lang w:val="en-GB"/>
        </w:rPr>
        <w:lastRenderedPageBreak/>
        <w:t>being ‘pushed by an unseen force towards</w:t>
      </w:r>
      <w:r w:rsidR="000C3FB4">
        <w:rPr>
          <w:lang w:val="en-GB"/>
        </w:rPr>
        <w:t xml:space="preserve"> […] </w:t>
      </w:r>
      <w:r w:rsidRPr="0048465B">
        <w:rPr>
          <w:lang w:val="en-GB"/>
        </w:rPr>
        <w:t>the road out to the coast’.</w:t>
      </w:r>
      <w:r w:rsidRPr="0048465B">
        <w:rPr>
          <w:vertAlign w:val="superscript"/>
          <w:lang w:val="en-GB"/>
        </w:rPr>
        <w:footnoteReference w:id="268"/>
      </w:r>
      <w:r w:rsidRPr="0048465B">
        <w:rPr>
          <w:lang w:val="en-GB"/>
        </w:rPr>
        <w:t xml:space="preserve"> All of these memories are evoked through Said S.’s act of ‘turning his car at the end of King Faisal Street (for him, the street names had never changed) toward the intersection that descends left to the port and right to</w:t>
      </w:r>
      <w:r w:rsidR="000C3FB4">
        <w:rPr>
          <w:lang w:val="en-GB"/>
        </w:rPr>
        <w:t xml:space="preserve"> […] </w:t>
      </w:r>
      <w:r w:rsidRPr="0048465B">
        <w:rPr>
          <w:lang w:val="en-GB"/>
        </w:rPr>
        <w:t xml:space="preserve">Wadi </w:t>
      </w:r>
      <w:proofErr w:type="spellStart"/>
      <w:r w:rsidRPr="0048465B">
        <w:rPr>
          <w:lang w:val="en-GB"/>
        </w:rPr>
        <w:t>Nisnas</w:t>
      </w:r>
      <w:proofErr w:type="spellEnd"/>
      <w:r w:rsidRPr="0048465B">
        <w:rPr>
          <w:lang w:val="en-GB"/>
        </w:rPr>
        <w:t>, where he saw a group of armed soldiers’.</w:t>
      </w:r>
      <w:r w:rsidRPr="0048465B">
        <w:rPr>
          <w:vertAlign w:val="superscript"/>
          <w:lang w:val="en-GB"/>
        </w:rPr>
        <w:footnoteReference w:id="269"/>
      </w:r>
    </w:p>
    <w:p w14:paraId="615DF63F" w14:textId="77777777" w:rsidR="00FC331F" w:rsidRPr="0048465B" w:rsidRDefault="00FC331F" w:rsidP="00FC331F">
      <w:pPr>
        <w:rPr>
          <w:lang w:val="en-GB"/>
        </w:rPr>
      </w:pPr>
    </w:p>
    <w:p w14:paraId="6CBCB982" w14:textId="157350BD" w:rsidR="00FC331F" w:rsidRPr="0048465B" w:rsidRDefault="00FC331F" w:rsidP="00FC331F">
      <w:pPr>
        <w:rPr>
          <w:lang w:val="en-GB"/>
        </w:rPr>
      </w:pPr>
      <w:r w:rsidRPr="0048465B">
        <w:rPr>
          <w:lang w:val="en-GB"/>
        </w:rPr>
        <w:t xml:space="preserve">Here, Said S.’s memories of exile are evoked not only through the presence of Israeli soldiers, though clearly he still associates the soldiers with the military’s role in his exile, but also through his inability to overwrite his own remembered geographical associations with those that have literally replaced them. The event can never end because the associations endure, and that which is long gone in objective truth lingers in memory. Said S.’s awareness of this kind of double vision is made further evident through his pithy response to his wife </w:t>
      </w:r>
      <w:r w:rsidR="006D619E" w:rsidRPr="0048465B">
        <w:rPr>
          <w:lang w:val="en-GB"/>
        </w:rPr>
        <w:t>Safiyya</w:t>
      </w:r>
      <w:r w:rsidRPr="0048465B">
        <w:rPr>
          <w:lang w:val="en-GB"/>
        </w:rPr>
        <w:t xml:space="preserve"> when she says, ‘“I never imagined I would see Haifa again”’, to which Said S. responds, ‘“[y]</w:t>
      </w:r>
      <w:proofErr w:type="spellStart"/>
      <w:r w:rsidRPr="0048465B">
        <w:rPr>
          <w:lang w:val="en-GB"/>
        </w:rPr>
        <w:t>ou’re</w:t>
      </w:r>
      <w:proofErr w:type="spellEnd"/>
      <w:r w:rsidRPr="0048465B">
        <w:rPr>
          <w:lang w:val="en-GB"/>
        </w:rPr>
        <w:t xml:space="preserve"> not seeing it. They’re showing it to you”’.</w:t>
      </w:r>
      <w:r w:rsidRPr="0048465B">
        <w:rPr>
          <w:vertAlign w:val="superscript"/>
          <w:lang w:val="en-GB"/>
        </w:rPr>
        <w:footnoteReference w:id="270"/>
      </w:r>
      <w:r w:rsidRPr="0048465B">
        <w:rPr>
          <w:vertAlign w:val="superscript"/>
          <w:lang w:val="en-GB"/>
        </w:rPr>
        <w:t xml:space="preserve"> </w:t>
      </w:r>
      <w:r w:rsidRPr="0048465B">
        <w:rPr>
          <w:lang w:val="en-GB"/>
        </w:rPr>
        <w:t xml:space="preserve">Whilst the streets remain physically similar, their meaning, for Said S., has changed. Whilst Said S. does not think to check whether Safiyya is seeing in the same way that he is, his statement nonetheless draws a distinction between that which is on the surface and the history that lies beneath, and reinforces that </w:t>
      </w:r>
      <w:r w:rsidR="0066099B">
        <w:rPr>
          <w:lang w:val="en-GB"/>
        </w:rPr>
        <w:t>–</w:t>
      </w:r>
      <w:r w:rsidRPr="0048465B">
        <w:rPr>
          <w:lang w:val="en-GB"/>
        </w:rPr>
        <w:t xml:space="preserve"> for him and for the majority of Palestinians </w:t>
      </w:r>
      <w:r w:rsidR="0066099B">
        <w:rPr>
          <w:lang w:val="en-GB"/>
        </w:rPr>
        <w:t>–</w:t>
      </w:r>
      <w:r w:rsidRPr="0048465B">
        <w:rPr>
          <w:lang w:val="en-GB"/>
        </w:rPr>
        <w:t xml:space="preserve"> this history starts not in antisemitic persecution in Europe, </w:t>
      </w:r>
      <w:r w:rsidR="002113E8">
        <w:rPr>
          <w:lang w:val="en-GB"/>
        </w:rPr>
        <w:t>n</w:t>
      </w:r>
      <w:r w:rsidRPr="0048465B">
        <w:rPr>
          <w:lang w:val="en-GB"/>
        </w:rPr>
        <w:t>or in the creation of Israel, but in the life in Palestine that came before.</w:t>
      </w:r>
    </w:p>
    <w:p w14:paraId="1F259C47" w14:textId="77777777" w:rsidR="00FC331F" w:rsidRPr="0048465B" w:rsidRDefault="00FC331F" w:rsidP="00FC331F">
      <w:pPr>
        <w:rPr>
          <w:lang w:val="en-GB"/>
        </w:rPr>
      </w:pPr>
    </w:p>
    <w:p w14:paraId="00E90093" w14:textId="1A305846" w:rsidR="00FC331F" w:rsidRPr="0048465B" w:rsidRDefault="00FC331F" w:rsidP="00FC331F">
      <w:pPr>
        <w:rPr>
          <w:lang w:val="en-GB"/>
        </w:rPr>
      </w:pPr>
      <w:r w:rsidRPr="0048465B">
        <w:rPr>
          <w:lang w:val="en-GB"/>
        </w:rPr>
        <w:t xml:space="preserve">Edward Said observes this same fusion of past and present within another of Kanafani’s short stories, ‘Men in the Sun’, wherein one of Kanafani’s characters ‘“understand[s]” his location, and </w:t>
      </w:r>
      <w:r w:rsidRPr="0048465B">
        <w:rPr>
          <w:lang w:val="en-GB"/>
        </w:rPr>
        <w:lastRenderedPageBreak/>
        <w:t>the scene’s setting in the present, by way of recollection out of his past’, Said referring to the character’s present existence as ‘an amalgam of disjointed memory’.</w:t>
      </w:r>
      <w:r w:rsidRPr="0048465B">
        <w:rPr>
          <w:vertAlign w:val="superscript"/>
          <w:lang w:val="en-GB"/>
        </w:rPr>
        <w:footnoteReference w:id="271"/>
      </w:r>
      <w:r w:rsidRPr="0048465B">
        <w:rPr>
          <w:lang w:val="en-GB"/>
        </w:rPr>
        <w:t xml:space="preserve"> Evidently, this observation could just as well be made about Said S. of ‘Returning to Haifa’, yet the similarity lies not just in their shared author, but in the ways in which memories of Palestine endure more generally amongst Palestinians. Indeed, in </w:t>
      </w:r>
      <w:proofErr w:type="spellStart"/>
      <w:r w:rsidRPr="0048465B">
        <w:rPr>
          <w:lang w:val="en-GB"/>
        </w:rPr>
        <w:t>Rabai</w:t>
      </w:r>
      <w:proofErr w:type="spellEnd"/>
      <w:r w:rsidRPr="0048465B">
        <w:rPr>
          <w:lang w:val="en-GB"/>
        </w:rPr>
        <w:t xml:space="preserve"> al-Madhoun’s </w:t>
      </w:r>
      <w:r w:rsidRPr="0048465B">
        <w:rPr>
          <w:i/>
          <w:lang w:val="en-GB"/>
        </w:rPr>
        <w:t>Fractured Destinies: A Novel</w:t>
      </w:r>
      <w:r w:rsidRPr="0048465B">
        <w:rPr>
          <w:lang w:val="en-GB"/>
        </w:rPr>
        <w:t>, the very same palimpsest</w:t>
      </w:r>
      <w:r w:rsidR="00D52DAA">
        <w:rPr>
          <w:lang w:val="en-GB"/>
        </w:rPr>
        <w:t xml:space="preserve"> referenced in ‘Returning to Haifa’</w:t>
      </w:r>
      <w:r w:rsidRPr="0048465B">
        <w:rPr>
          <w:lang w:val="en-GB"/>
        </w:rPr>
        <w:t xml:space="preserve"> appears when protagonist Walid articulates his plans to go to a cafe at ‘34 Yehuda Hayamit Street, Jaffa’. ‘It used to be called King Feisal Street’, he recalls, noting to himself that ‘[t]here were still many Arab residents in the city who used the old names and refused to recognize the Israeli names attached to the official signs that had been put up at street corners’.</w:t>
      </w:r>
      <w:r w:rsidRPr="0048465B">
        <w:rPr>
          <w:vertAlign w:val="superscript"/>
          <w:lang w:val="en-GB"/>
        </w:rPr>
        <w:footnoteReference w:id="272"/>
      </w:r>
      <w:r w:rsidRPr="0048465B">
        <w:rPr>
          <w:lang w:val="en-GB"/>
        </w:rPr>
        <w:t xml:space="preserve"> Since </w:t>
      </w:r>
      <w:r w:rsidRPr="0048465B">
        <w:rPr>
          <w:i/>
          <w:lang w:val="en-GB"/>
        </w:rPr>
        <w:t>Fractured Destinies</w:t>
      </w:r>
      <w:r w:rsidRPr="0048465B">
        <w:rPr>
          <w:lang w:val="en-GB"/>
        </w:rPr>
        <w:t xml:space="preserve"> was published in 2018, almost fifty years after ‘Returning to Haifa’, there is a compelling possibility that al-</w:t>
      </w:r>
      <w:proofErr w:type="spellStart"/>
      <w:r w:rsidRPr="0048465B">
        <w:rPr>
          <w:lang w:val="en-GB"/>
        </w:rPr>
        <w:t>Madhoun</w:t>
      </w:r>
      <w:proofErr w:type="spellEnd"/>
      <w:r w:rsidRPr="0048465B">
        <w:rPr>
          <w:lang w:val="en-GB"/>
        </w:rPr>
        <w:t xml:space="preserve"> makes this reference to the exact same street precisely because of Kanafani’s original connection between the two. Yet rather than making this palimpsest less important, the fact that the very same reference still holds true fifty years after Kanafani made it, and seventy years after Jaffa was unified within Tel Aviv-Yafo, highlights the abiding nature of this form of Palestinian memory, in which the past is always present.</w:t>
      </w:r>
    </w:p>
    <w:p w14:paraId="05C7C466" w14:textId="77777777" w:rsidR="00FC331F" w:rsidRPr="0048465B" w:rsidRDefault="00FC331F" w:rsidP="00FC331F">
      <w:pPr>
        <w:rPr>
          <w:lang w:val="en-GB"/>
        </w:rPr>
      </w:pPr>
    </w:p>
    <w:p w14:paraId="5BC62AFC" w14:textId="0EF40CD7" w:rsidR="00FC331F" w:rsidRPr="0048465B" w:rsidRDefault="00FC331F" w:rsidP="00FC331F">
      <w:pPr>
        <w:rPr>
          <w:lang w:val="en-GB"/>
        </w:rPr>
      </w:pPr>
      <w:r w:rsidRPr="0048465B">
        <w:rPr>
          <w:lang w:val="en-GB"/>
        </w:rPr>
        <w:t xml:space="preserve">This same form of partially erased vision is reiterated anew </w:t>
      </w:r>
      <w:r w:rsidR="00D52DAA">
        <w:rPr>
          <w:lang w:val="en-GB"/>
        </w:rPr>
        <w:t>–</w:t>
      </w:r>
      <w:r w:rsidRPr="0048465B">
        <w:rPr>
          <w:lang w:val="en-GB"/>
        </w:rPr>
        <w:t xml:space="preserve"> without reference or homage to Kanafani </w:t>
      </w:r>
      <w:r w:rsidR="00D52DAA">
        <w:rPr>
          <w:lang w:val="en-GB"/>
        </w:rPr>
        <w:t>–</w:t>
      </w:r>
      <w:r w:rsidRPr="0048465B">
        <w:rPr>
          <w:lang w:val="en-GB"/>
        </w:rPr>
        <w:t xml:space="preserve"> when Walid, as an adult, makes manifest the literary trope of the ‘return’ through his visit to the home he lived in as a child. Walid states, ‘I stared at what I thought had been our bedroom’, before telling the reader</w:t>
      </w:r>
      <w:r w:rsidR="00C47077">
        <w:rPr>
          <w:lang w:val="en-GB"/>
        </w:rPr>
        <w:t>,</w:t>
      </w:r>
      <w:r w:rsidRPr="0048465B">
        <w:rPr>
          <w:lang w:val="en-GB"/>
        </w:rPr>
        <w:t xml:space="preserve"> ‘I walked on a couple of steps. My small feet stumbled on the threshold, two low, narrow steps. My mother picked me up and exclaimed, “God’s name be upon </w:t>
      </w:r>
      <w:r w:rsidRPr="0048465B">
        <w:rPr>
          <w:lang w:val="en-GB"/>
        </w:rPr>
        <w:lastRenderedPageBreak/>
        <w:t>you, may God protect you!”’</w:t>
      </w:r>
      <w:r w:rsidR="002113E8">
        <w:rPr>
          <w:lang w:val="en-GB"/>
        </w:rPr>
        <w:t>.</w:t>
      </w:r>
      <w:r w:rsidRPr="0048465B">
        <w:rPr>
          <w:lang w:val="en-GB"/>
        </w:rPr>
        <w:t xml:space="preserve"> </w:t>
      </w:r>
      <w:r w:rsidR="002113E8">
        <w:rPr>
          <w:lang w:val="en-GB"/>
        </w:rPr>
        <w:t>The</w:t>
      </w:r>
      <w:r w:rsidRPr="0048465B">
        <w:rPr>
          <w:lang w:val="en-GB"/>
        </w:rPr>
        <w:t xml:space="preserve"> layers of memory that exist within this single moment caus</w:t>
      </w:r>
      <w:r w:rsidR="002113E8">
        <w:rPr>
          <w:lang w:val="en-GB"/>
        </w:rPr>
        <w:t>e</w:t>
      </w:r>
      <w:r w:rsidRPr="0048465B">
        <w:rPr>
          <w:lang w:val="en-GB"/>
        </w:rPr>
        <w:t xml:space="preserve"> Walid to question whether this house was really the house he grew up in at all, or whether it might be ‘a trick of memory weighed down by nostalgia, constructed out of stories piled up over the course of the years’.</w:t>
      </w:r>
      <w:r w:rsidRPr="0048465B">
        <w:rPr>
          <w:vertAlign w:val="superscript"/>
          <w:lang w:val="en-GB"/>
        </w:rPr>
        <w:footnoteReference w:id="273"/>
      </w:r>
      <w:r w:rsidRPr="0048465B">
        <w:rPr>
          <w:lang w:val="en-GB"/>
        </w:rPr>
        <w:t xml:space="preserve"> Here, through using an ambiguous past tense where the reader is unsure whether ‘I walked’ means </w:t>
      </w:r>
      <w:r w:rsidR="002113E8">
        <w:rPr>
          <w:lang w:val="en-GB"/>
        </w:rPr>
        <w:t>seconds ago</w:t>
      </w:r>
      <w:r w:rsidRPr="0048465B">
        <w:rPr>
          <w:lang w:val="en-GB"/>
        </w:rPr>
        <w:t xml:space="preserve"> or decades ago, al-</w:t>
      </w:r>
      <w:proofErr w:type="spellStart"/>
      <w:r w:rsidRPr="0048465B">
        <w:rPr>
          <w:lang w:val="en-GB"/>
        </w:rPr>
        <w:t>Madhoun</w:t>
      </w:r>
      <w:proofErr w:type="spellEnd"/>
      <w:r w:rsidRPr="0048465B">
        <w:rPr>
          <w:lang w:val="en-GB"/>
        </w:rPr>
        <w:t xml:space="preserve"> merges the two times together, Walid’s existence within the room testifying not only to the past, where his family were able to live in Palestine, but also to the present, where his ‘return’ to the house is as a tourist rather than a homeowner, and </w:t>
      </w:r>
      <w:r w:rsidR="00D52DAA">
        <w:rPr>
          <w:lang w:val="en-GB"/>
        </w:rPr>
        <w:t>–</w:t>
      </w:r>
      <w:r w:rsidRPr="0048465B">
        <w:rPr>
          <w:lang w:val="en-GB"/>
        </w:rPr>
        <w:t xml:space="preserve"> through the vast differences between these two moments </w:t>
      </w:r>
      <w:r w:rsidR="00D52DAA">
        <w:rPr>
          <w:lang w:val="en-GB"/>
        </w:rPr>
        <w:t>–</w:t>
      </w:r>
      <w:r w:rsidRPr="0048465B">
        <w:rPr>
          <w:lang w:val="en-GB"/>
        </w:rPr>
        <w:t xml:space="preserve"> also testifying to the unspoken events that came in between.</w:t>
      </w:r>
    </w:p>
    <w:p w14:paraId="5C6BF825" w14:textId="77777777" w:rsidR="00FC331F" w:rsidRPr="0048465B" w:rsidRDefault="00FC331F" w:rsidP="00FC331F">
      <w:pPr>
        <w:rPr>
          <w:lang w:val="en-GB"/>
        </w:rPr>
      </w:pPr>
    </w:p>
    <w:p w14:paraId="26BF6736" w14:textId="1D46A902" w:rsidR="00F4448C" w:rsidRDefault="00FC331F" w:rsidP="00FC331F">
      <w:pPr>
        <w:rPr>
          <w:lang w:val="en-GB"/>
        </w:rPr>
      </w:pPr>
      <w:r w:rsidRPr="0048465B">
        <w:rPr>
          <w:lang w:val="en-GB"/>
        </w:rPr>
        <w:t xml:space="preserve">Whilst such delicate and nuanced moments are manifold within al-Madhoun’s novel, it is in </w:t>
      </w:r>
      <w:r w:rsidRPr="0048465B">
        <w:rPr>
          <w:i/>
          <w:lang w:val="en-GB"/>
        </w:rPr>
        <w:t>Fractured Destinies</w:t>
      </w:r>
      <w:r w:rsidRPr="0048465B">
        <w:rPr>
          <w:lang w:val="en-GB"/>
        </w:rPr>
        <w:t xml:space="preserve"> </w:t>
      </w:r>
      <w:r w:rsidR="00D52DAA">
        <w:rPr>
          <w:lang w:val="en-GB"/>
        </w:rPr>
        <w:t>–</w:t>
      </w:r>
      <w:r w:rsidRPr="0048465B">
        <w:rPr>
          <w:lang w:val="en-GB"/>
        </w:rPr>
        <w:t xml:space="preserve"> more than any other Palestinian text in this chapter </w:t>
      </w:r>
      <w:r w:rsidR="00D52DAA">
        <w:rPr>
          <w:lang w:val="en-GB"/>
        </w:rPr>
        <w:t>–</w:t>
      </w:r>
      <w:r w:rsidRPr="0048465B">
        <w:rPr>
          <w:lang w:val="en-GB"/>
        </w:rPr>
        <w:t xml:space="preserve"> that both the memory of the Holocaust and problematic attitudes towards Israelis are found. The inclusion of such attitudes, whilst complicating the reading of </w:t>
      </w:r>
      <w:r w:rsidRPr="0048465B">
        <w:rPr>
          <w:i/>
          <w:lang w:val="en-GB"/>
        </w:rPr>
        <w:t>Fractured Destinies</w:t>
      </w:r>
      <w:r w:rsidRPr="0048465B">
        <w:rPr>
          <w:lang w:val="en-GB"/>
        </w:rPr>
        <w:t xml:space="preserve"> through making it harder to fully identify with any of the characters, </w:t>
      </w:r>
      <w:r w:rsidR="00F4448C">
        <w:rPr>
          <w:lang w:val="en-GB"/>
        </w:rPr>
        <w:t xml:space="preserve">nonetheless </w:t>
      </w:r>
      <w:r w:rsidRPr="0048465B">
        <w:rPr>
          <w:lang w:val="en-GB"/>
        </w:rPr>
        <w:t xml:space="preserve">represents the viewpoints of many Palestinians unhappy with the uneven interplay between Holocaust and Nakba memory, critical of Israeli political manipulation of the Holocaust, and despondent at the seemingly inextricable nature of the two histories. This sense of uneven interplay is found throughout </w:t>
      </w:r>
      <w:r w:rsidR="006D619E" w:rsidRPr="0048465B">
        <w:rPr>
          <w:lang w:val="en-GB"/>
        </w:rPr>
        <w:t>Palestinian</w:t>
      </w:r>
      <w:r w:rsidRPr="0048465B">
        <w:rPr>
          <w:lang w:val="en-GB"/>
        </w:rPr>
        <w:t xml:space="preserve"> literature, such as in </w:t>
      </w:r>
      <w:r w:rsidR="006D619E" w:rsidRPr="0048465B">
        <w:rPr>
          <w:lang w:val="en-GB"/>
        </w:rPr>
        <w:t>Palestinian</w:t>
      </w:r>
      <w:r w:rsidRPr="0048465B">
        <w:rPr>
          <w:lang w:val="en-GB"/>
        </w:rPr>
        <w:t xml:space="preserve"> poet Mahmoud Darwish’s</w:t>
      </w:r>
      <w:r w:rsidR="001142F0">
        <w:rPr>
          <w:lang w:val="en-GB"/>
        </w:rPr>
        <w:t xml:space="preserve"> penetrating, if</w:t>
      </w:r>
      <w:r w:rsidRPr="0048465B">
        <w:rPr>
          <w:lang w:val="en-GB"/>
        </w:rPr>
        <w:t xml:space="preserve"> hyperbolic</w:t>
      </w:r>
      <w:r w:rsidR="001142F0">
        <w:rPr>
          <w:lang w:val="en-GB"/>
        </w:rPr>
        <w:t>,</w:t>
      </w:r>
      <w:r w:rsidRPr="0048465B">
        <w:rPr>
          <w:lang w:val="en-GB"/>
        </w:rPr>
        <w:t xml:space="preserve"> comment to translator </w:t>
      </w:r>
      <w:r w:rsidR="00D52DAA">
        <w:rPr>
          <w:lang w:val="en-GB"/>
        </w:rPr>
        <w:t>–</w:t>
      </w:r>
      <w:r w:rsidRPr="0048465B">
        <w:rPr>
          <w:lang w:val="en-GB"/>
        </w:rPr>
        <w:t xml:space="preserve"> and daughter of acclaimed Hebrew poet Avoth Yeshurun </w:t>
      </w:r>
      <w:r w:rsidR="00D52DAA">
        <w:rPr>
          <w:lang w:val="en-GB"/>
        </w:rPr>
        <w:t>–</w:t>
      </w:r>
      <w:r w:rsidRPr="0048465B">
        <w:rPr>
          <w:lang w:val="en-GB"/>
        </w:rPr>
        <w:t xml:space="preserve"> Helit Yeshurun, ‘“Do you know why we Palestinians are famous? It’s because </w:t>
      </w:r>
      <w:r w:rsidRPr="0048465B">
        <w:rPr>
          <w:i/>
          <w:lang w:val="en-GB"/>
        </w:rPr>
        <w:t>you</w:t>
      </w:r>
      <w:r w:rsidRPr="0048465B">
        <w:rPr>
          <w:lang w:val="en-GB"/>
        </w:rPr>
        <w:t xml:space="preserve"> are our enemy. Interest in the Palestinian question flows from interest in the Jewish question”’.</w:t>
      </w:r>
      <w:r w:rsidRPr="0048465B">
        <w:rPr>
          <w:vertAlign w:val="superscript"/>
          <w:lang w:val="en-GB"/>
        </w:rPr>
        <w:footnoteReference w:id="274"/>
      </w:r>
      <w:r w:rsidRPr="0048465B">
        <w:rPr>
          <w:lang w:val="en-GB"/>
        </w:rPr>
        <w:t xml:space="preserve"> </w:t>
      </w:r>
    </w:p>
    <w:p w14:paraId="1C4C85CE" w14:textId="77777777" w:rsidR="00F4448C" w:rsidRDefault="00F4448C" w:rsidP="00FC331F">
      <w:pPr>
        <w:rPr>
          <w:lang w:val="en-GB"/>
        </w:rPr>
      </w:pPr>
    </w:p>
    <w:p w14:paraId="351B81ED" w14:textId="78426D3E" w:rsidR="00FC331F" w:rsidRPr="0048465B" w:rsidRDefault="00FC331F" w:rsidP="00FC331F">
      <w:pPr>
        <w:rPr>
          <w:lang w:val="en-GB"/>
        </w:rPr>
      </w:pPr>
      <w:r w:rsidRPr="0048465B">
        <w:rPr>
          <w:lang w:val="en-GB"/>
        </w:rPr>
        <w:t xml:space="preserve">Yet the inclusion of the Holocaust and antagonistic attitudes towards Israelis also has a secondary effect, in that it </w:t>
      </w:r>
      <w:r w:rsidR="00F4448C">
        <w:rPr>
          <w:lang w:val="en-GB"/>
        </w:rPr>
        <w:t xml:space="preserve">risks </w:t>
      </w:r>
      <w:r w:rsidRPr="0048465B">
        <w:rPr>
          <w:lang w:val="en-GB"/>
        </w:rPr>
        <w:t>reinforcing the very flow that Darwish refers to. Whilst al-</w:t>
      </w:r>
      <w:proofErr w:type="spellStart"/>
      <w:r w:rsidRPr="0048465B">
        <w:rPr>
          <w:lang w:val="en-GB"/>
        </w:rPr>
        <w:t>Madhoun</w:t>
      </w:r>
      <w:proofErr w:type="spellEnd"/>
      <w:r w:rsidRPr="0048465B">
        <w:rPr>
          <w:lang w:val="en-GB"/>
        </w:rPr>
        <w:t xml:space="preserve"> is clearly conscious of the tightly interwoven, and ultimately inescapable, nature of these two fractured histories, the ways in which some of his characters communicate their frustration risk encouraging misinterpretations of the novel in its entirety. This risk is intensified due to the fact that authors who choose to incorporate </w:t>
      </w:r>
      <w:r w:rsidR="00D52DAA">
        <w:rPr>
          <w:lang w:val="en-GB"/>
        </w:rPr>
        <w:t>contentious</w:t>
      </w:r>
      <w:r w:rsidRPr="0048465B">
        <w:rPr>
          <w:lang w:val="en-GB"/>
        </w:rPr>
        <w:t xml:space="preserve"> perspectives into their novels typically also introduce a conspicuous narrative </w:t>
      </w:r>
      <w:r w:rsidR="006D619E" w:rsidRPr="0048465B">
        <w:rPr>
          <w:lang w:val="en-GB"/>
        </w:rPr>
        <w:t>counterweight</w:t>
      </w:r>
      <w:r w:rsidRPr="0048465B">
        <w:rPr>
          <w:lang w:val="en-GB"/>
        </w:rPr>
        <w:t xml:space="preserve">, in this genre, a prominent liberal Jewish or particularly </w:t>
      </w:r>
      <w:r w:rsidR="00F4448C">
        <w:rPr>
          <w:lang w:val="en-GB"/>
        </w:rPr>
        <w:t>pacifistic</w:t>
      </w:r>
      <w:r w:rsidRPr="0048465B">
        <w:rPr>
          <w:lang w:val="en-GB"/>
        </w:rPr>
        <w:t xml:space="preserve"> Palestinian voice. Whilst al-</w:t>
      </w:r>
      <w:proofErr w:type="spellStart"/>
      <w:r w:rsidRPr="0048465B">
        <w:rPr>
          <w:lang w:val="en-GB"/>
        </w:rPr>
        <w:t>Madhoun</w:t>
      </w:r>
      <w:proofErr w:type="spellEnd"/>
      <w:r w:rsidRPr="0048465B">
        <w:rPr>
          <w:lang w:val="en-GB"/>
        </w:rPr>
        <w:t xml:space="preserve"> retains a </w:t>
      </w:r>
      <w:r w:rsidR="00F4448C">
        <w:rPr>
          <w:lang w:val="en-GB"/>
        </w:rPr>
        <w:t>fragile</w:t>
      </w:r>
      <w:r w:rsidRPr="0048465B">
        <w:rPr>
          <w:lang w:val="en-GB"/>
        </w:rPr>
        <w:t xml:space="preserve"> sense of balance throughout the novel, he refuses to do so in such an obvious way, instead allowing these belligerent and disagreeable opinions to remain unopposed in the moment of their utterance, forcing the reader to accept the existence of such opinions within Palestinian discourse, and only balancing these opinions through seemingly unrelated moments elsewhere the novel. Through locating the vast majority of these varied perspectives within the voices and minds of Palestinians exclusively, al-</w:t>
      </w:r>
      <w:proofErr w:type="spellStart"/>
      <w:r w:rsidRPr="0048465B">
        <w:rPr>
          <w:lang w:val="en-GB"/>
        </w:rPr>
        <w:t>Madhoun</w:t>
      </w:r>
      <w:proofErr w:type="spellEnd"/>
      <w:r w:rsidRPr="0048465B">
        <w:rPr>
          <w:lang w:val="en-GB"/>
        </w:rPr>
        <w:t xml:space="preserve"> ensures that the complexity of Palestinian perspectives on the Nakba and the Holocaust </w:t>
      </w:r>
      <w:r w:rsidR="005D214B">
        <w:rPr>
          <w:lang w:val="en-GB"/>
        </w:rPr>
        <w:t>is</w:t>
      </w:r>
      <w:r w:rsidR="005D214B" w:rsidRPr="0048465B">
        <w:rPr>
          <w:lang w:val="en-GB"/>
        </w:rPr>
        <w:t xml:space="preserve"> </w:t>
      </w:r>
      <w:r w:rsidRPr="0048465B">
        <w:rPr>
          <w:lang w:val="en-GB"/>
        </w:rPr>
        <w:t xml:space="preserve">accurately represented, Palestinians no longer subject to essentialist representations that deem them barbarous </w:t>
      </w:r>
      <w:proofErr w:type="spellStart"/>
      <w:r w:rsidRPr="0048465B">
        <w:rPr>
          <w:lang w:val="en-GB"/>
        </w:rPr>
        <w:t>antisemites</w:t>
      </w:r>
      <w:proofErr w:type="spellEnd"/>
      <w:r w:rsidRPr="0048465B">
        <w:rPr>
          <w:lang w:val="en-GB"/>
        </w:rPr>
        <w:t xml:space="preserve"> on the one hand, and incorruptible martyrs on the other.</w:t>
      </w:r>
    </w:p>
    <w:p w14:paraId="7B543CCE" w14:textId="77777777" w:rsidR="00FC331F" w:rsidRPr="0048465B" w:rsidRDefault="00FC331F" w:rsidP="00FC331F">
      <w:pPr>
        <w:rPr>
          <w:lang w:val="en-GB"/>
        </w:rPr>
      </w:pPr>
    </w:p>
    <w:p w14:paraId="69ADB7A0" w14:textId="3ACE7397" w:rsidR="00FC331F" w:rsidRPr="0048465B" w:rsidRDefault="00FC331F" w:rsidP="00FC331F">
      <w:pPr>
        <w:rPr>
          <w:lang w:val="en-GB"/>
        </w:rPr>
      </w:pPr>
      <w:r w:rsidRPr="0048465B">
        <w:rPr>
          <w:lang w:val="en-GB"/>
        </w:rPr>
        <w:t>The less sympathetic of al-Madhoun’s representations remain jarring nonetheless. Achcar’s acknowledgement of the frequent ‘failure to distinguish between “Jews” and “Zionists”</w:t>
      </w:r>
      <w:r w:rsidR="000C3FB4">
        <w:rPr>
          <w:lang w:val="en-GB"/>
        </w:rPr>
        <w:t xml:space="preserve"> […] </w:t>
      </w:r>
      <w:r w:rsidRPr="0048465B">
        <w:rPr>
          <w:lang w:val="en-GB"/>
        </w:rPr>
        <w:t>in the Arab world’</w:t>
      </w:r>
      <w:r w:rsidRPr="0048465B">
        <w:rPr>
          <w:vertAlign w:val="superscript"/>
          <w:lang w:val="en-GB"/>
        </w:rPr>
        <w:footnoteReference w:id="275"/>
      </w:r>
      <w:r w:rsidRPr="0048465B">
        <w:rPr>
          <w:lang w:val="en-GB"/>
        </w:rPr>
        <w:t xml:space="preserve"> is embodied in a number of characters within </w:t>
      </w:r>
      <w:r w:rsidRPr="0048465B">
        <w:rPr>
          <w:i/>
          <w:lang w:val="en-GB"/>
        </w:rPr>
        <w:t>Fractured Destinies</w:t>
      </w:r>
      <w:r w:rsidRPr="0048465B">
        <w:rPr>
          <w:lang w:val="en-GB"/>
        </w:rPr>
        <w:t>. In the early pages of the novel, a Palestinian</w:t>
      </w:r>
      <w:r w:rsidR="00B45635">
        <w:rPr>
          <w:lang w:val="en-GB"/>
        </w:rPr>
        <w:t xml:space="preserve"> </w:t>
      </w:r>
      <w:r w:rsidRPr="0048465B">
        <w:rPr>
          <w:lang w:val="en-GB"/>
        </w:rPr>
        <w:t xml:space="preserve">Armenian now living in Britain jokingly aligns Jewish beliefs about </w:t>
      </w:r>
      <w:r w:rsidRPr="0048465B">
        <w:rPr>
          <w:lang w:val="en-GB"/>
        </w:rPr>
        <w:lastRenderedPageBreak/>
        <w:t>priority access to paradise on the Day of Resurrection with ‘“the heavens [being] filled with settlers who have forced the Palestinians out in this world and want to appropriate their places in the next”’.</w:t>
      </w:r>
      <w:r w:rsidRPr="0048465B">
        <w:rPr>
          <w:vertAlign w:val="superscript"/>
          <w:lang w:val="en-GB"/>
        </w:rPr>
        <w:footnoteReference w:id="276"/>
      </w:r>
      <w:r w:rsidRPr="0048465B">
        <w:rPr>
          <w:lang w:val="en-GB"/>
        </w:rPr>
        <w:t xml:space="preserve"> Such insensitivities, at their most shocking, go as far as one of al-Madhoun’s characters, Jinin, writing a novel titled </w:t>
      </w:r>
      <w:r w:rsidRPr="0048465B">
        <w:rPr>
          <w:i/>
          <w:lang w:val="en-GB"/>
        </w:rPr>
        <w:t>Filastini Tays</w:t>
      </w:r>
      <w:r w:rsidRPr="0048465B">
        <w:rPr>
          <w:lang w:val="en-GB"/>
        </w:rPr>
        <w:t xml:space="preserve"> in which a Jewish Holocaust survivor named Aviva realises that her husband may be killed by ‘Arabs’ if they lose the Six-Day war, and suggests that he ‘“ask those four German soldiers”’ to kill him first, as it is ‘“really essential for a German to kill you for you to gain a share in the Holocaust like me”’.</w:t>
      </w:r>
      <w:r w:rsidRPr="0048465B">
        <w:rPr>
          <w:vertAlign w:val="superscript"/>
          <w:lang w:val="en-GB"/>
        </w:rPr>
        <w:footnoteReference w:id="277"/>
      </w:r>
    </w:p>
    <w:p w14:paraId="486A5AA7" w14:textId="77777777" w:rsidR="00FC331F" w:rsidRPr="0048465B" w:rsidRDefault="00FC331F" w:rsidP="00FC331F">
      <w:pPr>
        <w:rPr>
          <w:lang w:val="en-GB"/>
        </w:rPr>
      </w:pPr>
    </w:p>
    <w:p w14:paraId="135F9EE4" w14:textId="1D34D1B6" w:rsidR="00F4448C" w:rsidRDefault="00FC331F" w:rsidP="00FC331F">
      <w:pPr>
        <w:rPr>
          <w:lang w:val="en-GB"/>
        </w:rPr>
      </w:pPr>
      <w:r w:rsidRPr="0048465B">
        <w:rPr>
          <w:lang w:val="en-GB"/>
        </w:rPr>
        <w:t xml:space="preserve">Even this shocking representation, however, eventually </w:t>
      </w:r>
      <w:r w:rsidR="00BD4FD8">
        <w:rPr>
          <w:lang w:val="en-GB"/>
        </w:rPr>
        <w:t xml:space="preserve">finds a sense of </w:t>
      </w:r>
      <w:r w:rsidRPr="0048465B">
        <w:rPr>
          <w:lang w:val="en-GB"/>
        </w:rPr>
        <w:t>balance across the course of the novel. Firstly, this presentation of the Holocaust as a source of politico-cultural leverage alone is undermined within the same novel-within-a-novel, which presents a horrific representation of the Holocaust that is far more desolate and harrowing than anything al-</w:t>
      </w:r>
      <w:proofErr w:type="spellStart"/>
      <w:r w:rsidRPr="0048465B">
        <w:rPr>
          <w:lang w:val="en-GB"/>
        </w:rPr>
        <w:t>Madhoun</w:t>
      </w:r>
      <w:proofErr w:type="spellEnd"/>
      <w:r w:rsidRPr="0048465B">
        <w:rPr>
          <w:lang w:val="en-GB"/>
        </w:rPr>
        <w:t xml:space="preserve"> or Jinin write about the Palestinian experience, and thus legitimises the experiences of Aviva rather than identifying them solely as a political bargaining chip. Secondly, when Walid, the protagonist of </w:t>
      </w:r>
      <w:r w:rsidRPr="0048465B">
        <w:rPr>
          <w:i/>
          <w:lang w:val="en-GB"/>
        </w:rPr>
        <w:t>Fractured Destinies</w:t>
      </w:r>
      <w:r w:rsidRPr="0048465B">
        <w:rPr>
          <w:lang w:val="en-GB"/>
        </w:rPr>
        <w:t>’ main narrative, starts reading Jinin’s work, he describes her use of language as ‘shock[</w:t>
      </w:r>
      <w:proofErr w:type="spellStart"/>
      <w:r w:rsidRPr="0048465B">
        <w:rPr>
          <w:lang w:val="en-GB"/>
        </w:rPr>
        <w:t>ing</w:t>
      </w:r>
      <w:proofErr w:type="spellEnd"/>
      <w:r w:rsidR="000C3FB4">
        <w:rPr>
          <w:lang w:val="en-GB"/>
        </w:rPr>
        <w:t xml:space="preserve">…] </w:t>
      </w:r>
      <w:r w:rsidRPr="0048465B">
        <w:rPr>
          <w:lang w:val="en-GB"/>
        </w:rPr>
        <w:t>transparent, open, and challenging, [and] sometimes impetuous’,</w:t>
      </w:r>
      <w:r w:rsidRPr="0048465B">
        <w:rPr>
          <w:vertAlign w:val="superscript"/>
          <w:lang w:val="en-GB"/>
        </w:rPr>
        <w:footnoteReference w:id="278"/>
      </w:r>
      <w:r w:rsidRPr="0048465B">
        <w:rPr>
          <w:lang w:val="en-GB"/>
        </w:rPr>
        <w:t xml:space="preserve"> al-</w:t>
      </w:r>
      <w:proofErr w:type="spellStart"/>
      <w:r w:rsidRPr="0048465B">
        <w:rPr>
          <w:lang w:val="en-GB"/>
        </w:rPr>
        <w:t>Madhoun</w:t>
      </w:r>
      <w:proofErr w:type="spellEnd"/>
      <w:r w:rsidRPr="0048465B">
        <w:rPr>
          <w:lang w:val="en-GB"/>
        </w:rPr>
        <w:t xml:space="preserve"> here gently </w:t>
      </w:r>
      <w:r w:rsidR="006D619E" w:rsidRPr="0048465B">
        <w:rPr>
          <w:lang w:val="en-GB"/>
        </w:rPr>
        <w:t>signalling</w:t>
      </w:r>
      <w:r w:rsidRPr="0048465B">
        <w:rPr>
          <w:lang w:val="en-GB"/>
        </w:rPr>
        <w:t xml:space="preserve"> that Jinin’s style is harsh for the Palestinian readers within the novel, as well as those readers in the real world. Finally, and most subtly, al-</w:t>
      </w:r>
      <w:proofErr w:type="spellStart"/>
      <w:r w:rsidRPr="0048465B">
        <w:rPr>
          <w:lang w:val="en-GB"/>
        </w:rPr>
        <w:t>Madhoun</w:t>
      </w:r>
      <w:proofErr w:type="spellEnd"/>
      <w:r w:rsidRPr="0048465B">
        <w:rPr>
          <w:lang w:val="en-GB"/>
        </w:rPr>
        <w:t xml:space="preserve"> continuously references the famous author and Palestinian citizen of Israel, Emile Habibi, both in relation to Jinin’s knowledge that her husband loves Habibi’s style, and within Jinin’s </w:t>
      </w:r>
      <w:r w:rsidRPr="0048465B">
        <w:rPr>
          <w:i/>
          <w:lang w:val="en-GB"/>
        </w:rPr>
        <w:t>Filastini Tays</w:t>
      </w:r>
      <w:r w:rsidRPr="0048465B">
        <w:rPr>
          <w:lang w:val="en-GB"/>
        </w:rPr>
        <w:t xml:space="preserve">, where numerous characters profess their love for Habibi. It is Habibi’s satirical style, and his excessively </w:t>
      </w:r>
      <w:r w:rsidRPr="0048465B">
        <w:rPr>
          <w:lang w:val="en-GB"/>
        </w:rPr>
        <w:lastRenderedPageBreak/>
        <w:t xml:space="preserve">candid and sincere characters </w:t>
      </w:r>
      <w:r w:rsidR="001744E4">
        <w:rPr>
          <w:lang w:val="en-GB"/>
        </w:rPr>
        <w:t>–</w:t>
      </w:r>
      <w:r w:rsidRPr="0048465B">
        <w:rPr>
          <w:lang w:val="en-GB"/>
        </w:rPr>
        <w:t xml:space="preserve"> explored in greater depth in one of </w:t>
      </w:r>
      <w:r w:rsidR="00F4448C">
        <w:rPr>
          <w:lang w:val="en-GB"/>
        </w:rPr>
        <w:t>Habibi’s</w:t>
      </w:r>
      <w:r w:rsidRPr="0048465B">
        <w:rPr>
          <w:lang w:val="en-GB"/>
        </w:rPr>
        <w:t xml:space="preserve"> own novels in the coming pages </w:t>
      </w:r>
      <w:r w:rsidR="001744E4">
        <w:rPr>
          <w:lang w:val="en-GB"/>
        </w:rPr>
        <w:t>–</w:t>
      </w:r>
      <w:r w:rsidRPr="0048465B">
        <w:rPr>
          <w:lang w:val="en-GB"/>
        </w:rPr>
        <w:t xml:space="preserve"> that Jinin attempts to find a place for in her own work. </w:t>
      </w:r>
    </w:p>
    <w:p w14:paraId="20EE88F3" w14:textId="77777777" w:rsidR="00F4448C" w:rsidRDefault="00F4448C" w:rsidP="00FC331F">
      <w:pPr>
        <w:rPr>
          <w:lang w:val="en-GB"/>
        </w:rPr>
      </w:pPr>
    </w:p>
    <w:p w14:paraId="3324973B" w14:textId="4EB0AE27" w:rsidR="00FC331F" w:rsidRPr="0048465B" w:rsidRDefault="00FC331F" w:rsidP="00FC331F">
      <w:pPr>
        <w:rPr>
          <w:lang w:val="en-GB"/>
        </w:rPr>
      </w:pPr>
      <w:r w:rsidRPr="0048465B">
        <w:rPr>
          <w:lang w:val="en-GB"/>
        </w:rPr>
        <w:t xml:space="preserve">One such example of this can be seen when the same Holocaust survivor, Aviva, dies, and </w:t>
      </w:r>
      <w:r w:rsidR="00F4448C">
        <w:rPr>
          <w:i/>
          <w:iCs/>
          <w:lang w:val="en-GB"/>
        </w:rPr>
        <w:t>Filastini Tays</w:t>
      </w:r>
      <w:r w:rsidR="00F4448C">
        <w:rPr>
          <w:lang w:val="en-GB"/>
        </w:rPr>
        <w:t>’</w:t>
      </w:r>
      <w:r w:rsidRPr="0048465B">
        <w:rPr>
          <w:lang w:val="en-GB"/>
        </w:rPr>
        <w:t xml:space="preserve"> main character (The Remainer) expresses his genuine and ‘extreme’ sadness by referring to a time when Aviva had </w:t>
      </w:r>
      <w:r w:rsidR="00B824E5">
        <w:rPr>
          <w:lang w:val="en-GB"/>
        </w:rPr>
        <w:t>set</w:t>
      </w:r>
      <w:r w:rsidRPr="0048465B">
        <w:rPr>
          <w:lang w:val="en-GB"/>
        </w:rPr>
        <w:t xml:space="preserve"> his house on fire. The Remainer tells Aviva’s husband ‘“I wish everyone was like Aviva; at least when she set fire to the house, she didn’t burn us with it!”’</w:t>
      </w:r>
      <w:r w:rsidRPr="0048465B">
        <w:rPr>
          <w:vertAlign w:val="superscript"/>
          <w:lang w:val="en-GB"/>
        </w:rPr>
        <w:footnoteReference w:id="279"/>
      </w:r>
      <w:r w:rsidRPr="0048465B">
        <w:rPr>
          <w:lang w:val="en-GB"/>
        </w:rPr>
        <w:t xml:space="preserve"> Similarly, two Israeli</w:t>
      </w:r>
      <w:r w:rsidR="00B824E5">
        <w:rPr>
          <w:lang w:val="en-GB"/>
        </w:rPr>
        <w:t xml:space="preserve"> J</w:t>
      </w:r>
      <w:r w:rsidRPr="0048465B">
        <w:rPr>
          <w:lang w:val="en-GB"/>
        </w:rPr>
        <w:t xml:space="preserve">ews having a candid and shockingly transparent conversation about the relationship between the Holocaust and politico-cultural power would not be out of place in one of Habibi’s works. Whilst Jinin is not quite able to achieve Habibi’s dextrous balance between ignorance and insight, al-Madhoun’s references to Habibi, and Jinin’s adoption of a similar style, nonetheless ensure that instinctive assumptions of reduction and desecration are destabilised, if not </w:t>
      </w:r>
      <w:r w:rsidR="00BD4FD8">
        <w:rPr>
          <w:lang w:val="en-GB"/>
        </w:rPr>
        <w:t>entirely alleviated</w:t>
      </w:r>
      <w:r w:rsidRPr="0048465B">
        <w:rPr>
          <w:lang w:val="en-GB"/>
        </w:rPr>
        <w:t>.</w:t>
      </w:r>
    </w:p>
    <w:p w14:paraId="1DCA6EC1" w14:textId="77777777" w:rsidR="00FC331F" w:rsidRPr="0048465B" w:rsidRDefault="00FC331F" w:rsidP="00FC331F">
      <w:pPr>
        <w:rPr>
          <w:lang w:val="en-GB"/>
        </w:rPr>
      </w:pPr>
    </w:p>
    <w:p w14:paraId="7A079E0D" w14:textId="05AFF3DC" w:rsidR="00FC331F" w:rsidRPr="0048465B" w:rsidRDefault="00FC331F" w:rsidP="00FC331F">
      <w:pPr>
        <w:rPr>
          <w:lang w:val="en-GB"/>
        </w:rPr>
      </w:pPr>
      <w:r w:rsidRPr="0048465B">
        <w:rPr>
          <w:lang w:val="en-GB"/>
        </w:rPr>
        <w:t>Moreover</w:t>
      </w:r>
      <w:r w:rsidR="00BD4FD8">
        <w:rPr>
          <w:lang w:val="en-GB"/>
        </w:rPr>
        <w:t>,</w:t>
      </w:r>
      <w:r w:rsidRPr="0048465B">
        <w:rPr>
          <w:lang w:val="en-GB"/>
        </w:rPr>
        <w:t xml:space="preserve"> al-Madhoun’s aforementioned reluctance to offer a simplistic liberal-Jewish or Palestinian</w:t>
      </w:r>
      <w:r w:rsidR="00BD4FD8">
        <w:rPr>
          <w:lang w:val="en-GB"/>
        </w:rPr>
        <w:t>-pacifist</w:t>
      </w:r>
      <w:r w:rsidRPr="0048465B">
        <w:rPr>
          <w:lang w:val="en-GB"/>
        </w:rPr>
        <w:t xml:space="preserve"> narrative counterweight means that it is ultimately not necessary for the reader to sympathise with a particular character. Indeed, whilst the reader may sympathise with Jinin’s </w:t>
      </w:r>
      <w:r w:rsidR="00BD4FD8">
        <w:rPr>
          <w:lang w:val="en-GB"/>
        </w:rPr>
        <w:t xml:space="preserve">exhaustive and </w:t>
      </w:r>
      <w:r w:rsidRPr="0048465B">
        <w:rPr>
          <w:lang w:val="en-GB"/>
        </w:rPr>
        <w:t xml:space="preserve">fruitless attempts to get a work permit for her husband Basim, it is in these two characters that the majority of the novel’s moral transgressions are found. Whilst there is an attempt at stylistic nuance in Jinin’s not-quite successful attempt to expose Israeli political manipulation of the Holocaust, there is no such nuance when, after having discovered that his work permit </w:t>
      </w:r>
      <w:r w:rsidR="001744E4">
        <w:rPr>
          <w:lang w:val="en-GB"/>
        </w:rPr>
        <w:t>–</w:t>
      </w:r>
      <w:r w:rsidRPr="0048465B">
        <w:rPr>
          <w:lang w:val="en-GB"/>
        </w:rPr>
        <w:t xml:space="preserve"> and thus residency in Jaffa </w:t>
      </w:r>
      <w:r w:rsidR="001744E4">
        <w:rPr>
          <w:lang w:val="en-GB"/>
        </w:rPr>
        <w:t>–</w:t>
      </w:r>
      <w:r w:rsidRPr="0048465B">
        <w:rPr>
          <w:lang w:val="en-GB"/>
        </w:rPr>
        <w:t xml:space="preserve"> had not been extended, Basim states of the Israeli Ministry </w:t>
      </w:r>
      <w:r w:rsidRPr="0048465B">
        <w:rPr>
          <w:lang w:val="en-GB"/>
        </w:rPr>
        <w:lastRenderedPageBreak/>
        <w:t>of the Interior, ‘“[t]hose bastards! If I were a homosexual, they’d hang a human rights placard around my neck and let me work!”’.</w:t>
      </w:r>
      <w:r w:rsidRPr="0048465B">
        <w:rPr>
          <w:vertAlign w:val="superscript"/>
          <w:lang w:val="en-GB"/>
        </w:rPr>
        <w:footnoteReference w:id="280"/>
      </w:r>
      <w:r w:rsidRPr="0048465B">
        <w:rPr>
          <w:lang w:val="en-GB"/>
        </w:rPr>
        <w:t xml:space="preserve"> Similarly, Jinin’s response, wherein she ‘bitterly’ contrasts ‘“the country’s homosexuals”’ with ‘“ordinary people”’</w:t>
      </w:r>
      <w:r w:rsidR="00B00603">
        <w:rPr>
          <w:lang w:val="en-GB"/>
        </w:rPr>
        <w:t>,</w:t>
      </w:r>
      <w:r w:rsidRPr="0048465B">
        <w:rPr>
          <w:lang w:val="en-GB"/>
        </w:rPr>
        <w:t xml:space="preserve"> encourages the reader to question their trust in her as a character altogether.</w:t>
      </w:r>
      <w:r w:rsidRPr="0048465B">
        <w:rPr>
          <w:vertAlign w:val="superscript"/>
          <w:lang w:val="en-GB"/>
        </w:rPr>
        <w:footnoteReference w:id="281"/>
      </w:r>
      <w:r w:rsidRPr="0048465B">
        <w:rPr>
          <w:lang w:val="en-GB"/>
        </w:rPr>
        <w:t xml:space="preserve"> Through placing the difficulty of finding work in Israel as a Palestinian begrudgingly alongside the fact that ‘the country’s homosexuals’ can find work, al-</w:t>
      </w:r>
      <w:proofErr w:type="spellStart"/>
      <w:r w:rsidRPr="0048465B">
        <w:rPr>
          <w:lang w:val="en-GB"/>
        </w:rPr>
        <w:t>Madhoun</w:t>
      </w:r>
      <w:proofErr w:type="spellEnd"/>
      <w:r w:rsidRPr="0048465B">
        <w:rPr>
          <w:lang w:val="en-GB"/>
        </w:rPr>
        <w:t xml:space="preserve"> not only displays the deep and profound frustration that exists amongst Palestinians caught in the administrative webs of Israeli bureaucracy, but also highlights that this particular victimisation does not absolve these victims of</w:t>
      </w:r>
      <w:r w:rsidR="00BD4FD8">
        <w:rPr>
          <w:lang w:val="en-GB"/>
        </w:rPr>
        <w:t xml:space="preserve"> their</w:t>
      </w:r>
      <w:r w:rsidRPr="0048465B">
        <w:rPr>
          <w:lang w:val="en-GB"/>
        </w:rPr>
        <w:t xml:space="preserve"> transgressions, a message that is perhaps more significant than any other when scrutinising the Israeli-Palestinian conflict.</w:t>
      </w:r>
    </w:p>
    <w:p w14:paraId="114764EB" w14:textId="77777777" w:rsidR="00FC331F" w:rsidRPr="0048465B" w:rsidRDefault="00FC331F" w:rsidP="00FC331F">
      <w:pPr>
        <w:rPr>
          <w:lang w:val="en-GB"/>
        </w:rPr>
      </w:pPr>
    </w:p>
    <w:p w14:paraId="7AF73926" w14:textId="1E9F00FC" w:rsidR="00FC331F" w:rsidRPr="0048465B" w:rsidRDefault="00FC331F" w:rsidP="00FC331F">
      <w:pPr>
        <w:rPr>
          <w:lang w:val="en-GB"/>
        </w:rPr>
      </w:pPr>
      <w:r w:rsidRPr="0048465B">
        <w:rPr>
          <w:lang w:val="en-GB"/>
        </w:rPr>
        <w:t>This same core message regarding victims and victimisation is found in Walid’s desire to visit Yad Vashem, the official Israeli memorial to victims of the Holocaust, and to look across to Deir Yassin, the site of a massacre of Palestinian civilians by Zionist paramilitary groups, to see ‘how the victims see their victims’.</w:t>
      </w:r>
      <w:r w:rsidRPr="0048465B">
        <w:rPr>
          <w:vertAlign w:val="superscript"/>
          <w:lang w:val="en-GB"/>
        </w:rPr>
        <w:footnoteReference w:id="282"/>
      </w:r>
      <w:r w:rsidRPr="0048465B">
        <w:rPr>
          <w:lang w:val="en-GB"/>
        </w:rPr>
        <w:t xml:space="preserve"> Despite Walid’s acknowledgement of dual-victimhood, this connection </w:t>
      </w:r>
      <w:r w:rsidR="00B57915">
        <w:rPr>
          <w:lang w:val="en-GB"/>
        </w:rPr>
        <w:t>–</w:t>
      </w:r>
      <w:r w:rsidRPr="0048465B">
        <w:rPr>
          <w:lang w:val="en-GB"/>
        </w:rPr>
        <w:t xml:space="preserve"> initially </w:t>
      </w:r>
      <w:r w:rsidR="00B57915">
        <w:rPr>
          <w:lang w:val="en-GB"/>
        </w:rPr>
        <w:t>–</w:t>
      </w:r>
      <w:r w:rsidRPr="0048465B">
        <w:rPr>
          <w:lang w:val="en-GB"/>
        </w:rPr>
        <w:t xml:space="preserve"> creates more friction than it does harmony. Walid’s direct comparison of ‘victims’ encourages unhelpful comparisons between Yad Vashem, representative of all the Jews who died in the Holocaust, and Deir Yassin, a horrific massacre, and one that has come</w:t>
      </w:r>
      <w:r w:rsidR="00ED7125">
        <w:rPr>
          <w:lang w:val="en-GB"/>
        </w:rPr>
        <w:t xml:space="preserve"> to</w:t>
      </w:r>
      <w:r w:rsidRPr="0048465B">
        <w:rPr>
          <w:lang w:val="en-GB"/>
        </w:rPr>
        <w:t xml:space="preserve"> represent Palestinian oppression and murder more generally, but one that </w:t>
      </w:r>
      <w:r w:rsidR="00B57915">
        <w:rPr>
          <w:lang w:val="en-GB"/>
        </w:rPr>
        <w:t>–</w:t>
      </w:r>
      <w:r w:rsidRPr="0048465B">
        <w:rPr>
          <w:lang w:val="en-GB"/>
        </w:rPr>
        <w:t xml:space="preserve"> when placed in comparison to the Holocaust </w:t>
      </w:r>
      <w:r w:rsidR="00B57915">
        <w:rPr>
          <w:lang w:val="en-GB"/>
        </w:rPr>
        <w:t>–</w:t>
      </w:r>
      <w:r w:rsidRPr="0048465B">
        <w:rPr>
          <w:lang w:val="en-GB"/>
        </w:rPr>
        <w:t xml:space="preserve"> is reduced to its objective content rather than its symbolic meaning. The fact that the Deir Yassin massacre occurred in a village of six hundred people, rather than across an entire continent amongst a people numbering almost ten million</w:t>
      </w:r>
      <w:r w:rsidR="005D2841">
        <w:rPr>
          <w:lang w:val="en-GB"/>
        </w:rPr>
        <w:t>,</w:t>
      </w:r>
      <w:r w:rsidRPr="0048465B">
        <w:rPr>
          <w:lang w:val="en-GB"/>
        </w:rPr>
        <w:t xml:space="preserve"> should not undermine its emotional, </w:t>
      </w:r>
      <w:r w:rsidRPr="0048465B">
        <w:rPr>
          <w:lang w:val="en-GB"/>
        </w:rPr>
        <w:lastRenderedPageBreak/>
        <w:t>historical, and cultural significance, yet Walid’s nonchalant comparison allows this reduction to take place</w:t>
      </w:r>
      <w:r w:rsidR="00BD4FD8">
        <w:rPr>
          <w:lang w:val="en-GB"/>
        </w:rPr>
        <w:t>.</w:t>
      </w:r>
      <w:r w:rsidR="00BD4FD8" w:rsidRPr="0048465B">
        <w:rPr>
          <w:vertAlign w:val="superscript"/>
          <w:lang w:val="en-GB"/>
        </w:rPr>
        <w:footnoteReference w:id="283"/>
      </w:r>
      <w:r w:rsidRPr="0048465B">
        <w:rPr>
          <w:lang w:val="en-GB"/>
        </w:rPr>
        <w:t xml:space="preserve"> Moreover, Walid’s ambiguous identification of the ‘victims’ at Yad Vashem who</w:t>
      </w:r>
      <w:r w:rsidR="007C71E8">
        <w:rPr>
          <w:lang w:val="en-GB"/>
        </w:rPr>
        <w:t>, in looking down the hill towards the site of the Deir Yassin massacre,</w:t>
      </w:r>
      <w:r w:rsidR="008F2A91">
        <w:rPr>
          <w:lang w:val="en-GB"/>
        </w:rPr>
        <w:t xml:space="preserve"> </w:t>
      </w:r>
      <w:r w:rsidRPr="0048465B">
        <w:rPr>
          <w:lang w:val="en-GB"/>
        </w:rPr>
        <w:t>‘see their victims’</w:t>
      </w:r>
      <w:r w:rsidR="007C71E8">
        <w:rPr>
          <w:lang w:val="en-GB"/>
        </w:rPr>
        <w:t>,</w:t>
      </w:r>
      <w:r w:rsidRPr="0048465B">
        <w:rPr>
          <w:lang w:val="en-GB"/>
        </w:rPr>
        <w:t xml:space="preserve"> blurs distinctions between those who were literally victims of the Holocaust and those who are victims of its cultural, historical, and social aftermath.</w:t>
      </w:r>
      <w:r w:rsidR="007C71E8">
        <w:rPr>
          <w:rStyle w:val="FootnoteReference"/>
          <w:lang w:val="en-GB"/>
        </w:rPr>
        <w:footnoteReference w:id="284"/>
      </w:r>
      <w:r w:rsidRPr="0048465B">
        <w:rPr>
          <w:lang w:val="en-GB"/>
        </w:rPr>
        <w:t xml:space="preserve"> Here, instead of critiquing those who were actually behind the massacres at Deir Yassin, or those who continue to oppress Palestinians today, Walid names an ambiguous oppressor that at the very least refers to not just any Israelis who visit Yad Vashem, but to all visitors, and at worst refers to those who died during the Holocaust, before Israel had even been created.</w:t>
      </w:r>
    </w:p>
    <w:p w14:paraId="79586654" w14:textId="77777777" w:rsidR="00FC331F" w:rsidRPr="0048465B" w:rsidRDefault="00FC331F" w:rsidP="00FC331F">
      <w:pPr>
        <w:rPr>
          <w:lang w:val="en-GB"/>
        </w:rPr>
      </w:pPr>
    </w:p>
    <w:p w14:paraId="4F5AAAB6" w14:textId="4EAECE11" w:rsidR="00FC331F" w:rsidRPr="0048465B" w:rsidRDefault="00FC331F" w:rsidP="00FC331F">
      <w:pPr>
        <w:rPr>
          <w:lang w:val="en-GB"/>
        </w:rPr>
      </w:pPr>
      <w:r w:rsidRPr="0048465B">
        <w:rPr>
          <w:lang w:val="en-GB"/>
        </w:rPr>
        <w:t>Walid’s probing of the connections between the two events continues when he asks, ‘Did bombing Gaza help to keep the memory of the Nazi destruction alive’, before wondering whether there is any difference between ‘being burned in gas ovens and being burned by Apache rockets’.</w:t>
      </w:r>
      <w:r w:rsidRPr="0048465B">
        <w:rPr>
          <w:vertAlign w:val="superscript"/>
          <w:lang w:val="en-GB"/>
        </w:rPr>
        <w:footnoteReference w:id="285"/>
      </w:r>
      <w:r w:rsidRPr="0048465B">
        <w:rPr>
          <w:lang w:val="en-GB"/>
        </w:rPr>
        <w:t xml:space="preserve"> These simplistic queries are transformed, however, when Walid reaches the Hall of Names </w:t>
      </w:r>
      <w:r w:rsidR="00B57915">
        <w:rPr>
          <w:lang w:val="en-GB"/>
        </w:rPr>
        <w:t>–</w:t>
      </w:r>
      <w:r w:rsidRPr="0048465B">
        <w:rPr>
          <w:lang w:val="en-GB"/>
        </w:rPr>
        <w:t xml:space="preserve"> where rows of photographs of the Holocaust’s victims line the interior of a dome that reaches skywards </w:t>
      </w:r>
      <w:r w:rsidR="00B57915">
        <w:rPr>
          <w:lang w:val="en-GB"/>
        </w:rPr>
        <w:t>–</w:t>
      </w:r>
      <w:r w:rsidRPr="0048465B">
        <w:rPr>
          <w:lang w:val="en-GB"/>
        </w:rPr>
        <w:t xml:space="preserve"> and where Walid looks up ‘to follow the names upwards until [his] gaze </w:t>
      </w:r>
      <w:proofErr w:type="spellStart"/>
      <w:r w:rsidRPr="0048465B">
        <w:rPr>
          <w:lang w:val="en-GB"/>
        </w:rPr>
        <w:t>reache</w:t>
      </w:r>
      <w:proofErr w:type="spellEnd"/>
      <w:r w:rsidRPr="0048465B">
        <w:rPr>
          <w:lang w:val="en-GB"/>
        </w:rPr>
        <w:t>[s] the hall’s circular extremity, open to the sky’, and describes how he:</w:t>
      </w:r>
    </w:p>
    <w:p w14:paraId="6453EE3E" w14:textId="77777777" w:rsidR="00FC331F" w:rsidRPr="0048465B" w:rsidRDefault="00FC331F" w:rsidP="00FC331F">
      <w:pPr>
        <w:rPr>
          <w:lang w:val="en-GB"/>
        </w:rPr>
      </w:pPr>
    </w:p>
    <w:p w14:paraId="02E7B078" w14:textId="2ACC042F" w:rsidR="00FC331F" w:rsidRPr="0048465B" w:rsidRDefault="00FC331F" w:rsidP="00FC331F">
      <w:pPr>
        <w:ind w:left="720"/>
        <w:rPr>
          <w:lang w:val="en-GB"/>
        </w:rPr>
      </w:pPr>
      <w:r w:rsidRPr="0048465B">
        <w:rPr>
          <w:lang w:val="en-GB"/>
        </w:rPr>
        <w:t xml:space="preserve">studied the names, and examined the features of the victims </w:t>
      </w:r>
      <w:r w:rsidR="00B57915">
        <w:rPr>
          <w:lang w:val="en-GB"/>
        </w:rPr>
        <w:t>–</w:t>
      </w:r>
      <w:r w:rsidRPr="0048465B">
        <w:rPr>
          <w:lang w:val="en-GB"/>
        </w:rPr>
        <w:t xml:space="preserve"> who continued to scrutinize me as I looked at their faces </w:t>
      </w:r>
      <w:r w:rsidR="000C3FB4">
        <w:rPr>
          <w:lang w:val="en-GB"/>
        </w:rPr>
        <w:t>[…]</w:t>
      </w:r>
      <w:r w:rsidRPr="0048465B">
        <w:rPr>
          <w:lang w:val="en-GB"/>
        </w:rPr>
        <w:t xml:space="preserve"> I felt like the faces of thousands of Palestinians</w:t>
      </w:r>
      <w:r w:rsidR="000C3FB4">
        <w:rPr>
          <w:lang w:val="en-GB"/>
        </w:rPr>
        <w:t xml:space="preserve"> […] </w:t>
      </w:r>
      <w:r w:rsidRPr="0048465B">
        <w:rPr>
          <w:lang w:val="en-GB"/>
        </w:rPr>
        <w:t xml:space="preserve">gazed down on me. They were pushing and shoving, as if they wanted to come down into the </w:t>
      </w:r>
      <w:r w:rsidRPr="0048465B">
        <w:rPr>
          <w:lang w:val="en-GB"/>
        </w:rPr>
        <w:lastRenderedPageBreak/>
        <w:t>halls of the museum, spread through them, and take their place as victims. I felt sorrow for those from both groups, and I cried for those who were crowded together in the sky, looking for a place to assemble their names.</w:t>
      </w:r>
      <w:r w:rsidRPr="0048465B">
        <w:rPr>
          <w:vertAlign w:val="superscript"/>
          <w:lang w:val="en-GB"/>
        </w:rPr>
        <w:footnoteReference w:id="286"/>
      </w:r>
    </w:p>
    <w:p w14:paraId="0D69AD4F" w14:textId="77777777" w:rsidR="00FC331F" w:rsidRPr="0048465B" w:rsidRDefault="00FC331F" w:rsidP="00FC331F">
      <w:pPr>
        <w:rPr>
          <w:b/>
          <w:lang w:val="en-GB"/>
        </w:rPr>
      </w:pPr>
    </w:p>
    <w:p w14:paraId="2A2A6EA5" w14:textId="034A6581" w:rsidR="00FC331F" w:rsidRPr="0048465B" w:rsidRDefault="00FC331F" w:rsidP="00FC331F">
      <w:pPr>
        <w:rPr>
          <w:lang w:val="en-GB"/>
        </w:rPr>
      </w:pPr>
      <w:r w:rsidRPr="0048465B">
        <w:rPr>
          <w:lang w:val="en-GB"/>
        </w:rPr>
        <w:t xml:space="preserve">Al-Madhoun’s choice to align the absence of memorialisation of Palestinian pain with the presence of the most iconic memorialisation of the Holocaust, especially after Walid’s short-sighted comments, undeniably risks implying that the </w:t>
      </w:r>
      <w:r w:rsidR="00B57915">
        <w:rPr>
          <w:lang w:val="en-GB"/>
        </w:rPr>
        <w:t>memory</w:t>
      </w:r>
      <w:r w:rsidRPr="0048465B">
        <w:rPr>
          <w:lang w:val="en-GB"/>
        </w:rPr>
        <w:t xml:space="preserve"> of those who died in the Holocaust is something that must be overwritten, rather than simply decentred, in order for Palestinian suffering to be acknowledged. However, in the interactions of the temporally and geographically disconnected faces in the excerpt above, we see not a reduction of Holocaust survivor identity, but a </w:t>
      </w:r>
      <w:r w:rsidR="00662782" w:rsidRPr="0048465B">
        <w:rPr>
          <w:lang w:val="en-GB"/>
        </w:rPr>
        <w:t>L</w:t>
      </w:r>
      <w:r w:rsidR="00662782">
        <w:rPr>
          <w:lang w:val="en-GB"/>
        </w:rPr>
        <w:t>e</w:t>
      </w:r>
      <w:r w:rsidR="00662782" w:rsidRPr="0048465B">
        <w:rPr>
          <w:lang w:val="en-GB"/>
        </w:rPr>
        <w:t>vinasian</w:t>
      </w:r>
      <w:r w:rsidRPr="0048465B">
        <w:rPr>
          <w:lang w:val="en-GB"/>
        </w:rPr>
        <w:t xml:space="preserve"> confrontation of the two subject positions. </w:t>
      </w:r>
      <w:r w:rsidR="00662782" w:rsidRPr="0048465B">
        <w:rPr>
          <w:lang w:val="en-GB"/>
        </w:rPr>
        <w:t xml:space="preserve">Both Walid’s face and those on the walls of the dome, as well as </w:t>
      </w:r>
      <w:r w:rsidR="00B57915">
        <w:rPr>
          <w:lang w:val="en-GB"/>
        </w:rPr>
        <w:t>the faces</w:t>
      </w:r>
      <w:r w:rsidR="00662782" w:rsidRPr="0048465B">
        <w:rPr>
          <w:lang w:val="en-GB"/>
        </w:rPr>
        <w:t xml:space="preserve"> on the walls and those that Walid imagines in the sky above, are repositioned as ‘see[</w:t>
      </w:r>
      <w:proofErr w:type="spellStart"/>
      <w:r w:rsidR="00662782" w:rsidRPr="0048465B">
        <w:rPr>
          <w:lang w:val="en-GB"/>
        </w:rPr>
        <w:t>ing</w:t>
      </w:r>
      <w:proofErr w:type="spellEnd"/>
      <w:r w:rsidR="00662782" w:rsidRPr="0048465B">
        <w:rPr>
          <w:lang w:val="en-GB"/>
        </w:rPr>
        <w:t>] [themselves] from the other’s vantage point’, with this opening up of one’s face for scrutiny, in the words of L</w:t>
      </w:r>
      <w:r w:rsidR="00662782">
        <w:rPr>
          <w:lang w:val="en-GB"/>
        </w:rPr>
        <w:t>e</w:t>
      </w:r>
      <w:r w:rsidR="00662782" w:rsidRPr="0048465B">
        <w:rPr>
          <w:lang w:val="en-GB"/>
        </w:rPr>
        <w:t>vinas, ensuring that one has ‘things to account for’.</w:t>
      </w:r>
      <w:r w:rsidR="00662782" w:rsidRPr="0048465B">
        <w:rPr>
          <w:vertAlign w:val="superscript"/>
          <w:lang w:val="en-GB"/>
        </w:rPr>
        <w:footnoteReference w:id="287"/>
      </w:r>
      <w:r w:rsidR="00662782" w:rsidRPr="0048465B">
        <w:rPr>
          <w:lang w:val="en-GB"/>
        </w:rPr>
        <w:t xml:space="preserve"> Here, after a number of reductive statements from Walid, al-</w:t>
      </w:r>
      <w:proofErr w:type="spellStart"/>
      <w:r w:rsidR="00662782" w:rsidRPr="0048465B">
        <w:rPr>
          <w:lang w:val="en-GB"/>
        </w:rPr>
        <w:t>Madhoun</w:t>
      </w:r>
      <w:proofErr w:type="spellEnd"/>
      <w:r w:rsidR="00662782" w:rsidRPr="0048465B">
        <w:rPr>
          <w:lang w:val="en-GB"/>
        </w:rPr>
        <w:t xml:space="preserve"> centres a nuanced realisation within him regarding this very accountability, </w:t>
      </w:r>
      <w:r w:rsidR="00D658E2" w:rsidRPr="0048465B">
        <w:rPr>
          <w:lang w:val="en-GB"/>
        </w:rPr>
        <w:t xml:space="preserve">recognising </w:t>
      </w:r>
      <w:r w:rsidR="00662782" w:rsidRPr="0048465B">
        <w:rPr>
          <w:lang w:val="en-GB"/>
        </w:rPr>
        <w:t xml:space="preserve">not only that there </w:t>
      </w:r>
      <w:r w:rsidR="00B57915">
        <w:rPr>
          <w:lang w:val="en-GB"/>
        </w:rPr>
        <w:t>exists</w:t>
      </w:r>
      <w:r w:rsidR="00662782" w:rsidRPr="0048465B">
        <w:rPr>
          <w:lang w:val="en-GB"/>
        </w:rPr>
        <w:t xml:space="preserve"> no real structure within which the mass murder of Palestinians and Palestinian suffering can be vocalised or memorialised, but further </w:t>
      </w:r>
      <w:r w:rsidR="00D658E2">
        <w:rPr>
          <w:lang w:val="en-GB"/>
        </w:rPr>
        <w:t>that</w:t>
      </w:r>
      <w:r w:rsidR="00662782" w:rsidRPr="0048465B">
        <w:rPr>
          <w:lang w:val="en-GB"/>
        </w:rPr>
        <w:t xml:space="preserve"> the accountability for this absence lies not in the victims of the Holocaust, but in those that oppress Palestinians today.</w:t>
      </w:r>
    </w:p>
    <w:p w14:paraId="38E36A3D" w14:textId="77777777" w:rsidR="00FC331F" w:rsidRPr="0048465B" w:rsidRDefault="00FC331F" w:rsidP="00FC331F">
      <w:pPr>
        <w:rPr>
          <w:lang w:val="en-GB"/>
        </w:rPr>
      </w:pPr>
    </w:p>
    <w:p w14:paraId="076F65C7" w14:textId="6FC947FA" w:rsidR="00FC331F" w:rsidRPr="0048465B" w:rsidRDefault="00FC331F" w:rsidP="00FC331F">
      <w:pPr>
        <w:rPr>
          <w:lang w:val="en-GB"/>
        </w:rPr>
      </w:pPr>
      <w:r w:rsidRPr="0048465B">
        <w:rPr>
          <w:lang w:val="en-GB"/>
        </w:rPr>
        <w:lastRenderedPageBreak/>
        <w:t>This realisation is made further evident as the passage continues. Walid’s sorrow for both groups is followed by tears for the fact that the Palestinians have nowhere to assemble their names whatsoever, not due to the absence of Palestinian names within Yad Vashem specifically. Moreover, immediately after this expression of shared grief, Walid reprimands himself for allowing himself to feel such emotions, reminding himself ‘as if someone was chiding or punishing’</w:t>
      </w:r>
      <w:r w:rsidR="00D658E2">
        <w:rPr>
          <w:lang w:val="en-GB"/>
        </w:rPr>
        <w:t xml:space="preserve"> him</w:t>
      </w:r>
      <w:r w:rsidRPr="0048465B">
        <w:rPr>
          <w:lang w:val="en-GB"/>
        </w:rPr>
        <w:t xml:space="preserve"> of the ways in which the Holocaust continues to be instrumentalised in Israel, a demonstration</w:t>
      </w:r>
      <w:r w:rsidR="00543AEF">
        <w:rPr>
          <w:lang w:val="en-GB"/>
        </w:rPr>
        <w:t xml:space="preserve"> of</w:t>
      </w:r>
      <w:r w:rsidRPr="0048465B">
        <w:rPr>
          <w:lang w:val="en-GB"/>
        </w:rPr>
        <w:t xml:space="preserve"> the difficulty of acknowledging Jewish suffering for many Palestinians. Finally, as Walid goes to leave Yad Vashem, he admits ‘the message had reached me</w:t>
      </w:r>
      <w:r w:rsidR="000C3FB4">
        <w:rPr>
          <w:lang w:val="en-GB"/>
        </w:rPr>
        <w:t xml:space="preserve"> […] </w:t>
      </w:r>
      <w:r w:rsidRPr="0048465B">
        <w:rPr>
          <w:lang w:val="en-GB"/>
        </w:rPr>
        <w:t>as a human being, I understood it. I had to remember these victims, and their last, smuggled words’. It is with this in mind that Walid offers his parting prayer to the victims, asking that God ‘have mercy on them twice: once as victims of the Nazis, and a second time as people used by those who traded on their tragedy’.</w:t>
      </w:r>
      <w:r w:rsidRPr="0048465B">
        <w:rPr>
          <w:vertAlign w:val="superscript"/>
          <w:lang w:val="en-GB"/>
        </w:rPr>
        <w:footnoteReference w:id="288"/>
      </w:r>
      <w:r w:rsidRPr="0048465B">
        <w:rPr>
          <w:lang w:val="en-GB"/>
        </w:rPr>
        <w:t xml:space="preserve"> Whilst Walid began his trip to Yad Vashem with an ambiguous declaration that risked placing direct blame upon those who died in the Holocaust for the persecution of Palestinians</w:t>
      </w:r>
      <w:r w:rsidR="00B57915">
        <w:rPr>
          <w:lang w:val="en-GB"/>
        </w:rPr>
        <w:t xml:space="preserve"> thereafter</w:t>
      </w:r>
      <w:r w:rsidRPr="0048465B">
        <w:rPr>
          <w:lang w:val="en-GB"/>
        </w:rPr>
        <w:t>, he leaves Yad Vashem with a more refined sense of grief. He understands not only that the recognition of the victims of Jewish genocide does not conceal Palestinian suffering, but also that criticisms of Israeli political manipulation of the Holocaust need not undermine or compromise respect for the Holocaust’s victims.</w:t>
      </w:r>
    </w:p>
    <w:p w14:paraId="57A03EEF" w14:textId="77777777" w:rsidR="00FC331F" w:rsidRPr="0048465B" w:rsidRDefault="00FC331F" w:rsidP="00FC331F">
      <w:pPr>
        <w:rPr>
          <w:lang w:val="en-GB"/>
        </w:rPr>
      </w:pPr>
    </w:p>
    <w:p w14:paraId="399B4724" w14:textId="4FFCA34F" w:rsidR="00FC331F" w:rsidRPr="0048465B" w:rsidRDefault="00FC331F" w:rsidP="00FC331F">
      <w:pPr>
        <w:rPr>
          <w:lang w:val="en-GB"/>
        </w:rPr>
      </w:pPr>
      <w:r w:rsidRPr="0048465B">
        <w:rPr>
          <w:lang w:val="en-GB"/>
        </w:rPr>
        <w:t>As if in reward for this awakening, Walid’s trip to Yad Vashem suddenly transforms into a surreal dream-like sequence wherein his acceptance of the memorialisation of Holocaust victims enables the existence of official Palestinian memorialisation. In this unusual scene, Walid visits the ‘Zik</w:t>
      </w:r>
      <w:r w:rsidR="00662782">
        <w:rPr>
          <w:lang w:val="en-GB"/>
        </w:rPr>
        <w:t>h</w:t>
      </w:r>
      <w:r w:rsidRPr="0048465B">
        <w:rPr>
          <w:lang w:val="en-GB"/>
        </w:rPr>
        <w:t>ron ha-</w:t>
      </w:r>
      <w:proofErr w:type="spellStart"/>
      <w:r w:rsidRPr="0048465B">
        <w:rPr>
          <w:lang w:val="en-GB"/>
        </w:rPr>
        <w:t>Filastin</w:t>
      </w:r>
      <w:r w:rsidR="00662782">
        <w:rPr>
          <w:lang w:val="en-GB"/>
        </w:rPr>
        <w:t>i</w:t>
      </w:r>
      <w:r w:rsidRPr="0048465B">
        <w:rPr>
          <w:lang w:val="en-GB"/>
        </w:rPr>
        <w:t>m</w:t>
      </w:r>
      <w:proofErr w:type="spellEnd"/>
      <w:r w:rsidRPr="0048465B">
        <w:rPr>
          <w:lang w:val="en-GB"/>
        </w:rPr>
        <w:t xml:space="preserve"> museum’ a fictional museum</w:t>
      </w:r>
      <w:r w:rsidRPr="0048465B">
        <w:rPr>
          <w:vertAlign w:val="superscript"/>
          <w:lang w:val="en-GB"/>
        </w:rPr>
        <w:footnoteReference w:id="289"/>
      </w:r>
      <w:r w:rsidRPr="0048465B">
        <w:rPr>
          <w:lang w:val="en-GB"/>
        </w:rPr>
        <w:t xml:space="preserve"> celebrating ‘Palestinian memories</w:t>
      </w:r>
      <w:r w:rsidR="000C3FB4">
        <w:rPr>
          <w:lang w:val="en-GB"/>
        </w:rPr>
        <w:t xml:space="preserve"> […] </w:t>
      </w:r>
      <w:r w:rsidRPr="0048465B">
        <w:rPr>
          <w:lang w:val="en-GB"/>
        </w:rPr>
        <w:t xml:space="preserve">built </w:t>
      </w:r>
      <w:r w:rsidRPr="0048465B">
        <w:rPr>
          <w:lang w:val="en-GB"/>
        </w:rPr>
        <w:lastRenderedPageBreak/>
        <w:t>recently following the historic peace agreement that was signed just two years ago</w:t>
      </w:r>
      <w:r w:rsidR="000C3FB4">
        <w:rPr>
          <w:lang w:val="en-GB"/>
        </w:rPr>
        <w:t xml:space="preserve"> […] </w:t>
      </w:r>
      <w:r w:rsidRPr="0048465B">
        <w:rPr>
          <w:lang w:val="en-GB"/>
        </w:rPr>
        <w:t>end[</w:t>
      </w:r>
      <w:proofErr w:type="spellStart"/>
      <w:r w:rsidRPr="0048465B">
        <w:rPr>
          <w:lang w:val="en-GB"/>
        </w:rPr>
        <w:t>ing</w:t>
      </w:r>
      <w:proofErr w:type="spellEnd"/>
      <w:r w:rsidRPr="0048465B">
        <w:rPr>
          <w:lang w:val="en-GB"/>
        </w:rPr>
        <w:t>] the bloody struggle that had lasted more than a hundred years’.</w:t>
      </w:r>
      <w:r w:rsidRPr="0048465B">
        <w:rPr>
          <w:vertAlign w:val="superscript"/>
          <w:lang w:val="en-GB"/>
        </w:rPr>
        <w:footnoteReference w:id="290"/>
      </w:r>
      <w:r w:rsidRPr="0048465B">
        <w:rPr>
          <w:lang w:val="en-GB"/>
        </w:rPr>
        <w:t xml:space="preserve"> At this museum, a memorial exists in the shape of ‘a four-sided rocket’, upon which a succession of names of  ‘Palestinian martyr[s]’</w:t>
      </w:r>
      <w:r w:rsidRPr="0048465B">
        <w:rPr>
          <w:vertAlign w:val="superscript"/>
          <w:lang w:val="en-GB"/>
        </w:rPr>
        <w:footnoteReference w:id="291"/>
      </w:r>
      <w:r w:rsidRPr="0048465B">
        <w:rPr>
          <w:lang w:val="en-GB"/>
        </w:rPr>
        <w:t xml:space="preserve"> are illuminated one by one, ‘arranged at random, reflecting the wish of the designers that everyone should be equal, with no distinction between those who had been martyred sixty years ago and those who had fallen victim to the latest Israeli raids on Gaza’.</w:t>
      </w:r>
      <w:r w:rsidRPr="0048465B">
        <w:rPr>
          <w:vertAlign w:val="superscript"/>
          <w:lang w:val="en-GB"/>
        </w:rPr>
        <w:footnoteReference w:id="292"/>
      </w:r>
      <w:r w:rsidRPr="0048465B">
        <w:rPr>
          <w:lang w:val="en-GB"/>
        </w:rPr>
        <w:t xml:space="preserve"> This fictional museum is permeated with symbolism. The shape of the memorial reflects </w:t>
      </w:r>
      <w:r w:rsidR="00D658E2">
        <w:rPr>
          <w:lang w:val="en-GB"/>
        </w:rPr>
        <w:t>understandings</w:t>
      </w:r>
      <w:r w:rsidRPr="0048465B">
        <w:rPr>
          <w:lang w:val="en-GB"/>
        </w:rPr>
        <w:t xml:space="preserve"> of Palestinian memory as being perceived as weaponised, and its futuristic illumination that projects equality, twinned with the statement that the conflict had lasted ‘more than a hundred years’, testifies to the feeling that the Palestinian struggle against </w:t>
      </w:r>
      <w:r w:rsidR="00C079F5">
        <w:rPr>
          <w:lang w:val="en-GB"/>
        </w:rPr>
        <w:t>Israeli tyranny</w:t>
      </w:r>
      <w:r w:rsidRPr="0048465B">
        <w:rPr>
          <w:lang w:val="en-GB"/>
        </w:rPr>
        <w:t xml:space="preserve"> is by no means close to a peaceful resolution. In addition, the fact that the memorial itself is fictional, whilst Yad Vashem is not </w:t>
      </w:r>
      <w:r w:rsidR="00C079F5">
        <w:rPr>
          <w:lang w:val="en-GB"/>
        </w:rPr>
        <w:t>–</w:t>
      </w:r>
      <w:r w:rsidRPr="0048465B">
        <w:rPr>
          <w:lang w:val="en-GB"/>
        </w:rPr>
        <w:t xml:space="preserve"> although this is not explicitly mentioned </w:t>
      </w:r>
      <w:r w:rsidR="00C079F5">
        <w:rPr>
          <w:lang w:val="en-GB"/>
        </w:rPr>
        <w:t>–</w:t>
      </w:r>
      <w:r w:rsidRPr="0048465B">
        <w:rPr>
          <w:lang w:val="en-GB"/>
        </w:rPr>
        <w:t xml:space="preserve"> highlights once more the tangible absence of official Palestinian memorialisation. Moreover, in placing the entrance point to this museum within Yad Vashem, and making access to it cost money (whilst entry to Yad Vashem is free), al-</w:t>
      </w:r>
      <w:proofErr w:type="spellStart"/>
      <w:r w:rsidRPr="0048465B">
        <w:rPr>
          <w:lang w:val="en-GB"/>
        </w:rPr>
        <w:t>Madhoun</w:t>
      </w:r>
      <w:proofErr w:type="spellEnd"/>
      <w:r w:rsidRPr="0048465B">
        <w:rPr>
          <w:lang w:val="en-GB"/>
        </w:rPr>
        <w:t xml:space="preserve"> calls attention to the tendency for the exploration of Palestinian exile to be contingent on the exploration of Jewish genocide. </w:t>
      </w:r>
      <w:r w:rsidR="00662782" w:rsidRPr="0048465B">
        <w:rPr>
          <w:lang w:val="en-GB"/>
        </w:rPr>
        <w:t xml:space="preserve">Crucially, however, this time there is no conflation whatsoever between those who were killed in the Holocaust and those who initiated and continue to enforce Palestinian exile and suffering, thus allowing the insufficient recognition of the Palestinian experience to be acknowledged by the reader without </w:t>
      </w:r>
      <w:r w:rsidR="00B824E5">
        <w:rPr>
          <w:lang w:val="en-GB"/>
        </w:rPr>
        <w:t>reservation</w:t>
      </w:r>
      <w:r w:rsidR="00662782" w:rsidRPr="0048465B">
        <w:rPr>
          <w:lang w:val="en-GB"/>
        </w:rPr>
        <w:t>.</w:t>
      </w:r>
    </w:p>
    <w:p w14:paraId="150514A3" w14:textId="77777777" w:rsidR="00FC331F" w:rsidRPr="0048465B" w:rsidRDefault="00FC331F" w:rsidP="00FC331F">
      <w:pPr>
        <w:rPr>
          <w:lang w:val="en-GB"/>
        </w:rPr>
      </w:pPr>
    </w:p>
    <w:p w14:paraId="7EF55B8C" w14:textId="03A9EAB1" w:rsidR="00FC331F" w:rsidRPr="0048465B" w:rsidRDefault="00FC331F" w:rsidP="00FC331F">
      <w:pPr>
        <w:rPr>
          <w:lang w:val="en-GB"/>
        </w:rPr>
      </w:pPr>
      <w:r w:rsidRPr="0048465B">
        <w:rPr>
          <w:lang w:val="en-GB"/>
        </w:rPr>
        <w:lastRenderedPageBreak/>
        <w:t xml:space="preserve">Representations of Palestinian perspectives on the Holocaust and the Nakba within al-Madhoun’s novel are complex, and at times burdensome. Yet perhaps more than any other novel in this chapter, </w:t>
      </w:r>
      <w:r w:rsidRPr="0048465B">
        <w:rPr>
          <w:i/>
          <w:lang w:val="en-GB"/>
        </w:rPr>
        <w:t>Fractured Destinies</w:t>
      </w:r>
      <w:r w:rsidRPr="0048465B">
        <w:rPr>
          <w:lang w:val="en-GB"/>
        </w:rPr>
        <w:t xml:space="preserve"> refuses to shy away from the less palatable attitudes that exist within Palestinian discourse on the Holocaust, whilst at the same time ensuring that this discourse, inclusive of it</w:t>
      </w:r>
      <w:r w:rsidR="006E1C1E">
        <w:rPr>
          <w:lang w:val="en-GB"/>
        </w:rPr>
        <w:t>s</w:t>
      </w:r>
      <w:r w:rsidRPr="0048465B">
        <w:rPr>
          <w:lang w:val="en-GB"/>
        </w:rPr>
        <w:t xml:space="preserve"> hostilities, is understood as sitting within the context of Israel’s labyrinthine bureaucratic discrimination </w:t>
      </w:r>
      <w:r w:rsidR="006E1C1E">
        <w:rPr>
          <w:lang w:val="en-GB"/>
        </w:rPr>
        <w:t>against</w:t>
      </w:r>
      <w:r w:rsidR="006E1C1E" w:rsidRPr="0048465B">
        <w:rPr>
          <w:lang w:val="en-GB"/>
        </w:rPr>
        <w:t xml:space="preserve"> </w:t>
      </w:r>
      <w:r w:rsidRPr="0048465B">
        <w:rPr>
          <w:lang w:val="en-GB"/>
        </w:rPr>
        <w:t xml:space="preserve">Palestinians, the impossibility </w:t>
      </w:r>
      <w:r w:rsidR="00F14FBA">
        <w:rPr>
          <w:lang w:val="en-GB"/>
        </w:rPr>
        <w:t>–</w:t>
      </w:r>
      <w:r w:rsidRPr="0048465B">
        <w:rPr>
          <w:lang w:val="en-GB"/>
        </w:rPr>
        <w:t xml:space="preserve"> in most cases </w:t>
      </w:r>
      <w:r w:rsidR="00F14FBA">
        <w:rPr>
          <w:lang w:val="en-GB"/>
        </w:rPr>
        <w:t>–</w:t>
      </w:r>
      <w:r w:rsidRPr="0048465B">
        <w:rPr>
          <w:lang w:val="en-GB"/>
        </w:rPr>
        <w:t xml:space="preserve"> of Palestinian return, and the limited existence of Palestinian memorialisation. </w:t>
      </w:r>
    </w:p>
    <w:p w14:paraId="25C5FBC1" w14:textId="77777777" w:rsidR="00FC331F" w:rsidRPr="0048465B" w:rsidRDefault="00FC331F" w:rsidP="00FC331F">
      <w:pPr>
        <w:rPr>
          <w:lang w:val="en-GB"/>
        </w:rPr>
      </w:pPr>
    </w:p>
    <w:p w14:paraId="3757D230" w14:textId="0EBDEA59" w:rsidR="00FC331F" w:rsidRPr="0048465B" w:rsidRDefault="00FC331F" w:rsidP="00FC331F">
      <w:pPr>
        <w:rPr>
          <w:lang w:val="en-GB"/>
        </w:rPr>
      </w:pPr>
      <w:r w:rsidRPr="0048465B">
        <w:rPr>
          <w:lang w:val="en-GB"/>
        </w:rPr>
        <w:t xml:space="preserve">One novel, however, that is particularly successful at avoiding such complications, and </w:t>
      </w:r>
      <w:r w:rsidR="00D658E2">
        <w:rPr>
          <w:lang w:val="en-GB"/>
        </w:rPr>
        <w:t xml:space="preserve">one that </w:t>
      </w:r>
      <w:r w:rsidRPr="0048465B">
        <w:rPr>
          <w:lang w:val="en-GB"/>
        </w:rPr>
        <w:t xml:space="preserve">does so whilst aiming incisive criticisms at the Israeli state, is Emile Habibi’s </w:t>
      </w:r>
      <w:r w:rsidRPr="0048465B">
        <w:rPr>
          <w:i/>
          <w:lang w:val="en-GB"/>
        </w:rPr>
        <w:t>The Secret Life of Saeed the Pessoptimist</w:t>
      </w:r>
      <w:r w:rsidRPr="0048465B">
        <w:rPr>
          <w:lang w:val="en-GB"/>
        </w:rPr>
        <w:t>.</w:t>
      </w:r>
      <w:r w:rsidRPr="0048465B">
        <w:rPr>
          <w:vertAlign w:val="superscript"/>
          <w:lang w:val="en-GB"/>
        </w:rPr>
        <w:footnoteReference w:id="293"/>
      </w:r>
      <w:r w:rsidRPr="0048465B">
        <w:rPr>
          <w:lang w:val="en-GB"/>
        </w:rPr>
        <w:t xml:space="preserve"> Habibi’s novel avoids such accusations by taking the very notion of criticising Israel and flipping it on its head. Instead of directly criticising Israel, Habibi creates a narrative wherein the hero, Saeed, is ‘an informer for the Zionist State</w:t>
      </w:r>
      <w:r w:rsidR="000C3FB4">
        <w:rPr>
          <w:lang w:val="en-GB"/>
        </w:rPr>
        <w:t xml:space="preserve"> [… </w:t>
      </w:r>
      <w:r w:rsidRPr="0048465B">
        <w:rPr>
          <w:lang w:val="en-GB"/>
        </w:rPr>
        <w:t>whose</w:t>
      </w:r>
      <w:r w:rsidR="000C3FB4">
        <w:rPr>
          <w:lang w:val="en-GB"/>
        </w:rPr>
        <w:t xml:space="preserve"> …</w:t>
      </w:r>
      <w:r w:rsidRPr="0048465B">
        <w:rPr>
          <w:lang w:val="en-GB"/>
        </w:rPr>
        <w:t>] stupidity, uncanny candour, and cowardice make him more the victim than the villain’,</w:t>
      </w:r>
      <w:r w:rsidRPr="0048465B">
        <w:rPr>
          <w:vertAlign w:val="superscript"/>
          <w:lang w:val="en-GB"/>
        </w:rPr>
        <w:footnoteReference w:id="294"/>
      </w:r>
      <w:r w:rsidRPr="0048465B">
        <w:rPr>
          <w:lang w:val="en-GB"/>
        </w:rPr>
        <w:t xml:space="preserve"> and where ‘double meaning, paradoxes, puns, and play on words’</w:t>
      </w:r>
      <w:r w:rsidRPr="0048465B">
        <w:rPr>
          <w:vertAlign w:val="superscript"/>
          <w:lang w:val="en-GB"/>
        </w:rPr>
        <w:footnoteReference w:id="295"/>
      </w:r>
      <w:r w:rsidRPr="0048465B">
        <w:rPr>
          <w:lang w:val="en-GB"/>
        </w:rPr>
        <w:t xml:space="preserve"> create a subtle but powerful subtextual critique. Jayyusi, one of the translators of Habibi’s novel, argues that it is through ‘speaking with childlike naivete’ about some of the darkest elements of Israel’s occupation of Palestine, that Saeed is able to ‘uncover[] their horror and absurdity’, Habibi using the surreal life of his imagined protagonist to present the reality of the Israeli occupation, and thus allowing the reader to pass judgement on their own terms.</w:t>
      </w:r>
      <w:r w:rsidR="00D658E2" w:rsidRPr="0048465B">
        <w:rPr>
          <w:vertAlign w:val="superscript"/>
          <w:lang w:val="en-GB"/>
        </w:rPr>
        <w:footnoteReference w:id="296"/>
      </w:r>
    </w:p>
    <w:p w14:paraId="3F274252" w14:textId="77777777" w:rsidR="00FC331F" w:rsidRPr="0048465B" w:rsidRDefault="00FC331F" w:rsidP="00FC331F">
      <w:pPr>
        <w:rPr>
          <w:lang w:val="en-GB"/>
        </w:rPr>
      </w:pPr>
    </w:p>
    <w:p w14:paraId="6028172F" w14:textId="6065D389" w:rsidR="00FC331F" w:rsidRPr="0048465B" w:rsidRDefault="00FC331F" w:rsidP="00FC331F">
      <w:pPr>
        <w:rPr>
          <w:lang w:val="en-GB"/>
        </w:rPr>
      </w:pPr>
      <w:r w:rsidRPr="0048465B">
        <w:rPr>
          <w:lang w:val="en-GB"/>
        </w:rPr>
        <w:lastRenderedPageBreak/>
        <w:t>This surreal subtextual critique of Israeli treatment of Palestinians is self-evident from the very first pages of the novel, a novel that is presented in the form of a long and almost completely continuous letter that Saeed writes from space, where he has been transported by his ‘</w:t>
      </w:r>
      <w:proofErr w:type="spellStart"/>
      <w:r w:rsidRPr="0048465B">
        <w:rPr>
          <w:lang w:val="en-GB"/>
        </w:rPr>
        <w:t>extraterrestrial</w:t>
      </w:r>
      <w:proofErr w:type="spellEnd"/>
      <w:r w:rsidRPr="0048465B">
        <w:rPr>
          <w:lang w:val="en-GB"/>
        </w:rPr>
        <w:t xml:space="preserve"> friend’.</w:t>
      </w:r>
      <w:r w:rsidRPr="0048465B">
        <w:rPr>
          <w:vertAlign w:val="superscript"/>
          <w:lang w:val="en-GB"/>
        </w:rPr>
        <w:footnoteReference w:id="297"/>
      </w:r>
      <w:r w:rsidRPr="0048465B">
        <w:rPr>
          <w:lang w:val="en-GB"/>
        </w:rPr>
        <w:t xml:space="preserve"> These letters, written in the first person to an </w:t>
      </w:r>
      <w:r w:rsidR="00D658E2">
        <w:rPr>
          <w:lang w:val="en-GB"/>
        </w:rPr>
        <w:t>ambiguous</w:t>
      </w:r>
      <w:r w:rsidRPr="0048465B">
        <w:rPr>
          <w:lang w:val="en-GB"/>
        </w:rPr>
        <w:t xml:space="preserve"> recipient, allow Habibi to position the reader exactly as he wants them, making assertions about or demands of the recipient of the letters that are immediately transferred onto the reader. ‘You said you’ve never noticed me before. That’s because you lack sensitivity, my good friend’,</w:t>
      </w:r>
      <w:r w:rsidRPr="0048465B">
        <w:rPr>
          <w:vertAlign w:val="superscript"/>
          <w:lang w:val="en-GB"/>
        </w:rPr>
        <w:footnoteReference w:id="298"/>
      </w:r>
      <w:r w:rsidRPr="0048465B">
        <w:rPr>
          <w:lang w:val="en-GB"/>
        </w:rPr>
        <w:t xml:space="preserve"> Saeed reprimands the reader. Yet Habibi immediately undermines this rebuke through his use of dark humour, </w:t>
      </w:r>
      <w:r w:rsidR="00F14FBA">
        <w:rPr>
          <w:lang w:val="en-GB"/>
        </w:rPr>
        <w:t xml:space="preserve">as </w:t>
      </w:r>
      <w:r w:rsidRPr="0048465B">
        <w:rPr>
          <w:lang w:val="en-GB"/>
        </w:rPr>
        <w:t>Saeed stat</w:t>
      </w:r>
      <w:r w:rsidR="00F14FBA">
        <w:rPr>
          <w:lang w:val="en-GB"/>
        </w:rPr>
        <w:t>es</w:t>
      </w:r>
      <w:r w:rsidRPr="0048465B">
        <w:rPr>
          <w:lang w:val="en-GB"/>
        </w:rPr>
        <w:t>:</w:t>
      </w:r>
    </w:p>
    <w:p w14:paraId="7D0E4647" w14:textId="77777777" w:rsidR="00FC331F" w:rsidRPr="0048465B" w:rsidRDefault="00FC331F" w:rsidP="00FC331F">
      <w:pPr>
        <w:rPr>
          <w:lang w:val="en-GB"/>
        </w:rPr>
      </w:pPr>
    </w:p>
    <w:p w14:paraId="27AB1AB0" w14:textId="77777777" w:rsidR="00FC331F" w:rsidRPr="0048465B" w:rsidRDefault="00FC331F" w:rsidP="00FC331F">
      <w:pPr>
        <w:ind w:left="720"/>
        <w:rPr>
          <w:lang w:val="en-GB"/>
        </w:rPr>
      </w:pPr>
      <w:r w:rsidRPr="0048465B">
        <w:rPr>
          <w:lang w:val="en-GB"/>
        </w:rPr>
        <w:t xml:space="preserve">Didn’t you read of the hundreds imprisoned by Haifa police when that melon exploded in Hanatir Square, now Paris Square? Afterwards every Arab they found in Lower Haifa, pedestrian or on wheels, they put in jail. The papers published the names of everyone notable who was caught, but merely gave general reference to the rest. </w:t>
      </w:r>
    </w:p>
    <w:p w14:paraId="6A2BA661" w14:textId="31EA2DC6" w:rsidR="00FC331F" w:rsidRPr="0048465B" w:rsidRDefault="00FC331F" w:rsidP="00FC331F">
      <w:pPr>
        <w:ind w:left="720"/>
        <w:rPr>
          <w:lang w:val="en-GB"/>
        </w:rPr>
      </w:pPr>
      <w:r w:rsidRPr="0048465B">
        <w:rPr>
          <w:lang w:val="en-GB"/>
        </w:rPr>
        <w:tab/>
        <w:t xml:space="preserve">The rest </w:t>
      </w:r>
      <w:r w:rsidR="0029114E">
        <w:rPr>
          <w:lang w:val="en-GB"/>
        </w:rPr>
        <w:t>-</w:t>
      </w:r>
      <w:r w:rsidRPr="0048465B">
        <w:rPr>
          <w:lang w:val="en-GB"/>
        </w:rPr>
        <w:t xml:space="preserve"> yes, that’s me! The papers haven’t ignored me. How can you claim not to have heard of me? I truly am remarkable.</w:t>
      </w:r>
      <w:r w:rsidRPr="0048465B">
        <w:rPr>
          <w:vertAlign w:val="superscript"/>
          <w:lang w:val="en-GB"/>
        </w:rPr>
        <w:footnoteReference w:id="299"/>
      </w:r>
    </w:p>
    <w:p w14:paraId="279ACC47" w14:textId="77777777" w:rsidR="00FC331F" w:rsidRPr="0048465B" w:rsidRDefault="00FC331F" w:rsidP="00FC331F">
      <w:pPr>
        <w:ind w:left="720"/>
        <w:rPr>
          <w:lang w:val="en-GB"/>
        </w:rPr>
      </w:pPr>
    </w:p>
    <w:p w14:paraId="789B8EFD" w14:textId="26D40CC9" w:rsidR="00FC331F" w:rsidRPr="0048465B" w:rsidRDefault="00FC331F" w:rsidP="00FC331F">
      <w:pPr>
        <w:rPr>
          <w:lang w:val="en-GB"/>
        </w:rPr>
      </w:pPr>
      <w:r w:rsidRPr="0048465B">
        <w:rPr>
          <w:lang w:val="en-GB"/>
        </w:rPr>
        <w:t xml:space="preserve">Here, on this single page, Habibi both piques the reader’s interest in Saeed through the unusual form of address, and highlights numerous painful truths about the Palestinian experience of Israeli oppression. Firstly, we see yet again the enduring Palestinian memory of the old Palestine, the Square known first and foremost to Saeed by its historical name, Hanatir Square, and only </w:t>
      </w:r>
      <w:r w:rsidRPr="0048465B">
        <w:rPr>
          <w:lang w:val="en-GB"/>
        </w:rPr>
        <w:lastRenderedPageBreak/>
        <w:t>afterwards by its contemporary name. Secondly, Habibi observes the indiscriminate jailing and collective punishment of Palestinians for crimes</w:t>
      </w:r>
      <w:r w:rsidR="00B824E5">
        <w:rPr>
          <w:lang w:val="en-GB"/>
        </w:rPr>
        <w:t xml:space="preserve"> committed by others</w:t>
      </w:r>
      <w:r w:rsidRPr="0048465B">
        <w:rPr>
          <w:lang w:val="en-GB"/>
        </w:rPr>
        <w:t>,</w:t>
      </w:r>
      <w:r w:rsidR="00F14FBA">
        <w:rPr>
          <w:lang w:val="en-GB"/>
        </w:rPr>
        <w:t xml:space="preserve"> as well as for non-crimes such as the explosion of a melon</w:t>
      </w:r>
      <w:r w:rsidR="00413D06">
        <w:rPr>
          <w:lang w:val="en-GB"/>
        </w:rPr>
        <w:t>.</w:t>
      </w:r>
      <w:r w:rsidRPr="0048465B">
        <w:rPr>
          <w:lang w:val="en-GB"/>
        </w:rPr>
        <w:t xml:space="preserve"> </w:t>
      </w:r>
      <w:r w:rsidR="00413D06">
        <w:rPr>
          <w:lang w:val="en-GB"/>
        </w:rPr>
        <w:t>Such</w:t>
      </w:r>
      <w:r w:rsidRPr="0048465B">
        <w:rPr>
          <w:lang w:val="en-GB"/>
        </w:rPr>
        <w:t xml:space="preserve"> </w:t>
      </w:r>
      <w:r w:rsidR="00F14FBA">
        <w:rPr>
          <w:lang w:val="en-GB"/>
        </w:rPr>
        <w:t>injustice</w:t>
      </w:r>
      <w:r w:rsidR="00413D06">
        <w:rPr>
          <w:lang w:val="en-GB"/>
        </w:rPr>
        <w:t>s are</w:t>
      </w:r>
      <w:r w:rsidRPr="0048465B">
        <w:rPr>
          <w:lang w:val="en-GB"/>
        </w:rPr>
        <w:t xml:space="preserve"> similarly recognised by</w:t>
      </w:r>
      <w:r w:rsidR="00413D06">
        <w:rPr>
          <w:lang w:val="en-GB"/>
        </w:rPr>
        <w:t xml:space="preserve"> Edward</w:t>
      </w:r>
      <w:r w:rsidRPr="0048465B">
        <w:rPr>
          <w:lang w:val="en-GB"/>
        </w:rPr>
        <w:t xml:space="preserve"> Said </w:t>
      </w:r>
      <w:r w:rsidR="00413D06">
        <w:rPr>
          <w:lang w:val="en-GB"/>
        </w:rPr>
        <w:t>who</w:t>
      </w:r>
      <w:r w:rsidRPr="0048465B">
        <w:rPr>
          <w:lang w:val="en-GB"/>
        </w:rPr>
        <w:t xml:space="preserve">, at the time of writing </w:t>
      </w:r>
      <w:r w:rsidRPr="0048465B">
        <w:rPr>
          <w:i/>
          <w:lang w:val="en-GB"/>
        </w:rPr>
        <w:t xml:space="preserve">The Question of Palestine, </w:t>
      </w:r>
      <w:r w:rsidR="00413D06">
        <w:rPr>
          <w:lang w:val="en-GB"/>
        </w:rPr>
        <w:t>noted the</w:t>
      </w:r>
      <w:r w:rsidRPr="0048465B">
        <w:rPr>
          <w:lang w:val="en-GB"/>
        </w:rPr>
        <w:t xml:space="preserve"> </w:t>
      </w:r>
      <w:r w:rsidR="00413D06">
        <w:rPr>
          <w:lang w:val="en-GB"/>
        </w:rPr>
        <w:t xml:space="preserve">twelve </w:t>
      </w:r>
      <w:r w:rsidRPr="0048465B">
        <w:rPr>
          <w:lang w:val="en-GB"/>
        </w:rPr>
        <w:t xml:space="preserve">‘leading Palestinians from the Occupied Territories </w:t>
      </w:r>
      <w:r w:rsidR="00413D06">
        <w:rPr>
          <w:lang w:val="en-GB"/>
        </w:rPr>
        <w:t>[who we]</w:t>
      </w:r>
      <w:r w:rsidRPr="0048465B">
        <w:rPr>
          <w:lang w:val="en-GB"/>
        </w:rPr>
        <w:t>re to be deported in retaliation for the killing of an Israeli settler</w:t>
      </w:r>
      <w:r w:rsidR="00413D06">
        <w:rPr>
          <w:lang w:val="en-GB"/>
        </w:rPr>
        <w:t>’, a form of collective punishment ‘</w:t>
      </w:r>
      <w:r w:rsidR="00413D06" w:rsidRPr="0048465B">
        <w:rPr>
          <w:lang w:val="en-GB"/>
        </w:rPr>
        <w:t>expressly forbidden by the Geneva conventions’</w:t>
      </w:r>
      <w:r w:rsidR="00413D06">
        <w:rPr>
          <w:lang w:val="en-GB"/>
        </w:rPr>
        <w:t>, since ‘</w:t>
      </w:r>
      <w:r w:rsidRPr="0048465B">
        <w:rPr>
          <w:lang w:val="en-GB"/>
        </w:rPr>
        <w:t xml:space="preserve">no one </w:t>
      </w:r>
      <w:proofErr w:type="spellStart"/>
      <w:r w:rsidRPr="0048465B">
        <w:rPr>
          <w:lang w:val="en-GB"/>
        </w:rPr>
        <w:t>ha</w:t>
      </w:r>
      <w:proofErr w:type="spellEnd"/>
      <w:r w:rsidR="00413D06">
        <w:rPr>
          <w:lang w:val="en-GB"/>
        </w:rPr>
        <w:t>[d]</w:t>
      </w:r>
      <w:r w:rsidRPr="0048465B">
        <w:rPr>
          <w:lang w:val="en-GB"/>
        </w:rPr>
        <w:t xml:space="preserve"> been specifically accused of his murder</w:t>
      </w:r>
      <w:r w:rsidR="00413D06">
        <w:rPr>
          <w:lang w:val="en-GB"/>
        </w:rPr>
        <w:t>’</w:t>
      </w:r>
      <w:r w:rsidRPr="0048465B">
        <w:rPr>
          <w:lang w:val="en-GB"/>
        </w:rPr>
        <w:t>.</w:t>
      </w:r>
      <w:r w:rsidRPr="0048465B">
        <w:rPr>
          <w:vertAlign w:val="superscript"/>
          <w:lang w:val="en-GB"/>
        </w:rPr>
        <w:footnoteReference w:id="300"/>
      </w:r>
      <w:r w:rsidRPr="0048465B">
        <w:rPr>
          <w:lang w:val="en-GB"/>
        </w:rPr>
        <w:t xml:space="preserve"> The same indiscriminate abuses continue to be inflicted upon the Palestinian people today, with UN Special Rapporteur S. Michael Lynk defining both the ongoing blockade on Gaza and Israeli destruction of Palestinian homes as constituting collective punishment.</w:t>
      </w:r>
      <w:r w:rsidR="008A2B3D" w:rsidRPr="0048465B">
        <w:rPr>
          <w:vertAlign w:val="superscript"/>
          <w:lang w:val="en-GB"/>
        </w:rPr>
        <w:footnoteReference w:id="301"/>
      </w:r>
      <w:r w:rsidRPr="0048465B">
        <w:rPr>
          <w:lang w:val="en-GB"/>
        </w:rPr>
        <w:t xml:space="preserve"> Thirdly, Habibi notes that it is only a small number of people that we hear about, highlighting the deindividualisation of the Palestinian people through referencing the number of people jailed compared to the number of </w:t>
      </w:r>
      <w:r w:rsidR="0009592C">
        <w:rPr>
          <w:lang w:val="en-GB"/>
        </w:rPr>
        <w:t>those</w:t>
      </w:r>
      <w:r w:rsidR="0009592C" w:rsidRPr="0048465B">
        <w:rPr>
          <w:lang w:val="en-GB"/>
        </w:rPr>
        <w:t xml:space="preserve"> </w:t>
      </w:r>
      <w:r w:rsidRPr="0048465B">
        <w:rPr>
          <w:lang w:val="en-GB"/>
        </w:rPr>
        <w:t>actually given names, Saeed casually chastising the reader for not acknowledging the indeterminate ‘rest’, to which he belongs. Moreover, through identifying Saeed as a ‘truly</w:t>
      </w:r>
      <w:r w:rsidR="000C3FB4">
        <w:rPr>
          <w:lang w:val="en-GB"/>
        </w:rPr>
        <w:t xml:space="preserve"> […] </w:t>
      </w:r>
      <w:r w:rsidRPr="0048465B">
        <w:rPr>
          <w:lang w:val="en-GB"/>
        </w:rPr>
        <w:t>remarkable’ part of this ‘rest’, Habibi re-contextualises this group, transforming it into a collection of individuals rather than an amorphous and undefined mass, all the while using humour to transform what are ultimately harrowing and ominous facts into accessible fiction that gives a sense of the realities of Palestinian oppression.</w:t>
      </w:r>
    </w:p>
    <w:p w14:paraId="02C97FE4" w14:textId="77777777" w:rsidR="00FC331F" w:rsidRPr="0048465B" w:rsidRDefault="00FC331F" w:rsidP="00FC331F">
      <w:pPr>
        <w:rPr>
          <w:lang w:val="en-GB"/>
        </w:rPr>
      </w:pPr>
    </w:p>
    <w:p w14:paraId="073C0A99" w14:textId="2FFB3431" w:rsidR="00FC331F" w:rsidRPr="0048465B" w:rsidRDefault="00FC331F" w:rsidP="00FC331F">
      <w:pPr>
        <w:rPr>
          <w:lang w:val="en-GB"/>
        </w:rPr>
      </w:pPr>
      <w:r w:rsidRPr="0048465B">
        <w:rPr>
          <w:lang w:val="en-GB"/>
        </w:rPr>
        <w:t xml:space="preserve">This indirect criticism, and the way in which it contextualises both Palestinian pain and Israeli </w:t>
      </w:r>
      <w:r w:rsidR="008A2B3D">
        <w:rPr>
          <w:lang w:val="en-GB"/>
        </w:rPr>
        <w:t>persecution</w:t>
      </w:r>
      <w:r w:rsidRPr="0048465B">
        <w:rPr>
          <w:lang w:val="en-GB"/>
        </w:rPr>
        <w:t xml:space="preserve">, characterises Habibi’s novel in its entirety. Yet whilst in the above example Saeed </w:t>
      </w:r>
      <w:r w:rsidRPr="0048465B">
        <w:rPr>
          <w:lang w:val="en-GB"/>
        </w:rPr>
        <w:lastRenderedPageBreak/>
        <w:t xml:space="preserve">seems to have some kind of insight into the issues of Palestinian representation, </w:t>
      </w:r>
      <w:r w:rsidR="008A2B3D">
        <w:rPr>
          <w:lang w:val="en-GB"/>
        </w:rPr>
        <w:t>this critical and sarcastic insight is shortly thereafter recast as extreme sincerity, as Saeed</w:t>
      </w:r>
      <w:r w:rsidRPr="0048465B">
        <w:rPr>
          <w:lang w:val="en-GB"/>
        </w:rPr>
        <w:t xml:space="preserve"> becomes increasingly aligned with the literary fool. Through positioning Saeed as the Panglossian fool, Habibi </w:t>
      </w:r>
      <w:r w:rsidR="00057150">
        <w:rPr>
          <w:lang w:val="en-GB"/>
        </w:rPr>
        <w:t>–</w:t>
      </w:r>
      <w:r w:rsidRPr="0048465B">
        <w:rPr>
          <w:lang w:val="en-GB"/>
        </w:rPr>
        <w:t xml:space="preserve"> who openly draws inspiration from Voltaire’s </w:t>
      </w:r>
      <w:r w:rsidRPr="0048465B">
        <w:rPr>
          <w:i/>
          <w:lang w:val="en-GB"/>
        </w:rPr>
        <w:t>Candide</w:t>
      </w:r>
      <w:r w:rsidRPr="0048465B">
        <w:rPr>
          <w:lang w:val="en-GB"/>
        </w:rPr>
        <w:t xml:space="preserve"> </w:t>
      </w:r>
      <w:r w:rsidR="00057150">
        <w:rPr>
          <w:lang w:val="en-GB"/>
        </w:rPr>
        <w:t>–</w:t>
      </w:r>
      <w:r w:rsidRPr="0048465B">
        <w:rPr>
          <w:lang w:val="en-GB"/>
        </w:rPr>
        <w:t xml:space="preserve"> allows Saeed to ‘make[] sceptical fun of the pretensions of all institutions of Church and State’, and their Israeli parallels, through the ‘medium of a knowingly unrealistic and picaresque</w:t>
      </w:r>
      <w:r w:rsidR="000C3FB4">
        <w:rPr>
          <w:lang w:val="en-GB"/>
        </w:rPr>
        <w:t xml:space="preserve"> […] </w:t>
      </w:r>
      <w:r w:rsidRPr="0048465B">
        <w:rPr>
          <w:lang w:val="en-GB"/>
        </w:rPr>
        <w:t>adventure’.</w:t>
      </w:r>
      <w:r w:rsidRPr="0048465B">
        <w:rPr>
          <w:vertAlign w:val="superscript"/>
          <w:lang w:val="en-GB"/>
        </w:rPr>
        <w:footnoteReference w:id="302"/>
      </w:r>
      <w:r w:rsidRPr="0048465B">
        <w:rPr>
          <w:lang w:val="en-GB"/>
        </w:rPr>
        <w:t xml:space="preserve"> Some of Saeed’s more supposedly naive comments are self-explanatory to all who read them, such as when </w:t>
      </w:r>
      <w:r w:rsidR="00D16568">
        <w:rPr>
          <w:lang w:val="en-GB"/>
        </w:rPr>
        <w:t>he</w:t>
      </w:r>
      <w:r w:rsidR="00D16568" w:rsidRPr="0048465B">
        <w:rPr>
          <w:lang w:val="en-GB"/>
        </w:rPr>
        <w:t xml:space="preserve"> </w:t>
      </w:r>
      <w:r w:rsidRPr="0048465B">
        <w:rPr>
          <w:lang w:val="en-GB"/>
        </w:rPr>
        <w:t>commends the ‘prodigious memories’ of the Israelis who claim the right to the land of Israel after their ‘absence of two thousand years’.</w:t>
      </w:r>
      <w:r w:rsidRPr="0048465B">
        <w:rPr>
          <w:vertAlign w:val="superscript"/>
          <w:lang w:val="en-GB"/>
        </w:rPr>
        <w:footnoteReference w:id="303"/>
      </w:r>
      <w:r w:rsidRPr="0048465B">
        <w:rPr>
          <w:lang w:val="en-GB"/>
        </w:rPr>
        <w:t xml:space="preserve"> Yet the Israeli-Palestinian conflict is such a complex domain that even Saeed’s ignorance and naivety speak more powerfully and meaningfully to an informed audience, and likely have yet a further level of meaning to those who read the novel in its original language. </w:t>
      </w:r>
    </w:p>
    <w:p w14:paraId="256F4EFA" w14:textId="77777777" w:rsidR="00FC331F" w:rsidRPr="0048465B" w:rsidRDefault="00FC331F" w:rsidP="00FC331F">
      <w:pPr>
        <w:rPr>
          <w:lang w:val="en-GB"/>
        </w:rPr>
      </w:pPr>
    </w:p>
    <w:p w14:paraId="3A358A8D" w14:textId="43BD2B7E" w:rsidR="00FC331F" w:rsidRPr="0048465B" w:rsidRDefault="00FC331F" w:rsidP="00FC331F">
      <w:pPr>
        <w:rPr>
          <w:lang w:val="en-GB"/>
        </w:rPr>
      </w:pPr>
      <w:bookmarkStart w:id="6" w:name="_gjdgxs" w:colFirst="0" w:colLast="0"/>
      <w:bookmarkEnd w:id="6"/>
      <w:r w:rsidRPr="0048465B">
        <w:rPr>
          <w:lang w:val="en-GB"/>
        </w:rPr>
        <w:t>The most memorable of these purportedly naive moments comes when Saeed, in response to an ‘announcer calling upon the “defeated Arabs” to raise white flags on the roofs of their homes so that the Israeli servicemen</w:t>
      </w:r>
      <w:r w:rsidR="000C3FB4">
        <w:rPr>
          <w:lang w:val="en-GB"/>
        </w:rPr>
        <w:t xml:space="preserve"> […] </w:t>
      </w:r>
      <w:r w:rsidRPr="0048465B">
        <w:rPr>
          <w:lang w:val="en-GB"/>
        </w:rPr>
        <w:t xml:space="preserve">would leave them alone’, makes a ‘white flag from a sheet, </w:t>
      </w:r>
      <w:proofErr w:type="spellStart"/>
      <w:r w:rsidRPr="0048465B">
        <w:rPr>
          <w:lang w:val="en-GB"/>
        </w:rPr>
        <w:t>attache</w:t>
      </w:r>
      <w:proofErr w:type="spellEnd"/>
      <w:r w:rsidRPr="0048465B">
        <w:rPr>
          <w:lang w:val="en-GB"/>
        </w:rPr>
        <w:t xml:space="preserve">[s] it to a broomstick, and raise[s] it above the roof of [his] house’ </w:t>
      </w:r>
      <w:r w:rsidR="008A2B3D">
        <w:rPr>
          <w:lang w:val="en-GB"/>
        </w:rPr>
        <w:t>in</w:t>
      </w:r>
      <w:r w:rsidRPr="0048465B">
        <w:rPr>
          <w:lang w:val="en-GB"/>
        </w:rPr>
        <w:t xml:space="preserve"> what he refers to as ‘an extravagant symbol of my loyalty to the state’.</w:t>
      </w:r>
      <w:r w:rsidRPr="0048465B">
        <w:rPr>
          <w:vertAlign w:val="superscript"/>
          <w:lang w:val="en-GB"/>
        </w:rPr>
        <w:footnoteReference w:id="304"/>
      </w:r>
      <w:r w:rsidRPr="0048465B">
        <w:rPr>
          <w:lang w:val="en-GB"/>
        </w:rPr>
        <w:t xml:space="preserve"> On a superficial level, this act is one of deference, allegiance, and docility. Yet through placing this entire scene in Haifa, the meaning of this submissive act is ironically reversed. As soon as the flag is raised, Saeed’s supervisor Jacob bursts in through the door and forces him to take it down. ‘“That announcer”’, he says ‘“was telling the West Bank Arabs to raise white flags in surrender to the Israeli occupation. What did you think </w:t>
      </w:r>
      <w:r w:rsidRPr="0048465B">
        <w:rPr>
          <w:lang w:val="en-GB"/>
        </w:rPr>
        <w:lastRenderedPageBreak/>
        <w:t>you were up to, doing that</w:t>
      </w:r>
      <w:r w:rsidR="000C3FB4">
        <w:rPr>
          <w:lang w:val="en-GB"/>
        </w:rPr>
        <w:t xml:space="preserve"> […] </w:t>
      </w:r>
      <w:r w:rsidRPr="0048465B">
        <w:rPr>
          <w:lang w:val="en-GB"/>
        </w:rPr>
        <w:t>in Haifa, which no one regards as a city under occupation?”’</w:t>
      </w:r>
      <w:r w:rsidRPr="0048465B">
        <w:rPr>
          <w:vertAlign w:val="superscript"/>
          <w:lang w:val="en-GB"/>
        </w:rPr>
        <w:footnoteReference w:id="305"/>
      </w:r>
      <w:r w:rsidRPr="0048465B">
        <w:rPr>
          <w:lang w:val="en-GB"/>
        </w:rPr>
        <w:t xml:space="preserve"> Here, Saeed’s ignorance first and foremost clarifies that, despite Jacob’s assertion, there certainly remain those who do understand Haifa as being under occupation. Yet by refusing to explicitly state this feeling, by allowing it to come out through a fusion of Saeed’s ignorance and his assistive enthusiasm, the feeling is demilitarised, non-aggressive, and testifies more concretely and specifically to the pain of loss than to any contingent implication that Saeed, or Habibi, harbour any real desire to reclaim Haifa for themselves. Moreover, Saeed’s response to Jacob, ‘“[b]</w:t>
      </w:r>
      <w:proofErr w:type="spellStart"/>
      <w:r w:rsidRPr="0048465B">
        <w:rPr>
          <w:lang w:val="en-GB"/>
        </w:rPr>
        <w:t>ut</w:t>
      </w:r>
      <w:proofErr w:type="spellEnd"/>
      <w:r w:rsidRPr="0048465B">
        <w:rPr>
          <w:lang w:val="en-GB"/>
        </w:rPr>
        <w:t xml:space="preserve"> you can’t have too much of a good thing”’,</w:t>
      </w:r>
      <w:r w:rsidRPr="0048465B">
        <w:rPr>
          <w:vertAlign w:val="superscript"/>
          <w:lang w:val="en-GB"/>
        </w:rPr>
        <w:footnoteReference w:id="306"/>
      </w:r>
      <w:r w:rsidRPr="0048465B">
        <w:rPr>
          <w:lang w:val="en-GB"/>
        </w:rPr>
        <w:t xml:space="preserve"> succeeds in transforming what is otherwise a comment upon the abiding feeling of past loss into one regarding contemporary occupation. If the Israeli occupation of Palestinian territories were truly a ‘good thing’, legitimate, justifiable, and motivated by peace, then Saeed’s actions would likely evoke confusion more than rage. Here we see the true brilliance of Habibi’s work, that through emphasising Saeed’s ignorance and Jacob’s guilt, Habibi is able to actively and meticulously condemn the transgressions of the State of Israel, whilst at the same time refusing to allow such condemnations to be categorised as aggressive in nature, all the while emphasising the feelings of loss and powerlessness that surround Palestinian exile and oppression.</w:t>
      </w:r>
    </w:p>
    <w:p w14:paraId="33112797" w14:textId="77777777" w:rsidR="00FC331F" w:rsidRPr="0048465B" w:rsidRDefault="00FC331F" w:rsidP="00FC331F">
      <w:pPr>
        <w:rPr>
          <w:lang w:val="en-GB"/>
        </w:rPr>
      </w:pPr>
      <w:bookmarkStart w:id="7" w:name="_xezq4ptssvgv" w:colFirst="0" w:colLast="0"/>
      <w:bookmarkEnd w:id="7"/>
    </w:p>
    <w:p w14:paraId="34289E47" w14:textId="4B3A4D6D" w:rsidR="00FC331F" w:rsidRPr="0048465B" w:rsidRDefault="00FC331F" w:rsidP="00FC331F">
      <w:pPr>
        <w:rPr>
          <w:lang w:val="en-GB"/>
        </w:rPr>
      </w:pPr>
      <w:r w:rsidRPr="0048465B">
        <w:rPr>
          <w:lang w:val="en-GB"/>
        </w:rPr>
        <w:t xml:space="preserve">These feelings, whilst captured </w:t>
      </w:r>
      <w:r w:rsidR="00662782" w:rsidRPr="0048465B">
        <w:rPr>
          <w:lang w:val="en-GB"/>
        </w:rPr>
        <w:t>humorously</w:t>
      </w:r>
      <w:r w:rsidRPr="0048465B">
        <w:rPr>
          <w:lang w:val="en-GB"/>
        </w:rPr>
        <w:t xml:space="preserve"> by Habibi’s Saeed, are much more commonly represented in darker and more desolate terms. Perhaps the most powerful metaphor for the Palestinian experience of the Nakba</w:t>
      </w:r>
      <w:r w:rsidR="000A1319">
        <w:rPr>
          <w:lang w:val="en-GB"/>
        </w:rPr>
        <w:t>,</w:t>
      </w:r>
      <w:r w:rsidRPr="0048465B">
        <w:rPr>
          <w:lang w:val="en-GB"/>
        </w:rPr>
        <w:t xml:space="preserve"> and the transition that this period continues to represent, comes in the exploration of the loss of children in ‘Returning to Haifa’ and </w:t>
      </w:r>
      <w:r w:rsidRPr="0048465B">
        <w:rPr>
          <w:i/>
          <w:lang w:val="en-GB"/>
        </w:rPr>
        <w:t>Mornings in Jenin</w:t>
      </w:r>
      <w:r w:rsidRPr="0048465B">
        <w:rPr>
          <w:lang w:val="en-GB"/>
        </w:rPr>
        <w:t>. As previously mentioned, Abulhawa took</w:t>
      </w:r>
      <w:r w:rsidR="000A1319">
        <w:rPr>
          <w:lang w:val="en-GB"/>
        </w:rPr>
        <w:t xml:space="preserve"> the core features of Kanafani’s </w:t>
      </w:r>
      <w:r w:rsidR="00ED7125">
        <w:rPr>
          <w:lang w:val="en-GB"/>
        </w:rPr>
        <w:t>short story</w:t>
      </w:r>
      <w:r w:rsidR="000A1319">
        <w:rPr>
          <w:lang w:val="en-GB"/>
        </w:rPr>
        <w:t>,</w:t>
      </w:r>
      <w:r w:rsidRPr="0048465B">
        <w:rPr>
          <w:lang w:val="en-GB"/>
        </w:rPr>
        <w:t xml:space="preserve"> </w:t>
      </w:r>
      <w:r w:rsidR="000A1319">
        <w:rPr>
          <w:lang w:val="en-GB"/>
        </w:rPr>
        <w:t xml:space="preserve">both the central </w:t>
      </w:r>
      <w:r w:rsidR="000A1319">
        <w:rPr>
          <w:lang w:val="en-GB"/>
        </w:rPr>
        <w:lastRenderedPageBreak/>
        <w:t>loss of a child and the consequent raising of this child by</w:t>
      </w:r>
      <w:r w:rsidRPr="0048465B">
        <w:rPr>
          <w:lang w:val="en-GB"/>
        </w:rPr>
        <w:t xml:space="preserve"> </w:t>
      </w:r>
      <w:r w:rsidR="000A1319">
        <w:rPr>
          <w:lang w:val="en-GB"/>
        </w:rPr>
        <w:t>Jewish</w:t>
      </w:r>
      <w:r w:rsidR="00BC374E">
        <w:rPr>
          <w:lang w:val="en-GB"/>
        </w:rPr>
        <w:t xml:space="preserve"> </w:t>
      </w:r>
      <w:r w:rsidR="000A1319">
        <w:rPr>
          <w:lang w:val="en-GB"/>
        </w:rPr>
        <w:t>Israeli parents, as a loose framework</w:t>
      </w:r>
      <w:r w:rsidRPr="0048465B">
        <w:rPr>
          <w:lang w:val="en-GB"/>
        </w:rPr>
        <w:t xml:space="preserve"> for her own novel. However, the ways in which these parallel narrative junctures are reached vary between the two novels, as do the depths with which the condition of the children and their families are explored. </w:t>
      </w:r>
    </w:p>
    <w:p w14:paraId="154CDC24" w14:textId="77777777" w:rsidR="00FC331F" w:rsidRPr="0048465B" w:rsidRDefault="00FC331F" w:rsidP="00FC331F">
      <w:pPr>
        <w:rPr>
          <w:lang w:val="en-GB"/>
        </w:rPr>
      </w:pPr>
    </w:p>
    <w:p w14:paraId="40A61C75" w14:textId="5745CE63" w:rsidR="00FC331F" w:rsidRPr="0048465B" w:rsidRDefault="00FC331F" w:rsidP="00FC331F">
      <w:pPr>
        <w:rPr>
          <w:lang w:val="en-GB"/>
        </w:rPr>
      </w:pPr>
      <w:r w:rsidRPr="0048465B">
        <w:rPr>
          <w:lang w:val="en-GB"/>
        </w:rPr>
        <w:t xml:space="preserve">In Kanafani’s </w:t>
      </w:r>
      <w:r w:rsidR="00ED7125">
        <w:rPr>
          <w:lang w:val="en-GB"/>
        </w:rPr>
        <w:t>short story</w:t>
      </w:r>
      <w:r w:rsidRPr="0048465B">
        <w:rPr>
          <w:lang w:val="en-GB"/>
        </w:rPr>
        <w:t xml:space="preserve">, Said S. and Safiyya’s infant son </w:t>
      </w:r>
      <w:r w:rsidR="00057150">
        <w:rPr>
          <w:lang w:val="en-GB"/>
        </w:rPr>
        <w:t>–</w:t>
      </w:r>
      <w:r w:rsidRPr="0048465B">
        <w:rPr>
          <w:lang w:val="en-GB"/>
        </w:rPr>
        <w:t xml:space="preserve"> Khaldun </w:t>
      </w:r>
      <w:r w:rsidR="00057150">
        <w:rPr>
          <w:lang w:val="en-GB"/>
        </w:rPr>
        <w:t>–</w:t>
      </w:r>
      <w:r w:rsidRPr="0048465B">
        <w:rPr>
          <w:lang w:val="en-GB"/>
        </w:rPr>
        <w:t xml:space="preserve"> is left behind in a ‘flood of humanity’, the fear of the Palestinian residents of Haifa driving Said S. and Safiyya ‘toward the shore’, unable to turn back no matter how hard they try.</w:t>
      </w:r>
      <w:r w:rsidRPr="0048465B">
        <w:rPr>
          <w:vertAlign w:val="superscript"/>
          <w:lang w:val="en-GB"/>
        </w:rPr>
        <w:footnoteReference w:id="307"/>
      </w:r>
      <w:r w:rsidRPr="0048465B">
        <w:rPr>
          <w:lang w:val="en-GB"/>
        </w:rPr>
        <w:t xml:space="preserve"> With his parents absent, Khaldun is then ‘given’ to Miriam </w:t>
      </w:r>
      <w:r w:rsidR="00057150">
        <w:rPr>
          <w:lang w:val="en-GB"/>
        </w:rPr>
        <w:t>–</w:t>
      </w:r>
      <w:r w:rsidRPr="0048465B">
        <w:rPr>
          <w:lang w:val="en-GB"/>
        </w:rPr>
        <w:t xml:space="preserve"> a survivor of the Holocaust </w:t>
      </w:r>
      <w:r w:rsidR="00057150">
        <w:rPr>
          <w:lang w:val="en-GB"/>
        </w:rPr>
        <w:t>–</w:t>
      </w:r>
      <w:r w:rsidRPr="0048465B">
        <w:rPr>
          <w:lang w:val="en-GB"/>
        </w:rPr>
        <w:t xml:space="preserve"> ‘along with the house’.</w:t>
      </w:r>
      <w:r w:rsidRPr="0048465B">
        <w:rPr>
          <w:vertAlign w:val="superscript"/>
          <w:lang w:val="en-GB"/>
        </w:rPr>
        <w:footnoteReference w:id="308"/>
      </w:r>
      <w:r w:rsidRPr="0048465B">
        <w:rPr>
          <w:lang w:val="en-GB"/>
        </w:rPr>
        <w:t xml:space="preserve"> Khaldun is renamed Dov, grows up to </w:t>
      </w:r>
      <w:r w:rsidR="00B824E5">
        <w:rPr>
          <w:lang w:val="en-GB"/>
        </w:rPr>
        <w:t>join</w:t>
      </w:r>
      <w:r w:rsidRPr="0048465B">
        <w:rPr>
          <w:lang w:val="en-GB"/>
        </w:rPr>
        <w:t xml:space="preserve"> the Israeli military, and shuns his biological parents when he meets them as an adult later in the </w:t>
      </w:r>
      <w:r w:rsidR="00ED7125">
        <w:rPr>
          <w:lang w:val="en-GB"/>
        </w:rPr>
        <w:t>story</w:t>
      </w:r>
      <w:r w:rsidRPr="0048465B">
        <w:rPr>
          <w:lang w:val="en-GB"/>
        </w:rPr>
        <w:t xml:space="preserve">. </w:t>
      </w:r>
    </w:p>
    <w:p w14:paraId="3F9E8401" w14:textId="77777777" w:rsidR="00FC331F" w:rsidRPr="0048465B" w:rsidRDefault="00FC331F" w:rsidP="00FC331F">
      <w:pPr>
        <w:rPr>
          <w:lang w:val="en-GB"/>
        </w:rPr>
      </w:pPr>
    </w:p>
    <w:p w14:paraId="3F3AE97D" w14:textId="14004E31" w:rsidR="00FC331F" w:rsidRPr="0048465B" w:rsidRDefault="00FC331F" w:rsidP="00FC331F">
      <w:pPr>
        <w:rPr>
          <w:lang w:val="en-GB"/>
        </w:rPr>
      </w:pPr>
      <w:r w:rsidRPr="0048465B">
        <w:rPr>
          <w:lang w:val="en-GB"/>
        </w:rPr>
        <w:t xml:space="preserve">By comparison, in Abulhawa’s </w:t>
      </w:r>
      <w:r w:rsidRPr="0048465B">
        <w:rPr>
          <w:i/>
          <w:lang w:val="en-GB"/>
        </w:rPr>
        <w:t>Mornings in Jenin</w:t>
      </w:r>
      <w:r w:rsidRPr="0048465B">
        <w:rPr>
          <w:lang w:val="en-GB"/>
        </w:rPr>
        <w:t>, Hassan and Dalia’s youngest son Ismael is abducted from Dalia’s arms as a baby, as the family are being expelled from Ein Hod. Moshe, the Israeli soldier who steals Ismael, takes him home to his wife, Jolanta, a Holocaust survivor who</w:t>
      </w:r>
      <w:r w:rsidR="000A1319">
        <w:rPr>
          <w:lang w:val="en-GB"/>
        </w:rPr>
        <w:t xml:space="preserve"> </w:t>
      </w:r>
      <w:r w:rsidRPr="0048465B">
        <w:rPr>
          <w:lang w:val="en-GB"/>
        </w:rPr>
        <w:t>cannot give birth herself due to having been repeatedly raped by Nazi soldiers during the Holocaust. Jolanta raises Ismael as David, and David, like Dov and the vast majority of Israeli</w:t>
      </w:r>
      <w:r w:rsidR="00B45635">
        <w:rPr>
          <w:lang w:val="en-GB"/>
        </w:rPr>
        <w:t xml:space="preserve"> </w:t>
      </w:r>
      <w:r w:rsidRPr="0048465B">
        <w:rPr>
          <w:lang w:val="en-GB"/>
        </w:rPr>
        <w:t xml:space="preserve">Jewish citizens </w:t>
      </w:r>
      <w:r w:rsidR="00057150">
        <w:rPr>
          <w:lang w:val="en-GB"/>
        </w:rPr>
        <w:t>–</w:t>
      </w:r>
      <w:r w:rsidRPr="0048465B">
        <w:rPr>
          <w:lang w:val="en-GB"/>
        </w:rPr>
        <w:t xml:space="preserve"> due to national service </w:t>
      </w:r>
      <w:r w:rsidR="00057150">
        <w:rPr>
          <w:lang w:val="en-GB"/>
        </w:rPr>
        <w:t>–</w:t>
      </w:r>
      <w:r w:rsidRPr="0048465B">
        <w:rPr>
          <w:lang w:val="en-GB"/>
        </w:rPr>
        <w:t xml:space="preserve"> grows up to be an Israeli soldier. Initially David rejects the possibility of having been born to a Palestinian family, and assaults his biological brother each time they happen to meet, as the physical similarity between the</w:t>
      </w:r>
      <w:r w:rsidR="00057150">
        <w:rPr>
          <w:lang w:val="en-GB"/>
        </w:rPr>
        <w:t xml:space="preserve">m </w:t>
      </w:r>
      <w:r w:rsidRPr="0048465B">
        <w:rPr>
          <w:lang w:val="en-GB"/>
        </w:rPr>
        <w:t xml:space="preserve">is something David only feels able to respond to with violence. Later in life, however, when his dying (Israeli) father tells him of his original Palestinian family, David is able to come to terms with the context of his existence, </w:t>
      </w:r>
      <w:r w:rsidRPr="0048465B">
        <w:rPr>
          <w:lang w:val="en-GB"/>
        </w:rPr>
        <w:lastRenderedPageBreak/>
        <w:t>and reaches out to and befriends his biological sister Amal. Like Dov, however, David refuses to condemn the actions of his Israeli parents, and thinks of them primarily as the loving parents that he knew them to be.</w:t>
      </w:r>
    </w:p>
    <w:p w14:paraId="521C330E" w14:textId="77777777" w:rsidR="00FC331F" w:rsidRPr="0048465B" w:rsidRDefault="00FC331F" w:rsidP="00FC331F">
      <w:pPr>
        <w:rPr>
          <w:lang w:val="en-GB"/>
        </w:rPr>
      </w:pPr>
    </w:p>
    <w:p w14:paraId="1EDF8757" w14:textId="50F962EE" w:rsidR="00FC331F" w:rsidRPr="0048465B" w:rsidRDefault="00FC331F" w:rsidP="00FC331F">
      <w:pPr>
        <w:rPr>
          <w:lang w:val="en-GB"/>
        </w:rPr>
      </w:pPr>
      <w:r w:rsidRPr="0048465B">
        <w:rPr>
          <w:lang w:val="en-GB"/>
        </w:rPr>
        <w:t>In each of these stories, the raising of a Palestinian child by Israeli parents can be seen as a literal</w:t>
      </w:r>
      <w:r w:rsidR="002C6752">
        <w:rPr>
          <w:lang w:val="en-GB"/>
        </w:rPr>
        <w:t>ised</w:t>
      </w:r>
      <w:r w:rsidRPr="0048465B">
        <w:rPr>
          <w:lang w:val="en-GB"/>
        </w:rPr>
        <w:t xml:space="preserve"> metaphor for the loss experienced by the Palestinian people, as well as the contingent acquisition of this same lost property by the Israeli people. That is, it is not only that the notion of a Palestinian future is destroyed, but that this same future </w:t>
      </w:r>
      <w:r w:rsidR="000A1319">
        <w:rPr>
          <w:lang w:val="en-GB"/>
        </w:rPr>
        <w:t xml:space="preserve">does not disappear altogether, but </w:t>
      </w:r>
      <w:r w:rsidRPr="0048465B">
        <w:rPr>
          <w:lang w:val="en-GB"/>
        </w:rPr>
        <w:t>becomes</w:t>
      </w:r>
      <w:r w:rsidR="000A1319">
        <w:rPr>
          <w:lang w:val="en-GB"/>
        </w:rPr>
        <w:t xml:space="preserve"> instead</w:t>
      </w:r>
      <w:r w:rsidRPr="0048465B">
        <w:rPr>
          <w:lang w:val="en-GB"/>
        </w:rPr>
        <w:t xml:space="preserve"> the future of Israel. Yet even within such seemingly morally unambiguous narratives, there is room for nuance. In Kanafani’s </w:t>
      </w:r>
      <w:r w:rsidR="00ED7125">
        <w:rPr>
          <w:lang w:val="en-GB"/>
        </w:rPr>
        <w:t>short story</w:t>
      </w:r>
      <w:r w:rsidRPr="0048465B">
        <w:rPr>
          <w:lang w:val="en-GB"/>
        </w:rPr>
        <w:t xml:space="preserve">, Miriam’s taking in of Khaldun is portrayed as an act of charity rather than one of robbery, and Khaldun/Dov’s love for her demonstrates unequivocally the love that she has given to him, as does the fact that he ultimately chooses to stay with her. Similarly, whilst Ismael is actively stolen from Hassan and Dalia, Moshe is haunted by the guilt he feels at having done this, and Ismael/David’s Israeli mother Jolanta </w:t>
      </w:r>
      <w:r w:rsidR="00057150">
        <w:rPr>
          <w:lang w:val="en-GB"/>
        </w:rPr>
        <w:t>–</w:t>
      </w:r>
      <w:r w:rsidRPr="0048465B">
        <w:rPr>
          <w:lang w:val="en-GB"/>
        </w:rPr>
        <w:t xml:space="preserve"> who chooses not to seek out the </w:t>
      </w:r>
      <w:r w:rsidR="00851863">
        <w:rPr>
          <w:lang w:val="en-GB"/>
        </w:rPr>
        <w:t>facts</w:t>
      </w:r>
      <w:r w:rsidRPr="0048465B">
        <w:rPr>
          <w:lang w:val="en-GB"/>
        </w:rPr>
        <w:t xml:space="preserve"> about her son’s existence for fear of the truth </w:t>
      </w:r>
      <w:r w:rsidR="00057150">
        <w:rPr>
          <w:lang w:val="en-GB"/>
        </w:rPr>
        <w:t>–</w:t>
      </w:r>
      <w:r w:rsidRPr="0048465B">
        <w:rPr>
          <w:lang w:val="en-GB"/>
        </w:rPr>
        <w:t xml:space="preserve"> loves David immensely and, if we are able to isolate her from the theft, is able, unlike Dalia or Amal, to ‘transform</w:t>
      </w:r>
      <w:r w:rsidR="000C3FB4">
        <w:rPr>
          <w:lang w:val="en-GB"/>
        </w:rPr>
        <w:t xml:space="preserve"> […] </w:t>
      </w:r>
      <w:r w:rsidRPr="0048465B">
        <w:rPr>
          <w:lang w:val="en-GB"/>
        </w:rPr>
        <w:t>her pain into expressions of love’.</w:t>
      </w:r>
      <w:r w:rsidRPr="0048465B">
        <w:rPr>
          <w:vertAlign w:val="superscript"/>
          <w:lang w:val="en-GB"/>
        </w:rPr>
        <w:footnoteReference w:id="309"/>
      </w:r>
    </w:p>
    <w:p w14:paraId="0057D3A0" w14:textId="77777777" w:rsidR="00FC331F" w:rsidRPr="0048465B" w:rsidRDefault="00FC331F" w:rsidP="00FC331F">
      <w:pPr>
        <w:rPr>
          <w:lang w:val="en-GB"/>
        </w:rPr>
      </w:pPr>
    </w:p>
    <w:p w14:paraId="445E4B62" w14:textId="20561E8F" w:rsidR="00FC331F" w:rsidRPr="0048465B" w:rsidRDefault="00FC331F" w:rsidP="00FC331F">
      <w:pPr>
        <w:rPr>
          <w:lang w:val="en-GB"/>
        </w:rPr>
      </w:pPr>
      <w:r w:rsidRPr="0048465B">
        <w:rPr>
          <w:lang w:val="en-GB"/>
        </w:rPr>
        <w:t xml:space="preserve">However, it is difficult to isolate the love-filled raising of a child from the theft of that child. Equally, it is easy to condemn the lack of interest or care that both sets of Israeli parents express regarding the true parents of these children; Miriam and her husband are apathetic as to the whereabouts of Khaldun/Dov’s parents and hide the truth from Dov for the majority of his life, </w:t>
      </w:r>
      <w:r w:rsidRPr="0048465B">
        <w:rPr>
          <w:lang w:val="en-GB"/>
        </w:rPr>
        <w:lastRenderedPageBreak/>
        <w:t xml:space="preserve">Jolanta chooses ignorance whilst suspecting the truth, and Moshe literally </w:t>
      </w:r>
      <w:r w:rsidR="00057150">
        <w:rPr>
          <w:lang w:val="en-GB"/>
        </w:rPr>
        <w:t>abducts</w:t>
      </w:r>
      <w:r w:rsidRPr="0048465B">
        <w:rPr>
          <w:lang w:val="en-GB"/>
        </w:rPr>
        <w:t xml:space="preserve"> Ismael from his biological parents. Yet when we place such actions within the wider context of this extended metaphor, the love for the children and the wilful ignorance regarding their origins are ultimately expressions of personal relief, centred in the preservation of the self and the hope for new life, ironically completely divorced from the Palestinians from whom the lives of these children came. This is exemplified most clearly through Moshe’s internal monologue, wherein he bemoans how ‘unfair it [</w:t>
      </w:r>
      <w:proofErr w:type="spellStart"/>
      <w:r w:rsidRPr="0048465B">
        <w:rPr>
          <w:lang w:val="en-GB"/>
        </w:rPr>
        <w:t>i</w:t>
      </w:r>
      <w:proofErr w:type="spellEnd"/>
      <w:r w:rsidRPr="0048465B">
        <w:rPr>
          <w:lang w:val="en-GB"/>
        </w:rPr>
        <w:t>]s that this Arab peasant should have the gift of children while his poor Jolanta, who had suffered the horrors of genocide, could not bear a child’.</w:t>
      </w:r>
      <w:r w:rsidRPr="0048465B">
        <w:rPr>
          <w:vertAlign w:val="superscript"/>
          <w:lang w:val="en-GB"/>
        </w:rPr>
        <w:footnoteReference w:id="310"/>
      </w:r>
      <w:r w:rsidRPr="0048465B">
        <w:rPr>
          <w:lang w:val="en-GB"/>
        </w:rPr>
        <w:t xml:space="preserve"> In the moments before he takes Ismael, Moshe’s thoughts are permeated with language relating to childbirth. He thinks of how ‘h[e] and Jolanta saw the birth of Israel’, and how he had ‘helped deliver the new state’, Abulhawa here not only pre-empting yet another birth </w:t>
      </w:r>
      <w:r w:rsidR="006E1BB6">
        <w:rPr>
          <w:lang w:val="en-GB"/>
        </w:rPr>
        <w:t>–</w:t>
      </w:r>
      <w:r w:rsidRPr="0048465B">
        <w:rPr>
          <w:lang w:val="en-GB"/>
        </w:rPr>
        <w:t xml:space="preserve"> that of the re-named David </w:t>
      </w:r>
      <w:r w:rsidR="006E1BB6">
        <w:rPr>
          <w:lang w:val="en-GB"/>
        </w:rPr>
        <w:t>–</w:t>
      </w:r>
      <w:r w:rsidRPr="0048465B">
        <w:rPr>
          <w:lang w:val="en-GB"/>
        </w:rPr>
        <w:t xml:space="preserve"> but also clearly aligning this act of deliberate and conscious theft with the creation of Israel, and the loss of property, land, and life that this meant for many Palestinians.</w:t>
      </w:r>
    </w:p>
    <w:p w14:paraId="707ED986" w14:textId="77777777" w:rsidR="00FC331F" w:rsidRPr="0048465B" w:rsidRDefault="00FC331F" w:rsidP="00FC331F">
      <w:pPr>
        <w:rPr>
          <w:lang w:val="en-GB"/>
        </w:rPr>
      </w:pPr>
    </w:p>
    <w:p w14:paraId="4D6BD99F" w14:textId="50AE9151" w:rsidR="00FC331F" w:rsidRPr="0048465B" w:rsidRDefault="00FC331F" w:rsidP="00FC331F">
      <w:pPr>
        <w:rPr>
          <w:lang w:val="en-GB"/>
        </w:rPr>
      </w:pPr>
      <w:r w:rsidRPr="0048465B">
        <w:rPr>
          <w:lang w:val="en-GB"/>
        </w:rPr>
        <w:t>Whilst based in fiction, the kidnapping that follows in Abulhawa’s novel is nonetheless indicative of one of the more significant facets of the Israeli-Palestinian conflict</w:t>
      </w:r>
      <w:r w:rsidR="002C6752">
        <w:rPr>
          <w:lang w:val="en-GB"/>
        </w:rPr>
        <w:t>.</w:t>
      </w:r>
      <w:r w:rsidRPr="0048465B">
        <w:rPr>
          <w:lang w:val="en-GB"/>
        </w:rPr>
        <w:t xml:space="preserve"> </w:t>
      </w:r>
      <w:r w:rsidR="002C6752">
        <w:rPr>
          <w:lang w:val="en-GB"/>
        </w:rPr>
        <w:t>W</w:t>
      </w:r>
      <w:r w:rsidRPr="0048465B">
        <w:rPr>
          <w:lang w:val="en-GB"/>
        </w:rPr>
        <w:t xml:space="preserve">hilst Israel is typified, for many of its inhabitants, by notions of happiness and freedom in a new land that is safe and secure from persecution, this representation is by definition dependent on the dehumanisation of the Palestinian, simply because the very existence of the Palestinian </w:t>
      </w:r>
      <w:r w:rsidR="006E1BB6">
        <w:rPr>
          <w:lang w:val="en-GB"/>
        </w:rPr>
        <w:t>–</w:t>
      </w:r>
      <w:r w:rsidRPr="0048465B">
        <w:rPr>
          <w:lang w:val="en-GB"/>
        </w:rPr>
        <w:t xml:space="preserve"> in this case symbolised by Dalia’s fertility and Ismael’s prospective Palestinianness </w:t>
      </w:r>
      <w:r w:rsidR="006E1BB6">
        <w:rPr>
          <w:lang w:val="en-GB"/>
        </w:rPr>
        <w:t>–</w:t>
      </w:r>
      <w:r w:rsidRPr="0048465B">
        <w:rPr>
          <w:lang w:val="en-GB"/>
        </w:rPr>
        <w:t xml:space="preserve"> is perceived as undermining each and every one of these notions. In the words of Edward Said, ‘[t]he fact is that as the Palestinians continued to be there [in </w:t>
      </w:r>
      <w:r w:rsidR="00B0687D">
        <w:rPr>
          <w:lang w:val="en-GB"/>
        </w:rPr>
        <w:t xml:space="preserve">both </w:t>
      </w:r>
      <w:r w:rsidRPr="0048465B">
        <w:rPr>
          <w:lang w:val="en-GB"/>
        </w:rPr>
        <w:t>Israel</w:t>
      </w:r>
      <w:r w:rsidR="00B0687D">
        <w:rPr>
          <w:lang w:val="en-GB"/>
        </w:rPr>
        <w:t xml:space="preserve"> and the Occupied Territories</w:t>
      </w:r>
      <w:r w:rsidRPr="0048465B">
        <w:rPr>
          <w:lang w:val="en-GB"/>
        </w:rPr>
        <w:t xml:space="preserve">], their simply being there made </w:t>
      </w:r>
      <w:r w:rsidRPr="0048465B">
        <w:rPr>
          <w:lang w:val="en-GB"/>
        </w:rPr>
        <w:lastRenderedPageBreak/>
        <w:t>claims on Israel’.</w:t>
      </w:r>
      <w:r w:rsidRPr="0048465B">
        <w:rPr>
          <w:vertAlign w:val="superscript"/>
          <w:lang w:val="en-GB"/>
        </w:rPr>
        <w:footnoteReference w:id="311"/>
      </w:r>
      <w:r w:rsidRPr="0048465B">
        <w:rPr>
          <w:lang w:val="en-GB"/>
        </w:rPr>
        <w:t xml:space="preserve"> Just as it is in part due to the refusal to acknowledge their sons’ Palestinian origins that Miriam and Jolanta are able to find joy and provide love, it is only through the refusal to acknowledge the</w:t>
      </w:r>
      <w:r w:rsidR="006E1BB6">
        <w:rPr>
          <w:lang w:val="en-GB"/>
        </w:rPr>
        <w:t xml:space="preserve"> claims of the</w:t>
      </w:r>
      <w:r w:rsidRPr="0048465B">
        <w:rPr>
          <w:lang w:val="en-GB"/>
        </w:rPr>
        <w:t xml:space="preserve"> Palestinian people that Israel can continue to identify both politically and culturally as a country that champions religious and civil autonomy. How else could a country pass a law by which ‘only Jews have the right to “national self-determination” in Israel’</w:t>
      </w:r>
      <w:r w:rsidRPr="0048465B">
        <w:rPr>
          <w:vertAlign w:val="superscript"/>
          <w:lang w:val="en-GB"/>
        </w:rPr>
        <w:footnoteReference w:id="312"/>
      </w:r>
      <w:r w:rsidRPr="0048465B">
        <w:rPr>
          <w:lang w:val="en-GB"/>
        </w:rPr>
        <w:t xml:space="preserve"> whilst at the same time identifying as a democratic nation?</w:t>
      </w:r>
    </w:p>
    <w:p w14:paraId="3D8890FD" w14:textId="77777777" w:rsidR="00FC331F" w:rsidRPr="0048465B" w:rsidRDefault="00FC331F" w:rsidP="00FC331F">
      <w:pPr>
        <w:rPr>
          <w:lang w:val="en-GB"/>
        </w:rPr>
      </w:pPr>
    </w:p>
    <w:p w14:paraId="3B2F06CA" w14:textId="77777777" w:rsidR="00FC331F" w:rsidRPr="0048465B" w:rsidRDefault="00FC331F" w:rsidP="00FC331F">
      <w:pPr>
        <w:rPr>
          <w:lang w:val="en-GB"/>
        </w:rPr>
      </w:pPr>
      <w:r w:rsidRPr="0048465B">
        <w:rPr>
          <w:lang w:val="en-GB"/>
        </w:rPr>
        <w:t xml:space="preserve">As well as exemplifying the notion of the lost future more generally, these two narratives also offer an insight into the idea of the lost Palestinian future in a more specific sense. Whilst serving most evidently as a symbolic representation of the transfer of property and hope for the future, the thefts of these children also serve to illuminate the variation between Palestinian and Israeli existences, a technique particularly effective in </w:t>
      </w:r>
      <w:r w:rsidRPr="0048465B">
        <w:rPr>
          <w:i/>
          <w:lang w:val="en-GB"/>
        </w:rPr>
        <w:t>Mornings in Jenin</w:t>
      </w:r>
      <w:r w:rsidRPr="0048465B">
        <w:rPr>
          <w:lang w:val="en-GB"/>
        </w:rPr>
        <w:t xml:space="preserve">. </w:t>
      </w:r>
    </w:p>
    <w:p w14:paraId="162434CC" w14:textId="77777777" w:rsidR="00FC331F" w:rsidRPr="0048465B" w:rsidRDefault="00FC331F" w:rsidP="00FC331F">
      <w:pPr>
        <w:rPr>
          <w:lang w:val="en-GB"/>
        </w:rPr>
      </w:pPr>
    </w:p>
    <w:p w14:paraId="060A3F8B" w14:textId="0A5524D3" w:rsidR="00FC331F" w:rsidRPr="0048465B" w:rsidRDefault="00FC331F" w:rsidP="00FC331F">
      <w:pPr>
        <w:rPr>
          <w:lang w:val="en-GB"/>
        </w:rPr>
      </w:pPr>
      <w:r w:rsidRPr="0048465B">
        <w:rPr>
          <w:lang w:val="en-GB"/>
        </w:rPr>
        <w:t>Whilst painting a bleak picture of the lives of the Palestinian former inhabitants of Ein Hod, Abulhawa simultaneously explores the life of David and Jolanta on the other side of the border. Jolanta worries about David ‘feel[</w:t>
      </w:r>
      <w:proofErr w:type="spellStart"/>
      <w:r w:rsidRPr="0048465B">
        <w:rPr>
          <w:lang w:val="en-GB"/>
        </w:rPr>
        <w:t>ing</w:t>
      </w:r>
      <w:proofErr w:type="spellEnd"/>
      <w:r w:rsidRPr="0048465B">
        <w:rPr>
          <w:lang w:val="en-GB"/>
        </w:rPr>
        <w:t xml:space="preserve">] homesick’, </w:t>
      </w:r>
      <w:r w:rsidR="006E1BB6">
        <w:rPr>
          <w:lang w:val="en-GB"/>
        </w:rPr>
        <w:t xml:space="preserve">and </w:t>
      </w:r>
      <w:r w:rsidRPr="0048465B">
        <w:rPr>
          <w:lang w:val="en-GB"/>
        </w:rPr>
        <w:t>has a ‘list of worries</w:t>
      </w:r>
      <w:r w:rsidR="000C3FB4">
        <w:rPr>
          <w:lang w:val="en-GB"/>
        </w:rPr>
        <w:t xml:space="preserve"> […] </w:t>
      </w:r>
      <w:r w:rsidRPr="0048465B">
        <w:rPr>
          <w:lang w:val="en-GB"/>
        </w:rPr>
        <w:t>so long that even she couldn’t remember it now’. When David goes camping, she worries:</w:t>
      </w:r>
    </w:p>
    <w:p w14:paraId="52346B45" w14:textId="77777777" w:rsidR="00FC331F" w:rsidRPr="0048465B" w:rsidRDefault="00FC331F" w:rsidP="00FC331F">
      <w:pPr>
        <w:rPr>
          <w:lang w:val="en-GB"/>
        </w:rPr>
      </w:pPr>
    </w:p>
    <w:p w14:paraId="4004239D" w14:textId="77777777" w:rsidR="00FC331F" w:rsidRPr="0048465B" w:rsidRDefault="00FC331F" w:rsidP="00FC331F">
      <w:pPr>
        <w:ind w:left="720"/>
        <w:rPr>
          <w:lang w:val="en-GB"/>
        </w:rPr>
      </w:pPr>
      <w:r w:rsidRPr="0048465B">
        <w:rPr>
          <w:lang w:val="en-GB"/>
        </w:rPr>
        <w:t xml:space="preserve">that he had not eaten enough breakfast before school, that he would hurt himself playing football, that a girl would break his heart. She worried when he went to his first party, </w:t>
      </w:r>
      <w:r w:rsidRPr="0048465B">
        <w:rPr>
          <w:lang w:val="en-GB"/>
        </w:rPr>
        <w:lastRenderedPageBreak/>
        <w:t>where she knew there would be alcohol. And when everything seemed fine she worried that there was something he was keeping from her that she should be worrying about.</w:t>
      </w:r>
      <w:r w:rsidRPr="0048465B">
        <w:rPr>
          <w:vertAlign w:val="superscript"/>
          <w:lang w:val="en-GB"/>
        </w:rPr>
        <w:footnoteReference w:id="313"/>
      </w:r>
    </w:p>
    <w:p w14:paraId="79D706F0" w14:textId="77777777" w:rsidR="00FC331F" w:rsidRPr="0048465B" w:rsidRDefault="00FC331F" w:rsidP="00FC331F">
      <w:pPr>
        <w:rPr>
          <w:lang w:val="en-GB"/>
        </w:rPr>
      </w:pPr>
    </w:p>
    <w:p w14:paraId="49321B46" w14:textId="60692CD1" w:rsidR="00FC331F" w:rsidRPr="0048465B" w:rsidRDefault="00FC331F" w:rsidP="00FC331F">
      <w:pPr>
        <w:rPr>
          <w:lang w:val="en-GB"/>
        </w:rPr>
      </w:pPr>
      <w:r w:rsidRPr="0048465B">
        <w:rPr>
          <w:lang w:val="en-GB"/>
        </w:rPr>
        <w:t xml:space="preserve">Whilst Abulhawa does not directly explore any potential connections between these concerns and Jolanta’s past experiences </w:t>
      </w:r>
      <w:r w:rsidR="006E1BB6">
        <w:rPr>
          <w:lang w:val="en-GB"/>
        </w:rPr>
        <w:t>–</w:t>
      </w:r>
      <w:r w:rsidRPr="0048465B">
        <w:rPr>
          <w:lang w:val="en-GB"/>
        </w:rPr>
        <w:t xml:space="preserve"> specifically the death of her parents and siblings during the Holocaust </w:t>
      </w:r>
      <w:r w:rsidR="006E1BB6">
        <w:rPr>
          <w:lang w:val="en-GB"/>
        </w:rPr>
        <w:t>–</w:t>
      </w:r>
      <w:r w:rsidRPr="0048465B">
        <w:rPr>
          <w:lang w:val="en-GB"/>
        </w:rPr>
        <w:t xml:space="preserve"> Abulhawa’s choice to elaborate upon Jolanta’s past within the novel cultivates a connection between Jolanta’s past and present experiences. Indeed, Abulhawa explores a similar notion in another Jewish Israeli character, Ari, a man who ‘could not marry because</w:t>
      </w:r>
      <w:r w:rsidR="000C3FB4">
        <w:rPr>
          <w:lang w:val="en-GB"/>
        </w:rPr>
        <w:t xml:space="preserve"> […] </w:t>
      </w:r>
      <w:r w:rsidRPr="0048465B">
        <w:rPr>
          <w:lang w:val="en-GB"/>
        </w:rPr>
        <w:t xml:space="preserve">[like Dalia and Amal after having lost </w:t>
      </w:r>
      <w:r w:rsidR="006E1BB6">
        <w:rPr>
          <w:lang w:val="en-GB"/>
        </w:rPr>
        <w:t xml:space="preserve">Hasan, </w:t>
      </w:r>
      <w:r w:rsidRPr="0048465B">
        <w:rPr>
          <w:lang w:val="en-GB"/>
        </w:rPr>
        <w:t>Ismael and Majid]</w:t>
      </w:r>
      <w:r w:rsidR="000C3FB4">
        <w:rPr>
          <w:lang w:val="en-GB"/>
        </w:rPr>
        <w:t xml:space="preserve"> […] </w:t>
      </w:r>
      <w:r w:rsidRPr="0048465B">
        <w:rPr>
          <w:lang w:val="en-GB"/>
        </w:rPr>
        <w:t>he feared love more than he feared death. Because, for the hated and the pursued, the reverse side of love is unbearable loss’.</w:t>
      </w:r>
      <w:r w:rsidRPr="0048465B">
        <w:rPr>
          <w:vertAlign w:val="superscript"/>
          <w:lang w:val="en-GB"/>
        </w:rPr>
        <w:footnoteReference w:id="314"/>
      </w:r>
      <w:r w:rsidRPr="0048465B">
        <w:rPr>
          <w:lang w:val="en-GB"/>
        </w:rPr>
        <w:t xml:space="preserve"> Jolanta’s eternal concerns, most prominently the fear that something may happen to David when he is not with her, seem to be centred in this same difficulty </w:t>
      </w:r>
      <w:r w:rsidR="00473F6D">
        <w:rPr>
          <w:lang w:val="en-GB"/>
        </w:rPr>
        <w:t xml:space="preserve">of </w:t>
      </w:r>
      <w:r w:rsidRPr="0048465B">
        <w:rPr>
          <w:lang w:val="en-GB"/>
        </w:rPr>
        <w:t>establishing distance between past trauma and present experience, and this same learned knowledge that in the act of loving, one opens oneself up to the risk of even greater loss. It is in this light that Jolanta’s worries should be read.</w:t>
      </w:r>
    </w:p>
    <w:p w14:paraId="224D3076" w14:textId="77777777" w:rsidR="00FC331F" w:rsidRPr="0048465B" w:rsidRDefault="00FC331F" w:rsidP="00FC331F">
      <w:pPr>
        <w:rPr>
          <w:lang w:val="en-GB"/>
        </w:rPr>
      </w:pPr>
    </w:p>
    <w:p w14:paraId="0648E527" w14:textId="79150872" w:rsidR="00FC331F" w:rsidRPr="0048465B" w:rsidRDefault="00FC331F" w:rsidP="00FC331F">
      <w:pPr>
        <w:rPr>
          <w:lang w:val="en-GB"/>
        </w:rPr>
      </w:pPr>
      <w:r w:rsidRPr="0048465B">
        <w:rPr>
          <w:lang w:val="en-GB"/>
        </w:rPr>
        <w:t xml:space="preserve">Yet, crucially, whilst there remains a deeply layered emotional resonance to Jolanta’s concerns </w:t>
      </w:r>
      <w:r w:rsidR="006E1BB6">
        <w:rPr>
          <w:lang w:val="en-GB"/>
        </w:rPr>
        <w:t>–</w:t>
      </w:r>
      <w:r w:rsidRPr="0048465B">
        <w:rPr>
          <w:lang w:val="en-GB"/>
        </w:rPr>
        <w:t xml:space="preserve"> one that we should be conscious of </w:t>
      </w:r>
      <w:r w:rsidR="006E1BB6">
        <w:rPr>
          <w:lang w:val="en-GB"/>
        </w:rPr>
        <w:t>–</w:t>
      </w:r>
      <w:r w:rsidRPr="0048465B">
        <w:rPr>
          <w:lang w:val="en-GB"/>
        </w:rPr>
        <w:t xml:space="preserve"> the reality of such concerns within David’s life and experience in the present is that they are, in actuality, utterly domestic and ordinary. Abstracted from the historical trauma underlying these concerns, the objective content of Jolanta’s concerns regard issues such as heartbreak, minor injury, and getting drunk. Comparatively, Palestinian lives are saturated by death and destruction in a much more literal sense, first-hand. Amal is shot and left </w:t>
      </w:r>
      <w:r w:rsidR="00851863">
        <w:rPr>
          <w:lang w:val="en-GB"/>
        </w:rPr>
        <w:t>disfigured</w:t>
      </w:r>
      <w:r w:rsidRPr="0048465B">
        <w:rPr>
          <w:lang w:val="en-GB"/>
        </w:rPr>
        <w:t xml:space="preserve"> by an Israeli soldier, ‘watch[es] life trickle from the bullet wound of a sixteen-year-</w:t>
      </w:r>
      <w:r w:rsidRPr="0048465B">
        <w:rPr>
          <w:lang w:val="en-GB"/>
        </w:rPr>
        <w:lastRenderedPageBreak/>
        <w:t>old [boy, who is shot as an] “example”’,</w:t>
      </w:r>
      <w:r w:rsidRPr="0048465B">
        <w:rPr>
          <w:vertAlign w:val="superscript"/>
          <w:lang w:val="en-GB"/>
        </w:rPr>
        <w:footnoteReference w:id="315"/>
      </w:r>
      <w:r w:rsidRPr="0048465B">
        <w:rPr>
          <w:lang w:val="en-GB"/>
        </w:rPr>
        <w:t xml:space="preserve"> wrestles with the shame of mourning the loss of a doll after having buried ‘a real baby who cried real tears and bled real blood</w:t>
      </w:r>
      <w:r w:rsidR="002C6752">
        <w:rPr>
          <w:lang w:val="en-GB"/>
        </w:rPr>
        <w:t>’</w:t>
      </w:r>
      <w:r w:rsidRPr="0048465B">
        <w:rPr>
          <w:lang w:val="en-GB"/>
        </w:rPr>
        <w:t>,</w:t>
      </w:r>
      <w:r w:rsidRPr="0048465B">
        <w:rPr>
          <w:vertAlign w:val="superscript"/>
          <w:lang w:val="en-GB"/>
        </w:rPr>
        <w:footnoteReference w:id="316"/>
      </w:r>
      <w:r w:rsidRPr="0048465B">
        <w:rPr>
          <w:lang w:val="en-GB"/>
        </w:rPr>
        <w:t xml:space="preserve"> and dreams with her friends of ‘simple wants’ such as ‘“A real bed.” “No soldiers.” “A playground.” “A garden.” “A bicycle.”’.</w:t>
      </w:r>
      <w:r w:rsidRPr="0048465B">
        <w:rPr>
          <w:vertAlign w:val="superscript"/>
          <w:lang w:val="en-GB"/>
        </w:rPr>
        <w:footnoteReference w:id="317"/>
      </w:r>
      <w:r w:rsidRPr="0048465B">
        <w:rPr>
          <w:lang w:val="en-GB"/>
        </w:rPr>
        <w:t xml:space="preserve"> Whilst Jolanta’s concerns are undeniably significant when contextualised with their personal emotional resonance,</w:t>
      </w:r>
      <w:r w:rsidR="002C6752">
        <w:rPr>
          <w:lang w:val="en-GB"/>
        </w:rPr>
        <w:t xml:space="preserve"> </w:t>
      </w:r>
      <w:r w:rsidRPr="0048465B">
        <w:rPr>
          <w:lang w:val="en-GB"/>
        </w:rPr>
        <w:t>David’s life and security are never actually at stake. Amal’s life, by way of comparison, is defined by emotional and environmental insecurity, physical deformation, the death of loved ones, and a sense of wild extravagance in her desire for that which most of us deem commonplace.</w:t>
      </w:r>
    </w:p>
    <w:p w14:paraId="358BCB2E" w14:textId="77777777" w:rsidR="00FC331F" w:rsidRPr="0048465B" w:rsidRDefault="00FC331F" w:rsidP="00FC331F">
      <w:pPr>
        <w:rPr>
          <w:lang w:val="en-GB"/>
        </w:rPr>
      </w:pPr>
    </w:p>
    <w:p w14:paraId="4EFE7E86" w14:textId="213810D7" w:rsidR="00FC331F" w:rsidRPr="0048465B" w:rsidRDefault="00FC331F" w:rsidP="00FC331F">
      <w:pPr>
        <w:rPr>
          <w:lang w:val="en-GB"/>
        </w:rPr>
      </w:pPr>
      <w:r w:rsidRPr="0048465B">
        <w:rPr>
          <w:lang w:val="en-GB"/>
        </w:rPr>
        <w:t xml:space="preserve">The Palestinian texts presented in this chapter explore a variety of viewpoints; those that live in Palestine and those that live abroad, those that return to their homes and those that cannot, those that probe connections to the Holocaust and those that ignore it, those that openly criticise the Israeli state and those that </w:t>
      </w:r>
      <w:r w:rsidR="00450CA0">
        <w:rPr>
          <w:lang w:val="en-GB"/>
        </w:rPr>
        <w:t>satirically inform</w:t>
      </w:r>
      <w:r w:rsidRPr="0048465B">
        <w:rPr>
          <w:lang w:val="en-GB"/>
        </w:rPr>
        <w:t xml:space="preserve"> for it. Their authors are a Palestinian citizen of Israel who served in the Knesset, a Palestinian</w:t>
      </w:r>
      <w:r w:rsidR="00FB05B6">
        <w:rPr>
          <w:lang w:val="en-GB"/>
        </w:rPr>
        <w:t>-born citizen of Britain</w:t>
      </w:r>
      <w:r w:rsidRPr="0048465B">
        <w:rPr>
          <w:lang w:val="en-GB"/>
        </w:rPr>
        <w:t xml:space="preserve"> </w:t>
      </w:r>
      <w:r w:rsidR="00FB05B6">
        <w:rPr>
          <w:lang w:val="en-GB"/>
        </w:rPr>
        <w:t xml:space="preserve">who was </w:t>
      </w:r>
      <w:r w:rsidRPr="0048465B">
        <w:rPr>
          <w:lang w:val="en-GB"/>
        </w:rPr>
        <w:t xml:space="preserve">driven out of his home and into a Gazan refugee camp as a </w:t>
      </w:r>
      <w:r w:rsidR="00FB05B6">
        <w:rPr>
          <w:lang w:val="en-GB"/>
        </w:rPr>
        <w:t>child</w:t>
      </w:r>
      <w:r w:rsidRPr="0048465B">
        <w:rPr>
          <w:lang w:val="en-GB"/>
        </w:rPr>
        <w:t>, a Palestinian</w:t>
      </w:r>
      <w:r w:rsidR="00B45635">
        <w:rPr>
          <w:lang w:val="en-GB"/>
        </w:rPr>
        <w:t xml:space="preserve"> </w:t>
      </w:r>
      <w:r w:rsidRPr="0048465B">
        <w:rPr>
          <w:lang w:val="en-GB"/>
        </w:rPr>
        <w:t xml:space="preserve">American born in Kuwait, and a leading member of the Popular Front for the Liberation of Palestine, assassinated by Mossad in response to a terrorist attack in Israel. </w:t>
      </w:r>
      <w:r w:rsidR="00662782" w:rsidRPr="0048465B">
        <w:rPr>
          <w:lang w:val="en-GB"/>
        </w:rPr>
        <w:t xml:space="preserve">Yet despite the diverse origins of these texts and their authors, there exist features that unite them all. </w:t>
      </w:r>
      <w:r w:rsidRPr="0048465B">
        <w:rPr>
          <w:lang w:val="en-GB"/>
        </w:rPr>
        <w:t>In each of these literary works, the events of 1948 not only stay with characters in memory, but continue to occur, eternally lived out in the present as multi-generational layers of memory and mourning are compressed into single moments, objects, or emotions. Similarly, each of these texts documents feelings of loss</w:t>
      </w:r>
      <w:r w:rsidR="00FB05B6">
        <w:rPr>
          <w:lang w:val="en-GB"/>
        </w:rPr>
        <w:t>, l</w:t>
      </w:r>
      <w:r w:rsidRPr="0048465B">
        <w:rPr>
          <w:lang w:val="en-GB"/>
        </w:rPr>
        <w:t xml:space="preserve">ost homes, lands, customs, </w:t>
      </w:r>
      <w:r w:rsidRPr="0048465B">
        <w:rPr>
          <w:lang w:val="en-GB"/>
        </w:rPr>
        <w:lastRenderedPageBreak/>
        <w:t xml:space="preserve">children, and futures, all fundamentally rooted in the dispossession of the Palestinian people during the Nakba. Finally, whilst engaging with, and developing upon, an expanding national body of work through embracing the above elements, each of these texts </w:t>
      </w:r>
      <w:r w:rsidR="005F6B60">
        <w:rPr>
          <w:lang w:val="en-GB"/>
        </w:rPr>
        <w:t>provides</w:t>
      </w:r>
      <w:r w:rsidRPr="0048465B">
        <w:rPr>
          <w:lang w:val="en-GB"/>
        </w:rPr>
        <w:t xml:space="preserve"> at the same time a greater depth and understanding of Palestinian identity, not only focusing on the loss and pain necessitated by the content of these works, but situating these emotions within rich</w:t>
      </w:r>
      <w:r w:rsidR="0030094A">
        <w:rPr>
          <w:lang w:val="en-GB"/>
        </w:rPr>
        <w:t xml:space="preserve"> and intricate</w:t>
      </w:r>
      <w:r w:rsidRPr="0048465B">
        <w:rPr>
          <w:lang w:val="en-GB"/>
        </w:rPr>
        <w:t xml:space="preserve"> narratives that focus on Palestinian</w:t>
      </w:r>
      <w:r w:rsidR="00FB05B6">
        <w:rPr>
          <w:lang w:val="en-GB"/>
        </w:rPr>
        <w:t>s</w:t>
      </w:r>
      <w:r w:rsidRPr="0048465B">
        <w:rPr>
          <w:lang w:val="en-GB"/>
        </w:rPr>
        <w:t xml:space="preserve"> </w:t>
      </w:r>
      <w:r w:rsidR="00FB05B6">
        <w:rPr>
          <w:lang w:val="en-GB"/>
        </w:rPr>
        <w:t>in</w:t>
      </w:r>
      <w:r w:rsidRPr="0048465B">
        <w:rPr>
          <w:lang w:val="en-GB"/>
        </w:rPr>
        <w:t xml:space="preserve"> detail, a</w:t>
      </w:r>
      <w:r w:rsidR="00FB05B6">
        <w:rPr>
          <w:lang w:val="en-GB"/>
        </w:rPr>
        <w:t>s individual</w:t>
      </w:r>
      <w:r w:rsidRPr="0048465B">
        <w:rPr>
          <w:lang w:val="en-GB"/>
        </w:rPr>
        <w:t xml:space="preserve"> pe</w:t>
      </w:r>
      <w:r w:rsidR="00FB05B6">
        <w:rPr>
          <w:lang w:val="en-GB"/>
        </w:rPr>
        <w:t>ople,</w:t>
      </w:r>
      <w:r w:rsidRPr="0048465B">
        <w:rPr>
          <w:lang w:val="en-GB"/>
        </w:rPr>
        <w:t xml:space="preserve"> rather than </w:t>
      </w:r>
      <w:r w:rsidR="00FB05B6">
        <w:rPr>
          <w:lang w:val="en-GB"/>
        </w:rPr>
        <w:t>political</w:t>
      </w:r>
      <w:r w:rsidRPr="0048465B">
        <w:rPr>
          <w:lang w:val="en-GB"/>
        </w:rPr>
        <w:t xml:space="preserve"> generalit</w:t>
      </w:r>
      <w:r w:rsidR="00FB05B6">
        <w:rPr>
          <w:lang w:val="en-GB"/>
        </w:rPr>
        <w:t>ies</w:t>
      </w:r>
      <w:r w:rsidRPr="0048465B">
        <w:rPr>
          <w:lang w:val="en-GB"/>
        </w:rPr>
        <w:t>.</w:t>
      </w:r>
    </w:p>
    <w:p w14:paraId="1448BA37" w14:textId="77777777" w:rsidR="00FC331F" w:rsidRPr="0048465B" w:rsidRDefault="00FC331F" w:rsidP="00FC331F">
      <w:pPr>
        <w:jc w:val="center"/>
        <w:rPr>
          <w:lang w:val="en-GB"/>
        </w:rPr>
      </w:pPr>
    </w:p>
    <w:p w14:paraId="451C9A29" w14:textId="77777777" w:rsidR="00FC331F" w:rsidRPr="0048465B" w:rsidRDefault="00FC331F" w:rsidP="00FC331F">
      <w:pPr>
        <w:jc w:val="center"/>
        <w:rPr>
          <w:lang w:val="en-GB"/>
        </w:rPr>
      </w:pPr>
      <w:r w:rsidRPr="0048465B">
        <w:rPr>
          <w:b/>
          <w:lang w:val="en-GB"/>
        </w:rPr>
        <w:t>Israeli Representations</w:t>
      </w:r>
    </w:p>
    <w:p w14:paraId="7552E9FD" w14:textId="77777777" w:rsidR="00FC331F" w:rsidRPr="0048465B" w:rsidRDefault="00FC331F" w:rsidP="00FC331F">
      <w:pPr>
        <w:rPr>
          <w:lang w:val="en-GB"/>
        </w:rPr>
      </w:pPr>
    </w:p>
    <w:p w14:paraId="6BE8F302" w14:textId="37CC37AA" w:rsidR="00FB05B6" w:rsidRDefault="00FC331F" w:rsidP="00FC331F">
      <w:pPr>
        <w:rPr>
          <w:lang w:val="en-GB"/>
        </w:rPr>
      </w:pPr>
      <w:r w:rsidRPr="0048465B">
        <w:rPr>
          <w:lang w:val="en-GB"/>
        </w:rPr>
        <w:t xml:space="preserve">Whilst primarily exploring works by Israeli authors and auteurs, the forthcoming analysis also features the opinions of diasporic Jews, as well as </w:t>
      </w:r>
      <w:r w:rsidR="00FB05B6">
        <w:rPr>
          <w:lang w:val="en-GB"/>
        </w:rPr>
        <w:t>a</w:t>
      </w:r>
      <w:r w:rsidRPr="0048465B">
        <w:rPr>
          <w:lang w:val="en-GB"/>
        </w:rPr>
        <w:t xml:space="preserve"> text written by the British playwright David Hare that features stylised accounts of interviews with Israeli politicians, creatives, and citizens. The reasons for this broadening of focus </w:t>
      </w:r>
      <w:r w:rsidR="00D33A4D">
        <w:rPr>
          <w:lang w:val="en-GB"/>
        </w:rPr>
        <w:t>–</w:t>
      </w:r>
      <w:r w:rsidRPr="0048465B">
        <w:rPr>
          <w:lang w:val="en-GB"/>
        </w:rPr>
        <w:t xml:space="preserve"> not found in the above section which explores works exclusively by those who live in Palestine, once lived in Palestine, or who have Palestinian ancestry </w:t>
      </w:r>
      <w:r w:rsidR="00D33A4D">
        <w:rPr>
          <w:lang w:val="en-GB"/>
        </w:rPr>
        <w:t>–</w:t>
      </w:r>
      <w:r w:rsidRPr="0048465B">
        <w:rPr>
          <w:lang w:val="en-GB"/>
        </w:rPr>
        <w:t xml:space="preserve"> are </w:t>
      </w:r>
      <w:r w:rsidR="00651265">
        <w:rPr>
          <w:lang w:val="en-GB"/>
        </w:rPr>
        <w:t>varied</w:t>
      </w:r>
      <w:r w:rsidRPr="0048465B">
        <w:rPr>
          <w:lang w:val="en-GB"/>
        </w:rPr>
        <w:t>. First</w:t>
      </w:r>
      <w:r w:rsidR="00D33A4D">
        <w:rPr>
          <w:lang w:val="en-GB"/>
        </w:rPr>
        <w:t>ly</w:t>
      </w:r>
      <w:r w:rsidRPr="0048465B">
        <w:rPr>
          <w:lang w:val="en-GB"/>
        </w:rPr>
        <w:t>, each of these texts has been selected because it focuses, at least momentarily, on the relationship between the Holocaust and the persecution of Palestinians.</w:t>
      </w:r>
      <w:r w:rsidR="00FB05B6">
        <w:rPr>
          <w:lang w:val="en-GB"/>
        </w:rPr>
        <w:t xml:space="preserve"> Such perspectives are far from abundant within Israeli literature, at least in translation. A</w:t>
      </w:r>
      <w:r w:rsidRPr="0048465B">
        <w:rPr>
          <w:lang w:val="en-GB"/>
        </w:rPr>
        <w:t>s Achcar affirms, ‘[t]he history of Israeli receptions of the Nakba has yet to be written’</w:t>
      </w:r>
      <w:r w:rsidR="00FB05B6">
        <w:rPr>
          <w:lang w:val="en-GB"/>
        </w:rPr>
        <w:t>.</w:t>
      </w:r>
      <w:r w:rsidRPr="0048465B">
        <w:rPr>
          <w:vertAlign w:val="superscript"/>
          <w:lang w:val="en-GB"/>
        </w:rPr>
        <w:footnoteReference w:id="318"/>
      </w:r>
      <w:r w:rsidRPr="0048465B">
        <w:rPr>
          <w:lang w:val="en-GB"/>
        </w:rPr>
        <w:t xml:space="preserve"> </w:t>
      </w:r>
      <w:r w:rsidR="0067334B" w:rsidRPr="0067334B">
        <w:rPr>
          <w:lang w:val="en-GB"/>
        </w:rPr>
        <w:t>Secondly,</w:t>
      </w:r>
      <w:r w:rsidR="0067334B">
        <w:rPr>
          <w:lang w:val="en-GB"/>
        </w:rPr>
        <w:t xml:space="preserve"> </w:t>
      </w:r>
      <w:r w:rsidR="0067334B" w:rsidRPr="0067334B">
        <w:rPr>
          <w:lang w:val="en-GB"/>
        </w:rPr>
        <w:t>analyses of Hare’s play within this chapter are positioned alongside complementary works that are either written by Jewish academics or politicians, or contain verbatim interviews with Israeli and non-Israeli Jews. Hare is a playwright well known for his eagerness to probe the politically complex</w:t>
      </w:r>
      <w:r w:rsidR="0067334B">
        <w:rPr>
          <w:lang w:val="en-GB"/>
        </w:rPr>
        <w:t xml:space="preserve">, and even though he establishes an unusual level of journalistic accountability throughout </w:t>
      </w:r>
      <w:r w:rsidR="0067334B">
        <w:rPr>
          <w:i/>
          <w:iCs/>
          <w:lang w:val="en-GB"/>
        </w:rPr>
        <w:lastRenderedPageBreak/>
        <w:t>Via Dolorosa</w:t>
      </w:r>
      <w:r w:rsidR="0067334B">
        <w:rPr>
          <w:lang w:val="en-GB"/>
        </w:rPr>
        <w:t xml:space="preserve"> by including the names of the public figures he interviews, he nonetheless does so whilst writing creatively and from an external perspective.</w:t>
      </w:r>
      <w:r w:rsidR="0067334B" w:rsidRPr="0067334B">
        <w:rPr>
          <w:lang w:val="en-GB"/>
        </w:rPr>
        <w:t xml:space="preserve"> </w:t>
      </w:r>
      <w:r w:rsidR="0067334B">
        <w:rPr>
          <w:lang w:val="en-GB"/>
        </w:rPr>
        <w:t>As such, t</w:t>
      </w:r>
      <w:r w:rsidR="0067334B" w:rsidRPr="0067334B">
        <w:rPr>
          <w:lang w:val="en-GB"/>
        </w:rPr>
        <w:t xml:space="preserve">he pairing of </w:t>
      </w:r>
      <w:r w:rsidR="0067334B" w:rsidRPr="0067334B">
        <w:rPr>
          <w:i/>
          <w:iCs/>
          <w:lang w:val="en-GB"/>
        </w:rPr>
        <w:t>Via Dolorosa</w:t>
      </w:r>
      <w:r w:rsidR="0067334B" w:rsidRPr="0067334B">
        <w:rPr>
          <w:lang w:val="en-GB"/>
        </w:rPr>
        <w:t xml:space="preserve"> with works by those who have explicit ties to Israel serves as a means of allowing </w:t>
      </w:r>
      <w:r w:rsidR="0067334B">
        <w:rPr>
          <w:lang w:val="en-GB"/>
        </w:rPr>
        <w:t>the</w:t>
      </w:r>
      <w:r w:rsidR="0067334B" w:rsidRPr="0067334B">
        <w:rPr>
          <w:lang w:val="en-GB"/>
        </w:rPr>
        <w:t xml:space="preserve"> insights</w:t>
      </w:r>
      <w:r w:rsidR="0067334B">
        <w:rPr>
          <w:lang w:val="en-GB"/>
        </w:rPr>
        <w:t xml:space="preserve"> offered within Hare’s play</w:t>
      </w:r>
      <w:r w:rsidR="0067334B" w:rsidRPr="0067334B">
        <w:rPr>
          <w:lang w:val="en-GB"/>
        </w:rPr>
        <w:t xml:space="preserve"> to be included within this section, whilst refraining from depending upon a British playwright for representations of Jewish-Israeli identity. Finally,</w:t>
      </w:r>
      <w:r w:rsidRPr="0067334B">
        <w:rPr>
          <w:lang w:val="en-GB"/>
        </w:rPr>
        <w:t xml:space="preserve"> whilst</w:t>
      </w:r>
      <w:r w:rsidRPr="0048465B">
        <w:rPr>
          <w:lang w:val="en-GB"/>
        </w:rPr>
        <w:t xml:space="preserve"> the suffering of Palestinians is felt among Arab communities across the world, the experience of that suffering </w:t>
      </w:r>
      <w:r w:rsidR="00D33A4D">
        <w:rPr>
          <w:lang w:val="en-GB"/>
        </w:rPr>
        <w:t>–</w:t>
      </w:r>
      <w:r w:rsidRPr="0048465B">
        <w:rPr>
          <w:lang w:val="en-GB"/>
        </w:rPr>
        <w:t xml:space="preserve"> </w:t>
      </w:r>
      <w:r w:rsidR="0030094A">
        <w:rPr>
          <w:lang w:val="en-GB"/>
        </w:rPr>
        <w:t>one</w:t>
      </w:r>
      <w:r w:rsidRPr="0048465B">
        <w:rPr>
          <w:lang w:val="en-GB"/>
        </w:rPr>
        <w:t xml:space="preserve"> that continues today </w:t>
      </w:r>
      <w:r w:rsidR="00D33A4D">
        <w:rPr>
          <w:lang w:val="en-GB"/>
        </w:rPr>
        <w:t>–</w:t>
      </w:r>
      <w:r w:rsidRPr="0048465B">
        <w:rPr>
          <w:lang w:val="en-GB"/>
        </w:rPr>
        <w:t xml:space="preserve"> is only truly known to </w:t>
      </w:r>
      <w:r w:rsidR="00FB05B6">
        <w:rPr>
          <w:lang w:val="en-GB"/>
        </w:rPr>
        <w:t>Palestinians</w:t>
      </w:r>
      <w:r w:rsidRPr="0048465B">
        <w:rPr>
          <w:lang w:val="en-GB"/>
        </w:rPr>
        <w:t xml:space="preserve"> who have experienced it or who are born of it. In the case of Jewish suffering, however, the locus of both Holocaust suffering and identification with </w:t>
      </w:r>
      <w:r w:rsidR="00D33A4D">
        <w:rPr>
          <w:lang w:val="en-GB"/>
        </w:rPr>
        <w:t>–</w:t>
      </w:r>
      <w:r w:rsidRPr="0048465B">
        <w:rPr>
          <w:lang w:val="en-GB"/>
        </w:rPr>
        <w:t xml:space="preserve"> or rejection of </w:t>
      </w:r>
      <w:r w:rsidR="00D33A4D">
        <w:rPr>
          <w:lang w:val="en-GB"/>
        </w:rPr>
        <w:t>–</w:t>
      </w:r>
      <w:r w:rsidRPr="0048465B">
        <w:rPr>
          <w:lang w:val="en-GB"/>
        </w:rPr>
        <w:t xml:space="preserve"> the State of Israel is not so easily pinned down. Whilst</w:t>
      </w:r>
      <w:r w:rsidR="007D1676">
        <w:rPr>
          <w:lang w:val="en-GB"/>
        </w:rPr>
        <w:t xml:space="preserve"> state-centric</w:t>
      </w:r>
      <w:r w:rsidRPr="0048465B">
        <w:rPr>
          <w:lang w:val="en-GB"/>
        </w:rPr>
        <w:t xml:space="preserve"> Zionism would identify Israel alone as the Jewish homeland, the Jewish diaspora choose to live all over the world, and post-Holocaust suffering certainly does not reside solely in Israel, a nation that only came into existence in its aftermath. </w:t>
      </w:r>
    </w:p>
    <w:p w14:paraId="69A96E12" w14:textId="77777777" w:rsidR="00FB05B6" w:rsidRDefault="00FB05B6" w:rsidP="00FC331F">
      <w:pPr>
        <w:rPr>
          <w:lang w:val="en-GB"/>
        </w:rPr>
      </w:pPr>
    </w:p>
    <w:p w14:paraId="08E7799D" w14:textId="3437C92C" w:rsidR="00FC331F" w:rsidRPr="0048465B" w:rsidRDefault="00FC331F" w:rsidP="00FC331F">
      <w:pPr>
        <w:rPr>
          <w:lang w:val="en-GB"/>
        </w:rPr>
      </w:pPr>
      <w:r w:rsidRPr="0048465B">
        <w:rPr>
          <w:lang w:val="en-GB"/>
        </w:rPr>
        <w:t>It seems fair, therefore, to include fictional investigations into the complex relationship between the Holocaust, Israel, and Palestinian persecution from a number of Jewish</w:t>
      </w:r>
      <w:r w:rsidR="0030094A">
        <w:rPr>
          <w:lang w:val="en-GB"/>
        </w:rPr>
        <w:t>-identified and other</w:t>
      </w:r>
      <w:r w:rsidRPr="0048465B">
        <w:rPr>
          <w:lang w:val="en-GB"/>
        </w:rPr>
        <w:t xml:space="preserve"> perspectives, not just those centred in Israel. That being said, the three main works explored in this section </w:t>
      </w:r>
      <w:r w:rsidR="00D33A4D">
        <w:rPr>
          <w:lang w:val="en-GB"/>
        </w:rPr>
        <w:t>–</w:t>
      </w:r>
      <w:r w:rsidRPr="0048465B">
        <w:rPr>
          <w:lang w:val="en-GB"/>
        </w:rPr>
        <w:t xml:space="preserve"> S. Yizhar’s </w:t>
      </w:r>
      <w:r w:rsidRPr="0048465B">
        <w:rPr>
          <w:i/>
          <w:lang w:val="en-GB"/>
        </w:rPr>
        <w:t>Khirbet Khizeh</w:t>
      </w:r>
      <w:r w:rsidRPr="0048465B">
        <w:rPr>
          <w:lang w:val="en-GB"/>
        </w:rPr>
        <w:t xml:space="preserve">, Noam Chayut’s </w:t>
      </w:r>
      <w:r w:rsidRPr="0048465B">
        <w:rPr>
          <w:i/>
          <w:lang w:val="en-GB"/>
        </w:rPr>
        <w:t>The Girl Who Stole My Holocaust</w:t>
      </w:r>
      <w:r w:rsidR="00FB043E">
        <w:rPr>
          <w:i/>
          <w:lang w:val="en-GB"/>
        </w:rPr>
        <w:t>: A Memoir</w:t>
      </w:r>
      <w:r w:rsidRPr="0048465B">
        <w:rPr>
          <w:lang w:val="en-GB"/>
        </w:rPr>
        <w:t xml:space="preserve">, and Ari Folman’s </w:t>
      </w:r>
      <w:r w:rsidRPr="0048465B">
        <w:rPr>
          <w:i/>
          <w:lang w:val="en-GB"/>
        </w:rPr>
        <w:t>Waltz with Bashir</w:t>
      </w:r>
      <w:r w:rsidRPr="0048465B">
        <w:rPr>
          <w:lang w:val="en-GB"/>
        </w:rPr>
        <w:t xml:space="preserve"> </w:t>
      </w:r>
      <w:r w:rsidR="00D33A4D">
        <w:rPr>
          <w:lang w:val="en-GB"/>
        </w:rPr>
        <w:t>–</w:t>
      </w:r>
      <w:r w:rsidRPr="0048465B">
        <w:rPr>
          <w:lang w:val="en-GB"/>
        </w:rPr>
        <w:t xml:space="preserve"> are all written by Israeli Jews, and thus provide not only an insight into the relationship between Jewish historical suffering and Palestinian contemporary suffering, but also into the formation of Palestinian suffering within the Israeli post-Holocaust psyche.</w:t>
      </w:r>
    </w:p>
    <w:p w14:paraId="33312253" w14:textId="77777777" w:rsidR="00FC331F" w:rsidRPr="0048465B" w:rsidRDefault="00FC331F" w:rsidP="00FC331F">
      <w:pPr>
        <w:rPr>
          <w:lang w:val="en-GB"/>
        </w:rPr>
      </w:pPr>
    </w:p>
    <w:p w14:paraId="7EFE9D05" w14:textId="73EF8F34" w:rsidR="00FC331F" w:rsidRPr="0048465B" w:rsidRDefault="00FC331F" w:rsidP="00FC331F">
      <w:pPr>
        <w:rPr>
          <w:lang w:val="en-GB"/>
        </w:rPr>
      </w:pPr>
      <w:r w:rsidRPr="0048465B">
        <w:rPr>
          <w:lang w:val="en-GB"/>
        </w:rPr>
        <w:lastRenderedPageBreak/>
        <w:t xml:space="preserve">From </w:t>
      </w:r>
      <w:r w:rsidRPr="0048465B">
        <w:rPr>
          <w:i/>
          <w:lang w:val="en-GB"/>
        </w:rPr>
        <w:t>Khirbet Khizeh</w:t>
      </w:r>
      <w:r w:rsidRPr="0048465B">
        <w:rPr>
          <w:lang w:val="en-GB"/>
        </w:rPr>
        <w:t>, set during the force</w:t>
      </w:r>
      <w:r w:rsidR="0030094A">
        <w:rPr>
          <w:lang w:val="en-GB"/>
        </w:rPr>
        <w:t>d</w:t>
      </w:r>
      <w:r w:rsidRPr="0048465B">
        <w:rPr>
          <w:lang w:val="en-GB"/>
        </w:rPr>
        <w:t xml:space="preserve"> exile of Palestinians during the 1948 Arab-Israeli war, to </w:t>
      </w:r>
      <w:r w:rsidRPr="0048465B">
        <w:rPr>
          <w:i/>
          <w:lang w:val="en-GB"/>
        </w:rPr>
        <w:t>Waltz with Bashir</w:t>
      </w:r>
      <w:r w:rsidRPr="0048465B">
        <w:rPr>
          <w:lang w:val="en-GB"/>
        </w:rPr>
        <w:t xml:space="preserve"> and its focus on Israel’s complicity in the 1982 Sabra and Shatila massacre, and on to </w:t>
      </w:r>
      <w:r w:rsidRPr="0048465B">
        <w:rPr>
          <w:i/>
          <w:lang w:val="en-GB"/>
        </w:rPr>
        <w:t>The Girl Who Stole My Holocaust</w:t>
      </w:r>
      <w:r w:rsidRPr="0048465B">
        <w:rPr>
          <w:lang w:val="en-GB"/>
        </w:rPr>
        <w:t xml:space="preserve"> and the author’s involvement in Operation Defensive Shield, these three texts chronicle some of the darkest moments of Israeli history, and in each case explore</w:t>
      </w:r>
      <w:r w:rsidR="00ED7125">
        <w:rPr>
          <w:lang w:val="en-GB"/>
        </w:rPr>
        <w:t xml:space="preserve"> some of</w:t>
      </w:r>
      <w:r w:rsidRPr="0048465B">
        <w:rPr>
          <w:lang w:val="en-GB"/>
        </w:rPr>
        <w:t xml:space="preserve"> the thoughts and emotions that lay behind these acts. Whilst </w:t>
      </w:r>
      <w:r w:rsidRPr="0048465B">
        <w:rPr>
          <w:i/>
          <w:lang w:val="en-GB"/>
        </w:rPr>
        <w:t xml:space="preserve">Khirbet Khizeh </w:t>
      </w:r>
      <w:r w:rsidRPr="0048465B">
        <w:rPr>
          <w:lang w:val="en-GB"/>
        </w:rPr>
        <w:t xml:space="preserve">is the only one of the three works that can be considered fiction, each of them has a testimonial resonance, with S. Yizhar having served in the IDF during the Arab-Israeli war, which ended the year of </w:t>
      </w:r>
      <w:r w:rsidRPr="0048465B">
        <w:rPr>
          <w:i/>
          <w:lang w:val="en-GB"/>
        </w:rPr>
        <w:t>Khirbet Khizeh</w:t>
      </w:r>
      <w:r w:rsidRPr="0048465B">
        <w:rPr>
          <w:lang w:val="en-GB"/>
        </w:rPr>
        <w:t xml:space="preserve">’s publication, and both Folman and </w:t>
      </w:r>
      <w:proofErr w:type="spellStart"/>
      <w:r w:rsidRPr="0048465B">
        <w:rPr>
          <w:lang w:val="en-GB"/>
        </w:rPr>
        <w:t>Chayut</w:t>
      </w:r>
      <w:proofErr w:type="spellEnd"/>
      <w:r w:rsidRPr="0048465B">
        <w:rPr>
          <w:lang w:val="en-GB"/>
        </w:rPr>
        <w:t xml:space="preserve"> serving during the respective tragedies explored in their works. With varying degrees of initial dormancy, each of these three texts revolves at least partially around the struggle to reconcile one’s own complicity in the persecution of Palestinians with one’s position as the cultural and ethno-religious descendant of the survivors of Jewish genocide.</w:t>
      </w:r>
    </w:p>
    <w:p w14:paraId="08DAC4FA" w14:textId="77777777" w:rsidR="00FC331F" w:rsidRPr="0048465B" w:rsidRDefault="00FC331F" w:rsidP="00FC331F">
      <w:pPr>
        <w:rPr>
          <w:lang w:val="en-GB"/>
        </w:rPr>
      </w:pPr>
    </w:p>
    <w:p w14:paraId="4BC35D8C" w14:textId="30804B27" w:rsidR="00FC331F" w:rsidRPr="0048465B" w:rsidRDefault="00FC331F" w:rsidP="00FC331F">
      <w:pPr>
        <w:rPr>
          <w:lang w:val="en-GB"/>
        </w:rPr>
      </w:pPr>
      <w:r w:rsidRPr="0048465B">
        <w:rPr>
          <w:lang w:val="en-GB"/>
        </w:rPr>
        <w:t>Before exploring these texts, it is pertinent to explore briefly the complexities of the position of</w:t>
      </w:r>
      <w:r w:rsidR="0030094A">
        <w:rPr>
          <w:lang w:val="en-GB"/>
        </w:rPr>
        <w:t xml:space="preserve"> the</w:t>
      </w:r>
      <w:r w:rsidRPr="0048465B">
        <w:rPr>
          <w:lang w:val="en-GB"/>
        </w:rPr>
        <w:t xml:space="preserve"> contemporary Israeli</w:t>
      </w:r>
      <w:r w:rsidR="00A072C4">
        <w:rPr>
          <w:lang w:val="en-GB"/>
        </w:rPr>
        <w:t>,</w:t>
      </w:r>
      <w:r w:rsidR="0030094A">
        <w:rPr>
          <w:lang w:val="en-GB"/>
        </w:rPr>
        <w:t xml:space="preserve"> both citizen of a powerful new nation</w:t>
      </w:r>
      <w:r w:rsidRPr="0048465B">
        <w:rPr>
          <w:lang w:val="en-GB"/>
        </w:rPr>
        <w:t xml:space="preserve"> and heir </w:t>
      </w:r>
      <w:r w:rsidR="0030094A">
        <w:rPr>
          <w:lang w:val="en-GB"/>
        </w:rPr>
        <w:t>to</w:t>
      </w:r>
      <w:r w:rsidRPr="0048465B">
        <w:rPr>
          <w:lang w:val="en-GB"/>
        </w:rPr>
        <w:t xml:space="preserve"> </w:t>
      </w:r>
      <w:r w:rsidR="0030094A">
        <w:rPr>
          <w:lang w:val="en-GB"/>
        </w:rPr>
        <w:t xml:space="preserve">the legacy of the </w:t>
      </w:r>
      <w:r w:rsidRPr="0048465B">
        <w:rPr>
          <w:lang w:val="en-GB"/>
        </w:rPr>
        <w:t>Holocaust, wherein a perhaps unexpected source of insight is the study of Jewish diaspora identity. The religious historian Daniel Boyarin argues that diasporic Jewishness is defined as ‘a cultural situation in which a group of people have a dual cultural allegiance’, to both the ‘cultures in the place w</w:t>
      </w:r>
      <w:r w:rsidR="00C35F8D">
        <w:rPr>
          <w:lang w:val="en-GB"/>
        </w:rPr>
        <w:t>h</w:t>
      </w:r>
      <w:r w:rsidRPr="0048465B">
        <w:rPr>
          <w:lang w:val="en-GB"/>
        </w:rPr>
        <w:t xml:space="preserve">ere they are and to a culture or cultures in another place to which they are related by etiological memory’, as well as being connected to this other place through ‘other strategies to read the past like shared values, shared religion, and so on’. Yet again, Du </w:t>
      </w:r>
      <w:proofErr w:type="spellStart"/>
      <w:r w:rsidRPr="0048465B">
        <w:rPr>
          <w:lang w:val="en-GB"/>
        </w:rPr>
        <w:t>Bois’</w:t>
      </w:r>
      <w:proofErr w:type="spellEnd"/>
      <w:r w:rsidRPr="0048465B">
        <w:rPr>
          <w:lang w:val="en-GB"/>
        </w:rPr>
        <w:t xml:space="preserve"> theory of double consciousness appears here, with Boyarin identifying diasporic identity as the</w:t>
      </w:r>
      <w:r w:rsidR="00A072C4">
        <w:rPr>
          <w:lang w:val="en-GB"/>
        </w:rPr>
        <w:t xml:space="preserve"> existence of</w:t>
      </w:r>
      <w:r w:rsidRPr="0048465B">
        <w:rPr>
          <w:lang w:val="en-GB"/>
        </w:rPr>
        <w:t xml:space="preserve"> ‘some sense of reflection that comes between me and my identity’. Whilst diasporic identity is typically </w:t>
      </w:r>
      <w:r w:rsidRPr="0048465B">
        <w:rPr>
          <w:lang w:val="en-GB"/>
        </w:rPr>
        <w:lastRenderedPageBreak/>
        <w:t>thought of as being applied primarily to those who were forced out of the Jewish homeland and into exile, Boyarin defines the exile of diaspora ‘in the sense of being displaced</w:t>
      </w:r>
      <w:r w:rsidR="000C3FB4">
        <w:rPr>
          <w:lang w:val="en-GB"/>
        </w:rPr>
        <w:t xml:space="preserve"> […] </w:t>
      </w:r>
      <w:r w:rsidRPr="0048465B">
        <w:rPr>
          <w:lang w:val="en-GB"/>
        </w:rPr>
        <w:t xml:space="preserve">we are all displaced’, before </w:t>
      </w:r>
      <w:r w:rsidR="00A072C4">
        <w:rPr>
          <w:lang w:val="en-GB"/>
        </w:rPr>
        <w:t>suggesting</w:t>
      </w:r>
      <w:r w:rsidRPr="0048465B">
        <w:rPr>
          <w:lang w:val="en-GB"/>
        </w:rPr>
        <w:t xml:space="preserve"> that this very displacement is ‘too easy to forget when you have a nation-state’.</w:t>
      </w:r>
      <w:r w:rsidRPr="0048465B">
        <w:rPr>
          <w:vertAlign w:val="superscript"/>
          <w:lang w:val="en-GB"/>
        </w:rPr>
        <w:footnoteReference w:id="319"/>
      </w:r>
      <w:r w:rsidRPr="0048465B">
        <w:rPr>
          <w:lang w:val="en-GB"/>
        </w:rPr>
        <w:t xml:space="preserve"> Th</w:t>
      </w:r>
      <w:r w:rsidR="00C35F8D">
        <w:rPr>
          <w:lang w:val="en-GB"/>
        </w:rPr>
        <w:t>e</w:t>
      </w:r>
      <w:r w:rsidRPr="0048465B">
        <w:rPr>
          <w:lang w:val="en-GB"/>
        </w:rPr>
        <w:t xml:space="preserve"> understanding of diasporic identity as that which concerns the displacement of those who were ultimately forced to relocate </w:t>
      </w:r>
      <w:r w:rsidRPr="0048465B">
        <w:rPr>
          <w:i/>
          <w:lang w:val="en-GB"/>
        </w:rPr>
        <w:t>to</w:t>
      </w:r>
      <w:r w:rsidRPr="0048465B">
        <w:rPr>
          <w:lang w:val="en-GB"/>
        </w:rPr>
        <w:t xml:space="preserve"> Israel post-Holocaust </w:t>
      </w:r>
      <w:r w:rsidR="00C35F8D">
        <w:rPr>
          <w:lang w:val="en-GB"/>
        </w:rPr>
        <w:t>–</w:t>
      </w:r>
      <w:r w:rsidRPr="0048465B">
        <w:rPr>
          <w:lang w:val="en-GB"/>
        </w:rPr>
        <w:t xml:space="preserve"> as well as those who were forced to relocate from the ancestral homeland </w:t>
      </w:r>
      <w:r w:rsidRPr="0048465B">
        <w:rPr>
          <w:i/>
          <w:lang w:val="en-GB"/>
        </w:rPr>
        <w:t>of</w:t>
      </w:r>
      <w:r w:rsidRPr="0048465B">
        <w:rPr>
          <w:lang w:val="en-GB"/>
        </w:rPr>
        <w:t xml:space="preserve"> Israel </w:t>
      </w:r>
      <w:r w:rsidR="00C35F8D">
        <w:rPr>
          <w:lang w:val="en-GB"/>
        </w:rPr>
        <w:t>–</w:t>
      </w:r>
      <w:r w:rsidRPr="0048465B">
        <w:rPr>
          <w:lang w:val="en-GB"/>
        </w:rPr>
        <w:t xml:space="preserve"> means that even those who were born and raised in Israel are likely to have a sense of diasporic identity. When twinned with Boyarin’s suggestion that the cultural affiliation behind this diasporic identity can originate in shared values and religion, we see a kind of cyclical relationship developing wherein the Holocaust’s status as that which killed so many, forced so many into exile, and galvanised migration to Israel ensures its prevalence within Israeli culture, politics, and art, and this prevalence in turn serves as a ‘shared value’ through which</w:t>
      </w:r>
      <w:r w:rsidR="00C35F8D">
        <w:rPr>
          <w:lang w:val="en-GB"/>
        </w:rPr>
        <w:t xml:space="preserve"> </w:t>
      </w:r>
      <w:r w:rsidRPr="0048465B">
        <w:rPr>
          <w:lang w:val="en-GB"/>
        </w:rPr>
        <w:t>Israeli (para-diasporic) identity is created and affirmed.</w:t>
      </w:r>
    </w:p>
    <w:p w14:paraId="20E89C94" w14:textId="77777777" w:rsidR="00FC331F" w:rsidRPr="0048465B" w:rsidRDefault="00FC331F" w:rsidP="00FC331F">
      <w:pPr>
        <w:rPr>
          <w:lang w:val="en-GB"/>
        </w:rPr>
      </w:pPr>
    </w:p>
    <w:p w14:paraId="16CB8FA4" w14:textId="35FBE8FB" w:rsidR="00FC331F" w:rsidRPr="0048465B" w:rsidRDefault="00FC331F" w:rsidP="00FC331F">
      <w:pPr>
        <w:rPr>
          <w:lang w:val="en-GB"/>
        </w:rPr>
      </w:pPr>
      <w:r w:rsidRPr="0048465B">
        <w:rPr>
          <w:lang w:val="en-GB"/>
        </w:rPr>
        <w:t>Component within this complex self-identity, comprising both historical</w:t>
      </w:r>
      <w:r w:rsidR="00A072C4">
        <w:rPr>
          <w:lang w:val="en-GB"/>
        </w:rPr>
        <w:t xml:space="preserve"> oppression</w:t>
      </w:r>
      <w:r w:rsidRPr="0048465B">
        <w:rPr>
          <w:lang w:val="en-GB"/>
        </w:rPr>
        <w:t xml:space="preserve"> and contemporary perpetration, is the Freudian concept of ‘Angstbereitschaft’, that is, ‘“anxiety-preparedness”’, ‘the attempt not to be caught napping again’.</w:t>
      </w:r>
      <w:r w:rsidRPr="0048465B">
        <w:rPr>
          <w:vertAlign w:val="superscript"/>
          <w:lang w:val="en-GB"/>
        </w:rPr>
        <w:footnoteReference w:id="320"/>
      </w:r>
      <w:r w:rsidRPr="0048465B">
        <w:rPr>
          <w:lang w:val="en-GB"/>
        </w:rPr>
        <w:t xml:space="preserve"> Even if one were to look beyond the Holocaust, the history of Jewish persecution is millennia old, and thus Jewish anxieties regarding persecution both in Israel and beyond – and indeed Jewish anxiety-preparedness – appear not only legitimate, but also, considering this very history, upsettingly rational. Yet, as much as this history of Jewish persecution complicates, and may impair, conceptions of the actions </w:t>
      </w:r>
      <w:r w:rsidRPr="0048465B">
        <w:rPr>
          <w:lang w:val="en-GB"/>
        </w:rPr>
        <w:lastRenderedPageBreak/>
        <w:t xml:space="preserve">of the other, it can also complicate understanding of self, refusing to allow the Jewish individual to exist purely in relation to that which surrounds them, instead forcing </w:t>
      </w:r>
      <w:r w:rsidR="00A072C4">
        <w:rPr>
          <w:lang w:val="en-GB"/>
        </w:rPr>
        <w:t xml:space="preserve">their </w:t>
      </w:r>
      <w:r w:rsidRPr="0048465B">
        <w:rPr>
          <w:lang w:val="en-GB"/>
        </w:rPr>
        <w:t>experience</w:t>
      </w:r>
      <w:r w:rsidR="00A072C4">
        <w:rPr>
          <w:lang w:val="en-GB"/>
        </w:rPr>
        <w:t>s</w:t>
      </w:r>
      <w:r w:rsidRPr="0048465B">
        <w:rPr>
          <w:lang w:val="en-GB"/>
        </w:rPr>
        <w:t xml:space="preserve"> to be translated through their position as heir to immense suffering, simply </w:t>
      </w:r>
      <w:r w:rsidR="00A072C4">
        <w:rPr>
          <w:lang w:val="en-GB"/>
        </w:rPr>
        <w:t>due to</w:t>
      </w:r>
      <w:r w:rsidRPr="0048465B">
        <w:rPr>
          <w:lang w:val="en-GB"/>
        </w:rPr>
        <w:t xml:space="preserve"> the contexts of their birth.</w:t>
      </w:r>
    </w:p>
    <w:p w14:paraId="1A52510F" w14:textId="77777777" w:rsidR="00FC331F" w:rsidRPr="0048465B" w:rsidRDefault="00FC331F" w:rsidP="00FC331F">
      <w:pPr>
        <w:rPr>
          <w:lang w:val="en-GB"/>
        </w:rPr>
      </w:pPr>
    </w:p>
    <w:p w14:paraId="62FC750E" w14:textId="03734065" w:rsidR="00FC331F" w:rsidRPr="0048465B" w:rsidRDefault="00A072C4" w:rsidP="00FC331F">
      <w:pPr>
        <w:rPr>
          <w:lang w:val="en-GB"/>
        </w:rPr>
      </w:pPr>
      <w:r>
        <w:rPr>
          <w:lang w:val="en-GB"/>
        </w:rPr>
        <w:t>It is this same lens</w:t>
      </w:r>
      <w:r w:rsidR="00C35F8D">
        <w:rPr>
          <w:lang w:val="en-GB"/>
        </w:rPr>
        <w:t xml:space="preserve"> –</w:t>
      </w:r>
      <w:r>
        <w:rPr>
          <w:lang w:val="en-GB"/>
        </w:rPr>
        <w:t xml:space="preserve"> that which promotes a</w:t>
      </w:r>
      <w:r w:rsidR="00010A3A">
        <w:rPr>
          <w:lang w:val="en-GB"/>
        </w:rPr>
        <w:t xml:space="preserve"> </w:t>
      </w:r>
      <w:r w:rsidR="00C35F8D">
        <w:rPr>
          <w:lang w:val="en-GB"/>
        </w:rPr>
        <w:t xml:space="preserve">relational </w:t>
      </w:r>
      <w:r w:rsidR="00010A3A">
        <w:rPr>
          <w:lang w:val="en-GB"/>
        </w:rPr>
        <w:t>Holocaust-centric</w:t>
      </w:r>
      <w:r>
        <w:rPr>
          <w:lang w:val="en-GB"/>
        </w:rPr>
        <w:t xml:space="preserve"> understanding of one’s experiences</w:t>
      </w:r>
      <w:r w:rsidR="00C35F8D">
        <w:rPr>
          <w:lang w:val="en-GB"/>
        </w:rPr>
        <w:t xml:space="preserve"> –</w:t>
      </w:r>
      <w:r w:rsidR="00010A3A">
        <w:rPr>
          <w:lang w:val="en-GB"/>
        </w:rPr>
        <w:t xml:space="preserve"> that we see in the following texts</w:t>
      </w:r>
      <w:r>
        <w:rPr>
          <w:lang w:val="en-GB"/>
        </w:rPr>
        <w:t xml:space="preserve">. </w:t>
      </w:r>
      <w:r w:rsidR="00FC331F" w:rsidRPr="0048465B">
        <w:rPr>
          <w:lang w:val="en-GB"/>
        </w:rPr>
        <w:t xml:space="preserve">At the time of </w:t>
      </w:r>
      <w:r w:rsidR="00FC331F" w:rsidRPr="0048465B">
        <w:rPr>
          <w:i/>
          <w:lang w:val="en-GB"/>
        </w:rPr>
        <w:t>Khirbet Khizeh</w:t>
      </w:r>
      <w:r w:rsidR="00FC331F" w:rsidRPr="0048465B">
        <w:rPr>
          <w:lang w:val="en-GB"/>
        </w:rPr>
        <w:t xml:space="preserve">’s publication, the </w:t>
      </w:r>
      <w:r w:rsidR="00F00ADD">
        <w:rPr>
          <w:lang w:val="en-GB"/>
        </w:rPr>
        <w:t>S</w:t>
      </w:r>
      <w:r w:rsidR="00FC331F" w:rsidRPr="0048465B">
        <w:rPr>
          <w:lang w:val="en-GB"/>
        </w:rPr>
        <w:t>tate of Israel was just a year old, the</w:t>
      </w:r>
      <w:r w:rsidR="00943B10">
        <w:rPr>
          <w:lang w:val="en-GB"/>
        </w:rPr>
        <w:t xml:space="preserve"> Second World War</w:t>
      </w:r>
      <w:r w:rsidR="00FC331F" w:rsidRPr="0048465B">
        <w:rPr>
          <w:lang w:val="en-GB"/>
        </w:rPr>
        <w:t xml:space="preserve"> </w:t>
      </w:r>
      <w:r w:rsidR="00943B10">
        <w:rPr>
          <w:lang w:val="en-GB"/>
        </w:rPr>
        <w:t>h</w:t>
      </w:r>
      <w:r w:rsidR="00FC331F" w:rsidRPr="0048465B">
        <w:rPr>
          <w:lang w:val="en-GB"/>
        </w:rPr>
        <w:t xml:space="preserve">ad ended just four years earlier, and Jewish identity, as signified by Ben-Gurion’s statements in the preceding chapter, was defined by many as one of victimhood, as well as survival. </w:t>
      </w:r>
      <w:r w:rsidR="00662782" w:rsidRPr="0048465B">
        <w:rPr>
          <w:lang w:val="en-GB"/>
        </w:rPr>
        <w:t>Seventy-two</w:t>
      </w:r>
      <w:r w:rsidR="00FC331F" w:rsidRPr="0048465B">
        <w:rPr>
          <w:lang w:val="en-GB"/>
        </w:rPr>
        <w:t xml:space="preserve"> years later, in the present day, the legacy of the Holocaust remains globally influential, and antisemitism undoubtedly remains. Similarly, associations of Jewishness with both victimhood and survival remain. However, they are now complicated even further by the existence of a national identity that counterbalances these identifications of extreme victimhood with ones of </w:t>
      </w:r>
      <w:r w:rsidR="00DB48DC">
        <w:rPr>
          <w:lang w:val="en-GB"/>
        </w:rPr>
        <w:t>occupation</w:t>
      </w:r>
      <w:r w:rsidR="00010A3A">
        <w:rPr>
          <w:lang w:val="en-GB"/>
        </w:rPr>
        <w:t xml:space="preserve"> and </w:t>
      </w:r>
      <w:r w:rsidR="00DB48DC">
        <w:rPr>
          <w:lang w:val="en-GB"/>
        </w:rPr>
        <w:t>hostility</w:t>
      </w:r>
      <w:r w:rsidR="00FC331F" w:rsidRPr="0048465B">
        <w:rPr>
          <w:lang w:val="en-GB"/>
        </w:rPr>
        <w:t xml:space="preserve">. This delicate position, chronologically and/or geographically distanced from the Holocaust, culturally and genealogically connected to it, </w:t>
      </w:r>
      <w:r w:rsidR="00943B10">
        <w:rPr>
          <w:lang w:val="en-GB"/>
        </w:rPr>
        <w:t>yet</w:t>
      </w:r>
      <w:r w:rsidR="00FC331F" w:rsidRPr="0048465B">
        <w:rPr>
          <w:lang w:val="en-GB"/>
        </w:rPr>
        <w:t xml:space="preserve"> </w:t>
      </w:r>
      <w:r w:rsidR="00943B10">
        <w:rPr>
          <w:lang w:val="en-GB"/>
        </w:rPr>
        <w:t xml:space="preserve">also </w:t>
      </w:r>
      <w:r w:rsidR="00FC331F" w:rsidRPr="0048465B">
        <w:rPr>
          <w:lang w:val="en-GB"/>
        </w:rPr>
        <w:t>complicit in human rights abuses, is embodied in each of the protagonists of the three main texts.</w:t>
      </w:r>
    </w:p>
    <w:p w14:paraId="0A23744E" w14:textId="77777777" w:rsidR="00FC331F" w:rsidRPr="0048465B" w:rsidRDefault="00FC331F" w:rsidP="00FC331F">
      <w:pPr>
        <w:rPr>
          <w:lang w:val="en-GB"/>
        </w:rPr>
      </w:pPr>
    </w:p>
    <w:p w14:paraId="0D317C20" w14:textId="44CFDB34" w:rsidR="00FC331F" w:rsidRPr="0048465B" w:rsidRDefault="00FC331F" w:rsidP="00FC331F">
      <w:pPr>
        <w:rPr>
          <w:lang w:val="en-GB"/>
        </w:rPr>
      </w:pPr>
      <w:r w:rsidRPr="0048465B">
        <w:rPr>
          <w:lang w:val="en-GB"/>
        </w:rPr>
        <w:t xml:space="preserve">This complex </w:t>
      </w:r>
      <w:r w:rsidR="00010A3A">
        <w:rPr>
          <w:lang w:val="en-GB"/>
        </w:rPr>
        <w:t>viewpoint</w:t>
      </w:r>
      <w:r w:rsidRPr="0048465B">
        <w:rPr>
          <w:lang w:val="en-GB"/>
        </w:rPr>
        <w:t xml:space="preserve"> is a core feature of </w:t>
      </w:r>
      <w:r w:rsidRPr="0048465B">
        <w:rPr>
          <w:i/>
          <w:lang w:val="en-GB"/>
        </w:rPr>
        <w:t>Khirbet Khizeh</w:t>
      </w:r>
      <w:r w:rsidRPr="00010A3A">
        <w:rPr>
          <w:iCs/>
          <w:lang w:val="en-GB"/>
        </w:rPr>
        <w:t>.</w:t>
      </w:r>
      <w:r w:rsidR="00010A3A" w:rsidRPr="0048465B">
        <w:rPr>
          <w:vertAlign w:val="superscript"/>
          <w:lang w:val="en-GB"/>
        </w:rPr>
        <w:footnoteReference w:id="321"/>
      </w:r>
      <w:r w:rsidRPr="00010A3A">
        <w:rPr>
          <w:lang w:val="en-GB"/>
        </w:rPr>
        <w:t xml:space="preserve"> </w:t>
      </w:r>
      <w:r w:rsidRPr="0048465B">
        <w:rPr>
          <w:lang w:val="en-GB"/>
        </w:rPr>
        <w:t xml:space="preserve">Described by Shira Stav as ‘the first expression of </w:t>
      </w:r>
      <w:proofErr w:type="spellStart"/>
      <w:r w:rsidRPr="0048465B">
        <w:rPr>
          <w:lang w:val="en-GB"/>
        </w:rPr>
        <w:t>th</w:t>
      </w:r>
      <w:proofErr w:type="spellEnd"/>
      <w:r w:rsidRPr="0048465B">
        <w:rPr>
          <w:lang w:val="en-GB"/>
        </w:rPr>
        <w:t>[e] analogy</w:t>
      </w:r>
      <w:r w:rsidR="000C3FB4">
        <w:rPr>
          <w:lang w:val="en-GB"/>
        </w:rPr>
        <w:t xml:space="preserve"> […] </w:t>
      </w:r>
      <w:r w:rsidRPr="0048465B">
        <w:rPr>
          <w:lang w:val="en-GB"/>
        </w:rPr>
        <w:t>between the Jewish and Arab refugee experiences and, implicitly, between the Holocaust and the Nakba’,</w:t>
      </w:r>
      <w:r w:rsidRPr="0048465B">
        <w:rPr>
          <w:vertAlign w:val="superscript"/>
          <w:lang w:val="en-GB"/>
        </w:rPr>
        <w:footnoteReference w:id="322"/>
      </w:r>
      <w:r w:rsidRPr="0048465B">
        <w:rPr>
          <w:lang w:val="en-GB"/>
        </w:rPr>
        <w:t xml:space="preserve"> Yizhar’s novella follows a small group of </w:t>
      </w:r>
      <w:r w:rsidRPr="0048465B">
        <w:rPr>
          <w:lang w:val="en-GB"/>
        </w:rPr>
        <w:lastRenderedPageBreak/>
        <w:t xml:space="preserve">Israeli soldiers as they expel the inhabitants of the eponymous fictional Palestinian village, Khirbet </w:t>
      </w:r>
      <w:r w:rsidR="00662782" w:rsidRPr="0048465B">
        <w:rPr>
          <w:lang w:val="en-GB"/>
        </w:rPr>
        <w:t>Khizeh</w:t>
      </w:r>
      <w:r w:rsidRPr="0048465B">
        <w:rPr>
          <w:lang w:val="en-GB"/>
        </w:rPr>
        <w:t>. Whilst never mentioned explicitly, traces of the Holocaust are evident throughout the narrative, particularly in the culturally inherited memories represented in the conflict within the mind of Yizhar’s protagonist, who wishes he ‘knew how to say what was inside’ him.</w:t>
      </w:r>
      <w:r w:rsidRPr="0048465B">
        <w:rPr>
          <w:vertAlign w:val="superscript"/>
          <w:lang w:val="en-GB"/>
        </w:rPr>
        <w:footnoteReference w:id="323"/>
      </w:r>
    </w:p>
    <w:p w14:paraId="3E739C69" w14:textId="77777777" w:rsidR="00FC331F" w:rsidRPr="0048465B" w:rsidRDefault="00FC331F" w:rsidP="00FC331F">
      <w:pPr>
        <w:rPr>
          <w:lang w:val="en-GB"/>
        </w:rPr>
      </w:pPr>
    </w:p>
    <w:p w14:paraId="7444383D" w14:textId="21A11B63" w:rsidR="00FC331F" w:rsidRPr="0048465B" w:rsidRDefault="00FC331F" w:rsidP="00FC331F">
      <w:pPr>
        <w:rPr>
          <w:lang w:val="en-GB"/>
        </w:rPr>
      </w:pPr>
      <w:r w:rsidRPr="0048465B">
        <w:rPr>
          <w:lang w:val="en-GB"/>
        </w:rPr>
        <w:t xml:space="preserve">The psychological division between the memory of the Holocaust and the subsequent enaction of Palestinian exile is perhaps most </w:t>
      </w:r>
      <w:r w:rsidR="00DB48DC">
        <w:rPr>
          <w:lang w:val="en-GB"/>
        </w:rPr>
        <w:t>clear</w:t>
      </w:r>
      <w:r w:rsidRPr="0048465B">
        <w:rPr>
          <w:lang w:val="en-GB"/>
        </w:rPr>
        <w:t xml:space="preserve"> in these internal ponderings. When walking through a village, the protagonist feels it transform from ‘nothing more than a heap of wretched hovels’, to a place bursting with the ‘song of things whose soul had left them; a song of human deeds that had returned to their raw state and gone wild’, where ‘terrifying fear screamed from there, and flashed, here and there, like a flash of revenge’. Yet whilst Yizhar’s protagonist is able to imagine this pain, able to see the devastated Palestinian village for what it once was, he questions the reason that these feelings occur. He wonders why it is that these feelings materialise ‘[a]s though [he] were actually to blame for anything here?’,</w:t>
      </w:r>
      <w:r w:rsidRPr="0048465B">
        <w:rPr>
          <w:vertAlign w:val="superscript"/>
          <w:lang w:val="en-GB"/>
        </w:rPr>
        <w:footnoteReference w:id="324"/>
      </w:r>
      <w:r w:rsidRPr="0048465B">
        <w:rPr>
          <w:lang w:val="en-GB"/>
        </w:rPr>
        <w:t xml:space="preserve"> seemingly unable to see the connection between his guilt and his involvement in the destruction in which he </w:t>
      </w:r>
      <w:r w:rsidR="00943B10">
        <w:rPr>
          <w:lang w:val="en-GB"/>
        </w:rPr>
        <w:t>takes part</w:t>
      </w:r>
      <w:r w:rsidRPr="0048465B">
        <w:rPr>
          <w:lang w:val="en-GB"/>
        </w:rPr>
        <w:t>.</w:t>
      </w:r>
    </w:p>
    <w:p w14:paraId="782E8307" w14:textId="77777777" w:rsidR="00FC331F" w:rsidRPr="0048465B" w:rsidRDefault="00FC331F" w:rsidP="00FC331F">
      <w:pPr>
        <w:rPr>
          <w:lang w:val="en-GB"/>
        </w:rPr>
      </w:pPr>
    </w:p>
    <w:p w14:paraId="2B65A1F3" w14:textId="75193108" w:rsidR="00FC331F" w:rsidRPr="0048465B" w:rsidRDefault="00FC331F" w:rsidP="00FC331F">
      <w:pPr>
        <w:rPr>
          <w:lang w:val="en-GB"/>
        </w:rPr>
      </w:pPr>
      <w:r w:rsidRPr="0048465B">
        <w:rPr>
          <w:lang w:val="en-GB"/>
        </w:rPr>
        <w:t>Yizhar portrays the Holocaust here as a kind of invisible yet ubiquitous presence, connected but beyond conscious connection, clinging to his protagonist like ‘shadows of things whose death yesterday was still unimaginable’, these shadows forming a ‘question that posed itself of its own accord, or a kind of aside, that must be said, something about something that was not this, like this but not it’.</w:t>
      </w:r>
      <w:r w:rsidRPr="0048465B">
        <w:rPr>
          <w:vertAlign w:val="superscript"/>
          <w:lang w:val="en-GB"/>
        </w:rPr>
        <w:footnoteReference w:id="325"/>
      </w:r>
      <w:r w:rsidRPr="0048465B">
        <w:rPr>
          <w:lang w:val="en-GB"/>
        </w:rPr>
        <w:t xml:space="preserve"> Here, the protagonist’s implicit awareness of the Holocaust, and his repression of </w:t>
      </w:r>
      <w:r w:rsidRPr="0048465B">
        <w:rPr>
          <w:lang w:val="en-GB"/>
        </w:rPr>
        <w:lastRenderedPageBreak/>
        <w:t>this trauma, inhibits his ability to see the suffering that he is causing in the present, an involuntary incapacity that continues until shortly after the protagonist assists in the forcible evacuation of Palestinian civilians. As he does so, he sees ‘the weeping of a helpless child’, and states that he and his fellow soldiers ‘could also see how something was happening in the heart of the boy, something that, when he grew up, could only become a viper inside him’.</w:t>
      </w:r>
      <w:r w:rsidRPr="0048465B">
        <w:rPr>
          <w:vertAlign w:val="superscript"/>
          <w:lang w:val="en-GB"/>
        </w:rPr>
        <w:footnoteReference w:id="326"/>
      </w:r>
      <w:r w:rsidRPr="0048465B">
        <w:rPr>
          <w:lang w:val="en-GB"/>
        </w:rPr>
        <w:t xml:space="preserve"> This child’s pain triggers what the protagonist describes as ‘tremors running through me</w:t>
      </w:r>
      <w:r w:rsidR="000C3FB4">
        <w:rPr>
          <w:lang w:val="en-GB"/>
        </w:rPr>
        <w:t xml:space="preserve"> […] </w:t>
      </w:r>
      <w:r w:rsidRPr="0048465B">
        <w:rPr>
          <w:lang w:val="en-GB"/>
        </w:rPr>
        <w:t>an echo of the feet of other exiles, dim, distant, almost mythical, but wrathful’.</w:t>
      </w:r>
      <w:r w:rsidRPr="0048465B">
        <w:rPr>
          <w:vertAlign w:val="superscript"/>
          <w:lang w:val="en-GB"/>
        </w:rPr>
        <w:footnoteReference w:id="327"/>
      </w:r>
      <w:r w:rsidRPr="0048465B">
        <w:rPr>
          <w:lang w:val="en-GB"/>
        </w:rPr>
        <w:t xml:space="preserve"> Yizhar’s use of the words ‘tremors’, and ‘echo’ evokes the indirect and imprecise, yet traceable, nature of memory, the enduring influence of the Holocaust, in this case, not confined to the years in which it occurred, but reverberating across time thereafter. Moreover, Yizhar’s description of these reverberations as ‘almost mythical’, in addition to indicating </w:t>
      </w:r>
      <w:r w:rsidR="00010A3A">
        <w:rPr>
          <w:lang w:val="en-GB"/>
        </w:rPr>
        <w:t>a nearly</w:t>
      </w:r>
      <w:r w:rsidRPr="0048465B">
        <w:rPr>
          <w:lang w:val="en-GB"/>
        </w:rPr>
        <w:t xml:space="preserve"> biblical importance, accentuates the exceptional status ascribed to the Holocaust that complicates its place in Middle Eastern politics, a position of exceptionalism illustrated by Tossavainen, amongst others, who describes the Holocaust as existing ‘outside, or above, history’.</w:t>
      </w:r>
      <w:r w:rsidRPr="0048465B">
        <w:rPr>
          <w:vertAlign w:val="superscript"/>
          <w:lang w:val="en-GB"/>
        </w:rPr>
        <w:footnoteReference w:id="328"/>
      </w:r>
    </w:p>
    <w:p w14:paraId="7502AB3C" w14:textId="77777777" w:rsidR="00FC331F" w:rsidRPr="0048465B" w:rsidRDefault="00FC331F" w:rsidP="00FC331F">
      <w:pPr>
        <w:rPr>
          <w:lang w:val="en-GB"/>
        </w:rPr>
      </w:pPr>
    </w:p>
    <w:p w14:paraId="02701356" w14:textId="2942DEA3" w:rsidR="00FC331F" w:rsidRPr="0048465B" w:rsidRDefault="00FC331F" w:rsidP="00FC331F">
      <w:pPr>
        <w:rPr>
          <w:lang w:val="en-GB"/>
        </w:rPr>
      </w:pPr>
      <w:r w:rsidRPr="0048465B">
        <w:rPr>
          <w:lang w:val="en-GB"/>
        </w:rPr>
        <w:t>These realisations all combine into that which Stav describes as ‘the breakdown of the moral order inherited from the fathers, which established the “I” as a part of a national collective gathered around an ideological vision’.</w:t>
      </w:r>
      <w:r w:rsidRPr="0048465B">
        <w:rPr>
          <w:vertAlign w:val="superscript"/>
          <w:lang w:val="en-GB"/>
        </w:rPr>
        <w:footnoteReference w:id="329"/>
      </w:r>
      <w:r w:rsidRPr="0048465B">
        <w:rPr>
          <w:lang w:val="en-GB"/>
        </w:rPr>
        <w:t xml:space="preserve"> Simply put, this breakdown is between the inherited understanding of the Israeli post-Holocaust self as moral victim </w:t>
      </w:r>
      <w:r w:rsidR="006A07D7">
        <w:rPr>
          <w:lang w:val="en-GB"/>
        </w:rPr>
        <w:t>–</w:t>
      </w:r>
      <w:r w:rsidRPr="0048465B">
        <w:rPr>
          <w:lang w:val="en-GB"/>
        </w:rPr>
        <w:t xml:space="preserve"> ‘“No one, anywhere in the world, can preach morality to our people,” Begin declared in the Knesset’</w:t>
      </w:r>
      <w:r w:rsidRPr="0048465B">
        <w:rPr>
          <w:vertAlign w:val="superscript"/>
          <w:lang w:val="en-GB"/>
        </w:rPr>
        <w:footnoteReference w:id="330"/>
      </w:r>
      <w:r w:rsidRPr="0048465B">
        <w:rPr>
          <w:lang w:val="en-GB"/>
        </w:rPr>
        <w:t xml:space="preserve"> </w:t>
      </w:r>
      <w:r w:rsidR="006A07D7">
        <w:rPr>
          <w:lang w:val="en-GB"/>
        </w:rPr>
        <w:t>–</w:t>
      </w:r>
      <w:r w:rsidRPr="0048465B">
        <w:rPr>
          <w:lang w:val="en-GB"/>
        </w:rPr>
        <w:t xml:space="preserve"> and the reality of the self </w:t>
      </w:r>
      <w:r w:rsidRPr="0048465B">
        <w:rPr>
          <w:lang w:val="en-GB"/>
        </w:rPr>
        <w:lastRenderedPageBreak/>
        <w:t xml:space="preserve">in this precise moment as aggressor operating beyond moral norms. The protagonist’s realisation of this disintegration, stylised by Yizhar as being struck by something ‘like lightning’, is made particularly clear through </w:t>
      </w:r>
      <w:r w:rsidR="00507E54">
        <w:rPr>
          <w:lang w:val="en-GB"/>
        </w:rPr>
        <w:t>his</w:t>
      </w:r>
      <w:r w:rsidR="00507E54" w:rsidRPr="0048465B">
        <w:rPr>
          <w:lang w:val="en-GB"/>
        </w:rPr>
        <w:t xml:space="preserve"> </w:t>
      </w:r>
      <w:r w:rsidRPr="0048465B">
        <w:rPr>
          <w:lang w:val="en-GB"/>
        </w:rPr>
        <w:t>subtle introduction of two separate, but similar exiles. Whilst continuing to refrain from mentioning either the Holocaust or the Nakba by name, Yizhar writes, ‘All at once everything seemed to mean something different, more precisely</w:t>
      </w:r>
      <w:r w:rsidR="008F554C">
        <w:rPr>
          <w:lang w:val="en-GB"/>
        </w:rPr>
        <w:t>:</w:t>
      </w:r>
      <w:r w:rsidRPr="0048465B">
        <w:rPr>
          <w:lang w:val="en-GB"/>
        </w:rPr>
        <w:t xml:space="preserve"> exile. This was exile. This was what exile was like. This was what exile looked like’. Multiple realisations occur in this single sentence. Firstly ‘</w:t>
      </w:r>
      <w:r w:rsidRPr="0048465B">
        <w:rPr>
          <w:i/>
          <w:lang w:val="en-GB"/>
        </w:rPr>
        <w:t>This</w:t>
      </w:r>
      <w:r w:rsidRPr="0048465B">
        <w:rPr>
          <w:lang w:val="en-GB"/>
        </w:rPr>
        <w:t xml:space="preserve"> was exile’, when twinned with the subsequent ‘people had spoken to me, told me, taught me, and repeatedly recited to me, from every direction, in books and newspapers, everywhere: exile’,</w:t>
      </w:r>
      <w:r w:rsidRPr="0048465B">
        <w:rPr>
          <w:vertAlign w:val="superscript"/>
          <w:lang w:val="en-GB"/>
        </w:rPr>
        <w:footnoteReference w:id="331"/>
      </w:r>
      <w:r w:rsidRPr="0048465B">
        <w:rPr>
          <w:lang w:val="en-GB"/>
        </w:rPr>
        <w:t xml:space="preserve"> suggests the transformation of exile from culturally inherited and instilled concept </w:t>
      </w:r>
      <w:r w:rsidR="006A07D7">
        <w:rPr>
          <w:lang w:val="en-GB"/>
        </w:rPr>
        <w:t>–</w:t>
      </w:r>
      <w:r w:rsidRPr="0048465B">
        <w:rPr>
          <w:lang w:val="en-GB"/>
        </w:rPr>
        <w:t xml:space="preserve"> both in relation to biblical exile of Israelites from the Kingdom of Israel, and in relation to Jews forced into exile by Nazi persecution in Europe </w:t>
      </w:r>
      <w:r w:rsidR="006A07D7">
        <w:rPr>
          <w:lang w:val="en-GB"/>
        </w:rPr>
        <w:t>–</w:t>
      </w:r>
      <w:r w:rsidRPr="0048465B">
        <w:rPr>
          <w:lang w:val="en-GB"/>
        </w:rPr>
        <w:t xml:space="preserve"> to witnessed reality. Secondly, ‘This was what exile </w:t>
      </w:r>
      <w:r w:rsidRPr="0048465B">
        <w:rPr>
          <w:i/>
          <w:lang w:val="en-GB"/>
        </w:rPr>
        <w:t>was</w:t>
      </w:r>
      <w:r w:rsidRPr="0048465B">
        <w:rPr>
          <w:lang w:val="en-GB"/>
        </w:rPr>
        <w:t xml:space="preserve"> like’, implies another realisation, a deeper understanding of what Jewish exile represented, and continued to represent, both biblically and for those who had told him about it, a new, personal connection to the exile of those who suffered antisemitic persecution during the Holocaust and before, as well as a connection of that very exile to ‘This’ exile the protagonist witnesses before him. Finally, ‘This was what exile </w:t>
      </w:r>
      <w:r w:rsidRPr="0048465B">
        <w:rPr>
          <w:i/>
          <w:lang w:val="en-GB"/>
        </w:rPr>
        <w:t>looked</w:t>
      </w:r>
      <w:r w:rsidRPr="0048465B">
        <w:rPr>
          <w:lang w:val="en-GB"/>
        </w:rPr>
        <w:t xml:space="preserve"> like’, brings both the protagonist and the reader back to the present, as the protagonist comprehends the literal and inescapable exile that is occurring before his eyes, and in which he is complicit. Here, Yizhar’s emphasis on the visual </w:t>
      </w:r>
      <w:r w:rsidR="006A07D7">
        <w:rPr>
          <w:lang w:val="en-GB"/>
        </w:rPr>
        <w:t>–</w:t>
      </w:r>
      <w:r w:rsidRPr="0048465B">
        <w:rPr>
          <w:lang w:val="en-GB"/>
        </w:rPr>
        <w:t xml:space="preserve"> that what the protagonist sees is what exile ‘looked’ rather than ‘felt’ like </w:t>
      </w:r>
      <w:r w:rsidR="006A07D7">
        <w:rPr>
          <w:lang w:val="en-GB"/>
        </w:rPr>
        <w:t>–</w:t>
      </w:r>
      <w:r w:rsidRPr="0048465B">
        <w:rPr>
          <w:lang w:val="en-GB"/>
        </w:rPr>
        <w:t xml:space="preserve"> situates the protagonist outside looking in. In doing so, Yizhar emphasises the complexity of the protagonist’s realisation, that even in the moment that he is able to subjectively comprehend the true meaning of exile, he is positioned outside of this exile as the person enforcing it, </w:t>
      </w:r>
      <w:r w:rsidRPr="0048465B">
        <w:rPr>
          <w:lang w:val="en-GB"/>
        </w:rPr>
        <w:lastRenderedPageBreak/>
        <w:t>simultaneously unable to truly comprehend the feelings of those he displaces, and yet in possession of a feeling of disturbing intimacy to these same people.</w:t>
      </w:r>
    </w:p>
    <w:p w14:paraId="20A28B82" w14:textId="77777777" w:rsidR="00FC331F" w:rsidRPr="0048465B" w:rsidRDefault="00FC331F" w:rsidP="00FC331F">
      <w:pPr>
        <w:rPr>
          <w:lang w:val="en-GB"/>
        </w:rPr>
      </w:pPr>
    </w:p>
    <w:p w14:paraId="16CEB5BA" w14:textId="0F105555" w:rsidR="00FC331F" w:rsidRPr="0048465B" w:rsidRDefault="00FC331F" w:rsidP="00FC331F">
      <w:pPr>
        <w:rPr>
          <w:lang w:val="en-GB"/>
        </w:rPr>
      </w:pPr>
      <w:r w:rsidRPr="0048465B">
        <w:rPr>
          <w:lang w:val="en-GB"/>
        </w:rPr>
        <w:t xml:space="preserve">Yizhar emphasises this sudden awareness of involvement, and of the protagonist's subconscious perception of himself in the other, through an outpouring of </w:t>
      </w:r>
      <w:r w:rsidR="00662782" w:rsidRPr="0048465B">
        <w:rPr>
          <w:lang w:val="en-GB"/>
        </w:rPr>
        <w:t>first-person</w:t>
      </w:r>
      <w:r w:rsidRPr="0048465B">
        <w:rPr>
          <w:lang w:val="en-GB"/>
        </w:rPr>
        <w:t xml:space="preserve"> singular pronouns. The protagonist, suddenly alone and separated from the ‘“I” as a part of a national collective’, </w:t>
      </w:r>
      <w:r w:rsidR="002211E7">
        <w:rPr>
          <w:lang w:val="en-GB"/>
        </w:rPr>
        <w:t>struggles to confidently locate himself,</w:t>
      </w:r>
      <w:r w:rsidRPr="0048465B">
        <w:rPr>
          <w:lang w:val="en-GB"/>
        </w:rPr>
        <w:t xml:space="preserve"> ‘I couldn’t stay where I was</w:t>
      </w:r>
      <w:r w:rsidR="000C3FB4">
        <w:rPr>
          <w:lang w:val="en-GB"/>
        </w:rPr>
        <w:t xml:space="preserve"> […] </w:t>
      </w:r>
      <w:r w:rsidRPr="0048465B">
        <w:rPr>
          <w:lang w:val="en-GB"/>
        </w:rPr>
        <w:t>I went</w:t>
      </w:r>
      <w:r w:rsidR="000C3FB4">
        <w:rPr>
          <w:lang w:val="en-GB"/>
        </w:rPr>
        <w:t xml:space="preserve"> […] </w:t>
      </w:r>
      <w:r w:rsidRPr="0048465B">
        <w:rPr>
          <w:lang w:val="en-GB"/>
        </w:rPr>
        <w:t>I hastily skirted</w:t>
      </w:r>
      <w:r w:rsidR="000C3FB4">
        <w:rPr>
          <w:lang w:val="en-GB"/>
        </w:rPr>
        <w:t xml:space="preserve"> […] </w:t>
      </w:r>
      <w:r w:rsidRPr="0048465B">
        <w:rPr>
          <w:lang w:val="en-GB"/>
        </w:rPr>
        <w:t>I went</w:t>
      </w:r>
      <w:r w:rsidR="000C3FB4">
        <w:rPr>
          <w:lang w:val="en-GB"/>
        </w:rPr>
        <w:t xml:space="preserve"> […] </w:t>
      </w:r>
      <w:r w:rsidRPr="0048465B">
        <w:rPr>
          <w:lang w:val="en-GB"/>
        </w:rPr>
        <w:t>inside me</w:t>
      </w:r>
      <w:r w:rsidR="000C3FB4">
        <w:rPr>
          <w:lang w:val="en-GB"/>
        </w:rPr>
        <w:t xml:space="preserve"> […] </w:t>
      </w:r>
      <w:r w:rsidRPr="0048465B">
        <w:rPr>
          <w:lang w:val="en-GB"/>
        </w:rPr>
        <w:t>I had never</w:t>
      </w:r>
      <w:r w:rsidR="000C3FB4">
        <w:rPr>
          <w:lang w:val="en-GB"/>
        </w:rPr>
        <w:t xml:space="preserve"> […] </w:t>
      </w:r>
      <w:r w:rsidRPr="0048465B">
        <w:rPr>
          <w:lang w:val="en-GB"/>
        </w:rPr>
        <w:t>I said to myself</w:t>
      </w:r>
      <w:r w:rsidR="000C3FB4">
        <w:rPr>
          <w:lang w:val="en-GB"/>
        </w:rPr>
        <w:t xml:space="preserve"> […] </w:t>
      </w:r>
      <w:r w:rsidRPr="0048465B">
        <w:rPr>
          <w:lang w:val="en-GB"/>
        </w:rPr>
        <w:t xml:space="preserve">I had never known’, as well as the aforementioned ‘spoken to me, told me, taught me, and repeatedly recited to me’. Moreover, in alignment with Stav’s assertion that the moral order was ‘inherited from the fathers’, Yizhar’s protagonist exemplifies the inescapability of the inheritance of Jewish </w:t>
      </w:r>
      <w:r w:rsidR="00943B10">
        <w:rPr>
          <w:lang w:val="en-GB"/>
        </w:rPr>
        <w:t>history</w:t>
      </w:r>
      <w:r w:rsidRPr="0048465B">
        <w:rPr>
          <w:lang w:val="en-GB"/>
        </w:rPr>
        <w:t xml:space="preserve"> when he states that, ‘[</w:t>
      </w:r>
      <w:proofErr w:type="spellStart"/>
      <w:r w:rsidRPr="0048465B">
        <w:rPr>
          <w:lang w:val="en-GB"/>
        </w:rPr>
        <w:t>i</w:t>
      </w:r>
      <w:proofErr w:type="spellEnd"/>
      <w:r w:rsidRPr="0048465B">
        <w:rPr>
          <w:lang w:val="en-GB"/>
        </w:rPr>
        <w:t>]t [exile] had entered me, apparently, with my mother’s milk’.</w:t>
      </w:r>
      <w:r w:rsidRPr="0048465B">
        <w:rPr>
          <w:vertAlign w:val="superscript"/>
          <w:lang w:val="en-GB"/>
        </w:rPr>
        <w:footnoteReference w:id="332"/>
      </w:r>
      <w:r w:rsidRPr="0048465B">
        <w:rPr>
          <w:lang w:val="en-GB"/>
        </w:rPr>
        <w:t xml:space="preserve"> This exilic inheritance, and its incompatibility with the actions demanded of the protagonist by the IDF, makes him feel ‘destructive, heretical’ and like he ‘want[s] to rebel’,</w:t>
      </w:r>
      <w:r w:rsidRPr="0048465B">
        <w:rPr>
          <w:vertAlign w:val="superscript"/>
          <w:lang w:val="en-GB"/>
        </w:rPr>
        <w:footnoteReference w:id="333"/>
      </w:r>
      <w:r w:rsidRPr="0048465B">
        <w:rPr>
          <w:lang w:val="en-GB"/>
        </w:rPr>
        <w:t xml:space="preserve"> but these emotions are ultimately routinely shut down by his fellow soldiers, and thus remain largely unspoken as the transports full of Palestinian civilians move away.</w:t>
      </w:r>
    </w:p>
    <w:p w14:paraId="131E4D3B" w14:textId="77777777" w:rsidR="00FC331F" w:rsidRPr="0048465B" w:rsidRDefault="00FC331F" w:rsidP="00FC331F">
      <w:pPr>
        <w:rPr>
          <w:lang w:val="en-GB"/>
        </w:rPr>
      </w:pPr>
    </w:p>
    <w:p w14:paraId="0C858DCE" w14:textId="05A337B8" w:rsidR="00FC331F" w:rsidRPr="0048465B" w:rsidRDefault="00FC331F" w:rsidP="00FC331F">
      <w:pPr>
        <w:tabs>
          <w:tab w:val="left" w:pos="720"/>
          <w:tab w:val="left" w:pos="3926"/>
        </w:tabs>
        <w:rPr>
          <w:lang w:val="en-GB"/>
        </w:rPr>
      </w:pPr>
      <w:r w:rsidRPr="0048465B">
        <w:rPr>
          <w:lang w:val="en-GB"/>
        </w:rPr>
        <w:t xml:space="preserve">The ability to acknowledge that the Holocaust occurred, whilst giving credence to the Nakba as a separate traumatic experience, is exclusive to </w:t>
      </w:r>
      <w:r w:rsidRPr="0048465B">
        <w:rPr>
          <w:i/>
          <w:lang w:val="en-GB"/>
        </w:rPr>
        <w:t>Khirbet Khizeh</w:t>
      </w:r>
      <w:r w:rsidR="002211E7">
        <w:rPr>
          <w:iCs/>
          <w:lang w:val="en-GB"/>
        </w:rPr>
        <w:t>’s protagonist</w:t>
      </w:r>
      <w:r w:rsidRPr="0048465B">
        <w:rPr>
          <w:lang w:val="en-GB"/>
        </w:rPr>
        <w:t xml:space="preserve">. The majority of his fellow soldiers fail </w:t>
      </w:r>
      <w:r w:rsidR="002211E7">
        <w:rPr>
          <w:lang w:val="en-GB"/>
        </w:rPr>
        <w:t xml:space="preserve">to </w:t>
      </w:r>
      <w:r w:rsidRPr="0048465B">
        <w:rPr>
          <w:lang w:val="en-GB"/>
        </w:rPr>
        <w:t>either show sympathy for the Palestinians they displace, or to see them as human. Rather, despite the destructive actions that they undertake, they see themselves as the victims of Palestinian or Arab aggression. ‘“Imagine if he’d been a Jew and we’d been Arabs</w:t>
      </w:r>
      <w:r w:rsidR="000C3FB4">
        <w:rPr>
          <w:lang w:val="en-GB"/>
        </w:rPr>
        <w:t xml:space="preserve"> […] </w:t>
      </w:r>
      <w:r w:rsidRPr="0048465B">
        <w:rPr>
          <w:lang w:val="en-GB"/>
        </w:rPr>
        <w:lastRenderedPageBreak/>
        <w:t>[Arabs would] have slaughtered him just like that”’, says one with ‘a viper’s hiss’,</w:t>
      </w:r>
      <w:r w:rsidRPr="0048465B">
        <w:rPr>
          <w:vertAlign w:val="superscript"/>
          <w:lang w:val="en-GB"/>
        </w:rPr>
        <w:footnoteReference w:id="334"/>
      </w:r>
      <w:r w:rsidRPr="0048465B">
        <w:rPr>
          <w:lang w:val="en-GB"/>
        </w:rPr>
        <w:t xml:space="preserve"> a foreshadowing of the viper that their actions awaken in the young boy. ‘“Nobody asked them to start these wars and things</w:t>
      </w:r>
      <w:r w:rsidR="000C3FB4">
        <w:rPr>
          <w:lang w:val="en-GB"/>
        </w:rPr>
        <w:t xml:space="preserve"> […] </w:t>
      </w:r>
      <w:r w:rsidRPr="0048465B">
        <w:rPr>
          <w:lang w:val="en-GB"/>
        </w:rPr>
        <w:t>Too much of our own blood has been spilled because of them!”’</w:t>
      </w:r>
      <w:r w:rsidRPr="0048465B">
        <w:rPr>
          <w:vertAlign w:val="superscript"/>
          <w:lang w:val="en-GB"/>
        </w:rPr>
        <w:footnoteReference w:id="335"/>
      </w:r>
      <w:r w:rsidRPr="0048465B">
        <w:rPr>
          <w:lang w:val="en-GB"/>
        </w:rPr>
        <w:t xml:space="preserve"> says another in a historically simplistic outpouring of emotion.</w:t>
      </w:r>
    </w:p>
    <w:p w14:paraId="7A9DC23E" w14:textId="77777777" w:rsidR="00FC331F" w:rsidRPr="0048465B" w:rsidRDefault="00FC331F" w:rsidP="00FC331F">
      <w:pPr>
        <w:tabs>
          <w:tab w:val="left" w:pos="720"/>
          <w:tab w:val="left" w:pos="3926"/>
        </w:tabs>
        <w:rPr>
          <w:lang w:val="en-GB"/>
        </w:rPr>
      </w:pPr>
    </w:p>
    <w:p w14:paraId="1131BD63" w14:textId="619D4AE9" w:rsidR="00FC331F" w:rsidRPr="0048465B" w:rsidRDefault="00FC331F" w:rsidP="00FC331F">
      <w:pPr>
        <w:tabs>
          <w:tab w:val="left" w:pos="720"/>
          <w:tab w:val="left" w:pos="3926"/>
        </w:tabs>
        <w:rPr>
          <w:lang w:val="en-GB"/>
        </w:rPr>
      </w:pPr>
      <w:r w:rsidRPr="0048465B">
        <w:rPr>
          <w:lang w:val="en-GB"/>
        </w:rPr>
        <w:t xml:space="preserve">Yet whilst these soldiers’ exclamations clearly </w:t>
      </w:r>
      <w:r w:rsidR="00943B10">
        <w:rPr>
          <w:lang w:val="en-GB"/>
        </w:rPr>
        <w:t>deny</w:t>
      </w:r>
      <w:r w:rsidRPr="0048465B">
        <w:rPr>
          <w:lang w:val="en-GB"/>
        </w:rPr>
        <w:t xml:space="preserve"> Israeli responsibility for the Nakba, statements such as these, both at the time of Yizhar’s novella and today, are often </w:t>
      </w:r>
      <w:r w:rsidR="00341534">
        <w:rPr>
          <w:lang w:val="en-GB"/>
        </w:rPr>
        <w:t>the product of</w:t>
      </w:r>
      <w:r w:rsidRPr="0048465B">
        <w:rPr>
          <w:lang w:val="en-GB"/>
        </w:rPr>
        <w:t xml:space="preserve"> intense fears of persecution. David Hare’s </w:t>
      </w:r>
      <w:r w:rsidRPr="0048465B">
        <w:rPr>
          <w:i/>
          <w:lang w:val="en-GB"/>
        </w:rPr>
        <w:t>Via Dolorosa</w:t>
      </w:r>
      <w:r w:rsidRPr="0048465B">
        <w:rPr>
          <w:lang w:val="en-GB"/>
        </w:rPr>
        <w:t xml:space="preserve">, a </w:t>
      </w:r>
      <w:r w:rsidR="00B515C6">
        <w:rPr>
          <w:lang w:val="en-GB"/>
        </w:rPr>
        <w:t xml:space="preserve">stylised </w:t>
      </w:r>
      <w:r w:rsidR="00943B10">
        <w:rPr>
          <w:lang w:val="en-GB"/>
        </w:rPr>
        <w:t>monologue</w:t>
      </w:r>
      <w:r w:rsidR="00B515C6">
        <w:rPr>
          <w:lang w:val="en-GB"/>
        </w:rPr>
        <w:t xml:space="preserve"> described by Hare as a work ‘ideally</w:t>
      </w:r>
      <w:r w:rsidR="000C3FB4">
        <w:rPr>
          <w:lang w:val="en-GB"/>
        </w:rPr>
        <w:t xml:space="preserve"> […] </w:t>
      </w:r>
      <w:r w:rsidR="00B515C6">
        <w:rPr>
          <w:lang w:val="en-GB"/>
        </w:rPr>
        <w:t>performed by its author’,</w:t>
      </w:r>
      <w:r w:rsidR="00943B10">
        <w:rPr>
          <w:rStyle w:val="CommentReference"/>
        </w:rPr>
        <w:t xml:space="preserve"> </w:t>
      </w:r>
      <w:r w:rsidR="00DE456B">
        <w:rPr>
          <w:lang w:val="en-GB"/>
        </w:rPr>
        <w:t>follows</w:t>
      </w:r>
      <w:r w:rsidR="00943B10">
        <w:rPr>
          <w:lang w:val="en-GB"/>
        </w:rPr>
        <w:t xml:space="preserve"> Hare’s</w:t>
      </w:r>
      <w:r w:rsidRPr="0048465B">
        <w:rPr>
          <w:lang w:val="en-GB"/>
        </w:rPr>
        <w:t xml:space="preserve"> 1997 travels through Israel and Palestine</w:t>
      </w:r>
      <w:r w:rsidR="00B515C6">
        <w:rPr>
          <w:lang w:val="en-GB"/>
        </w:rPr>
        <w:t xml:space="preserve"> and</w:t>
      </w:r>
      <w:r w:rsidRPr="0048465B">
        <w:rPr>
          <w:lang w:val="en-GB"/>
        </w:rPr>
        <w:t xml:space="preserve"> describes both the acute fear of persecution that many Israelis feel, as well as the co-existing Israeli frustration at such unconditional characterisations of Jewishness as synonymous with victimhood.</w:t>
      </w:r>
    </w:p>
    <w:p w14:paraId="3C3B31FE" w14:textId="77777777" w:rsidR="00FC331F" w:rsidRPr="0048465B" w:rsidRDefault="00FC331F" w:rsidP="00FC331F">
      <w:pPr>
        <w:tabs>
          <w:tab w:val="left" w:pos="720"/>
          <w:tab w:val="left" w:pos="3926"/>
        </w:tabs>
        <w:rPr>
          <w:lang w:val="en-GB"/>
        </w:rPr>
      </w:pPr>
    </w:p>
    <w:p w14:paraId="45F9AB80" w14:textId="5F2DA313" w:rsidR="00FC331F" w:rsidRPr="0048465B" w:rsidRDefault="00FC331F" w:rsidP="00FC331F">
      <w:pPr>
        <w:tabs>
          <w:tab w:val="left" w:pos="720"/>
          <w:tab w:val="left" w:pos="3926"/>
        </w:tabs>
        <w:rPr>
          <w:lang w:val="en-GB"/>
        </w:rPr>
      </w:pPr>
      <w:r w:rsidRPr="0048465B">
        <w:rPr>
          <w:lang w:val="en-GB"/>
        </w:rPr>
        <w:t xml:space="preserve">The latter of these is represented in </w:t>
      </w:r>
      <w:r w:rsidRPr="0048465B">
        <w:rPr>
          <w:i/>
          <w:lang w:val="en-GB"/>
        </w:rPr>
        <w:t>Via Dolorosa</w:t>
      </w:r>
      <w:r w:rsidRPr="0048465B">
        <w:rPr>
          <w:lang w:val="en-GB"/>
        </w:rPr>
        <w:t xml:space="preserve"> through former Minister for Education of Israel, Shulamit </w:t>
      </w:r>
      <w:proofErr w:type="spellStart"/>
      <w:r w:rsidRPr="0048465B">
        <w:rPr>
          <w:lang w:val="en-GB"/>
        </w:rPr>
        <w:t>Aloni</w:t>
      </w:r>
      <w:proofErr w:type="spellEnd"/>
      <w:r w:rsidRPr="0048465B">
        <w:rPr>
          <w:lang w:val="en-GB"/>
        </w:rPr>
        <w:t>, who tells Hare, ‘“The Jews were once victims, so now we are brainwashed to believe we will always be victims and victims can do no wrong</w:t>
      </w:r>
      <w:r w:rsidR="000C3FB4">
        <w:rPr>
          <w:lang w:val="en-GB"/>
        </w:rPr>
        <w:t xml:space="preserve"> […] </w:t>
      </w:r>
      <w:r w:rsidRPr="0048465B">
        <w:rPr>
          <w:lang w:val="en-GB"/>
        </w:rPr>
        <w:t>We’re told all the time the Palestinians want to throw us into the sea</w:t>
      </w:r>
      <w:r w:rsidR="000C3FB4">
        <w:rPr>
          <w:lang w:val="en-GB"/>
        </w:rPr>
        <w:t xml:space="preserve"> […] </w:t>
      </w:r>
      <w:r w:rsidRPr="0048465B">
        <w:rPr>
          <w:lang w:val="en-GB"/>
        </w:rPr>
        <w:t>It’s just manipulating people’s fears”’.</w:t>
      </w:r>
      <w:r w:rsidRPr="0048465B">
        <w:rPr>
          <w:vertAlign w:val="superscript"/>
          <w:lang w:val="en-GB"/>
        </w:rPr>
        <w:footnoteReference w:id="336"/>
      </w:r>
      <w:r w:rsidRPr="0048465B">
        <w:rPr>
          <w:lang w:val="en-GB"/>
        </w:rPr>
        <w:t xml:space="preserve"> Achcar observes a similar integration of victim</w:t>
      </w:r>
      <w:r w:rsidR="00341534">
        <w:rPr>
          <w:lang w:val="en-GB"/>
        </w:rPr>
        <w:t>hood into Israeli</w:t>
      </w:r>
      <w:r w:rsidRPr="0048465B">
        <w:rPr>
          <w:lang w:val="en-GB"/>
        </w:rPr>
        <w:t xml:space="preserve"> identity in the comments of the Israeli author, former Member of the Knesset and chairman of the Jewish Agency for Israel, Avraham Burg, who states</w:t>
      </w:r>
      <w:r w:rsidR="00831820">
        <w:rPr>
          <w:lang w:val="en-GB"/>
        </w:rPr>
        <w:t>,</w:t>
      </w:r>
      <w:r w:rsidRPr="0048465B">
        <w:rPr>
          <w:lang w:val="en-GB"/>
        </w:rPr>
        <w:t xml:space="preserve"> ‘every killing is a murder, every murder a pogrom, every terror attack an anti-Semitic act and every new enemy a Hitler</w:t>
      </w:r>
      <w:r w:rsidR="000C3FB4">
        <w:rPr>
          <w:lang w:val="en-GB"/>
        </w:rPr>
        <w:t xml:space="preserve"> […] </w:t>
      </w:r>
      <w:r w:rsidRPr="0048465B">
        <w:rPr>
          <w:lang w:val="en-GB"/>
        </w:rPr>
        <w:t>By feeling so threatened by shadows that will attack us at dawn, we have become a nation of attackers’.</w:t>
      </w:r>
      <w:r w:rsidRPr="0048465B">
        <w:rPr>
          <w:vertAlign w:val="superscript"/>
          <w:lang w:val="en-GB"/>
        </w:rPr>
        <w:footnoteReference w:id="337"/>
      </w:r>
      <w:r w:rsidRPr="0048465B">
        <w:rPr>
          <w:lang w:val="en-GB"/>
        </w:rPr>
        <w:t xml:space="preserve"> Whilst both of these assessments are certainly </w:t>
      </w:r>
      <w:r w:rsidRPr="0048465B">
        <w:rPr>
          <w:lang w:val="en-GB"/>
        </w:rPr>
        <w:lastRenderedPageBreak/>
        <w:t>accurate with regard to some Israeli and non-Israeli Jews, it should be made clear not only that such views are not exclusive in Israel, but that, regardless of Israeli identification with victimhood, Jews have of course been subject to extreme persecution. As Robert S. Wistrich elaborates, the residual sense of victimhood that some Israeli Jews harbour lies not only in the Holocaust itself, but in the ‘continuity of persecution in [Jewish] history, from the Egyptian slavery</w:t>
      </w:r>
      <w:r w:rsidR="000C3FB4">
        <w:rPr>
          <w:lang w:val="en-GB"/>
        </w:rPr>
        <w:t xml:space="preserve"> […] </w:t>
      </w:r>
      <w:r w:rsidRPr="0048465B">
        <w:rPr>
          <w:lang w:val="en-GB"/>
        </w:rPr>
        <w:t xml:space="preserve">to Roman times, from the Crusades through the Reformation to the </w:t>
      </w:r>
      <w:proofErr w:type="spellStart"/>
      <w:r w:rsidRPr="0048465B">
        <w:rPr>
          <w:lang w:val="en-GB"/>
        </w:rPr>
        <w:t>Chemelnicki</w:t>
      </w:r>
      <w:proofErr w:type="spellEnd"/>
      <w:r w:rsidRPr="0048465B">
        <w:rPr>
          <w:lang w:val="en-GB"/>
        </w:rPr>
        <w:t xml:space="preserve"> massacres</w:t>
      </w:r>
      <w:r w:rsidRPr="0048465B">
        <w:rPr>
          <w:vertAlign w:val="superscript"/>
          <w:lang w:val="en-GB"/>
        </w:rPr>
        <w:footnoteReference w:id="338"/>
      </w:r>
      <w:r w:rsidRPr="0048465B">
        <w:rPr>
          <w:lang w:val="en-GB"/>
        </w:rPr>
        <w:t xml:space="preserve"> followed by the Russian/Ukrainian pogroms of 1881, 1903, 1905, and 1918-20’, before eventually ‘climaxing in the Nazi Holocaust’.</w:t>
      </w:r>
      <w:r w:rsidRPr="0048465B">
        <w:rPr>
          <w:vertAlign w:val="superscript"/>
          <w:lang w:val="en-GB"/>
        </w:rPr>
        <w:footnoteReference w:id="339"/>
      </w:r>
      <w:r w:rsidRPr="0048465B">
        <w:rPr>
          <w:lang w:val="en-GB"/>
        </w:rPr>
        <w:t xml:space="preserve"> It is this continuous history of human rights abuses, oppression, and persecution that led in part to the establishment of the Israeli state, and, for many, justifies the aggression that the Israeli state defines as self-defence. Antisemitic persecution prior to and during the Holocaust was so extensive that historical antisemitism, and the antisemitism of the Holocaust in particular, has come to function as ‘a central axis of Israeli consciousness’,</w:t>
      </w:r>
      <w:r w:rsidRPr="0048465B">
        <w:rPr>
          <w:vertAlign w:val="superscript"/>
          <w:lang w:val="en-GB"/>
        </w:rPr>
        <w:footnoteReference w:id="340"/>
      </w:r>
      <w:r w:rsidRPr="0048465B">
        <w:rPr>
          <w:lang w:val="en-GB"/>
        </w:rPr>
        <w:t xml:space="preserve"> where its ‘memorialization has served to unite Jews pursuing very different ideological agendas, whether they are of the Right or Left, religious or secular, Zionist or non-Zionist’, so much so that it has come to represent a ‘“civic religion”’,</w:t>
      </w:r>
      <w:r w:rsidR="00341534" w:rsidRPr="00341534">
        <w:rPr>
          <w:vertAlign w:val="superscript"/>
          <w:lang w:val="en-GB"/>
        </w:rPr>
        <w:t xml:space="preserve"> </w:t>
      </w:r>
      <w:r w:rsidRPr="0048465B">
        <w:rPr>
          <w:lang w:val="en-GB"/>
        </w:rPr>
        <w:t>isolated from Judaism itself.</w:t>
      </w:r>
      <w:r w:rsidR="00341534" w:rsidRPr="0048465B">
        <w:rPr>
          <w:vertAlign w:val="superscript"/>
          <w:lang w:val="en-GB"/>
        </w:rPr>
        <w:footnoteReference w:id="341"/>
      </w:r>
    </w:p>
    <w:p w14:paraId="16351941" w14:textId="77777777" w:rsidR="00FC331F" w:rsidRPr="0048465B" w:rsidRDefault="00FC331F" w:rsidP="00FC331F">
      <w:pPr>
        <w:tabs>
          <w:tab w:val="left" w:pos="720"/>
          <w:tab w:val="left" w:pos="3926"/>
        </w:tabs>
        <w:rPr>
          <w:lang w:val="en-GB"/>
        </w:rPr>
      </w:pPr>
    </w:p>
    <w:p w14:paraId="0E169E98" w14:textId="01B52DFA" w:rsidR="00FC331F" w:rsidRPr="0048465B" w:rsidRDefault="00FC331F" w:rsidP="00FC331F">
      <w:pPr>
        <w:tabs>
          <w:tab w:val="left" w:pos="720"/>
          <w:tab w:val="left" w:pos="3926"/>
        </w:tabs>
        <w:rPr>
          <w:lang w:val="en-GB"/>
        </w:rPr>
      </w:pPr>
      <w:r w:rsidRPr="0048465B">
        <w:rPr>
          <w:lang w:val="en-GB"/>
        </w:rPr>
        <w:t xml:space="preserve">This civic religion born of historical antisemitism is clearly </w:t>
      </w:r>
      <w:r w:rsidR="00DE456B">
        <w:rPr>
          <w:lang w:val="en-GB"/>
        </w:rPr>
        <w:t>visible</w:t>
      </w:r>
      <w:r w:rsidRPr="0048465B">
        <w:rPr>
          <w:lang w:val="en-GB"/>
        </w:rPr>
        <w:t xml:space="preserve"> in</w:t>
      </w:r>
      <w:r w:rsidR="00941274">
        <w:rPr>
          <w:lang w:val="en-GB"/>
        </w:rPr>
        <w:t xml:space="preserve"> Hare’s play in</w:t>
      </w:r>
      <w:r w:rsidRPr="0048465B">
        <w:rPr>
          <w:lang w:val="en-GB"/>
        </w:rPr>
        <w:t xml:space="preserve"> the words of ‘Sarah’, a woman Hare stays with in a settlement in the </w:t>
      </w:r>
      <w:r w:rsidR="008A3ECC">
        <w:rPr>
          <w:lang w:val="en-GB"/>
        </w:rPr>
        <w:t>O</w:t>
      </w:r>
      <w:r w:rsidRPr="0048465B">
        <w:rPr>
          <w:lang w:val="en-GB"/>
        </w:rPr>
        <w:t xml:space="preserve">ccupied </w:t>
      </w:r>
      <w:r w:rsidR="008A3ECC">
        <w:rPr>
          <w:lang w:val="en-GB"/>
        </w:rPr>
        <w:t>T</w:t>
      </w:r>
      <w:r w:rsidRPr="0048465B">
        <w:rPr>
          <w:lang w:val="en-GB"/>
        </w:rPr>
        <w:t xml:space="preserve">erritories. As they walk down Via Dolorosa, purportedly the path that Jesus walked on the way to crucifixion, Sarah tells Hare, </w:t>
      </w:r>
      <w:r w:rsidRPr="0048465B">
        <w:rPr>
          <w:lang w:val="en-GB"/>
        </w:rPr>
        <w:lastRenderedPageBreak/>
        <w:t>‘“unless we stay here we have no chance at all. I’m not just talking about the Holocaust. At every point in Jewish history you will find that whenever they thought there was a moment of safety, persecution started again”’.</w:t>
      </w:r>
      <w:r w:rsidRPr="0048465B">
        <w:rPr>
          <w:vertAlign w:val="superscript"/>
          <w:lang w:val="en-GB"/>
        </w:rPr>
        <w:footnoteReference w:id="342"/>
      </w:r>
      <w:r w:rsidRPr="0048465B">
        <w:rPr>
          <w:lang w:val="en-GB"/>
        </w:rPr>
        <w:t xml:space="preserve"> Sarah further indicates the isolation that some Jews feel, ‘“it’s us and no one else”’ she says. Upon Hare’s request for Sarah to expand upon the ‘“distrust”’ she references when looking towards an Arab village, she tells him, ‘“[a]t bottom, I think they want to kill us”’.</w:t>
      </w:r>
      <w:r w:rsidRPr="0048465B">
        <w:rPr>
          <w:vertAlign w:val="superscript"/>
          <w:lang w:val="en-GB"/>
        </w:rPr>
        <w:footnoteReference w:id="343"/>
      </w:r>
      <w:r w:rsidRPr="0048465B">
        <w:rPr>
          <w:lang w:val="en-GB"/>
        </w:rPr>
        <w:t xml:space="preserve"> Th</w:t>
      </w:r>
      <w:r w:rsidR="00DE456B">
        <w:rPr>
          <w:lang w:val="en-GB"/>
        </w:rPr>
        <w:t>ese</w:t>
      </w:r>
      <w:r w:rsidRPr="0048465B">
        <w:rPr>
          <w:lang w:val="en-GB"/>
        </w:rPr>
        <w:t xml:space="preserve"> same </w:t>
      </w:r>
      <w:r w:rsidR="00DE456B">
        <w:rPr>
          <w:lang w:val="en-GB"/>
        </w:rPr>
        <w:t>feelings of victimhood and persecution</w:t>
      </w:r>
      <w:r w:rsidRPr="0048465B">
        <w:rPr>
          <w:lang w:val="en-GB"/>
        </w:rPr>
        <w:t xml:space="preserve"> </w:t>
      </w:r>
      <w:r w:rsidR="00DE456B">
        <w:rPr>
          <w:lang w:val="en-GB"/>
        </w:rPr>
        <w:t>are</w:t>
      </w:r>
      <w:r w:rsidRPr="0048465B">
        <w:rPr>
          <w:lang w:val="en-GB"/>
        </w:rPr>
        <w:t xml:space="preserve"> found in a paper written by</w:t>
      </w:r>
      <w:r w:rsidR="00CD41F5">
        <w:rPr>
          <w:lang w:val="en-GB"/>
        </w:rPr>
        <w:t xml:space="preserve"> political scientist</w:t>
      </w:r>
      <w:r w:rsidRPr="0048465B">
        <w:rPr>
          <w:lang w:val="en-GB"/>
        </w:rPr>
        <w:t xml:space="preserve"> Jasmin Habib. The paper details what Habib describes as ‘Diasporic Encounters’ in and around Holocaust memorials in Israel, and </w:t>
      </w:r>
      <w:r w:rsidR="00B515C6">
        <w:rPr>
          <w:lang w:val="en-GB"/>
        </w:rPr>
        <w:t>contains</w:t>
      </w:r>
      <w:r w:rsidRPr="0048465B">
        <w:rPr>
          <w:lang w:val="en-GB"/>
        </w:rPr>
        <w:t xml:space="preserve"> </w:t>
      </w:r>
      <w:r w:rsidR="00B515C6">
        <w:rPr>
          <w:lang w:val="en-GB"/>
        </w:rPr>
        <w:t>both</w:t>
      </w:r>
      <w:r w:rsidRPr="0048465B">
        <w:rPr>
          <w:lang w:val="en-GB"/>
        </w:rPr>
        <w:t xml:space="preserve"> the verbatim text of the diaspora Jews</w:t>
      </w:r>
      <w:r w:rsidR="00341534">
        <w:rPr>
          <w:lang w:val="en-GB"/>
        </w:rPr>
        <w:t xml:space="preserve"> that</w:t>
      </w:r>
      <w:r w:rsidRPr="0048465B">
        <w:rPr>
          <w:lang w:val="en-GB"/>
        </w:rPr>
        <w:t xml:space="preserve"> </w:t>
      </w:r>
      <w:r w:rsidR="00B515C6">
        <w:rPr>
          <w:lang w:val="en-GB"/>
        </w:rPr>
        <w:t>Habib</w:t>
      </w:r>
      <w:r w:rsidRPr="0048465B">
        <w:rPr>
          <w:lang w:val="en-GB"/>
        </w:rPr>
        <w:t xml:space="preserve"> interviews</w:t>
      </w:r>
      <w:r w:rsidR="00CD41F5">
        <w:rPr>
          <w:lang w:val="en-GB"/>
        </w:rPr>
        <w:t xml:space="preserve">, </w:t>
      </w:r>
      <w:r w:rsidR="00F24E1C">
        <w:rPr>
          <w:lang w:val="en-GB"/>
        </w:rPr>
        <w:t>as well as her own</w:t>
      </w:r>
      <w:r w:rsidR="00CD41F5">
        <w:rPr>
          <w:lang w:val="en-GB"/>
        </w:rPr>
        <w:t xml:space="preserve"> analysis of these interviews</w:t>
      </w:r>
      <w:r w:rsidRPr="0048465B">
        <w:rPr>
          <w:lang w:val="en-GB"/>
        </w:rPr>
        <w:t>. One such individual, Educator Jeremy, tells Habib of his anger after a visit to Yad Vashem, expressing his belief that ‘regardless of what he reads and what he hears about the period, it all comes down to one thing: the Jews have always been hated and will always be hated’.</w:t>
      </w:r>
      <w:r w:rsidRPr="0048465B">
        <w:rPr>
          <w:vertAlign w:val="superscript"/>
          <w:lang w:val="en-GB"/>
        </w:rPr>
        <w:footnoteReference w:id="344"/>
      </w:r>
      <w:r w:rsidRPr="0048465B">
        <w:rPr>
          <w:lang w:val="en-GB"/>
        </w:rPr>
        <w:t xml:space="preserve"> Habib writes that ‘[f]or Jeremy, Yad Vashem teaches that Jerusalem is a place that the Jews must never give up. It secures their survival and is their only place of refuge’.</w:t>
      </w:r>
      <w:r w:rsidRPr="0048465B">
        <w:rPr>
          <w:vertAlign w:val="superscript"/>
          <w:lang w:val="en-GB"/>
        </w:rPr>
        <w:footnoteReference w:id="345"/>
      </w:r>
      <w:r w:rsidRPr="0048465B">
        <w:rPr>
          <w:lang w:val="en-GB"/>
        </w:rPr>
        <w:t xml:space="preserve"> The same sentiment is offered yet again in another account, with a different woman called Sarah, who asks, ‘“what if there wasn’t an Israel</w:t>
      </w:r>
      <w:r w:rsidR="000C3FB4">
        <w:rPr>
          <w:lang w:val="en-GB"/>
        </w:rPr>
        <w:t xml:space="preserve"> […] </w:t>
      </w:r>
      <w:r w:rsidRPr="0048465B">
        <w:rPr>
          <w:lang w:val="en-GB"/>
        </w:rPr>
        <w:t>and another Hitler rears its ugly head</w:t>
      </w:r>
      <w:r w:rsidR="000C3FB4">
        <w:rPr>
          <w:lang w:val="en-GB"/>
        </w:rPr>
        <w:t xml:space="preserve"> […] </w:t>
      </w:r>
      <w:r w:rsidRPr="0048465B">
        <w:rPr>
          <w:lang w:val="en-GB"/>
        </w:rPr>
        <w:t>where would we all run to?</w:t>
      </w:r>
      <w:r w:rsidR="000C3FB4">
        <w:rPr>
          <w:lang w:val="en-GB"/>
        </w:rPr>
        <w:t xml:space="preserve"> […] </w:t>
      </w:r>
      <w:r w:rsidRPr="0048465B">
        <w:rPr>
          <w:lang w:val="en-GB"/>
        </w:rPr>
        <w:t>It’s very easy for another Hitler to come to be”’.</w:t>
      </w:r>
      <w:r w:rsidRPr="0048465B">
        <w:rPr>
          <w:vertAlign w:val="superscript"/>
          <w:lang w:val="en-GB"/>
        </w:rPr>
        <w:footnoteReference w:id="346"/>
      </w:r>
      <w:r w:rsidRPr="0048465B">
        <w:rPr>
          <w:lang w:val="en-GB"/>
        </w:rPr>
        <w:t xml:space="preserve"> Habib concludes, ‘[f]or Sarah, Holocaust history teaches that the Jews will always be in danger, and any trusting relationships with non-Jews are difficult for her to </w:t>
      </w:r>
      <w:r w:rsidRPr="0048465B">
        <w:rPr>
          <w:lang w:val="en-GB"/>
        </w:rPr>
        <w:lastRenderedPageBreak/>
        <w:t>imagine’,</w:t>
      </w:r>
      <w:r w:rsidRPr="0048465B">
        <w:rPr>
          <w:vertAlign w:val="superscript"/>
          <w:lang w:val="en-GB"/>
        </w:rPr>
        <w:footnoteReference w:id="347"/>
      </w:r>
      <w:r w:rsidRPr="0048465B">
        <w:rPr>
          <w:lang w:val="en-GB"/>
        </w:rPr>
        <w:t xml:space="preserve"> suggesting that, for Sarah and those like her, Jewishness is an ethno-religious subject position of impending victimhood first, and everything else thereafter.</w:t>
      </w:r>
    </w:p>
    <w:p w14:paraId="14CEE7BE" w14:textId="77777777" w:rsidR="00FC331F" w:rsidRPr="0048465B" w:rsidRDefault="00FC331F" w:rsidP="00FC331F">
      <w:pPr>
        <w:tabs>
          <w:tab w:val="left" w:pos="720"/>
          <w:tab w:val="left" w:pos="3926"/>
        </w:tabs>
        <w:rPr>
          <w:lang w:val="en-GB"/>
        </w:rPr>
      </w:pPr>
    </w:p>
    <w:p w14:paraId="609D122D" w14:textId="77777777" w:rsidR="00FC331F" w:rsidRPr="0048465B" w:rsidRDefault="00FC331F" w:rsidP="00FC331F">
      <w:pPr>
        <w:tabs>
          <w:tab w:val="left" w:pos="720"/>
          <w:tab w:val="left" w:pos="3926"/>
        </w:tabs>
        <w:rPr>
          <w:lang w:val="en-GB"/>
        </w:rPr>
      </w:pPr>
      <w:r w:rsidRPr="0048465B">
        <w:rPr>
          <w:lang w:val="en-GB"/>
        </w:rPr>
        <w:t>This subject position demonstrates, in simple terms, an imbalance regarding the paradox of modern politico-historical Israeli identity and existence. Described by Wistrich as being both ‘a nation of victorious conquerors and heirs of a people who have barely survived a Holocaust’, Israel is typified on the one hand by ‘domination over Palestinians since 1967’ and before, and on the other by the death of six million Jews, and ‘being surrounded by [in Wistrich’s un-nuanced and essentialist words] implacable Arab enemies’.</w:t>
      </w:r>
      <w:r w:rsidRPr="0048465B">
        <w:rPr>
          <w:vertAlign w:val="superscript"/>
          <w:lang w:val="en-GB"/>
        </w:rPr>
        <w:footnoteReference w:id="348"/>
      </w:r>
      <w:r w:rsidRPr="0048465B">
        <w:rPr>
          <w:lang w:val="en-GB"/>
        </w:rPr>
        <w:t xml:space="preserve"> In </w:t>
      </w:r>
      <w:r w:rsidRPr="0048465B">
        <w:rPr>
          <w:i/>
          <w:lang w:val="en-GB"/>
        </w:rPr>
        <w:t>Via Dolorosa</w:t>
      </w:r>
      <w:r w:rsidRPr="0048465B">
        <w:rPr>
          <w:lang w:val="en-GB"/>
        </w:rPr>
        <w:t>, Israeli author David Grossman identifies this paradox as the ‘less soluble’</w:t>
      </w:r>
      <w:r w:rsidRPr="0048465B">
        <w:rPr>
          <w:vertAlign w:val="superscript"/>
          <w:lang w:val="en-GB"/>
        </w:rPr>
        <w:footnoteReference w:id="349"/>
      </w:r>
      <w:r w:rsidRPr="0048465B">
        <w:rPr>
          <w:lang w:val="en-GB"/>
        </w:rPr>
        <w:t xml:space="preserve"> moral question behind the Israeli-Palestinian conflict. As he puts it: ‘“how does a majority which itself has been historically unloved now deal fairly with an unloved Palestinian minority in their own midst?”’</w:t>
      </w:r>
      <w:r w:rsidRPr="0048465B">
        <w:rPr>
          <w:vertAlign w:val="superscript"/>
          <w:lang w:val="en-GB"/>
        </w:rPr>
        <w:footnoteReference w:id="350"/>
      </w:r>
      <w:r w:rsidRPr="0048465B">
        <w:rPr>
          <w:lang w:val="en-GB"/>
        </w:rPr>
        <w:t xml:space="preserve"> </w:t>
      </w:r>
    </w:p>
    <w:p w14:paraId="04CF445C" w14:textId="77777777" w:rsidR="00FC331F" w:rsidRPr="0048465B" w:rsidRDefault="00FC331F" w:rsidP="00FC331F">
      <w:pPr>
        <w:tabs>
          <w:tab w:val="left" w:pos="720"/>
          <w:tab w:val="left" w:pos="3926"/>
        </w:tabs>
        <w:rPr>
          <w:lang w:val="en-GB"/>
        </w:rPr>
      </w:pPr>
    </w:p>
    <w:p w14:paraId="1E7E2224" w14:textId="1EB17FED" w:rsidR="00FC331F" w:rsidRPr="0048465B" w:rsidRDefault="00FC331F" w:rsidP="00FC331F">
      <w:pPr>
        <w:tabs>
          <w:tab w:val="left" w:pos="720"/>
          <w:tab w:val="left" w:pos="3926"/>
        </w:tabs>
        <w:rPr>
          <w:lang w:val="en-GB"/>
        </w:rPr>
      </w:pPr>
      <w:r w:rsidRPr="0048465B">
        <w:rPr>
          <w:lang w:val="en-GB"/>
        </w:rPr>
        <w:t>Another of Habib’s interviewees, Sarah’s husband Warren, is fully aware of the oppression that Jews have been subjected to, but sees the exceptionalism associated with antisemitism and the idea of a Jewish ‘“homeland”’ as something that hinders his freedom, rather than that which strengthens it. ‘“Anti-Semitism is just one form of racism”’, he argues, ‘“my concern is that for certain people Israel means something that is more restrictive tha</w:t>
      </w:r>
      <w:r w:rsidR="00ED7125">
        <w:rPr>
          <w:lang w:val="en-GB"/>
        </w:rPr>
        <w:t>n</w:t>
      </w:r>
      <w:r w:rsidRPr="0048465B">
        <w:rPr>
          <w:lang w:val="en-GB"/>
        </w:rPr>
        <w:t xml:space="preserve"> I would like it to be”’, ‘“[t]he idea that we belong, the world is our oyster, it’s ours, [this idea] it’s for everybody. Not just for Jews”’.</w:t>
      </w:r>
      <w:r w:rsidRPr="0048465B">
        <w:rPr>
          <w:vertAlign w:val="superscript"/>
          <w:lang w:val="en-GB"/>
        </w:rPr>
        <w:footnoteReference w:id="351"/>
      </w:r>
      <w:r w:rsidRPr="0048465B">
        <w:rPr>
          <w:lang w:val="en-GB"/>
        </w:rPr>
        <w:t xml:space="preserve"> Here, primarily through his situating of antisemitism within a broader spectrum of racism more </w:t>
      </w:r>
      <w:r w:rsidRPr="0048465B">
        <w:rPr>
          <w:lang w:val="en-GB"/>
        </w:rPr>
        <w:lastRenderedPageBreak/>
        <w:t>generally, Warren desegregates the Jewish subject position from the status of exceptional victim, understanding Jewishness instead as something which ‘“belong[s] to the world”’,</w:t>
      </w:r>
      <w:r w:rsidRPr="0048465B">
        <w:rPr>
          <w:vertAlign w:val="superscript"/>
          <w:lang w:val="en-GB"/>
        </w:rPr>
        <w:footnoteReference w:id="352"/>
      </w:r>
      <w:r w:rsidRPr="0048465B">
        <w:rPr>
          <w:lang w:val="en-GB"/>
        </w:rPr>
        <w:t xml:space="preserve"> as that which has as much right to exist – and as much chance to prosper – anywhere in the world, as much as any other ethnic or religious group. Thus, whilst both Sarah and Warren are representatives of the immense courage that it has taken Jewish people to continue to believe in, and live, Jewish lives post-Holocaust, they lead these lives in vastly different ways. Whilst Sarah is more concerned with potential threats that may, or may not, occur based on a strong identification with Jewish victimhood, Warren is concerned not only with Israeli</w:t>
      </w:r>
      <w:r w:rsidR="00B45635">
        <w:rPr>
          <w:lang w:val="en-GB"/>
        </w:rPr>
        <w:t xml:space="preserve"> </w:t>
      </w:r>
      <w:r w:rsidRPr="0048465B">
        <w:rPr>
          <w:lang w:val="en-GB"/>
        </w:rPr>
        <w:t xml:space="preserve">Jewish </w:t>
      </w:r>
      <w:r w:rsidR="00F24E1C">
        <w:rPr>
          <w:lang w:val="en-GB"/>
        </w:rPr>
        <w:t>self-determination</w:t>
      </w:r>
      <w:r w:rsidRPr="0048465B">
        <w:rPr>
          <w:lang w:val="en-GB"/>
        </w:rPr>
        <w:t>, but also mentions Irish</w:t>
      </w:r>
      <w:r w:rsidR="00F24E1C">
        <w:rPr>
          <w:lang w:val="en-GB"/>
        </w:rPr>
        <w:t xml:space="preserve"> self-determination,</w:t>
      </w:r>
      <w:r w:rsidRPr="0048465B">
        <w:rPr>
          <w:lang w:val="en-GB"/>
        </w:rPr>
        <w:t xml:space="preserve"> Scottish </w:t>
      </w:r>
      <w:r w:rsidR="00F24E1C">
        <w:rPr>
          <w:lang w:val="en-GB"/>
        </w:rPr>
        <w:t>self-determination</w:t>
      </w:r>
      <w:r w:rsidRPr="0048465B">
        <w:rPr>
          <w:lang w:val="en-GB"/>
        </w:rPr>
        <w:t xml:space="preserve">, and Palestinian </w:t>
      </w:r>
      <w:r w:rsidR="00F24E1C">
        <w:rPr>
          <w:lang w:val="en-GB"/>
        </w:rPr>
        <w:t>self-determination</w:t>
      </w:r>
      <w:r w:rsidRPr="0048465B">
        <w:rPr>
          <w:lang w:val="en-GB"/>
        </w:rPr>
        <w:t xml:space="preserve">, the most important thing for him not the pre-emptive defence of </w:t>
      </w:r>
      <w:r w:rsidR="00F24E1C">
        <w:rPr>
          <w:lang w:val="en-GB"/>
        </w:rPr>
        <w:t>an individual’s</w:t>
      </w:r>
      <w:r w:rsidRPr="0048465B">
        <w:rPr>
          <w:lang w:val="en-GB"/>
        </w:rPr>
        <w:t xml:space="preserve"> life, but </w:t>
      </w:r>
      <w:r w:rsidR="00F24E1C">
        <w:rPr>
          <w:lang w:val="en-GB"/>
        </w:rPr>
        <w:t xml:space="preserve">the entitlement of </w:t>
      </w:r>
      <w:r w:rsidR="00D56EF2">
        <w:rPr>
          <w:lang w:val="en-GB"/>
        </w:rPr>
        <w:t>all</w:t>
      </w:r>
      <w:r w:rsidR="00F24E1C">
        <w:rPr>
          <w:lang w:val="en-GB"/>
        </w:rPr>
        <w:t xml:space="preserve"> </w:t>
      </w:r>
      <w:r w:rsidR="00D56EF2">
        <w:rPr>
          <w:lang w:val="en-GB"/>
        </w:rPr>
        <w:t>peoples</w:t>
      </w:r>
      <w:r w:rsidR="00F24E1C">
        <w:rPr>
          <w:lang w:val="en-GB"/>
        </w:rPr>
        <w:t xml:space="preserve"> </w:t>
      </w:r>
      <w:r w:rsidRPr="0048465B">
        <w:rPr>
          <w:lang w:val="en-GB"/>
        </w:rPr>
        <w:t>to an equal quality of life</w:t>
      </w:r>
      <w:r w:rsidR="00D56EF2">
        <w:rPr>
          <w:lang w:val="en-GB"/>
        </w:rPr>
        <w:t>,</w:t>
      </w:r>
      <w:r w:rsidRPr="0048465B">
        <w:rPr>
          <w:lang w:val="en-GB"/>
        </w:rPr>
        <w:t xml:space="preserve"> wherever and however </w:t>
      </w:r>
      <w:r w:rsidR="00F24E1C">
        <w:rPr>
          <w:lang w:val="en-GB"/>
        </w:rPr>
        <w:t>they</w:t>
      </w:r>
      <w:r w:rsidRPr="0048465B">
        <w:rPr>
          <w:lang w:val="en-GB"/>
        </w:rPr>
        <w:t xml:space="preserve"> choose to live.</w:t>
      </w:r>
    </w:p>
    <w:p w14:paraId="67F072B4" w14:textId="77777777" w:rsidR="00FC331F" w:rsidRPr="0048465B" w:rsidRDefault="00FC331F" w:rsidP="00FC331F">
      <w:pPr>
        <w:tabs>
          <w:tab w:val="left" w:pos="720"/>
          <w:tab w:val="left" w:pos="3926"/>
        </w:tabs>
        <w:rPr>
          <w:lang w:val="en-GB"/>
        </w:rPr>
      </w:pPr>
    </w:p>
    <w:p w14:paraId="0E6D4301" w14:textId="1A85721B" w:rsidR="00FC331F" w:rsidRPr="0048465B" w:rsidRDefault="00FC331F" w:rsidP="00FC331F">
      <w:pPr>
        <w:tabs>
          <w:tab w:val="left" w:pos="720"/>
          <w:tab w:val="left" w:pos="3926"/>
        </w:tabs>
        <w:rPr>
          <w:lang w:val="en-GB"/>
        </w:rPr>
      </w:pPr>
      <w:r w:rsidRPr="0048465B">
        <w:rPr>
          <w:lang w:val="en-GB"/>
        </w:rPr>
        <w:t xml:space="preserve">Wistrich states that the more Israel needs to include non-Jewish societies, the more it must endeavour </w:t>
      </w:r>
      <w:r w:rsidR="00CD41F5">
        <w:rPr>
          <w:lang w:val="en-GB"/>
        </w:rPr>
        <w:t>to convey</w:t>
      </w:r>
      <w:r w:rsidRPr="0048465B">
        <w:rPr>
          <w:lang w:val="en-GB"/>
        </w:rPr>
        <w:t xml:space="preserve"> a message with values similar to those espoused by Warren, a message which is ‘universal and “de-</w:t>
      </w:r>
      <w:proofErr w:type="spellStart"/>
      <w:r w:rsidRPr="0048465B">
        <w:rPr>
          <w:lang w:val="en-GB"/>
        </w:rPr>
        <w:t>judaized</w:t>
      </w:r>
      <w:proofErr w:type="spellEnd"/>
      <w:r w:rsidRPr="0048465B">
        <w:rPr>
          <w:lang w:val="en-GB"/>
        </w:rPr>
        <w:t>”</w:t>
      </w:r>
      <w:r w:rsidR="000C3FB4">
        <w:rPr>
          <w:lang w:val="en-GB"/>
        </w:rPr>
        <w:t xml:space="preserve"> […] </w:t>
      </w:r>
      <w:proofErr w:type="spellStart"/>
      <w:r w:rsidRPr="0048465B">
        <w:rPr>
          <w:lang w:val="en-GB"/>
        </w:rPr>
        <w:t>emphasiz</w:t>
      </w:r>
      <w:proofErr w:type="spellEnd"/>
      <w:r w:rsidRPr="0048465B">
        <w:rPr>
          <w:lang w:val="en-GB"/>
        </w:rPr>
        <w:t>[</w:t>
      </w:r>
      <w:proofErr w:type="spellStart"/>
      <w:r w:rsidRPr="0048465B">
        <w:rPr>
          <w:lang w:val="en-GB"/>
        </w:rPr>
        <w:t>ing</w:t>
      </w:r>
      <w:proofErr w:type="spellEnd"/>
      <w:r w:rsidRPr="0048465B">
        <w:rPr>
          <w:lang w:val="en-GB"/>
        </w:rPr>
        <w:t>] universal values like democracy, pluralism, individual freedom and general opposition to racism’.</w:t>
      </w:r>
      <w:r w:rsidRPr="0048465B">
        <w:rPr>
          <w:vertAlign w:val="superscript"/>
          <w:lang w:val="en-GB"/>
        </w:rPr>
        <w:footnoteReference w:id="353"/>
      </w:r>
      <w:r w:rsidRPr="0048465B">
        <w:rPr>
          <w:lang w:val="en-GB"/>
        </w:rPr>
        <w:t xml:space="preserve"> This emphasis on pluralism in particular is one of the most deeply-rooted barriers to overcome with regard to Israeli perceptions of the Nakba, particularly in relation to the aforementioned paradox of the Israeli state being both victim of antisemitism, and perpetrator of human rights abuses. Hannan </w:t>
      </w:r>
      <w:proofErr w:type="spellStart"/>
      <w:r w:rsidRPr="0048465B">
        <w:rPr>
          <w:lang w:val="en-GB"/>
        </w:rPr>
        <w:t>Hever</w:t>
      </w:r>
      <w:proofErr w:type="spellEnd"/>
      <w:r w:rsidRPr="0048465B">
        <w:rPr>
          <w:lang w:val="en-GB"/>
        </w:rPr>
        <w:t xml:space="preserve">, assessing this struggle from a personal standpoint, writes that whilst he is ‘part of the Zionist project of establishing a </w:t>
      </w:r>
      <w:r w:rsidRPr="0048465B">
        <w:rPr>
          <w:lang w:val="en-GB"/>
        </w:rPr>
        <w:lastRenderedPageBreak/>
        <w:t>Jewish national state’,</w:t>
      </w:r>
      <w:r w:rsidRPr="0048465B">
        <w:rPr>
          <w:vertAlign w:val="superscript"/>
          <w:lang w:val="en-GB"/>
        </w:rPr>
        <w:footnoteReference w:id="354"/>
      </w:r>
      <w:r w:rsidRPr="0048465B">
        <w:rPr>
          <w:lang w:val="en-GB"/>
        </w:rPr>
        <w:t xml:space="preserve"> and is thus implicated in Israeli perpetration of the Nakba, that at the same time, ‘[t]he Holocaust is a lens that I cannot circumvent when I reflect on how I can assume responsibility vis-à-vis the Nakba’.</w:t>
      </w:r>
      <w:r w:rsidRPr="0048465B">
        <w:rPr>
          <w:vertAlign w:val="superscript"/>
          <w:lang w:val="en-GB"/>
        </w:rPr>
        <w:footnoteReference w:id="355"/>
      </w:r>
      <w:r w:rsidRPr="0048465B">
        <w:rPr>
          <w:lang w:val="en-GB"/>
        </w:rPr>
        <w:t xml:space="preserve"> Whilst doing so in a slightly convoluted way, Hever’s statement here highlights the reality for many Israelis, that their comprehension of other people’s suffering is rooted in what Hare describes as ‘the matchless catastrophe of the Holocaust’, a means of understanding that is both seemingly inescapable and at the same time conducive to the establishment of traumatic hierarchies.</w:t>
      </w:r>
      <w:r w:rsidR="00502642" w:rsidRPr="0048465B">
        <w:rPr>
          <w:vertAlign w:val="superscript"/>
          <w:lang w:val="en-GB"/>
        </w:rPr>
        <w:footnoteReference w:id="356"/>
      </w:r>
      <w:r w:rsidRPr="0048465B">
        <w:rPr>
          <w:lang w:val="en-GB"/>
        </w:rPr>
        <w:t xml:space="preserve"> </w:t>
      </w:r>
      <w:proofErr w:type="spellStart"/>
      <w:r w:rsidRPr="0048465B">
        <w:rPr>
          <w:lang w:val="en-GB"/>
        </w:rPr>
        <w:t>Hever</w:t>
      </w:r>
      <w:proofErr w:type="spellEnd"/>
      <w:r w:rsidRPr="0048465B">
        <w:rPr>
          <w:lang w:val="en-GB"/>
        </w:rPr>
        <w:t xml:space="preserve"> describes this complex relationship between the two Israeli perspectives on two traumatic events as having a mutually exclusive relationship, wherein to follow the ‘stable rules and norms’ of one group, ‘constitutes an abrogation of responsibility toward the [rules and norms of the] other’. In this case, </w:t>
      </w:r>
      <w:proofErr w:type="spellStart"/>
      <w:r w:rsidRPr="0048465B">
        <w:rPr>
          <w:lang w:val="en-GB"/>
        </w:rPr>
        <w:t>Hever</w:t>
      </w:r>
      <w:proofErr w:type="spellEnd"/>
      <w:r w:rsidRPr="0048465B">
        <w:rPr>
          <w:lang w:val="en-GB"/>
        </w:rPr>
        <w:t xml:space="preserve"> states, these two groups can be understood as those ‘Jewish Israeli[s] who take</w:t>
      </w:r>
      <w:r w:rsidR="00D56EF2">
        <w:rPr>
          <w:lang w:val="en-GB"/>
        </w:rPr>
        <w:t>[]</w:t>
      </w:r>
      <w:r w:rsidRPr="0048465B">
        <w:rPr>
          <w:lang w:val="en-GB"/>
        </w:rPr>
        <w:t xml:space="preserve"> responsibility for the Nakba’ on the one hand, and those that understand the State of Israel as ‘a haven for the survivors’ on the other.</w:t>
      </w:r>
      <w:r w:rsidR="00502642" w:rsidRPr="0048465B">
        <w:rPr>
          <w:vertAlign w:val="superscript"/>
          <w:lang w:val="en-GB"/>
        </w:rPr>
        <w:footnoteReference w:id="357"/>
      </w:r>
    </w:p>
    <w:p w14:paraId="10B02827" w14:textId="77777777" w:rsidR="00FC331F" w:rsidRPr="0048465B" w:rsidRDefault="00FC331F" w:rsidP="00FC331F">
      <w:pPr>
        <w:tabs>
          <w:tab w:val="left" w:pos="720"/>
          <w:tab w:val="left" w:pos="3926"/>
        </w:tabs>
        <w:rPr>
          <w:lang w:val="en-GB"/>
        </w:rPr>
      </w:pPr>
    </w:p>
    <w:p w14:paraId="510108C7" w14:textId="1DE0CF35" w:rsidR="00FC331F" w:rsidRPr="0048465B" w:rsidRDefault="00FC331F" w:rsidP="00FC331F">
      <w:pPr>
        <w:tabs>
          <w:tab w:val="left" w:pos="720"/>
          <w:tab w:val="left" w:pos="3926"/>
        </w:tabs>
        <w:rPr>
          <w:lang w:val="en-GB"/>
        </w:rPr>
      </w:pPr>
      <w:r w:rsidRPr="0048465B">
        <w:rPr>
          <w:lang w:val="en-GB"/>
        </w:rPr>
        <w:t xml:space="preserve">However, whilst the first of these two understandings, the acceptance of responsibility for the Nakba, is clearly preferable to the one-dimensional characterisation of Israel as a ‘haven’, </w:t>
      </w:r>
      <w:proofErr w:type="spellStart"/>
      <w:r w:rsidRPr="0048465B">
        <w:rPr>
          <w:lang w:val="en-GB"/>
        </w:rPr>
        <w:t>Hever</w:t>
      </w:r>
      <w:proofErr w:type="spellEnd"/>
      <w:r w:rsidRPr="0048465B">
        <w:rPr>
          <w:lang w:val="en-GB"/>
        </w:rPr>
        <w:t xml:space="preserve"> acknowledges that even this acceptance of responsibility for the Nakba is flawed, as this understanding of Palestinian suffering is ‘constructed by the self’. This construction thus overlooks the subjective realities of Palestinian pain, as Hever’s self-identification as a ‘Jewish Israeli who </w:t>
      </w:r>
      <w:r w:rsidRPr="0048465B">
        <w:rPr>
          <w:lang w:val="en-GB"/>
        </w:rPr>
        <w:lastRenderedPageBreak/>
        <w:t>takes responsibility for the Nakba’</w:t>
      </w:r>
      <w:r w:rsidRPr="0048465B">
        <w:rPr>
          <w:vertAlign w:val="superscript"/>
          <w:lang w:val="en-GB"/>
        </w:rPr>
        <w:footnoteReference w:id="358"/>
      </w:r>
      <w:r w:rsidRPr="0048465B">
        <w:rPr>
          <w:lang w:val="en-GB"/>
        </w:rPr>
        <w:t xml:space="preserve"> nonetheless positions the Nakba as a component of Jewish identity, history, and oppression, rather than an event with its own history, meanings, and movements. Moreover, whilst Meir Litvak and Esther </w:t>
      </w:r>
      <w:proofErr w:type="spellStart"/>
      <w:r w:rsidRPr="0048465B">
        <w:rPr>
          <w:lang w:val="en-GB"/>
        </w:rPr>
        <w:t>Webman</w:t>
      </w:r>
      <w:proofErr w:type="spellEnd"/>
      <w:r w:rsidRPr="0048465B">
        <w:rPr>
          <w:lang w:val="en-GB"/>
        </w:rPr>
        <w:t xml:space="preserve"> express their concern that this form of connective, or in their words ‘comparative’ thinking ‘involves by definition the relativization of the Holocaust’,</w:t>
      </w:r>
      <w:r w:rsidRPr="0048465B">
        <w:rPr>
          <w:vertAlign w:val="superscript"/>
          <w:lang w:val="en-GB"/>
        </w:rPr>
        <w:footnoteReference w:id="359"/>
      </w:r>
      <w:r w:rsidRPr="0048465B">
        <w:rPr>
          <w:lang w:val="en-GB"/>
        </w:rPr>
        <w:t xml:space="preserve"> they seem to overlook the fact that relativisation is, by definition, a reciprocal act. Whilst the concern that the traumatic experiences of the Holocaust may be minimised is a legitimate one, equally legitimate are concerns that the reification of the Holocaust </w:t>
      </w:r>
      <w:r w:rsidR="00502642">
        <w:rPr>
          <w:lang w:val="en-GB"/>
        </w:rPr>
        <w:t>reinforces</w:t>
      </w:r>
      <w:r w:rsidRPr="0048465B">
        <w:rPr>
          <w:lang w:val="en-GB"/>
        </w:rPr>
        <w:t xml:space="preserve"> victimhood as the pre-eminent marker of Jewishness, </w:t>
      </w:r>
      <w:r w:rsidR="00216432">
        <w:rPr>
          <w:lang w:val="en-GB"/>
        </w:rPr>
        <w:t>and apprehension</w:t>
      </w:r>
      <w:r w:rsidR="000D353D">
        <w:rPr>
          <w:lang w:val="en-GB"/>
        </w:rPr>
        <w:t>s</w:t>
      </w:r>
      <w:r w:rsidR="00216432">
        <w:rPr>
          <w:lang w:val="en-GB"/>
        </w:rPr>
        <w:t xml:space="preserve"> surrounding </w:t>
      </w:r>
      <w:r w:rsidRPr="0048465B">
        <w:rPr>
          <w:lang w:val="en-GB"/>
        </w:rPr>
        <w:t>the traumatic hierarch</w:t>
      </w:r>
      <w:r w:rsidR="000D353D">
        <w:rPr>
          <w:lang w:val="en-GB"/>
        </w:rPr>
        <w:t>ies</w:t>
      </w:r>
      <w:r w:rsidRPr="0048465B">
        <w:rPr>
          <w:lang w:val="en-GB"/>
        </w:rPr>
        <w:t xml:space="preserve"> that can be instigated by comparative engagements with the Holocaust, both of which redefine the connected event, in this case the Nakba, as derivative. </w:t>
      </w:r>
    </w:p>
    <w:p w14:paraId="2FBAA55E" w14:textId="77777777" w:rsidR="00FC331F" w:rsidRPr="0048465B" w:rsidRDefault="00FC331F" w:rsidP="00FC331F">
      <w:pPr>
        <w:tabs>
          <w:tab w:val="left" w:pos="720"/>
          <w:tab w:val="left" w:pos="3926"/>
        </w:tabs>
        <w:rPr>
          <w:lang w:val="en-GB"/>
        </w:rPr>
      </w:pPr>
    </w:p>
    <w:p w14:paraId="2666D048" w14:textId="11AC87B5" w:rsidR="00FC331F" w:rsidRPr="0048465B" w:rsidRDefault="00FC331F" w:rsidP="00FC331F">
      <w:pPr>
        <w:tabs>
          <w:tab w:val="left" w:pos="720"/>
          <w:tab w:val="left" w:pos="3926"/>
        </w:tabs>
        <w:rPr>
          <w:lang w:val="en-GB"/>
        </w:rPr>
      </w:pPr>
      <w:r w:rsidRPr="0048465B">
        <w:rPr>
          <w:lang w:val="en-GB"/>
        </w:rPr>
        <w:t xml:space="preserve">Two works by Israelis that do engage with the persecution of Palestinians through the lens of the Holocaust, but struggle to do so without allowing the history of the Holocaust to overshadow more immediate events, are </w:t>
      </w:r>
      <w:r w:rsidR="00CD41F5" w:rsidRPr="0048465B">
        <w:rPr>
          <w:lang w:val="en-GB"/>
        </w:rPr>
        <w:t xml:space="preserve">Ari Folman’s film </w:t>
      </w:r>
      <w:r w:rsidR="00CD41F5" w:rsidRPr="0048465B">
        <w:rPr>
          <w:i/>
          <w:lang w:val="en-GB"/>
        </w:rPr>
        <w:t>Waltz with Bashir</w:t>
      </w:r>
      <w:r w:rsidR="00CD41F5" w:rsidRPr="0048465B">
        <w:rPr>
          <w:lang w:val="en-GB"/>
        </w:rPr>
        <w:t>,</w:t>
      </w:r>
      <w:r w:rsidR="00CD41F5">
        <w:rPr>
          <w:lang w:val="en-GB"/>
        </w:rPr>
        <w:t xml:space="preserve"> an animated documentary that follows its auteur</w:t>
      </w:r>
      <w:r w:rsidR="000D353D">
        <w:rPr>
          <w:lang w:val="en-GB"/>
        </w:rPr>
        <w:t>-protagonist</w:t>
      </w:r>
      <w:r w:rsidR="00CD41F5">
        <w:rPr>
          <w:lang w:val="en-GB"/>
        </w:rPr>
        <w:t xml:space="preserve"> as he seeks to uncover his lost memories of the 1982 Sabra and Shatila </w:t>
      </w:r>
      <w:r w:rsidR="000D353D">
        <w:rPr>
          <w:lang w:val="en-GB"/>
        </w:rPr>
        <w:t>m</w:t>
      </w:r>
      <w:r w:rsidR="00CD41F5">
        <w:rPr>
          <w:lang w:val="en-GB"/>
        </w:rPr>
        <w:t>assacre,</w:t>
      </w:r>
      <w:r w:rsidR="00CD41F5" w:rsidRPr="0048465B">
        <w:rPr>
          <w:lang w:val="en-GB"/>
        </w:rPr>
        <w:t xml:space="preserve"> and Noam Chayut’s memoir </w:t>
      </w:r>
      <w:r w:rsidR="00CD41F5" w:rsidRPr="0048465B">
        <w:rPr>
          <w:i/>
          <w:lang w:val="en-GB"/>
        </w:rPr>
        <w:t>The Girl Who Stole My Holocaust</w:t>
      </w:r>
      <w:r w:rsidR="00CD41F5">
        <w:rPr>
          <w:iCs/>
          <w:lang w:val="en-GB"/>
        </w:rPr>
        <w:t>, which</w:t>
      </w:r>
      <w:r w:rsidR="00FB043E">
        <w:rPr>
          <w:iCs/>
          <w:lang w:val="en-GB"/>
        </w:rPr>
        <w:t xml:space="preserve"> revolves around its author’s transition from IDF soldier to anti-occupation campaigner</w:t>
      </w:r>
      <w:r w:rsidRPr="0048465B">
        <w:rPr>
          <w:lang w:val="en-GB"/>
        </w:rPr>
        <w:t>. One feature that these works share is their interaction with Holocaust imagery, precisely one of the most iconic images of the Holocaust, the young boy in the Warsaw Ghetto holding up his hands.</w:t>
      </w:r>
    </w:p>
    <w:p w14:paraId="6F9C24FC" w14:textId="77777777" w:rsidR="00502642" w:rsidRDefault="00FC331F" w:rsidP="00FC331F">
      <w:pPr>
        <w:tabs>
          <w:tab w:val="left" w:pos="720"/>
          <w:tab w:val="left" w:pos="3926"/>
        </w:tabs>
        <w:jc w:val="center"/>
        <w:rPr>
          <w:b/>
          <w:lang w:val="en-GB"/>
        </w:rPr>
      </w:pPr>
      <w:r w:rsidRPr="0048465B">
        <w:rPr>
          <w:noProof/>
          <w:lang w:val="en-GB" w:eastAsia="zh-CN"/>
        </w:rPr>
        <w:lastRenderedPageBreak/>
        <w:drawing>
          <wp:inline distT="0" distB="0" distL="0" distR="0" wp14:anchorId="0F92E36A" wp14:editId="466EA26A">
            <wp:extent cx="4933160" cy="3284571"/>
            <wp:effectExtent l="0" t="0" r="0" b="1270"/>
            <wp:docPr id="2" name="image1.jpg" descr="Macintosh HD:private:var:folders:1v:bnbj6_2s5rsc12r0bhc_zjhw0000gn:T:TemporaryItems:20101007-KDS-Holocaust boy.jpg"/>
            <wp:cNvGraphicFramePr/>
            <a:graphic xmlns:a="http://schemas.openxmlformats.org/drawingml/2006/main">
              <a:graphicData uri="http://schemas.openxmlformats.org/drawingml/2006/picture">
                <pic:pic xmlns:pic="http://schemas.openxmlformats.org/drawingml/2006/picture">
                  <pic:nvPicPr>
                    <pic:cNvPr id="0" name="image1.jpg" descr="Macintosh HD:private:var:folders:1v:bnbj6_2s5rsc12r0bhc_zjhw0000gn:T:TemporaryItems:20101007-KDS-Holocaust boy.jpg"/>
                    <pic:cNvPicPr preferRelativeResize="0"/>
                  </pic:nvPicPr>
                  <pic:blipFill>
                    <a:blip r:embed="rId13"/>
                    <a:srcRect/>
                    <a:stretch>
                      <a:fillRect/>
                    </a:stretch>
                  </pic:blipFill>
                  <pic:spPr>
                    <a:xfrm>
                      <a:off x="0" y="0"/>
                      <a:ext cx="4933160" cy="3284571"/>
                    </a:xfrm>
                    <a:prstGeom prst="rect">
                      <a:avLst/>
                    </a:prstGeom>
                    <a:ln/>
                  </pic:spPr>
                </pic:pic>
              </a:graphicData>
            </a:graphic>
          </wp:inline>
        </w:drawing>
      </w:r>
    </w:p>
    <w:p w14:paraId="5151186C" w14:textId="44A7ACC7" w:rsidR="00FC331F" w:rsidRPr="00BA778A" w:rsidRDefault="00FC331F" w:rsidP="00FC331F">
      <w:pPr>
        <w:tabs>
          <w:tab w:val="left" w:pos="720"/>
          <w:tab w:val="left" w:pos="3926"/>
        </w:tabs>
        <w:jc w:val="center"/>
        <w:rPr>
          <w:sz w:val="20"/>
          <w:szCs w:val="20"/>
          <w:lang w:val="en-GB"/>
        </w:rPr>
      </w:pPr>
      <w:r w:rsidRPr="00BA778A">
        <w:rPr>
          <w:b/>
          <w:sz w:val="20"/>
          <w:szCs w:val="20"/>
          <w:lang w:val="en-GB"/>
        </w:rPr>
        <w:t xml:space="preserve">Figure 3 </w:t>
      </w:r>
      <w:r w:rsidRPr="00BA778A">
        <w:rPr>
          <w:sz w:val="20"/>
          <w:szCs w:val="20"/>
          <w:vertAlign w:val="superscript"/>
          <w:lang w:val="en-GB"/>
        </w:rPr>
        <w:footnoteReference w:id="360"/>
      </w:r>
    </w:p>
    <w:p w14:paraId="2F22BEE7" w14:textId="77777777" w:rsidR="00FC331F" w:rsidRPr="0048465B" w:rsidRDefault="00FC331F" w:rsidP="00FC331F">
      <w:pPr>
        <w:tabs>
          <w:tab w:val="left" w:pos="720"/>
          <w:tab w:val="left" w:pos="3926"/>
        </w:tabs>
        <w:jc w:val="center"/>
        <w:rPr>
          <w:lang w:val="en-GB"/>
        </w:rPr>
      </w:pPr>
    </w:p>
    <w:p w14:paraId="63026B53" w14:textId="5EBF3492" w:rsidR="00FC331F" w:rsidRPr="0048465B" w:rsidRDefault="00FC331F" w:rsidP="00FC331F">
      <w:pPr>
        <w:tabs>
          <w:tab w:val="left" w:pos="720"/>
          <w:tab w:val="left" w:pos="3926"/>
        </w:tabs>
        <w:rPr>
          <w:lang w:val="en-GB"/>
        </w:rPr>
      </w:pPr>
      <w:r w:rsidRPr="0048465B">
        <w:rPr>
          <w:lang w:val="en-GB"/>
        </w:rPr>
        <w:t xml:space="preserve">In Folman’s </w:t>
      </w:r>
      <w:r w:rsidRPr="0048465B">
        <w:rPr>
          <w:i/>
          <w:lang w:val="en-GB"/>
        </w:rPr>
        <w:t>Waltz with Bashir</w:t>
      </w:r>
      <w:r w:rsidRPr="0048465B">
        <w:rPr>
          <w:lang w:val="en-GB"/>
        </w:rPr>
        <w:t>, this image is directly referenced by Israeli journalist Ron Ben-</w:t>
      </w:r>
      <w:proofErr w:type="spellStart"/>
      <w:r w:rsidRPr="0048465B">
        <w:rPr>
          <w:lang w:val="en-GB"/>
        </w:rPr>
        <w:t>Yishay</w:t>
      </w:r>
      <w:proofErr w:type="spellEnd"/>
      <w:r w:rsidRPr="0048465B">
        <w:rPr>
          <w:lang w:val="en-GB"/>
        </w:rPr>
        <w:t>, who, recalling the aftermath of the death of between 460 and 3,500 Palestinians during the Sabra and Shatila massacre,</w:t>
      </w:r>
      <w:r w:rsidR="008A1CE2" w:rsidRPr="0048465B">
        <w:rPr>
          <w:vertAlign w:val="superscript"/>
          <w:lang w:val="en-GB"/>
        </w:rPr>
        <w:footnoteReference w:id="361"/>
      </w:r>
      <w:r w:rsidRPr="0048465B">
        <w:rPr>
          <w:lang w:val="en-GB"/>
        </w:rPr>
        <w:t xml:space="preserve"> tells Folman, ‘You know that picture from the Warsaw ghetto? The one with the kid holding his hands in the air? That’s just how the long line of women, old people and children looked’.</w:t>
      </w:r>
      <w:r w:rsidRPr="0048465B">
        <w:rPr>
          <w:vertAlign w:val="superscript"/>
          <w:lang w:val="en-GB"/>
        </w:rPr>
        <w:footnoteReference w:id="362"/>
      </w:r>
      <w:r w:rsidRPr="0048465B">
        <w:rPr>
          <w:lang w:val="en-GB"/>
        </w:rPr>
        <w:t xml:space="preserve"> </w:t>
      </w:r>
      <w:proofErr w:type="spellStart"/>
      <w:r w:rsidRPr="0048465B">
        <w:rPr>
          <w:lang w:val="en-GB"/>
        </w:rPr>
        <w:t>Chayut</w:t>
      </w:r>
      <w:proofErr w:type="spellEnd"/>
      <w:r w:rsidRPr="0048465B">
        <w:rPr>
          <w:lang w:val="en-GB"/>
        </w:rPr>
        <w:t>, on the other hand, does not reference the young Warsaw boy directly, but centres his moral evolution around the nominal ‘Girl’, a figure who Stav argues is there to ensure that the reader is ‘reminded of the picture of the Jewish child from the Warsaw ghetto’,</w:t>
      </w:r>
      <w:r w:rsidRPr="0048465B">
        <w:rPr>
          <w:vertAlign w:val="superscript"/>
          <w:lang w:val="en-GB"/>
        </w:rPr>
        <w:footnoteReference w:id="363"/>
      </w:r>
      <w:r w:rsidRPr="0048465B">
        <w:rPr>
          <w:lang w:val="en-GB"/>
        </w:rPr>
        <w:t xml:space="preserve"> and who shares many features, with the photographed child. Just </w:t>
      </w:r>
      <w:r w:rsidR="00FB4C71">
        <w:rPr>
          <w:lang w:val="en-GB"/>
        </w:rPr>
        <w:t>like</w:t>
      </w:r>
      <w:r w:rsidR="00FB4C71" w:rsidRPr="0048465B">
        <w:rPr>
          <w:lang w:val="en-GB"/>
        </w:rPr>
        <w:t xml:space="preserve"> </w:t>
      </w:r>
      <w:r w:rsidRPr="0048465B">
        <w:rPr>
          <w:lang w:val="en-GB"/>
        </w:rPr>
        <w:t xml:space="preserve">the child </w:t>
      </w:r>
      <w:r w:rsidRPr="0048465B">
        <w:rPr>
          <w:lang w:val="en-GB"/>
        </w:rPr>
        <w:lastRenderedPageBreak/>
        <w:t>photographed above, Chayut’s Holocaust thief does ‘not smile’, is ‘froze[n] on the spot</w:t>
      </w:r>
      <w:r w:rsidR="000C3FB4">
        <w:rPr>
          <w:lang w:val="en-GB"/>
        </w:rPr>
        <w:t xml:space="preserve"> […] </w:t>
      </w:r>
      <w:r w:rsidRPr="0048465B">
        <w:rPr>
          <w:lang w:val="en-GB"/>
        </w:rPr>
        <w:t>pale and</w:t>
      </w:r>
      <w:r w:rsidR="000C3FB4">
        <w:rPr>
          <w:lang w:val="en-GB"/>
        </w:rPr>
        <w:t xml:space="preserve"> […] </w:t>
      </w:r>
      <w:r w:rsidRPr="0048465B">
        <w:rPr>
          <w:lang w:val="en-GB"/>
        </w:rPr>
        <w:t>terrified’, ‘neither scream[s] nor r[</w:t>
      </w:r>
      <w:proofErr w:type="spellStart"/>
      <w:r w:rsidRPr="0048465B">
        <w:rPr>
          <w:lang w:val="en-GB"/>
        </w:rPr>
        <w:t>uns</w:t>
      </w:r>
      <w:proofErr w:type="spellEnd"/>
      <w:r w:rsidRPr="0048465B">
        <w:rPr>
          <w:lang w:val="en-GB"/>
        </w:rPr>
        <w:t>] off’, but faces him ‘with a horrified face and</w:t>
      </w:r>
      <w:r w:rsidR="000C3FB4">
        <w:rPr>
          <w:lang w:val="en-GB"/>
        </w:rPr>
        <w:t xml:space="preserve"> […] </w:t>
      </w:r>
      <w:r w:rsidRPr="0048465B">
        <w:rPr>
          <w:lang w:val="en-GB"/>
        </w:rPr>
        <w:t>black eyes’.</w:t>
      </w:r>
      <w:r w:rsidRPr="0048465B">
        <w:rPr>
          <w:vertAlign w:val="superscript"/>
          <w:lang w:val="en-GB"/>
        </w:rPr>
        <w:footnoteReference w:id="364"/>
      </w:r>
      <w:r w:rsidRPr="0048465B">
        <w:rPr>
          <w:lang w:val="en-GB"/>
        </w:rPr>
        <w:t xml:space="preserve"> Incidentally,</w:t>
      </w:r>
      <w:r w:rsidR="008A1CE2">
        <w:rPr>
          <w:lang w:val="en-GB"/>
        </w:rPr>
        <w:t xml:space="preserve"> a video artwork inspired by</w:t>
      </w:r>
      <w:r w:rsidRPr="0048465B">
        <w:rPr>
          <w:lang w:val="en-GB"/>
        </w:rPr>
        <w:t xml:space="preserve"> this same image is the one that Rothberg proffers as a supposedly productive example of Israeli-Palestinian multidirectional memory, citing Israeli-British artist Alan Schechner’s </w:t>
      </w:r>
      <w:r w:rsidR="008A1CE2">
        <w:rPr>
          <w:i/>
          <w:iCs/>
          <w:lang w:val="en-GB"/>
        </w:rPr>
        <w:t>The Legacy of Abused Children: From Poland to Palestine</w:t>
      </w:r>
      <w:r w:rsidRPr="0048465B">
        <w:rPr>
          <w:lang w:val="en-GB"/>
        </w:rPr>
        <w:t>, wherein a photograph superimposed into the Warsaw Ghetto boy’s hand is zoomed in upon, the photo showing a Palestinian boy, crying in fear whilst being</w:t>
      </w:r>
      <w:r w:rsidR="006F24B9">
        <w:rPr>
          <w:lang w:val="en-GB"/>
        </w:rPr>
        <w:t xml:space="preserve"> forcibly</w:t>
      </w:r>
      <w:r w:rsidRPr="0048465B">
        <w:rPr>
          <w:lang w:val="en-GB"/>
        </w:rPr>
        <w:t xml:space="preserve"> moved by IDF soldiers. The Palestinian boy, in turn, has a photo in his hand, which the camera zooms in upon to reveal the boy in the Warsaw Ghetto, creating a cycle wherein violence leads to yet more violence, as seen below.</w:t>
      </w:r>
    </w:p>
    <w:p w14:paraId="4B0A2E95" w14:textId="2B5277BA" w:rsidR="00FC331F" w:rsidRDefault="00FC331F" w:rsidP="008A1CE2">
      <w:pPr>
        <w:tabs>
          <w:tab w:val="left" w:pos="720"/>
          <w:tab w:val="left" w:pos="3926"/>
        </w:tabs>
        <w:jc w:val="center"/>
        <w:rPr>
          <w:lang w:val="en-GB"/>
        </w:rPr>
      </w:pPr>
      <w:r w:rsidRPr="0048465B">
        <w:rPr>
          <w:noProof/>
          <w:lang w:val="en-GB" w:eastAsia="zh-CN"/>
        </w:rPr>
        <w:drawing>
          <wp:inline distT="114300" distB="114300" distL="114300" distR="114300" wp14:anchorId="3A7E7E27" wp14:editId="21BA6DAB">
            <wp:extent cx="5911664" cy="3527127"/>
            <wp:effectExtent l="0" t="0" r="0" b="0"/>
            <wp:docPr id="3" name="image2.png" descr="A picture containing text, posing, group, differen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A picture containing text, posing, group, different&#10;&#10;Description automatically generated"/>
                    <pic:cNvPicPr preferRelativeResize="0"/>
                  </pic:nvPicPr>
                  <pic:blipFill>
                    <a:blip r:embed="rId14"/>
                    <a:srcRect/>
                    <a:stretch>
                      <a:fillRect/>
                    </a:stretch>
                  </pic:blipFill>
                  <pic:spPr>
                    <a:xfrm>
                      <a:off x="0" y="0"/>
                      <a:ext cx="5911664" cy="3527127"/>
                    </a:xfrm>
                    <a:prstGeom prst="rect">
                      <a:avLst/>
                    </a:prstGeom>
                    <a:ln/>
                  </pic:spPr>
                </pic:pic>
              </a:graphicData>
            </a:graphic>
          </wp:inline>
        </w:drawing>
      </w:r>
      <w:r w:rsidRPr="0048465B">
        <w:rPr>
          <w:lang w:val="en-GB"/>
        </w:rPr>
        <w:t xml:space="preserve"> </w:t>
      </w:r>
      <w:r w:rsidRPr="00BA778A">
        <w:rPr>
          <w:b/>
          <w:sz w:val="20"/>
          <w:szCs w:val="20"/>
          <w:lang w:val="en-GB"/>
        </w:rPr>
        <w:t>Figure 4</w:t>
      </w:r>
      <w:r w:rsidRPr="00BA778A">
        <w:rPr>
          <w:sz w:val="20"/>
          <w:szCs w:val="20"/>
          <w:lang w:val="en-GB"/>
        </w:rPr>
        <w:t xml:space="preserve"> </w:t>
      </w:r>
      <w:r w:rsidRPr="00BA778A">
        <w:rPr>
          <w:sz w:val="20"/>
          <w:szCs w:val="20"/>
          <w:vertAlign w:val="superscript"/>
          <w:lang w:val="en-GB"/>
        </w:rPr>
        <w:footnoteReference w:id="365"/>
      </w:r>
    </w:p>
    <w:p w14:paraId="15C7EBAF" w14:textId="77777777" w:rsidR="008A1CE2" w:rsidRPr="0048465B" w:rsidRDefault="008A1CE2" w:rsidP="008A1CE2">
      <w:pPr>
        <w:tabs>
          <w:tab w:val="left" w:pos="720"/>
          <w:tab w:val="left" w:pos="3926"/>
        </w:tabs>
        <w:jc w:val="center"/>
        <w:rPr>
          <w:lang w:val="en-GB"/>
        </w:rPr>
      </w:pPr>
    </w:p>
    <w:p w14:paraId="60A9F32D" w14:textId="6850BDD2" w:rsidR="00FC331F" w:rsidRPr="0048465B" w:rsidRDefault="00FC331F" w:rsidP="00FC331F">
      <w:pPr>
        <w:tabs>
          <w:tab w:val="left" w:pos="720"/>
          <w:tab w:val="left" w:pos="3926"/>
        </w:tabs>
        <w:rPr>
          <w:lang w:val="en-GB"/>
        </w:rPr>
      </w:pPr>
      <w:r w:rsidRPr="0048465B">
        <w:rPr>
          <w:lang w:val="en-GB"/>
        </w:rPr>
        <w:t>Each of these references to the Warsaw Ghetto child depends upon the stereotypical iconography of the Holocaust explored in Chapter One, wherein renowned images function as a means of bypassing detailed analysis, evoking instead simplistic extremes of good and bad, or right and wrong. Ben-</w:t>
      </w:r>
      <w:proofErr w:type="spellStart"/>
      <w:r w:rsidRPr="0048465B">
        <w:rPr>
          <w:lang w:val="en-GB"/>
        </w:rPr>
        <w:t>Yishay</w:t>
      </w:r>
      <w:proofErr w:type="spellEnd"/>
      <w:r w:rsidRPr="0048465B">
        <w:rPr>
          <w:lang w:val="en-GB"/>
        </w:rPr>
        <w:t xml:space="preserve"> – mirroring the newspapers in Henri </w:t>
      </w:r>
      <w:proofErr w:type="spellStart"/>
      <w:r w:rsidRPr="0048465B">
        <w:rPr>
          <w:lang w:val="en-GB"/>
        </w:rPr>
        <w:t>Racyzmow’s</w:t>
      </w:r>
      <w:proofErr w:type="spellEnd"/>
      <w:r w:rsidRPr="0048465B">
        <w:rPr>
          <w:lang w:val="en-GB"/>
        </w:rPr>
        <w:t xml:space="preserve"> </w:t>
      </w:r>
      <w:r w:rsidRPr="0048465B">
        <w:rPr>
          <w:i/>
          <w:lang w:val="en-GB"/>
        </w:rPr>
        <w:t>Writing the Book of Esther</w:t>
      </w:r>
      <w:r w:rsidRPr="0048465B">
        <w:rPr>
          <w:lang w:val="en-GB"/>
        </w:rPr>
        <w:t xml:space="preserve"> – overlooks the specific detail, the authenticity, and the objective legitimacy of the pain of the desolated Palestinians right in front of him in order to cite Jewish historical pain, perceiving this as the best way in which to translate and contextualise the calamity that has occurred. The pain and actuality of over a thousand Palestinian deaths and the ‘long line of women, old people and children’ are condensed into the single iconic image of a Jewish child. Similarly, Chayut’s characterisation of his Holocaust thief as similar to the Warsaw Ghetto boy ensures that the catalyst for his transformation, whilst situated in Palestine, is nonetheless redolent of the iconography of the Holocaust</w:t>
      </w:r>
      <w:r w:rsidR="00A762FE">
        <w:rPr>
          <w:lang w:val="en-GB"/>
        </w:rPr>
        <w:t xml:space="preserve"> and historical Jewish persecution</w:t>
      </w:r>
      <w:r w:rsidRPr="0048465B">
        <w:rPr>
          <w:lang w:val="en-GB"/>
        </w:rPr>
        <w:t>. Finally, whilst Rothberg claims that Schechner’s art ‘ironize[s] realist accounts of causality</w:t>
      </w:r>
      <w:r w:rsidR="000C3FB4">
        <w:rPr>
          <w:lang w:val="en-GB"/>
        </w:rPr>
        <w:t xml:space="preserve"> […] </w:t>
      </w:r>
      <w:r w:rsidRPr="0048465B">
        <w:rPr>
          <w:lang w:val="en-GB"/>
        </w:rPr>
        <w:t xml:space="preserve">[and] subverts all claims to the morally justified </w:t>
      </w:r>
      <w:proofErr w:type="spellStart"/>
      <w:r w:rsidRPr="0048465B">
        <w:rPr>
          <w:lang w:val="en-GB"/>
        </w:rPr>
        <w:t>originary</w:t>
      </w:r>
      <w:proofErr w:type="spellEnd"/>
      <w:r w:rsidRPr="0048465B">
        <w:rPr>
          <w:lang w:val="en-GB"/>
        </w:rPr>
        <w:t xml:space="preserve"> position of victim that frequently justifies violence’,</w:t>
      </w:r>
      <w:r w:rsidRPr="0048465B">
        <w:rPr>
          <w:vertAlign w:val="superscript"/>
          <w:lang w:val="en-GB"/>
        </w:rPr>
        <w:footnoteReference w:id="366"/>
      </w:r>
      <w:r w:rsidRPr="0048465B">
        <w:rPr>
          <w:lang w:val="en-GB"/>
        </w:rPr>
        <w:t xml:space="preserve"> the difference in the photograph’s colour </w:t>
      </w:r>
      <w:r w:rsidR="00A762FE">
        <w:rPr>
          <w:lang w:val="en-GB"/>
        </w:rPr>
        <w:t>–</w:t>
      </w:r>
      <w:r w:rsidRPr="0048465B">
        <w:rPr>
          <w:lang w:val="en-GB"/>
        </w:rPr>
        <w:t xml:space="preserve"> both appear in black and white in Rothberg’s essay, but were originally published with the Jewish child photographed in black and white and the Palestinian child in full colour </w:t>
      </w:r>
      <w:r w:rsidR="000D4855">
        <w:rPr>
          <w:lang w:val="en-GB"/>
        </w:rPr>
        <w:t>–</w:t>
      </w:r>
      <w:r w:rsidRPr="0048465B">
        <w:rPr>
          <w:lang w:val="en-GB"/>
        </w:rPr>
        <w:t xml:space="preserve"> </w:t>
      </w:r>
      <w:r w:rsidR="000D4855">
        <w:rPr>
          <w:lang w:val="en-GB"/>
        </w:rPr>
        <w:t>re-</w:t>
      </w:r>
      <w:r w:rsidRPr="0048465B">
        <w:rPr>
          <w:lang w:val="en-GB"/>
        </w:rPr>
        <w:t xml:space="preserve">establishes </w:t>
      </w:r>
      <w:r w:rsidR="000D4855">
        <w:rPr>
          <w:lang w:val="en-GB"/>
        </w:rPr>
        <w:t>the</w:t>
      </w:r>
      <w:r w:rsidRPr="0048465B">
        <w:rPr>
          <w:lang w:val="en-GB"/>
        </w:rPr>
        <w:t xml:space="preserve"> historical order</w:t>
      </w:r>
      <w:r w:rsidR="000D4855">
        <w:rPr>
          <w:lang w:val="en-GB"/>
        </w:rPr>
        <w:t xml:space="preserve"> that the viewer is likely already conscious of</w:t>
      </w:r>
      <w:r w:rsidRPr="0048465B">
        <w:rPr>
          <w:lang w:val="en-GB"/>
        </w:rPr>
        <w:t xml:space="preserve">, thus identifying the Warsaw Ghetto boy as occupying the </w:t>
      </w:r>
      <w:proofErr w:type="spellStart"/>
      <w:r w:rsidRPr="0048465B">
        <w:rPr>
          <w:lang w:val="en-GB"/>
        </w:rPr>
        <w:t>originary</w:t>
      </w:r>
      <w:proofErr w:type="spellEnd"/>
      <w:r w:rsidRPr="0048465B">
        <w:rPr>
          <w:lang w:val="en-GB"/>
        </w:rPr>
        <w:t xml:space="preserve"> position of victim-of-evil looking forward, and the Palestinian child as a subsequent victim, looking back as </w:t>
      </w:r>
      <w:r w:rsidR="000D4855">
        <w:rPr>
          <w:lang w:val="en-GB"/>
        </w:rPr>
        <w:t>he</w:t>
      </w:r>
      <w:r w:rsidRPr="0048465B">
        <w:rPr>
          <w:lang w:val="en-GB"/>
        </w:rPr>
        <w:t xml:space="preserve"> inhabit</w:t>
      </w:r>
      <w:r w:rsidR="000D4855">
        <w:rPr>
          <w:lang w:val="en-GB"/>
        </w:rPr>
        <w:t>s</w:t>
      </w:r>
      <w:r w:rsidRPr="0048465B">
        <w:rPr>
          <w:lang w:val="en-GB"/>
        </w:rPr>
        <w:t xml:space="preserve"> a similar, posterior, space.</w:t>
      </w:r>
    </w:p>
    <w:p w14:paraId="72E2F882" w14:textId="77777777" w:rsidR="00FC331F" w:rsidRPr="0048465B" w:rsidRDefault="00FC331F" w:rsidP="00FC331F">
      <w:pPr>
        <w:tabs>
          <w:tab w:val="left" w:pos="720"/>
          <w:tab w:val="left" w:pos="3926"/>
        </w:tabs>
        <w:jc w:val="center"/>
        <w:rPr>
          <w:lang w:val="en-GB"/>
        </w:rPr>
      </w:pPr>
    </w:p>
    <w:p w14:paraId="08649A67" w14:textId="62BA5DB6" w:rsidR="00FC331F" w:rsidRPr="0048465B" w:rsidRDefault="00FC331F" w:rsidP="00FC331F">
      <w:pPr>
        <w:tabs>
          <w:tab w:val="left" w:pos="720"/>
          <w:tab w:val="left" w:pos="3926"/>
        </w:tabs>
        <w:rPr>
          <w:lang w:val="en-GB"/>
        </w:rPr>
      </w:pPr>
      <w:r w:rsidRPr="0048465B">
        <w:rPr>
          <w:lang w:val="en-GB"/>
        </w:rPr>
        <w:lastRenderedPageBreak/>
        <w:t>It is such passive, and perhaps unconscious</w:t>
      </w:r>
      <w:r w:rsidR="00FB043E">
        <w:rPr>
          <w:lang w:val="en-GB"/>
        </w:rPr>
        <w:t>ly inflected</w:t>
      </w:r>
      <w:r w:rsidRPr="0048465B">
        <w:rPr>
          <w:lang w:val="en-GB"/>
        </w:rPr>
        <w:t>, adoptions of Holocaust imagery and history at the expense of Palestinian suffering that ultimately challenge the efficacy of Holocaust</w:t>
      </w:r>
      <w:r w:rsidR="00FB043E">
        <w:rPr>
          <w:lang w:val="en-GB"/>
        </w:rPr>
        <w:t>-</w:t>
      </w:r>
      <w:r w:rsidRPr="0048465B">
        <w:rPr>
          <w:lang w:val="en-GB"/>
        </w:rPr>
        <w:t xml:space="preserve">centric explorations of the Nakba. Indeed, another motif of both </w:t>
      </w:r>
      <w:r w:rsidRPr="0048465B">
        <w:rPr>
          <w:i/>
          <w:lang w:val="en-GB"/>
        </w:rPr>
        <w:t xml:space="preserve">The Girl Who Stole my Holocaust </w:t>
      </w:r>
      <w:r w:rsidRPr="0048465B">
        <w:rPr>
          <w:lang w:val="en-GB"/>
        </w:rPr>
        <w:t xml:space="preserve">and </w:t>
      </w:r>
      <w:r w:rsidRPr="0048465B">
        <w:rPr>
          <w:i/>
          <w:lang w:val="en-GB"/>
        </w:rPr>
        <w:t>Waltz with Bashir</w:t>
      </w:r>
      <w:r w:rsidRPr="0048465B">
        <w:rPr>
          <w:lang w:val="en-GB"/>
        </w:rPr>
        <w:t xml:space="preserve"> – works that ostensibly revolve around Palestinian-Arab catastrophe and adversity – is the silencing of the Palestinian voice in order for Israeli history and expression to take precedence.</w:t>
      </w:r>
    </w:p>
    <w:p w14:paraId="1684089C" w14:textId="77777777" w:rsidR="00FC331F" w:rsidRPr="0048465B" w:rsidRDefault="00FC331F" w:rsidP="00FC331F">
      <w:pPr>
        <w:tabs>
          <w:tab w:val="left" w:pos="720"/>
          <w:tab w:val="left" w:pos="3926"/>
        </w:tabs>
        <w:rPr>
          <w:lang w:val="en-GB"/>
        </w:rPr>
      </w:pPr>
    </w:p>
    <w:p w14:paraId="624AFC12" w14:textId="7C8F19FF" w:rsidR="00FC331F" w:rsidRPr="0048465B" w:rsidRDefault="00FC331F" w:rsidP="00FC331F">
      <w:pPr>
        <w:tabs>
          <w:tab w:val="left" w:pos="720"/>
          <w:tab w:val="left" w:pos="3926"/>
        </w:tabs>
        <w:rPr>
          <w:lang w:val="en-GB"/>
        </w:rPr>
      </w:pPr>
      <w:r w:rsidRPr="0048465B">
        <w:rPr>
          <w:lang w:val="en-GB"/>
        </w:rPr>
        <w:t xml:space="preserve">Stav states that both Folman and </w:t>
      </w:r>
      <w:proofErr w:type="spellStart"/>
      <w:r w:rsidRPr="0048465B">
        <w:rPr>
          <w:lang w:val="en-GB"/>
        </w:rPr>
        <w:t>Chayut</w:t>
      </w:r>
      <w:proofErr w:type="spellEnd"/>
      <w:r w:rsidRPr="0048465B">
        <w:rPr>
          <w:lang w:val="en-GB"/>
        </w:rPr>
        <w:t xml:space="preserve"> ‘juxtapose Palestinian refugees and Holocaust victims</w:t>
      </w:r>
      <w:r w:rsidR="000C3FB4">
        <w:rPr>
          <w:lang w:val="en-GB"/>
        </w:rPr>
        <w:t xml:space="preserve"> […] </w:t>
      </w:r>
      <w:r w:rsidRPr="0048465B">
        <w:rPr>
          <w:lang w:val="en-GB"/>
        </w:rPr>
        <w:t>as a way of rehabilitating a moral self’,</w:t>
      </w:r>
      <w:r w:rsidRPr="0048465B">
        <w:rPr>
          <w:vertAlign w:val="superscript"/>
          <w:lang w:val="en-GB"/>
        </w:rPr>
        <w:footnoteReference w:id="367"/>
      </w:r>
      <w:r w:rsidRPr="0048465B">
        <w:rPr>
          <w:lang w:val="en-GB"/>
        </w:rPr>
        <w:t xml:space="preserve"> resulting in Palestinian figures who are both voiceless and function primarily for Israeli personal development. This can be seen in Chayut’s memoir most clearly through the function of the ‘</w:t>
      </w:r>
      <w:r w:rsidR="00761153">
        <w:rPr>
          <w:lang w:val="en-GB"/>
        </w:rPr>
        <w:t>G</w:t>
      </w:r>
      <w:r w:rsidRPr="0048465B">
        <w:rPr>
          <w:lang w:val="en-GB"/>
        </w:rPr>
        <w:t>irl’ who steals his Holocaust. Whilst the title of the book would suggest that Chayut’s Holocaust thief will be a prominent figure in the text, the unnamed girl is only present within Chayut’s life for a matter of seconds, wherein, objectively speaking, she sees him, freezes, and then runs away. Perhaps conscious of the limited relevance of this girl to</w:t>
      </w:r>
      <w:r w:rsidR="00761153">
        <w:rPr>
          <w:lang w:val="en-GB"/>
        </w:rPr>
        <w:t xml:space="preserve"> the</w:t>
      </w:r>
      <w:r w:rsidRPr="0048465B">
        <w:rPr>
          <w:lang w:val="en-GB"/>
        </w:rPr>
        <w:t xml:space="preserve"> overarching narrative of his novel, </w:t>
      </w:r>
      <w:proofErr w:type="spellStart"/>
      <w:r w:rsidRPr="0048465B">
        <w:rPr>
          <w:lang w:val="en-GB"/>
        </w:rPr>
        <w:t>Chayut</w:t>
      </w:r>
      <w:proofErr w:type="spellEnd"/>
      <w:r w:rsidRPr="0048465B">
        <w:rPr>
          <w:lang w:val="en-GB"/>
        </w:rPr>
        <w:t xml:space="preserve"> refers to her primarily at the beginning and end of chapters, as if to remind the reader that the title remains relevant. Throughout the novel, this unnamed girl functions as a literary device rather </w:t>
      </w:r>
      <w:r w:rsidR="008F554C">
        <w:rPr>
          <w:lang w:val="en-GB"/>
        </w:rPr>
        <w:t xml:space="preserve">than </w:t>
      </w:r>
      <w:r w:rsidR="00761153">
        <w:rPr>
          <w:lang w:val="en-GB"/>
        </w:rPr>
        <w:t>existing as</w:t>
      </w:r>
      <w:r w:rsidRPr="0048465B">
        <w:rPr>
          <w:lang w:val="en-GB"/>
        </w:rPr>
        <w:t xml:space="preserve"> a human being, as a conduit for Chayut’s </w:t>
      </w:r>
      <w:r w:rsidR="004B2AF4">
        <w:rPr>
          <w:lang w:val="en-GB"/>
        </w:rPr>
        <w:t>pain</w:t>
      </w:r>
      <w:r w:rsidRPr="0048465B">
        <w:rPr>
          <w:lang w:val="en-GB"/>
        </w:rPr>
        <w:t xml:space="preserve"> rather than a representative of her own, or </w:t>
      </w:r>
      <w:r w:rsidR="004B2AF4">
        <w:rPr>
          <w:lang w:val="en-GB"/>
        </w:rPr>
        <w:t xml:space="preserve">for </w:t>
      </w:r>
      <w:r w:rsidRPr="0048465B">
        <w:rPr>
          <w:lang w:val="en-GB"/>
        </w:rPr>
        <w:t>the pain of Palestinians more generally.</w:t>
      </w:r>
    </w:p>
    <w:p w14:paraId="71B52F9A" w14:textId="77777777" w:rsidR="00FC331F" w:rsidRPr="0048465B" w:rsidRDefault="00FC331F" w:rsidP="00FC331F">
      <w:pPr>
        <w:tabs>
          <w:tab w:val="left" w:pos="720"/>
          <w:tab w:val="left" w:pos="3926"/>
        </w:tabs>
        <w:rPr>
          <w:lang w:val="en-GB"/>
        </w:rPr>
      </w:pPr>
    </w:p>
    <w:p w14:paraId="4EF02AD2" w14:textId="5033BE86" w:rsidR="00FC331F" w:rsidRPr="0048465B" w:rsidRDefault="00FC331F" w:rsidP="00FC331F">
      <w:pPr>
        <w:tabs>
          <w:tab w:val="left" w:pos="720"/>
          <w:tab w:val="left" w:pos="3926"/>
        </w:tabs>
        <w:rPr>
          <w:lang w:val="en-GB"/>
        </w:rPr>
      </w:pPr>
      <w:r w:rsidRPr="0048465B">
        <w:rPr>
          <w:lang w:val="en-GB"/>
        </w:rPr>
        <w:t xml:space="preserve">The first mention of this girl, for example, is stylised as coming to </w:t>
      </w:r>
      <w:proofErr w:type="spellStart"/>
      <w:r w:rsidRPr="0048465B">
        <w:rPr>
          <w:lang w:val="en-GB"/>
        </w:rPr>
        <w:t>Chayut</w:t>
      </w:r>
      <w:proofErr w:type="spellEnd"/>
      <w:r w:rsidRPr="0048465B">
        <w:rPr>
          <w:lang w:val="en-GB"/>
        </w:rPr>
        <w:t xml:space="preserve"> ‘in a flash’. </w:t>
      </w:r>
      <w:proofErr w:type="spellStart"/>
      <w:r w:rsidRPr="0048465B">
        <w:rPr>
          <w:lang w:val="en-GB"/>
        </w:rPr>
        <w:t>Chayut</w:t>
      </w:r>
      <w:proofErr w:type="spellEnd"/>
      <w:r w:rsidRPr="0048465B">
        <w:rPr>
          <w:lang w:val="en-GB"/>
        </w:rPr>
        <w:t xml:space="preserve"> states ‘I finally deciphered her real meaning in my life. So what might have otherwise been a </w:t>
      </w:r>
      <w:r w:rsidRPr="0048465B">
        <w:rPr>
          <w:lang w:val="en-GB"/>
        </w:rPr>
        <w:lastRenderedPageBreak/>
        <w:t>traumatic memory actually filled me with bliss, for I knew I had an idea</w:t>
      </w:r>
      <w:r w:rsidR="000C3FB4">
        <w:rPr>
          <w:lang w:val="en-GB"/>
        </w:rPr>
        <w:t xml:space="preserve"> […] </w:t>
      </w:r>
      <w:r w:rsidRPr="0048465B">
        <w:rPr>
          <w:lang w:val="en-GB"/>
        </w:rPr>
        <w:t>I held back a burst of joyful laughter’.</w:t>
      </w:r>
      <w:r w:rsidRPr="0048465B">
        <w:rPr>
          <w:vertAlign w:val="superscript"/>
          <w:lang w:val="en-GB"/>
        </w:rPr>
        <w:footnoteReference w:id="368"/>
      </w:r>
      <w:r w:rsidRPr="0048465B">
        <w:rPr>
          <w:lang w:val="en-GB"/>
        </w:rPr>
        <w:t xml:space="preserve"> Whilst the epiphany that </w:t>
      </w:r>
      <w:proofErr w:type="spellStart"/>
      <w:r w:rsidRPr="0048465B">
        <w:rPr>
          <w:lang w:val="en-GB"/>
        </w:rPr>
        <w:t>Chayut</w:t>
      </w:r>
      <w:proofErr w:type="spellEnd"/>
      <w:r w:rsidRPr="0048465B">
        <w:rPr>
          <w:lang w:val="en-GB"/>
        </w:rPr>
        <w:t xml:space="preserve"> refers to – that understandings of ‘absolute evil’ are subjective – is significant, his depiction of this discovery in that moment as ‘joyful’ is problematic, </w:t>
      </w:r>
      <w:r w:rsidR="000D4855">
        <w:rPr>
          <w:lang w:val="en-GB"/>
        </w:rPr>
        <w:t>since</w:t>
      </w:r>
      <w:r w:rsidRPr="0048465B">
        <w:rPr>
          <w:lang w:val="en-GB"/>
        </w:rPr>
        <w:t xml:space="preserve"> it implies that </w:t>
      </w:r>
      <w:proofErr w:type="spellStart"/>
      <w:r w:rsidRPr="0048465B">
        <w:rPr>
          <w:lang w:val="en-GB"/>
        </w:rPr>
        <w:t>Chayut</w:t>
      </w:r>
      <w:proofErr w:type="spellEnd"/>
      <w:r w:rsidRPr="0048465B">
        <w:rPr>
          <w:lang w:val="en-GB"/>
        </w:rPr>
        <w:t xml:space="preserve"> perceives this new understanding as a personal release from the grasp of Holocaust exceptionalism, rather than seeing the other side of the epiphany, that is, the extreme pain he has caused others. Similarly, when interviewing a man for Breaking the Silence </w:t>
      </w:r>
      <w:r w:rsidR="00761153">
        <w:rPr>
          <w:lang w:val="en-GB"/>
        </w:rPr>
        <w:t>–</w:t>
      </w:r>
      <w:r w:rsidRPr="0048465B">
        <w:rPr>
          <w:lang w:val="en-GB"/>
        </w:rPr>
        <w:t xml:space="preserve"> an NGO co-founded by </w:t>
      </w:r>
      <w:proofErr w:type="spellStart"/>
      <w:r w:rsidRPr="0048465B">
        <w:rPr>
          <w:lang w:val="en-GB"/>
        </w:rPr>
        <w:t>Chayut</w:t>
      </w:r>
      <w:proofErr w:type="spellEnd"/>
      <w:r w:rsidRPr="0048465B">
        <w:rPr>
          <w:lang w:val="en-GB"/>
        </w:rPr>
        <w:t xml:space="preserve"> that uses IDF soldier-testimony to expose the military’s </w:t>
      </w:r>
      <w:r w:rsidR="004B2AF4">
        <w:rPr>
          <w:lang w:val="en-GB"/>
        </w:rPr>
        <w:t>mistreatment</w:t>
      </w:r>
      <w:r w:rsidRPr="0048465B">
        <w:rPr>
          <w:lang w:val="en-GB"/>
        </w:rPr>
        <w:t xml:space="preserve"> of Palestinians </w:t>
      </w:r>
      <w:r w:rsidR="00761153">
        <w:rPr>
          <w:lang w:val="en-GB"/>
        </w:rPr>
        <w:t>–</w:t>
      </w:r>
      <w:r w:rsidRPr="0048465B">
        <w:rPr>
          <w:lang w:val="en-GB"/>
        </w:rPr>
        <w:t xml:space="preserve"> </w:t>
      </w:r>
      <w:proofErr w:type="spellStart"/>
      <w:r w:rsidRPr="0048465B">
        <w:rPr>
          <w:lang w:val="en-GB"/>
        </w:rPr>
        <w:t>Chayut</w:t>
      </w:r>
      <w:proofErr w:type="spellEnd"/>
      <w:r w:rsidRPr="0048465B">
        <w:rPr>
          <w:lang w:val="en-GB"/>
        </w:rPr>
        <w:t xml:space="preserve"> states his reluctance to talk about issues relating to ‘“state security”’, along with the statement ‘I decided long ago not to violate any law. If the law becomes unbearable, then I will exchange my old dream</w:t>
      </w:r>
      <w:r w:rsidR="000C3FB4">
        <w:rPr>
          <w:lang w:val="en-GB"/>
        </w:rPr>
        <w:t xml:space="preserve"> […] </w:t>
      </w:r>
      <w:r w:rsidRPr="0048465B">
        <w:rPr>
          <w:lang w:val="en-GB"/>
        </w:rPr>
        <w:t>for a new dream of a little house abroad</w:t>
      </w:r>
      <w:r w:rsidR="000C3FB4">
        <w:rPr>
          <w:lang w:val="en-GB"/>
        </w:rPr>
        <w:t xml:space="preserve"> […] </w:t>
      </w:r>
      <w:r w:rsidRPr="0048465B">
        <w:rPr>
          <w:lang w:val="en-GB"/>
        </w:rPr>
        <w:t>it is a simple order of priorities: laws are geographic. Man isn’t’.</w:t>
      </w:r>
      <w:r w:rsidRPr="0048465B">
        <w:rPr>
          <w:vertAlign w:val="superscript"/>
          <w:lang w:val="en-GB"/>
        </w:rPr>
        <w:footnoteReference w:id="369"/>
      </w:r>
      <w:r w:rsidRPr="0048465B">
        <w:rPr>
          <w:lang w:val="en-GB"/>
        </w:rPr>
        <w:t xml:space="preserve"> This statement is a clear and </w:t>
      </w:r>
      <w:r w:rsidR="000D4855">
        <w:rPr>
          <w:lang w:val="en-GB"/>
        </w:rPr>
        <w:t>striking</w:t>
      </w:r>
      <w:r w:rsidRPr="0048465B">
        <w:rPr>
          <w:lang w:val="en-GB"/>
        </w:rPr>
        <w:t xml:space="preserve"> example of Chayut’s </w:t>
      </w:r>
      <w:r w:rsidR="000D4855">
        <w:rPr>
          <w:lang w:val="en-GB"/>
        </w:rPr>
        <w:t>incomprehension of</w:t>
      </w:r>
      <w:r w:rsidRPr="0048465B">
        <w:rPr>
          <w:lang w:val="en-GB"/>
        </w:rPr>
        <w:t xml:space="preserve"> the Palestinian perspective. In addition to overlooking the fact that Israel</w:t>
      </w:r>
      <w:r w:rsidR="000D4855">
        <w:rPr>
          <w:lang w:val="en-GB"/>
        </w:rPr>
        <w:t xml:space="preserve"> pipelines its laws directly into settlements that lie beyond its legitimate borders</w:t>
      </w:r>
      <w:r w:rsidRPr="0048465B">
        <w:rPr>
          <w:lang w:val="en-GB"/>
        </w:rPr>
        <w:t>, Chayut’s announcement</w:t>
      </w:r>
      <w:r w:rsidR="000D4855">
        <w:rPr>
          <w:lang w:val="en-GB"/>
        </w:rPr>
        <w:t xml:space="preserve"> also</w:t>
      </w:r>
      <w:r w:rsidRPr="0048465B">
        <w:rPr>
          <w:lang w:val="en-GB"/>
        </w:rPr>
        <w:t xml:space="preserve"> ironically ignores the fact that the Israeli state completely controls Palestinian movement. Even internally, Israeli restrictions have cut the West Bank into separate districts, with movement between these regions guarded by checkpoints.</w:t>
      </w:r>
      <w:r w:rsidRPr="0048465B">
        <w:rPr>
          <w:vertAlign w:val="superscript"/>
          <w:lang w:val="en-GB"/>
        </w:rPr>
        <w:footnoteReference w:id="370"/>
      </w:r>
      <w:r w:rsidRPr="0048465B">
        <w:rPr>
          <w:lang w:val="en-GB"/>
        </w:rPr>
        <w:t xml:space="preserve"> In 2017, the UN Office for the Coordination of Humanitarian Affairs reported on average </w:t>
      </w:r>
      <w:r w:rsidR="002A5FAE">
        <w:rPr>
          <w:lang w:val="en-GB"/>
        </w:rPr>
        <w:t>three-hundred and twenty-seven</w:t>
      </w:r>
      <w:r w:rsidRPr="0048465B">
        <w:rPr>
          <w:lang w:val="en-GB"/>
        </w:rPr>
        <w:t xml:space="preserve"> ‘flying checkpoints’ a month in the West Bank, and </w:t>
      </w:r>
      <w:r w:rsidR="002A5FAE">
        <w:rPr>
          <w:lang w:val="en-GB"/>
        </w:rPr>
        <w:t>four-hundred and seventy-six</w:t>
      </w:r>
      <w:r w:rsidRPr="0048465B">
        <w:rPr>
          <w:lang w:val="en-GB"/>
        </w:rPr>
        <w:t xml:space="preserve"> ‘unstaffed physical objects along West Bank roads’.</w:t>
      </w:r>
      <w:r w:rsidRPr="0048465B">
        <w:rPr>
          <w:vertAlign w:val="superscript"/>
          <w:lang w:val="en-GB"/>
        </w:rPr>
        <w:footnoteReference w:id="371"/>
      </w:r>
      <w:r w:rsidRPr="0048465B">
        <w:rPr>
          <w:lang w:val="en-GB"/>
        </w:rPr>
        <w:t xml:space="preserve"> Whilst moving to another country may be a simple solution for </w:t>
      </w:r>
      <w:proofErr w:type="spellStart"/>
      <w:r w:rsidRPr="0048465B">
        <w:rPr>
          <w:lang w:val="en-GB"/>
        </w:rPr>
        <w:t>Chayut</w:t>
      </w:r>
      <w:proofErr w:type="spellEnd"/>
      <w:r w:rsidRPr="0048465B">
        <w:rPr>
          <w:lang w:val="en-GB"/>
        </w:rPr>
        <w:t>, it is clearly not so for the people of Palestine.</w:t>
      </w:r>
    </w:p>
    <w:p w14:paraId="6EA78823" w14:textId="77777777" w:rsidR="00FC331F" w:rsidRPr="0048465B" w:rsidRDefault="00FC331F" w:rsidP="00FC331F">
      <w:pPr>
        <w:tabs>
          <w:tab w:val="left" w:pos="720"/>
          <w:tab w:val="left" w:pos="3926"/>
        </w:tabs>
        <w:rPr>
          <w:lang w:val="en-GB"/>
        </w:rPr>
      </w:pPr>
    </w:p>
    <w:p w14:paraId="2C1E9C5B" w14:textId="1E65242F" w:rsidR="00FC331F" w:rsidRPr="0048465B" w:rsidRDefault="00FC331F" w:rsidP="00FC331F">
      <w:pPr>
        <w:tabs>
          <w:tab w:val="left" w:pos="720"/>
          <w:tab w:val="left" w:pos="3926"/>
        </w:tabs>
        <w:rPr>
          <w:lang w:val="en-GB"/>
        </w:rPr>
      </w:pPr>
      <w:r w:rsidRPr="0048465B">
        <w:rPr>
          <w:lang w:val="en-GB"/>
        </w:rPr>
        <w:t xml:space="preserve">Moreover, whilst </w:t>
      </w:r>
      <w:proofErr w:type="spellStart"/>
      <w:r w:rsidRPr="0048465B">
        <w:rPr>
          <w:lang w:val="en-GB"/>
        </w:rPr>
        <w:t>Chayut</w:t>
      </w:r>
      <w:proofErr w:type="spellEnd"/>
      <w:r w:rsidRPr="0048465B">
        <w:rPr>
          <w:lang w:val="en-GB"/>
        </w:rPr>
        <w:t xml:space="preserve"> should be commended for his accounts of abuses against Palestinians within his memoir, in the final chapter he undermines both the pain and subjectivity of Palestinians, and undoes what initially appeared to be his release from the exceptionalism of the Holocaust. The final chapter takes the shape of a letter directly addressed to the girl whom </w:t>
      </w:r>
      <w:proofErr w:type="spellStart"/>
      <w:r w:rsidRPr="0048465B">
        <w:rPr>
          <w:lang w:val="en-GB"/>
        </w:rPr>
        <w:t>Chayut</w:t>
      </w:r>
      <w:proofErr w:type="spellEnd"/>
      <w:r w:rsidRPr="0048465B">
        <w:rPr>
          <w:lang w:val="en-GB"/>
        </w:rPr>
        <w:t xml:space="preserve"> characterises as having stolen his Holocaust. In this letter, </w:t>
      </w:r>
      <w:proofErr w:type="spellStart"/>
      <w:r w:rsidRPr="0048465B">
        <w:rPr>
          <w:lang w:val="en-GB"/>
        </w:rPr>
        <w:t>Chayut</w:t>
      </w:r>
      <w:proofErr w:type="spellEnd"/>
      <w:r w:rsidRPr="0048465B">
        <w:rPr>
          <w:lang w:val="en-GB"/>
        </w:rPr>
        <w:t xml:space="preserve"> tells the girl ‘I know I am your idea of absolute evil’, before momentarily questioning whether there might be some other evil in the girl’s life, and then confirming, both to himself and to her, ‘I know the answer myself. There was no one else </w:t>
      </w:r>
      <w:r w:rsidR="0029114E">
        <w:rPr>
          <w:lang w:val="en-GB"/>
        </w:rPr>
        <w:t>-</w:t>
      </w:r>
      <w:r w:rsidRPr="0048465B">
        <w:rPr>
          <w:lang w:val="en-GB"/>
        </w:rPr>
        <w:t xml:space="preserve"> I am your absolute evil. I am he’.</w:t>
      </w:r>
      <w:r w:rsidRPr="0048465B">
        <w:rPr>
          <w:vertAlign w:val="superscript"/>
          <w:lang w:val="en-GB"/>
        </w:rPr>
        <w:footnoteReference w:id="372"/>
      </w:r>
      <w:r w:rsidRPr="0048465B">
        <w:rPr>
          <w:lang w:val="en-GB"/>
        </w:rPr>
        <w:t xml:space="preserve"> Chayut’s egocentric insistence that he is ‘absolute evil’ for the young girl confines her experience to that which has been depicted in the book. </w:t>
      </w:r>
      <w:r w:rsidR="000D4855">
        <w:rPr>
          <w:lang w:val="en-GB"/>
        </w:rPr>
        <w:t>Unlike</w:t>
      </w:r>
      <w:r w:rsidRPr="0048465B">
        <w:rPr>
          <w:lang w:val="en-GB"/>
        </w:rPr>
        <w:t xml:space="preserve"> </w:t>
      </w:r>
      <w:proofErr w:type="spellStart"/>
      <w:r w:rsidRPr="0048465B">
        <w:rPr>
          <w:lang w:val="en-GB"/>
        </w:rPr>
        <w:t>Hever</w:t>
      </w:r>
      <w:proofErr w:type="spellEnd"/>
      <w:r w:rsidR="000D4855">
        <w:rPr>
          <w:lang w:val="en-GB"/>
        </w:rPr>
        <w:t>, who</w:t>
      </w:r>
      <w:r w:rsidRPr="0048465B">
        <w:rPr>
          <w:lang w:val="en-GB"/>
        </w:rPr>
        <w:t xml:space="preserve"> succeeds in acknowledging his own inability to construct an authentic sense of Palestinian suffering due to his position as an Israeli, the identification of the girl’s ultimate evil within Chayut’s novel is one that is depicted entirely by </w:t>
      </w:r>
      <w:proofErr w:type="spellStart"/>
      <w:r w:rsidRPr="0048465B">
        <w:rPr>
          <w:lang w:val="en-GB"/>
        </w:rPr>
        <w:t>Chayut</w:t>
      </w:r>
      <w:proofErr w:type="spellEnd"/>
      <w:r w:rsidRPr="0048465B">
        <w:rPr>
          <w:lang w:val="en-GB"/>
        </w:rPr>
        <w:t xml:space="preserve"> himself. As a result, the reader is now directly informed that this young Palestinian girl’s ‘absolute evil’ is that of an Israeli soldier, impressed by his own ‘“stormy disembarkation”’ from his Jeep, who looks towards her ‘with the right kind of smile’,</w:t>
      </w:r>
      <w:r w:rsidRPr="0048465B">
        <w:rPr>
          <w:vertAlign w:val="superscript"/>
          <w:lang w:val="en-GB"/>
        </w:rPr>
        <w:footnoteReference w:id="373"/>
      </w:r>
      <w:r w:rsidRPr="0048465B">
        <w:rPr>
          <w:lang w:val="en-GB"/>
        </w:rPr>
        <w:t xml:space="preserve"> his gun ‘follow[</w:t>
      </w:r>
      <w:proofErr w:type="spellStart"/>
      <w:r w:rsidRPr="0048465B">
        <w:rPr>
          <w:lang w:val="en-GB"/>
        </w:rPr>
        <w:t>ing</w:t>
      </w:r>
      <w:proofErr w:type="spellEnd"/>
      <w:r w:rsidRPr="0048465B">
        <w:rPr>
          <w:lang w:val="en-GB"/>
        </w:rPr>
        <w:t>] his gaze’,</w:t>
      </w:r>
      <w:r w:rsidRPr="0048465B">
        <w:rPr>
          <w:vertAlign w:val="superscript"/>
          <w:lang w:val="en-GB"/>
        </w:rPr>
        <w:footnoteReference w:id="374"/>
      </w:r>
      <w:r w:rsidRPr="0048465B">
        <w:rPr>
          <w:lang w:val="en-GB"/>
        </w:rPr>
        <w:t xml:space="preserve"> before he runs off ‘to continue [his] mission’.</w:t>
      </w:r>
      <w:r w:rsidRPr="0048465B">
        <w:rPr>
          <w:vertAlign w:val="superscript"/>
          <w:lang w:val="en-GB"/>
        </w:rPr>
        <w:footnoteReference w:id="375"/>
      </w:r>
      <w:r w:rsidRPr="0048465B">
        <w:rPr>
          <w:lang w:val="en-GB"/>
        </w:rPr>
        <w:t xml:space="preserve"> Whilst this interaction comes to have huge meaning for </w:t>
      </w:r>
      <w:proofErr w:type="spellStart"/>
      <w:r w:rsidRPr="0048465B">
        <w:rPr>
          <w:lang w:val="en-GB"/>
        </w:rPr>
        <w:t>Chayut</w:t>
      </w:r>
      <w:proofErr w:type="spellEnd"/>
      <w:r w:rsidRPr="0048465B">
        <w:rPr>
          <w:lang w:val="en-GB"/>
        </w:rPr>
        <w:t xml:space="preserve">, even for him this moment only attains considerable importance in retrospect. For </w:t>
      </w:r>
      <w:proofErr w:type="spellStart"/>
      <w:r w:rsidRPr="0048465B">
        <w:rPr>
          <w:lang w:val="en-GB"/>
        </w:rPr>
        <w:t>Chayut</w:t>
      </w:r>
      <w:proofErr w:type="spellEnd"/>
      <w:r w:rsidRPr="0048465B">
        <w:rPr>
          <w:lang w:val="en-GB"/>
        </w:rPr>
        <w:t xml:space="preserve"> to impose such importance on his own fleeting entrance into the girl’s life, when h</w:t>
      </w:r>
      <w:r w:rsidR="00761153">
        <w:rPr>
          <w:lang w:val="en-GB"/>
        </w:rPr>
        <w:t>is own memoir</w:t>
      </w:r>
      <w:r w:rsidRPr="0048465B">
        <w:rPr>
          <w:lang w:val="en-GB"/>
        </w:rPr>
        <w:t xml:space="preserve"> </w:t>
      </w:r>
      <w:r w:rsidR="00761153">
        <w:rPr>
          <w:lang w:val="en-GB"/>
        </w:rPr>
        <w:t xml:space="preserve">recounts </w:t>
      </w:r>
      <w:r w:rsidRPr="0048465B">
        <w:rPr>
          <w:lang w:val="en-GB"/>
        </w:rPr>
        <w:t>the forcible evacuation of Palestinian families, the use of Palestinian civilians as ‘human shield[s]’,</w:t>
      </w:r>
      <w:r w:rsidRPr="0048465B">
        <w:rPr>
          <w:vertAlign w:val="superscript"/>
          <w:lang w:val="en-GB"/>
        </w:rPr>
        <w:footnoteReference w:id="376"/>
      </w:r>
      <w:r w:rsidRPr="0048465B">
        <w:rPr>
          <w:lang w:val="en-GB"/>
        </w:rPr>
        <w:t xml:space="preserve"> the </w:t>
      </w:r>
      <w:r w:rsidRPr="0048465B">
        <w:rPr>
          <w:lang w:val="en-GB"/>
        </w:rPr>
        <w:lastRenderedPageBreak/>
        <w:t>violation of Palestinian corpses,</w:t>
      </w:r>
      <w:r w:rsidRPr="0048465B">
        <w:rPr>
          <w:vertAlign w:val="superscript"/>
          <w:lang w:val="en-GB"/>
        </w:rPr>
        <w:footnoteReference w:id="377"/>
      </w:r>
      <w:r w:rsidRPr="0048465B">
        <w:rPr>
          <w:lang w:val="en-GB"/>
        </w:rPr>
        <w:t xml:space="preserve"> and the murder of Palestinian children,</w:t>
      </w:r>
      <w:r w:rsidRPr="0048465B">
        <w:rPr>
          <w:vertAlign w:val="superscript"/>
          <w:lang w:val="en-GB"/>
        </w:rPr>
        <w:footnoteReference w:id="378"/>
      </w:r>
      <w:r w:rsidRPr="0048465B">
        <w:rPr>
          <w:lang w:val="en-GB"/>
        </w:rPr>
        <w:t xml:space="preserve"> magnifies the silence of the authentic Palestinian perspective, which, surely, has its own very different understanding of absolute evil.</w:t>
      </w:r>
    </w:p>
    <w:p w14:paraId="2D61096E" w14:textId="77777777" w:rsidR="00FC331F" w:rsidRPr="0048465B" w:rsidRDefault="00FC331F" w:rsidP="00FC331F">
      <w:pPr>
        <w:tabs>
          <w:tab w:val="left" w:pos="720"/>
          <w:tab w:val="left" w:pos="3926"/>
        </w:tabs>
        <w:rPr>
          <w:lang w:val="en-GB"/>
        </w:rPr>
      </w:pPr>
    </w:p>
    <w:p w14:paraId="7EB3878A" w14:textId="2626D655" w:rsidR="00FC331F" w:rsidRPr="0048465B" w:rsidRDefault="00FC331F" w:rsidP="00FC331F">
      <w:pPr>
        <w:tabs>
          <w:tab w:val="left" w:pos="720"/>
          <w:tab w:val="left" w:pos="3926"/>
        </w:tabs>
        <w:rPr>
          <w:lang w:val="en-GB"/>
        </w:rPr>
      </w:pPr>
      <w:r w:rsidRPr="0048465B">
        <w:rPr>
          <w:lang w:val="en-GB"/>
        </w:rPr>
        <w:t xml:space="preserve">It is shortly after having told the young girl that he is her ‘absolute evil’ that </w:t>
      </w:r>
      <w:proofErr w:type="spellStart"/>
      <w:r w:rsidRPr="0048465B">
        <w:rPr>
          <w:lang w:val="en-GB"/>
        </w:rPr>
        <w:t>Chayut</w:t>
      </w:r>
      <w:proofErr w:type="spellEnd"/>
      <w:r w:rsidRPr="0048465B">
        <w:rPr>
          <w:lang w:val="en-GB"/>
        </w:rPr>
        <w:t xml:space="preserve"> proposes that she both forget and forgive him. ‘[F]</w:t>
      </w:r>
      <w:proofErr w:type="spellStart"/>
      <w:r w:rsidRPr="0048465B">
        <w:rPr>
          <w:lang w:val="en-GB"/>
        </w:rPr>
        <w:t>orget</w:t>
      </w:r>
      <w:proofErr w:type="spellEnd"/>
      <w:r w:rsidRPr="0048465B">
        <w:rPr>
          <w:lang w:val="en-GB"/>
        </w:rPr>
        <w:t xml:space="preserve"> me the way I forgot the absolute evil that you would never understand’,</w:t>
      </w:r>
      <w:r w:rsidRPr="0048465B">
        <w:rPr>
          <w:vertAlign w:val="superscript"/>
          <w:lang w:val="en-GB"/>
        </w:rPr>
        <w:footnoteReference w:id="379"/>
      </w:r>
      <w:r w:rsidRPr="0048465B">
        <w:rPr>
          <w:lang w:val="en-GB"/>
        </w:rPr>
        <w:t xml:space="preserve"> he urges the young girl, having already informed her, ‘you probably think that my horror is inferior to yours. But know that my idea of absolute evil stretches beyond anything your wildest imagination could conceive’.</w:t>
      </w:r>
      <w:r w:rsidRPr="0048465B">
        <w:rPr>
          <w:vertAlign w:val="superscript"/>
          <w:lang w:val="en-GB"/>
        </w:rPr>
        <w:footnoteReference w:id="380"/>
      </w:r>
      <w:r w:rsidRPr="0048465B">
        <w:rPr>
          <w:lang w:val="en-GB"/>
        </w:rPr>
        <w:t xml:space="preserve"> Through both exaggerating the traumatic elements of the young girl’s perception of his own brief, wordless, and completely unremarkable foray into her life, and unnecessarily inserting the young girl’s experience into a competitive framework with the Holocaust, </w:t>
      </w:r>
      <w:proofErr w:type="spellStart"/>
      <w:r w:rsidRPr="0048465B">
        <w:rPr>
          <w:lang w:val="en-GB"/>
        </w:rPr>
        <w:t>Chayut</w:t>
      </w:r>
      <w:proofErr w:type="spellEnd"/>
      <w:r w:rsidRPr="0048465B">
        <w:rPr>
          <w:lang w:val="en-GB"/>
        </w:rPr>
        <w:t xml:space="preserve"> </w:t>
      </w:r>
      <w:r w:rsidR="006C5F2F">
        <w:rPr>
          <w:lang w:val="en-GB"/>
        </w:rPr>
        <w:t xml:space="preserve">both </w:t>
      </w:r>
      <w:r w:rsidRPr="0048465B">
        <w:rPr>
          <w:lang w:val="en-GB"/>
        </w:rPr>
        <w:t>impose</w:t>
      </w:r>
      <w:r w:rsidR="006C5F2F">
        <w:rPr>
          <w:lang w:val="en-GB"/>
        </w:rPr>
        <w:t>s</w:t>
      </w:r>
      <w:r w:rsidRPr="0048465B">
        <w:rPr>
          <w:lang w:val="en-GB"/>
        </w:rPr>
        <w:t xml:space="preserve"> false realities onto this young girl’s existence, </w:t>
      </w:r>
      <w:r w:rsidR="006C5F2F">
        <w:rPr>
          <w:lang w:val="en-GB"/>
        </w:rPr>
        <w:t>and</w:t>
      </w:r>
      <w:r w:rsidRPr="0048465B">
        <w:rPr>
          <w:lang w:val="en-GB"/>
        </w:rPr>
        <w:t xml:space="preserve"> minimise</w:t>
      </w:r>
      <w:r w:rsidR="006C5F2F">
        <w:rPr>
          <w:lang w:val="en-GB"/>
        </w:rPr>
        <w:t>s</w:t>
      </w:r>
      <w:r w:rsidRPr="0048465B">
        <w:rPr>
          <w:lang w:val="en-GB"/>
        </w:rPr>
        <w:t xml:space="preserve"> each and every Palestinian experience that he explore</w:t>
      </w:r>
      <w:r w:rsidR="006C5F2F">
        <w:rPr>
          <w:lang w:val="en-GB"/>
        </w:rPr>
        <w:t>s</w:t>
      </w:r>
      <w:r w:rsidRPr="0048465B">
        <w:rPr>
          <w:lang w:val="en-GB"/>
        </w:rPr>
        <w:t xml:space="preserve"> throughout the memoir</w:t>
      </w:r>
      <w:r w:rsidR="006C5F2F">
        <w:rPr>
          <w:lang w:val="en-GB"/>
        </w:rPr>
        <w:t>. As a result, Palestinian suffering is</w:t>
      </w:r>
      <w:r w:rsidRPr="0048465B">
        <w:rPr>
          <w:lang w:val="en-GB"/>
        </w:rPr>
        <w:t xml:space="preserve"> reduc</w:t>
      </w:r>
      <w:r w:rsidR="006C5F2F">
        <w:rPr>
          <w:lang w:val="en-GB"/>
        </w:rPr>
        <w:t>ed</w:t>
      </w:r>
      <w:r w:rsidRPr="0048465B">
        <w:rPr>
          <w:lang w:val="en-GB"/>
        </w:rPr>
        <w:t xml:space="preserve"> to something not quite as bad as the evil that </w:t>
      </w:r>
      <w:r w:rsidR="00973432">
        <w:rPr>
          <w:lang w:val="en-GB"/>
        </w:rPr>
        <w:t>Palestinians</w:t>
      </w:r>
      <w:r w:rsidRPr="0048465B">
        <w:rPr>
          <w:lang w:val="en-GB"/>
        </w:rPr>
        <w:t xml:space="preserve"> could never possibly understand, a suffering that ended </w:t>
      </w:r>
      <w:r w:rsidR="00AE6D44">
        <w:rPr>
          <w:lang w:val="en-GB"/>
        </w:rPr>
        <w:t>thirty-four</w:t>
      </w:r>
      <w:r w:rsidRPr="0048465B">
        <w:rPr>
          <w:lang w:val="en-GB"/>
        </w:rPr>
        <w:t xml:space="preserve"> years before </w:t>
      </w:r>
      <w:proofErr w:type="spellStart"/>
      <w:r w:rsidRPr="0048465B">
        <w:rPr>
          <w:lang w:val="en-GB"/>
        </w:rPr>
        <w:t>Chayut</w:t>
      </w:r>
      <w:proofErr w:type="spellEnd"/>
      <w:r w:rsidRPr="0048465B">
        <w:rPr>
          <w:lang w:val="en-GB"/>
        </w:rPr>
        <w:t xml:space="preserve"> himself was born.</w:t>
      </w:r>
    </w:p>
    <w:p w14:paraId="4863BD62" w14:textId="77777777" w:rsidR="00FC331F" w:rsidRPr="0048465B" w:rsidRDefault="00FC331F" w:rsidP="00FC331F">
      <w:pPr>
        <w:tabs>
          <w:tab w:val="left" w:pos="720"/>
          <w:tab w:val="left" w:pos="3926"/>
        </w:tabs>
        <w:rPr>
          <w:lang w:val="en-GB"/>
        </w:rPr>
      </w:pPr>
    </w:p>
    <w:p w14:paraId="35652302" w14:textId="0C0449EC" w:rsidR="00FC331F" w:rsidRPr="0048465B" w:rsidRDefault="00FC331F" w:rsidP="00FC331F">
      <w:pPr>
        <w:tabs>
          <w:tab w:val="left" w:pos="720"/>
          <w:tab w:val="left" w:pos="3131"/>
        </w:tabs>
        <w:rPr>
          <w:lang w:val="en-GB"/>
        </w:rPr>
      </w:pPr>
      <w:r w:rsidRPr="0048465B">
        <w:rPr>
          <w:lang w:val="en-GB"/>
        </w:rPr>
        <w:t>A</w:t>
      </w:r>
      <w:r w:rsidR="006C5F2F">
        <w:rPr>
          <w:lang w:val="en-GB"/>
        </w:rPr>
        <w:t xml:space="preserve"> series </w:t>
      </w:r>
      <w:r w:rsidRPr="0048465B">
        <w:rPr>
          <w:lang w:val="en-GB"/>
        </w:rPr>
        <w:t xml:space="preserve">of similar </w:t>
      </w:r>
      <w:r w:rsidR="00973432">
        <w:rPr>
          <w:lang w:val="en-GB"/>
        </w:rPr>
        <w:t>forms</w:t>
      </w:r>
      <w:r w:rsidRPr="0048465B">
        <w:rPr>
          <w:lang w:val="en-GB"/>
        </w:rPr>
        <w:t xml:space="preserve"> of erasure are evoked in Ari Folman’s </w:t>
      </w:r>
      <w:r w:rsidRPr="0048465B">
        <w:rPr>
          <w:i/>
          <w:lang w:val="en-GB"/>
        </w:rPr>
        <w:t>Waltz with Bashir</w:t>
      </w:r>
      <w:r w:rsidRPr="0048465B">
        <w:rPr>
          <w:lang w:val="en-GB"/>
        </w:rPr>
        <w:t xml:space="preserve">, through the main plot’s exploration of Folman’s erased memories of the Lebanon War in 1982, through the erasure of Palestinian and Lebanese voices within the film, and through the erasure of Israeli </w:t>
      </w:r>
      <w:r w:rsidRPr="0048465B">
        <w:rPr>
          <w:lang w:val="en-GB"/>
        </w:rPr>
        <w:lastRenderedPageBreak/>
        <w:t>accountability. Yet, whilst Folman’s memories are re-established throughout the course of the film, Palestinian voices and Israeli accountability remain obscure throughout.</w:t>
      </w:r>
    </w:p>
    <w:p w14:paraId="03FCC55E" w14:textId="77777777" w:rsidR="00FC331F" w:rsidRPr="0048465B" w:rsidRDefault="00FC331F" w:rsidP="00FC331F">
      <w:pPr>
        <w:tabs>
          <w:tab w:val="left" w:pos="720"/>
          <w:tab w:val="left" w:pos="3131"/>
        </w:tabs>
        <w:rPr>
          <w:lang w:val="en-GB"/>
        </w:rPr>
      </w:pPr>
    </w:p>
    <w:p w14:paraId="132C5F1F" w14:textId="6C210B72" w:rsidR="00FC331F" w:rsidRPr="0048465B" w:rsidRDefault="00FC331F" w:rsidP="00FC331F">
      <w:pPr>
        <w:tabs>
          <w:tab w:val="left" w:pos="720"/>
          <w:tab w:val="left" w:pos="3131"/>
        </w:tabs>
        <w:rPr>
          <w:lang w:val="en-GB"/>
        </w:rPr>
      </w:pPr>
      <w:r w:rsidRPr="0048465B">
        <w:rPr>
          <w:lang w:val="en-GB"/>
        </w:rPr>
        <w:t xml:space="preserve">Representations of Arabs in the film are primarily situated in memories of combat, as well as featuring more centrally in Folman’s recurring flashback from the Lebanon War, the very reason he starts exploring his past. In this flashback, Folman and two other soldiers awake in the shallows of the sea, one soldier naked with an army dog tag, the other naked with a dog tag and a gun in hand, and Folman completely naked, no dog tag, no gun. They walk slowly to the shore, where the two other soldiers put on their IDF uniforms and pick up guns, as Folman remains naked and unarmed. As they walk through </w:t>
      </w:r>
      <w:r w:rsidR="00973432">
        <w:rPr>
          <w:lang w:val="en-GB"/>
        </w:rPr>
        <w:t>Beirut</w:t>
      </w:r>
      <w:r w:rsidRPr="0048465B">
        <w:rPr>
          <w:lang w:val="en-GB"/>
        </w:rPr>
        <w:t>, Folman, now clothed and wearing an army dog tag, slowly does up his IDF issue shirt, as if reluctant to take on the position of soldier. As he dresses, the strap of his own gun suddenly appears, growing more and more visible the more he buttons up his shirt, until we see him from behind, shirt now completely on and Folman now fully armed. It is as an armed IDF soldier that Folman turns a street corner into a flood of gaunt, silently wailing, Arab women, men, and children. The camera rotates around the motionless Folman to face him as the wave of Arabs drifts past him. Posters of Ba</w:t>
      </w:r>
      <w:r w:rsidR="00ED7125">
        <w:rPr>
          <w:lang w:val="en-GB"/>
        </w:rPr>
        <w:t>s</w:t>
      </w:r>
      <w:r w:rsidRPr="0048465B">
        <w:rPr>
          <w:lang w:val="en-GB"/>
        </w:rPr>
        <w:t xml:space="preserve">hir Gemayel adorn both sides of the street. This scene, repeated twice during the film, is made real in </w:t>
      </w:r>
      <w:r w:rsidR="00596DC7">
        <w:rPr>
          <w:lang w:val="en-GB"/>
        </w:rPr>
        <w:t>its</w:t>
      </w:r>
      <w:r w:rsidR="00596DC7" w:rsidRPr="0048465B">
        <w:rPr>
          <w:lang w:val="en-GB"/>
        </w:rPr>
        <w:t xml:space="preserve"> </w:t>
      </w:r>
      <w:r w:rsidRPr="0048465B">
        <w:rPr>
          <w:lang w:val="en-GB"/>
        </w:rPr>
        <w:t>final moments, during which the camera moves through the wailing Arab women from behind, towards the armed and heavily breathing Folman. This time, the wails are audible, taken from documentary footage, and as the camera zooms in on Folman’s unsettled face, the film suddenly switches to documentary footage of these weeping women and dead bodies.</w:t>
      </w:r>
    </w:p>
    <w:p w14:paraId="2849F60A" w14:textId="77777777" w:rsidR="00FC331F" w:rsidRPr="0048465B" w:rsidRDefault="00FC331F" w:rsidP="00FC331F">
      <w:pPr>
        <w:tabs>
          <w:tab w:val="left" w:pos="720"/>
          <w:tab w:val="left" w:pos="3131"/>
        </w:tabs>
        <w:rPr>
          <w:lang w:val="en-GB"/>
        </w:rPr>
      </w:pPr>
    </w:p>
    <w:p w14:paraId="3870A5F0" w14:textId="2C55F9CA" w:rsidR="00FC331F" w:rsidRPr="0048465B" w:rsidRDefault="00FC331F" w:rsidP="00FC331F">
      <w:pPr>
        <w:tabs>
          <w:tab w:val="left" w:pos="720"/>
          <w:tab w:val="left" w:pos="3131"/>
        </w:tabs>
        <w:rPr>
          <w:lang w:val="en-GB"/>
        </w:rPr>
      </w:pPr>
      <w:r w:rsidRPr="0048465B">
        <w:rPr>
          <w:lang w:val="en-GB"/>
        </w:rPr>
        <w:lastRenderedPageBreak/>
        <w:t>Whilst this transition is extremely emotive, and the animation beautifully composed, the final scene enacts the voicelessness of the Arabs in the film. In each shot, the Palestinian and Lebanese people are drifted through in order to focus on Folman’s face and his reaction to the suffering,</w:t>
      </w:r>
      <w:r w:rsidR="00E6072D">
        <w:rPr>
          <w:lang w:val="en-GB"/>
        </w:rPr>
        <w:t xml:space="preserve"> Folman here simultaneously serving as a </w:t>
      </w:r>
      <w:proofErr w:type="spellStart"/>
      <w:r w:rsidR="00E6072D">
        <w:rPr>
          <w:lang w:val="en-GB"/>
        </w:rPr>
        <w:t>focaliser</w:t>
      </w:r>
      <w:proofErr w:type="spellEnd"/>
      <w:r w:rsidR="00E6072D">
        <w:rPr>
          <w:lang w:val="en-GB"/>
        </w:rPr>
        <w:t xml:space="preserve"> for Arab pain, whilst at the very same time making peripheral the pain of the Arabs that literally surround him</w:t>
      </w:r>
      <w:r w:rsidRPr="0048465B">
        <w:rPr>
          <w:lang w:val="en-GB"/>
        </w:rPr>
        <w:t xml:space="preserve">. Whilst this fixation on Folman is reversed through the </w:t>
      </w:r>
      <w:proofErr w:type="spellStart"/>
      <w:r w:rsidRPr="0048465B">
        <w:rPr>
          <w:lang w:val="en-GB"/>
        </w:rPr>
        <w:t>videographic</w:t>
      </w:r>
      <w:proofErr w:type="spellEnd"/>
      <w:r w:rsidRPr="0048465B">
        <w:rPr>
          <w:lang w:val="en-GB"/>
        </w:rPr>
        <w:t xml:space="preserve"> actualisation of the final scene</w:t>
      </w:r>
      <w:r w:rsidR="00E6072D">
        <w:rPr>
          <w:lang w:val="en-GB"/>
        </w:rPr>
        <w:t>, with the camera now looking directly towards the Arabs</w:t>
      </w:r>
      <w:r w:rsidRPr="0048465B">
        <w:rPr>
          <w:lang w:val="en-GB"/>
        </w:rPr>
        <w:t>, the screams and pleas of the Arab women remain un-subtitled, contributing to an overall representation of Arabs as those who ‘“snarl and</w:t>
      </w:r>
      <w:r w:rsidR="000C3FB4">
        <w:rPr>
          <w:lang w:val="en-GB"/>
        </w:rPr>
        <w:t xml:space="preserve"> […] </w:t>
      </w:r>
      <w:r w:rsidRPr="0048465B">
        <w:rPr>
          <w:lang w:val="en-GB"/>
        </w:rPr>
        <w:t>wail, but</w:t>
      </w:r>
      <w:r w:rsidR="000C3FB4">
        <w:rPr>
          <w:lang w:val="en-GB"/>
        </w:rPr>
        <w:t xml:space="preserve"> […] </w:t>
      </w:r>
      <w:r w:rsidRPr="0048465B">
        <w:rPr>
          <w:lang w:val="en-GB"/>
        </w:rPr>
        <w:t>never speak”’.</w:t>
      </w:r>
      <w:r w:rsidRPr="0048465B">
        <w:rPr>
          <w:vertAlign w:val="superscript"/>
          <w:lang w:val="en-GB"/>
        </w:rPr>
        <w:footnoteReference w:id="381"/>
      </w:r>
      <w:r w:rsidRPr="0048465B">
        <w:rPr>
          <w:lang w:val="en-GB"/>
        </w:rPr>
        <w:t xml:space="preserve"> The occlusion of the Arab voice here is particularly conspicuous not least because it is the first time that the Arab viewpoint has been offered in the entire film, but also because these women’s cries are in Arabic, a change from the Hebrew of the rest of the film, a</w:t>
      </w:r>
      <w:r w:rsidR="00973432">
        <w:rPr>
          <w:lang w:val="en-GB"/>
        </w:rPr>
        <w:t xml:space="preserve">nd one </w:t>
      </w:r>
      <w:r w:rsidRPr="0048465B">
        <w:rPr>
          <w:lang w:val="en-GB"/>
        </w:rPr>
        <w:t xml:space="preserve">that </w:t>
      </w:r>
      <w:r w:rsidR="006C5F2F">
        <w:rPr>
          <w:lang w:val="en-GB"/>
        </w:rPr>
        <w:t>makes the sudden absence of subtitles even more conspicuous.</w:t>
      </w:r>
      <w:r w:rsidRPr="0048465B">
        <w:rPr>
          <w:lang w:val="en-GB"/>
        </w:rPr>
        <w:t xml:space="preserve"> This omission is perhaps </w:t>
      </w:r>
      <w:r w:rsidR="006C5F2F">
        <w:rPr>
          <w:lang w:val="en-GB"/>
        </w:rPr>
        <w:t>most</w:t>
      </w:r>
      <w:r w:rsidRPr="0048465B">
        <w:rPr>
          <w:lang w:val="en-GB"/>
        </w:rPr>
        <w:t xml:space="preserve"> startling to non-Hebrew or Arabic speaking viewers, as the </w:t>
      </w:r>
      <w:r w:rsidR="00F85816">
        <w:rPr>
          <w:lang w:val="en-GB"/>
        </w:rPr>
        <w:t>removal</w:t>
      </w:r>
      <w:r w:rsidRPr="0048465B">
        <w:rPr>
          <w:lang w:val="en-GB"/>
        </w:rPr>
        <w:t xml:space="preserve"> of subtitles leaves the viewer without the crutch that has enabled a clear and unimpeded understanding of the Israeli viewpoint, the viewer </w:t>
      </w:r>
      <w:r w:rsidR="00F85816">
        <w:rPr>
          <w:lang w:val="en-GB"/>
        </w:rPr>
        <w:t xml:space="preserve">suddenly </w:t>
      </w:r>
      <w:r w:rsidRPr="0048465B">
        <w:rPr>
          <w:lang w:val="en-GB"/>
        </w:rPr>
        <w:t xml:space="preserve">unable to access the meaning behind the Arab voices that they hear. Moreover, </w:t>
      </w:r>
      <w:r w:rsidR="00F85816">
        <w:rPr>
          <w:lang w:val="en-GB"/>
        </w:rPr>
        <w:t xml:space="preserve">were </w:t>
      </w:r>
      <w:r w:rsidRPr="0048465B">
        <w:rPr>
          <w:lang w:val="en-GB"/>
        </w:rPr>
        <w:t xml:space="preserve">the </w:t>
      </w:r>
      <w:r w:rsidR="00F85816">
        <w:rPr>
          <w:lang w:val="en-GB"/>
        </w:rPr>
        <w:t xml:space="preserve">omitted </w:t>
      </w:r>
      <w:r w:rsidRPr="0048465B">
        <w:rPr>
          <w:lang w:val="en-GB"/>
        </w:rPr>
        <w:t>subtitles</w:t>
      </w:r>
      <w:r w:rsidR="00F85816">
        <w:rPr>
          <w:lang w:val="en-GB"/>
        </w:rPr>
        <w:t xml:space="preserve"> to be included, they would read </w:t>
      </w:r>
      <w:r w:rsidRPr="0048465B">
        <w:rPr>
          <w:lang w:val="en-GB"/>
        </w:rPr>
        <w:t>‘“Film it, film it”’, ‘“Where are the Arabs? Where are the Arabs?”’</w:t>
      </w:r>
      <w:r w:rsidR="00314BAF">
        <w:rPr>
          <w:lang w:val="en-GB"/>
        </w:rPr>
        <w:t>,</w:t>
      </w:r>
      <w:r w:rsidRPr="0048465B">
        <w:rPr>
          <w:vertAlign w:val="superscript"/>
          <w:lang w:val="en-GB"/>
        </w:rPr>
        <w:footnoteReference w:id="382"/>
      </w:r>
      <w:r w:rsidRPr="0048465B">
        <w:rPr>
          <w:lang w:val="en-GB"/>
        </w:rPr>
        <w:t xml:space="preserve"> a question that not only further exposes the absence of the Arab voice within Folman’s film, but is followed, by way of an answer, with film footage of dead Palestinians and Lebanese Shiites.</w:t>
      </w:r>
    </w:p>
    <w:p w14:paraId="549ACCE4" w14:textId="77777777" w:rsidR="00FC331F" w:rsidRPr="0048465B" w:rsidRDefault="00FC331F" w:rsidP="00FC331F">
      <w:pPr>
        <w:tabs>
          <w:tab w:val="left" w:pos="720"/>
          <w:tab w:val="left" w:pos="3131"/>
        </w:tabs>
        <w:rPr>
          <w:lang w:val="en-GB"/>
        </w:rPr>
      </w:pPr>
    </w:p>
    <w:p w14:paraId="7E8F9D27" w14:textId="77777777" w:rsidR="00994AF1" w:rsidRDefault="00FC331F" w:rsidP="00FC331F">
      <w:pPr>
        <w:tabs>
          <w:tab w:val="left" w:pos="720"/>
          <w:tab w:val="left" w:pos="3131"/>
        </w:tabs>
        <w:rPr>
          <w:lang w:val="en-GB"/>
        </w:rPr>
      </w:pPr>
      <w:r w:rsidRPr="0048465B">
        <w:rPr>
          <w:lang w:val="en-GB"/>
        </w:rPr>
        <w:t xml:space="preserve">Whilst Stav argues that it is hard to tell whether the decision to leave out the subtitles for the screaming women represents a denial of voice or ‘a materialization of this cry as an untranslatable </w:t>
      </w:r>
      <w:r w:rsidRPr="0048465B">
        <w:rPr>
          <w:lang w:val="en-GB"/>
        </w:rPr>
        <w:lastRenderedPageBreak/>
        <w:t>act’, the withholding of these voices has the joint effect of both ensuring that the questions of these women fall on deaf ears outside of Arabic speaking communities, and guaranteeing that what is ultimately the story of Palestinian-Lebanese suffering is told exclusively through the eyes and voices of the Israeli soldiers who helped perpetrate it.</w:t>
      </w:r>
      <w:r w:rsidR="006C5F2F" w:rsidRPr="0048465B">
        <w:rPr>
          <w:vertAlign w:val="superscript"/>
          <w:lang w:val="en-GB"/>
        </w:rPr>
        <w:footnoteReference w:id="383"/>
      </w:r>
      <w:r w:rsidRPr="0048465B">
        <w:rPr>
          <w:lang w:val="en-GB"/>
        </w:rPr>
        <w:t xml:space="preserve"> </w:t>
      </w:r>
    </w:p>
    <w:p w14:paraId="45DFA8FC" w14:textId="77777777" w:rsidR="00994AF1" w:rsidRDefault="00994AF1" w:rsidP="00FC331F">
      <w:pPr>
        <w:tabs>
          <w:tab w:val="left" w:pos="720"/>
          <w:tab w:val="left" w:pos="3131"/>
        </w:tabs>
        <w:rPr>
          <w:lang w:val="en-GB"/>
        </w:rPr>
      </w:pPr>
    </w:p>
    <w:p w14:paraId="51B32576" w14:textId="6A961B17" w:rsidR="00FC331F" w:rsidRDefault="00FC331F" w:rsidP="00FC331F">
      <w:pPr>
        <w:tabs>
          <w:tab w:val="left" w:pos="720"/>
          <w:tab w:val="left" w:pos="3131"/>
        </w:tabs>
        <w:rPr>
          <w:lang w:val="en-GB"/>
        </w:rPr>
      </w:pPr>
      <w:r w:rsidRPr="0048465B">
        <w:rPr>
          <w:lang w:val="en-GB"/>
        </w:rPr>
        <w:t>Th</w:t>
      </w:r>
      <w:r w:rsidR="00994AF1">
        <w:rPr>
          <w:lang w:val="en-GB"/>
        </w:rPr>
        <w:t>is</w:t>
      </w:r>
      <w:r w:rsidRPr="0048465B">
        <w:rPr>
          <w:lang w:val="en-GB"/>
        </w:rPr>
        <w:t xml:space="preserve"> erasure of the Arab voice, and consequent ubiquity of the Israeli voice, is made more serious a problem by the fact that the Israeli voices within </w:t>
      </w:r>
      <w:r w:rsidRPr="0048465B">
        <w:rPr>
          <w:i/>
          <w:lang w:val="en-GB"/>
        </w:rPr>
        <w:t>Waltz with Bashir</w:t>
      </w:r>
      <w:r w:rsidRPr="0048465B">
        <w:rPr>
          <w:lang w:val="en-GB"/>
        </w:rPr>
        <w:t xml:space="preserve"> seem reluctant to take on any responsibility for the massacre they participated in. Talking to his friend Ori Sivan, Folman states ‘[</w:t>
      </w:r>
      <w:proofErr w:type="spellStart"/>
      <w:r w:rsidRPr="0048465B">
        <w:rPr>
          <w:lang w:val="en-GB"/>
        </w:rPr>
        <w:t>i</w:t>
      </w:r>
      <w:proofErr w:type="spellEnd"/>
      <w:r w:rsidRPr="0048465B">
        <w:rPr>
          <w:lang w:val="en-GB"/>
        </w:rPr>
        <w:t>]t’s amazing. A massacre took place, it was carried out by Christian Phalangists. All around were several circles of our soldiers. Every circle had some information</w:t>
      </w:r>
      <w:r w:rsidR="000C3FB4">
        <w:rPr>
          <w:lang w:val="en-GB"/>
        </w:rPr>
        <w:t xml:space="preserve"> […] </w:t>
      </w:r>
      <w:r w:rsidRPr="0048465B">
        <w:rPr>
          <w:lang w:val="en-GB"/>
        </w:rPr>
        <w:t>However, the penny didn’t drop. They didn’t realise they were witnessing a genocide’.</w:t>
      </w:r>
      <w:r w:rsidRPr="0048465B">
        <w:rPr>
          <w:vertAlign w:val="superscript"/>
          <w:lang w:val="en-GB"/>
        </w:rPr>
        <w:footnoteReference w:id="384"/>
      </w:r>
      <w:r w:rsidRPr="0048465B">
        <w:rPr>
          <w:lang w:val="en-GB"/>
        </w:rPr>
        <w:t xml:space="preserve"> Folman here distances himself from the massacre through identifying it as having been ‘carried out by Christian Phalangists’, and even isolates himself from the actions of Israeli soldiers through </w:t>
      </w:r>
      <w:r w:rsidR="001435D7">
        <w:rPr>
          <w:lang w:val="en-GB"/>
        </w:rPr>
        <w:t xml:space="preserve">using the personally distanced collective pronoun ‘they’, </w:t>
      </w:r>
      <w:r w:rsidRPr="0048465B">
        <w:rPr>
          <w:lang w:val="en-GB"/>
        </w:rPr>
        <w:t>‘</w:t>
      </w:r>
      <w:r w:rsidRPr="0048465B">
        <w:rPr>
          <w:i/>
          <w:lang w:val="en-GB"/>
        </w:rPr>
        <w:t>They</w:t>
      </w:r>
      <w:r w:rsidRPr="0048465B">
        <w:rPr>
          <w:lang w:val="en-GB"/>
        </w:rPr>
        <w:t xml:space="preserve"> didn’t realise </w:t>
      </w:r>
      <w:r w:rsidRPr="0048465B">
        <w:rPr>
          <w:i/>
          <w:lang w:val="en-GB"/>
        </w:rPr>
        <w:t>they</w:t>
      </w:r>
      <w:r w:rsidRPr="0048465B">
        <w:rPr>
          <w:lang w:val="en-GB"/>
        </w:rPr>
        <w:t xml:space="preserve"> were witnessing a genocide’.</w:t>
      </w:r>
      <w:r w:rsidRPr="0048465B">
        <w:rPr>
          <w:vertAlign w:val="superscript"/>
          <w:lang w:val="en-GB"/>
        </w:rPr>
        <w:footnoteReference w:id="385"/>
      </w:r>
      <w:r w:rsidRPr="0048465B">
        <w:rPr>
          <w:lang w:val="en-GB"/>
        </w:rPr>
        <w:t xml:space="preserve"> Once again, an adjusted version of the Freudian notion of </w:t>
      </w:r>
      <w:proofErr w:type="spellStart"/>
      <w:r w:rsidRPr="00365A61">
        <w:rPr>
          <w:i/>
          <w:iCs/>
          <w:lang w:val="en-GB"/>
        </w:rPr>
        <w:t>Nachträglichkeit</w:t>
      </w:r>
      <w:proofErr w:type="spellEnd"/>
      <w:r w:rsidRPr="0048465B">
        <w:rPr>
          <w:lang w:val="en-GB"/>
        </w:rPr>
        <w:t xml:space="preserve"> is relevant here, as </w:t>
      </w:r>
      <w:r w:rsidR="00994AF1">
        <w:rPr>
          <w:lang w:val="en-GB"/>
        </w:rPr>
        <w:t>–</w:t>
      </w:r>
      <w:r w:rsidRPr="0048465B">
        <w:rPr>
          <w:lang w:val="en-GB"/>
        </w:rPr>
        <w:t xml:space="preserve"> like</w:t>
      </w:r>
      <w:r w:rsidR="00994AF1">
        <w:rPr>
          <w:lang w:val="en-GB"/>
        </w:rPr>
        <w:t xml:space="preserve"> with</w:t>
      </w:r>
      <w:r w:rsidRPr="0048465B">
        <w:rPr>
          <w:lang w:val="en-GB"/>
        </w:rPr>
        <w:t xml:space="preserve"> Chayut’s interaction with the young girl </w:t>
      </w:r>
      <w:r w:rsidR="00994AF1">
        <w:rPr>
          <w:lang w:val="en-GB"/>
        </w:rPr>
        <w:t>–</w:t>
      </w:r>
      <w:r w:rsidRPr="0048465B">
        <w:rPr>
          <w:lang w:val="en-GB"/>
        </w:rPr>
        <w:t xml:space="preserve"> it is only now, decades after the event itself and long after the violence in question occurred, that </w:t>
      </w:r>
      <w:r w:rsidR="008F554C">
        <w:rPr>
          <w:lang w:val="en-GB"/>
        </w:rPr>
        <w:t xml:space="preserve">the suffering of </w:t>
      </w:r>
      <w:r w:rsidRPr="0048465B">
        <w:rPr>
          <w:lang w:val="en-GB"/>
        </w:rPr>
        <w:t>Palestinian</w:t>
      </w:r>
      <w:r w:rsidR="008F554C">
        <w:rPr>
          <w:lang w:val="en-GB"/>
        </w:rPr>
        <w:t>s</w:t>
      </w:r>
      <w:r w:rsidRPr="0048465B">
        <w:rPr>
          <w:lang w:val="en-GB"/>
        </w:rPr>
        <w:t xml:space="preserve"> </w:t>
      </w:r>
      <w:r w:rsidR="00994AF1">
        <w:rPr>
          <w:lang w:val="en-GB"/>
        </w:rPr>
        <w:t>comes close to being</w:t>
      </w:r>
      <w:r w:rsidR="00DE463B">
        <w:rPr>
          <w:lang w:val="en-GB"/>
        </w:rPr>
        <w:t xml:space="preserve"> recognised</w:t>
      </w:r>
      <w:r w:rsidRPr="0048465B">
        <w:rPr>
          <w:lang w:val="en-GB"/>
        </w:rPr>
        <w:t>.</w:t>
      </w:r>
    </w:p>
    <w:p w14:paraId="60B10984" w14:textId="77777777" w:rsidR="00FC331F" w:rsidRPr="0048465B" w:rsidRDefault="00FC331F" w:rsidP="00FC331F">
      <w:pPr>
        <w:tabs>
          <w:tab w:val="left" w:pos="720"/>
          <w:tab w:val="left" w:pos="3131"/>
        </w:tabs>
        <w:rPr>
          <w:lang w:val="en-GB"/>
        </w:rPr>
      </w:pPr>
    </w:p>
    <w:p w14:paraId="3837CE67" w14:textId="7E2C87EC" w:rsidR="001435D7" w:rsidRDefault="00FC331F" w:rsidP="00FC331F">
      <w:pPr>
        <w:tabs>
          <w:tab w:val="left" w:pos="720"/>
          <w:tab w:val="left" w:pos="3131"/>
        </w:tabs>
        <w:rPr>
          <w:lang w:val="en-GB"/>
        </w:rPr>
      </w:pPr>
      <w:r w:rsidRPr="0048465B">
        <w:rPr>
          <w:lang w:val="en-GB"/>
        </w:rPr>
        <w:t xml:space="preserve">In fact, in both </w:t>
      </w:r>
      <w:proofErr w:type="spellStart"/>
      <w:r w:rsidRPr="0048465B">
        <w:rPr>
          <w:lang w:val="en-GB"/>
        </w:rPr>
        <w:t>Chayut</w:t>
      </w:r>
      <w:proofErr w:type="spellEnd"/>
      <w:r w:rsidRPr="0048465B">
        <w:rPr>
          <w:lang w:val="en-GB"/>
        </w:rPr>
        <w:t xml:space="preserve"> and Folman’s works it is only when the abuse of Palestinians is connected to the Holocaust that it becomes truly visible to the protagonists, a connection that, in both works, ultimately undermines this visibility in the very moment that it is established. In the </w:t>
      </w:r>
      <w:r w:rsidRPr="0048465B">
        <w:rPr>
          <w:lang w:val="en-GB"/>
        </w:rPr>
        <w:lastRenderedPageBreak/>
        <w:t>aforementioned scene, we witness Folman teetering on the edge of comprehending his own complicity in the Sabra and Shatila genocide, asking questions that probe at the purity of his conscience. Folman here, is the perfect example of those that Achcar describes as the ‘generation of Israelis born after the foundation of the state’, for whom the life-long understanding of Israel as being based upon ‘the noblest values of Jewish philosophical humanism’ was demolished by the events of 1982, by ‘Israel’s commitment to a programme of murderous violence that could not be justified by the presumption of legitimate self-defence or by the memory of [the] Holocaust’.</w:t>
      </w:r>
      <w:r w:rsidR="00D76F2E">
        <w:rPr>
          <w:rStyle w:val="FootnoteReference"/>
          <w:lang w:val="en-GB"/>
        </w:rPr>
        <w:footnoteReference w:id="386"/>
      </w:r>
      <w:r w:rsidRPr="0048465B">
        <w:rPr>
          <w:lang w:val="en-GB"/>
        </w:rPr>
        <w:t xml:space="preserve"> </w:t>
      </w:r>
    </w:p>
    <w:p w14:paraId="2FCC5C24" w14:textId="77777777" w:rsidR="001435D7" w:rsidRDefault="001435D7" w:rsidP="00FC331F">
      <w:pPr>
        <w:tabs>
          <w:tab w:val="left" w:pos="720"/>
          <w:tab w:val="left" w:pos="3131"/>
        </w:tabs>
        <w:rPr>
          <w:lang w:val="en-GB"/>
        </w:rPr>
      </w:pPr>
    </w:p>
    <w:p w14:paraId="02C6EB24" w14:textId="1B9A3845" w:rsidR="00FC331F" w:rsidRPr="0048465B" w:rsidRDefault="00FC331F" w:rsidP="00FC331F">
      <w:pPr>
        <w:tabs>
          <w:tab w:val="left" w:pos="720"/>
          <w:tab w:val="left" w:pos="3131"/>
        </w:tabs>
        <w:rPr>
          <w:lang w:val="en-GB"/>
        </w:rPr>
      </w:pPr>
      <w:r w:rsidRPr="0048465B">
        <w:rPr>
          <w:lang w:val="en-GB"/>
        </w:rPr>
        <w:t xml:space="preserve">Yet even as Achcar proclaims that the memory of the Holocaust could not prevent this awakening, an awakening that Folman hovers on the margins of, the legacy of the Holocaust returns and stops </w:t>
      </w:r>
      <w:r w:rsidR="001435D7">
        <w:rPr>
          <w:lang w:val="en-GB"/>
        </w:rPr>
        <w:t>Folman</w:t>
      </w:r>
      <w:r w:rsidRPr="0048465B">
        <w:rPr>
          <w:lang w:val="en-GB"/>
        </w:rPr>
        <w:t xml:space="preserve"> in </w:t>
      </w:r>
      <w:r w:rsidR="001435D7">
        <w:rPr>
          <w:lang w:val="en-GB"/>
        </w:rPr>
        <w:t>his</w:t>
      </w:r>
      <w:r w:rsidRPr="0048465B">
        <w:rPr>
          <w:lang w:val="en-GB"/>
        </w:rPr>
        <w:t xml:space="preserve"> tracks. ‘You can’t remember because</w:t>
      </w:r>
      <w:r w:rsidR="000C3FB4">
        <w:rPr>
          <w:lang w:val="en-GB"/>
        </w:rPr>
        <w:t xml:space="preserve"> […] </w:t>
      </w:r>
      <w:r w:rsidRPr="0048465B">
        <w:rPr>
          <w:lang w:val="en-GB"/>
        </w:rPr>
        <w:t>in your opinion, the murderers around them are the same circle’</w:t>
      </w:r>
      <w:r w:rsidR="00AD4745">
        <w:rPr>
          <w:lang w:val="en-GB"/>
        </w:rPr>
        <w:t>,</w:t>
      </w:r>
      <w:r w:rsidRPr="0048465B">
        <w:rPr>
          <w:lang w:val="en-GB"/>
        </w:rPr>
        <w:t xml:space="preserve"> Sivan tells Folman, ‘Unwillingly, you took on the role of the Nazi. You were there firing flares, but you didn’t carry out the massacre’.</w:t>
      </w:r>
      <w:r w:rsidRPr="0048465B">
        <w:rPr>
          <w:vertAlign w:val="superscript"/>
          <w:lang w:val="en-GB"/>
        </w:rPr>
        <w:footnoteReference w:id="387"/>
      </w:r>
      <w:r w:rsidRPr="0048465B">
        <w:rPr>
          <w:lang w:val="en-GB"/>
        </w:rPr>
        <w:t xml:space="preserve"> Thus, in the very moment that Folman is made aware of the reason for his lack of memory </w:t>
      </w:r>
      <w:r w:rsidR="00C51DCD">
        <w:rPr>
          <w:lang w:val="en-GB"/>
        </w:rPr>
        <w:t>–</w:t>
      </w:r>
      <w:r w:rsidRPr="0048465B">
        <w:rPr>
          <w:lang w:val="en-GB"/>
        </w:rPr>
        <w:t xml:space="preserve"> because he feels guilt for his complicity in the murder of the Sabra and Shatila refugee camp inhabitants </w:t>
      </w:r>
      <w:r w:rsidR="00C51DCD">
        <w:rPr>
          <w:lang w:val="en-GB"/>
        </w:rPr>
        <w:t>–</w:t>
      </w:r>
      <w:r w:rsidRPr="0048465B">
        <w:rPr>
          <w:lang w:val="en-GB"/>
        </w:rPr>
        <w:t xml:space="preserve"> Sivan nullifies this discovery. Sivan actively downplays the central role of the Israeli soldiers in the massacre, but, more importantly, by characterising the position held by Folman in that moment as ‘the role of the Nazi’, he establishes a logical contradiction that completely alleviates any and all accusations of complicity in the massacre. No moral human being capable of guilt and pain, let alone a child of Holocaust survivors – as Folman is – would ever willingly ‘t[</w:t>
      </w:r>
      <w:proofErr w:type="spellStart"/>
      <w:r w:rsidRPr="0048465B">
        <w:rPr>
          <w:lang w:val="en-GB"/>
        </w:rPr>
        <w:t>ake</w:t>
      </w:r>
      <w:proofErr w:type="spellEnd"/>
      <w:r w:rsidRPr="0048465B">
        <w:rPr>
          <w:lang w:val="en-GB"/>
        </w:rPr>
        <w:t xml:space="preserve">] on the role of the Nazi’. </w:t>
      </w:r>
      <w:r w:rsidR="00C51DCD">
        <w:rPr>
          <w:lang w:val="en-GB"/>
        </w:rPr>
        <w:t>Sivan’s conclusion</w:t>
      </w:r>
      <w:r w:rsidR="00662782" w:rsidRPr="0048465B">
        <w:rPr>
          <w:lang w:val="en-GB"/>
        </w:rPr>
        <w:t>,</w:t>
      </w:r>
      <w:r w:rsidR="00C51DCD">
        <w:rPr>
          <w:lang w:val="en-GB"/>
        </w:rPr>
        <w:t xml:space="preserve"> that</w:t>
      </w:r>
      <w:r w:rsidRPr="0048465B">
        <w:rPr>
          <w:lang w:val="en-GB"/>
        </w:rPr>
        <w:t xml:space="preserve"> any and all actions affiliated with that particular event must have</w:t>
      </w:r>
      <w:r w:rsidR="00C51DCD">
        <w:rPr>
          <w:lang w:val="en-GB"/>
        </w:rPr>
        <w:t xml:space="preserve"> therefore</w:t>
      </w:r>
      <w:r w:rsidRPr="0048465B">
        <w:rPr>
          <w:lang w:val="en-GB"/>
        </w:rPr>
        <w:t xml:space="preserve"> been </w:t>
      </w:r>
      <w:r w:rsidRPr="0048465B">
        <w:rPr>
          <w:lang w:val="en-GB"/>
        </w:rPr>
        <w:lastRenderedPageBreak/>
        <w:t xml:space="preserve">‘unwilling[]’, </w:t>
      </w:r>
      <w:r w:rsidR="00C51DCD">
        <w:rPr>
          <w:lang w:val="en-GB"/>
        </w:rPr>
        <w:t xml:space="preserve">not only </w:t>
      </w:r>
      <w:r w:rsidRPr="0048465B">
        <w:rPr>
          <w:lang w:val="en-GB"/>
        </w:rPr>
        <w:t>free</w:t>
      </w:r>
      <w:r w:rsidR="00C51DCD">
        <w:rPr>
          <w:lang w:val="en-GB"/>
        </w:rPr>
        <w:t>s</w:t>
      </w:r>
      <w:r w:rsidRPr="0048465B">
        <w:rPr>
          <w:lang w:val="en-GB"/>
        </w:rPr>
        <w:t xml:space="preserve"> Folman from the guilt he is clearly wrestling with, </w:t>
      </w:r>
      <w:r w:rsidR="00C51DCD">
        <w:rPr>
          <w:lang w:val="en-GB"/>
        </w:rPr>
        <w:t>but</w:t>
      </w:r>
      <w:r w:rsidRPr="0048465B">
        <w:rPr>
          <w:lang w:val="en-GB"/>
        </w:rPr>
        <w:t xml:space="preserve"> transform</w:t>
      </w:r>
      <w:r w:rsidR="00C51DCD">
        <w:rPr>
          <w:lang w:val="en-GB"/>
        </w:rPr>
        <w:t>s</w:t>
      </w:r>
      <w:r w:rsidRPr="0048465B">
        <w:rPr>
          <w:lang w:val="en-GB"/>
        </w:rPr>
        <w:t xml:space="preserve"> the event into one perpetrated by Arabs, on Arabs, with Israelis the only innocent party.</w:t>
      </w:r>
    </w:p>
    <w:p w14:paraId="243783EB" w14:textId="77777777" w:rsidR="00FC331F" w:rsidRPr="0048465B" w:rsidRDefault="00FC331F" w:rsidP="00FC331F">
      <w:pPr>
        <w:tabs>
          <w:tab w:val="left" w:pos="720"/>
          <w:tab w:val="left" w:pos="3131"/>
        </w:tabs>
        <w:rPr>
          <w:lang w:val="en-GB"/>
        </w:rPr>
      </w:pPr>
    </w:p>
    <w:p w14:paraId="00CC9EED" w14:textId="4DF7A6A5" w:rsidR="00FC331F" w:rsidRPr="0048465B" w:rsidRDefault="00FC331F" w:rsidP="00FC331F">
      <w:pPr>
        <w:tabs>
          <w:tab w:val="left" w:pos="720"/>
          <w:tab w:val="left" w:pos="3131"/>
        </w:tabs>
        <w:rPr>
          <w:lang w:val="en-GB"/>
        </w:rPr>
      </w:pPr>
      <w:r w:rsidRPr="0048465B">
        <w:rPr>
          <w:lang w:val="en-GB"/>
        </w:rPr>
        <w:t xml:space="preserve">Feelings of guilt and uncertainty are present in each of the main three works explored in this section, yet it is only in Yizhar’s novella, </w:t>
      </w:r>
      <w:r w:rsidRPr="0048465B">
        <w:rPr>
          <w:i/>
          <w:lang w:val="en-GB"/>
        </w:rPr>
        <w:t>Khirbet Khizeh</w:t>
      </w:r>
      <w:r w:rsidRPr="0048465B">
        <w:rPr>
          <w:lang w:val="en-GB"/>
        </w:rPr>
        <w:t xml:space="preserve">, that this guilt is allowed to coexist </w:t>
      </w:r>
      <w:r w:rsidR="00662782" w:rsidRPr="0048465B">
        <w:rPr>
          <w:lang w:val="en-GB"/>
        </w:rPr>
        <w:t>alongside</w:t>
      </w:r>
      <w:r w:rsidRPr="0048465B">
        <w:rPr>
          <w:lang w:val="en-GB"/>
        </w:rPr>
        <w:t xml:space="preserve">, and not be eclipsed by, the spectres of Jewish genocide. Whilst both </w:t>
      </w:r>
      <w:proofErr w:type="spellStart"/>
      <w:r w:rsidRPr="0048465B">
        <w:rPr>
          <w:lang w:val="en-GB"/>
        </w:rPr>
        <w:t>Chayut</w:t>
      </w:r>
      <w:proofErr w:type="spellEnd"/>
      <w:r w:rsidRPr="0048465B">
        <w:rPr>
          <w:lang w:val="en-GB"/>
        </w:rPr>
        <w:t xml:space="preserve"> and Folman’s works engage with Palestinian suffering and the complexities of Israeli complicity, in each of these cases the relationship between perpetrator and victim changes as soon as the Holocaust is evoked. Abstracted from the Holocaust, both </w:t>
      </w:r>
      <w:proofErr w:type="spellStart"/>
      <w:r w:rsidRPr="0048465B">
        <w:rPr>
          <w:lang w:val="en-GB"/>
        </w:rPr>
        <w:t>Chayut</w:t>
      </w:r>
      <w:proofErr w:type="spellEnd"/>
      <w:r w:rsidRPr="0048465B">
        <w:rPr>
          <w:lang w:val="en-GB"/>
        </w:rPr>
        <w:t xml:space="preserve"> and Folman are ex-soldiers who were respectively complicit in what was, at the time, the largest military operation in the West Bank since the Six-Day War, and the genocide of Palestinian refugees and Lebanese Shiites. When the enduring after-effects of the Holocaust are reinserted into these testimonies, however, both authors are seemingly absolved of their sins and transformed into victims themselves, </w:t>
      </w:r>
      <w:proofErr w:type="spellStart"/>
      <w:r w:rsidRPr="0048465B">
        <w:rPr>
          <w:lang w:val="en-GB"/>
        </w:rPr>
        <w:t>Chayut</w:t>
      </w:r>
      <w:proofErr w:type="spellEnd"/>
      <w:r w:rsidRPr="0048465B">
        <w:rPr>
          <w:lang w:val="en-GB"/>
        </w:rPr>
        <w:t xml:space="preserve"> through his perception of his own inherited notion of evil outweighing that of the Palestinians, and Folman through the Holocaust-centric pardon of a friend. </w:t>
      </w:r>
    </w:p>
    <w:p w14:paraId="44F99854" w14:textId="77777777" w:rsidR="00FC331F" w:rsidRPr="0048465B" w:rsidRDefault="00FC331F" w:rsidP="00FC331F">
      <w:pPr>
        <w:tabs>
          <w:tab w:val="left" w:pos="720"/>
          <w:tab w:val="left" w:pos="3131"/>
        </w:tabs>
        <w:rPr>
          <w:lang w:val="en-GB"/>
        </w:rPr>
      </w:pPr>
    </w:p>
    <w:p w14:paraId="098D1014" w14:textId="237AA1EB" w:rsidR="00CA0C64" w:rsidRDefault="00FC331F" w:rsidP="00FC331F">
      <w:pPr>
        <w:tabs>
          <w:tab w:val="left" w:pos="720"/>
          <w:tab w:val="left" w:pos="3131"/>
        </w:tabs>
        <w:rPr>
          <w:lang w:val="en-GB"/>
        </w:rPr>
        <w:sectPr w:rsidR="00CA0C64" w:rsidSect="009953FE">
          <w:footnotePr>
            <w:numRestart w:val="eachSect"/>
          </w:footnotePr>
          <w:pgSz w:w="12240" w:h="15840"/>
          <w:pgMar w:top="1440" w:right="1440" w:bottom="1440" w:left="1440" w:header="720" w:footer="720" w:gutter="0"/>
          <w:cols w:space="720"/>
        </w:sectPr>
      </w:pPr>
      <w:r w:rsidRPr="0048465B">
        <w:rPr>
          <w:lang w:val="en-GB"/>
        </w:rPr>
        <w:t xml:space="preserve">Just as it is unreasonable to expect Palestinian texts exploring the Nakba and Palestinian suffering to explore the Holocaust as a matter of principle, it is also unreasonable to expect Israeli-authored texts to isolate the Holocaust altogether from their explorations of Palestinian suffering. Yet whilst the very presence of the Holocaust </w:t>
      </w:r>
      <w:r w:rsidR="00EC264F">
        <w:rPr>
          <w:lang w:val="en-GB"/>
        </w:rPr>
        <w:t>does</w:t>
      </w:r>
      <w:r w:rsidRPr="0048465B">
        <w:rPr>
          <w:lang w:val="en-GB"/>
        </w:rPr>
        <w:t xml:space="preserve"> not debase </w:t>
      </w:r>
      <w:r w:rsidR="004B53C1">
        <w:rPr>
          <w:lang w:val="en-GB"/>
        </w:rPr>
        <w:t>such</w:t>
      </w:r>
      <w:r w:rsidRPr="0048465B">
        <w:rPr>
          <w:lang w:val="en-GB"/>
        </w:rPr>
        <w:t xml:space="preserve"> explorations, the absence altogether of any Palestinian voices should be cause for concern, and the revelatory value of such explorations must be reassessed when the evocation of the Holocaust ultimately overwhelms any and all explorations of Palestinian suffering. Israeli explorations of guilt and complicity are of huge </w:t>
      </w:r>
      <w:r w:rsidRPr="0048465B">
        <w:rPr>
          <w:lang w:val="en-GB"/>
        </w:rPr>
        <w:lastRenderedPageBreak/>
        <w:t xml:space="preserve">importance when substantiating the claims of the Palestinian people. Such explorations are marred, however, when the revelations therein are relativised through recourse to ancestral trauma, and authorial accountability </w:t>
      </w:r>
      <w:r w:rsidR="004B53C1">
        <w:rPr>
          <w:lang w:val="en-GB"/>
        </w:rPr>
        <w:t xml:space="preserve">is erased </w:t>
      </w:r>
      <w:r w:rsidRPr="0048465B">
        <w:rPr>
          <w:lang w:val="en-GB"/>
        </w:rPr>
        <w:t>as a result.</w:t>
      </w:r>
    </w:p>
    <w:p w14:paraId="5433E565" w14:textId="17A2C9AB" w:rsidR="00FC331F" w:rsidRPr="0048465B" w:rsidRDefault="00FC331F" w:rsidP="00FC331F">
      <w:pPr>
        <w:jc w:val="center"/>
        <w:rPr>
          <w:b/>
          <w:sz w:val="28"/>
          <w:szCs w:val="28"/>
          <w:lang w:val="en-GB"/>
        </w:rPr>
      </w:pPr>
      <w:r w:rsidRPr="0048465B">
        <w:rPr>
          <w:b/>
          <w:sz w:val="28"/>
          <w:szCs w:val="28"/>
          <w:lang w:val="en-GB"/>
        </w:rPr>
        <w:lastRenderedPageBreak/>
        <w:t>Chapter Three</w:t>
      </w:r>
    </w:p>
    <w:p w14:paraId="65F44894" w14:textId="77777777" w:rsidR="00FC331F" w:rsidRPr="0048465B" w:rsidRDefault="00FC331F" w:rsidP="00FC331F">
      <w:pPr>
        <w:jc w:val="center"/>
        <w:rPr>
          <w:b/>
          <w:sz w:val="28"/>
          <w:szCs w:val="28"/>
          <w:lang w:val="en-GB"/>
        </w:rPr>
      </w:pPr>
    </w:p>
    <w:p w14:paraId="67913D64" w14:textId="77777777" w:rsidR="00FC331F" w:rsidRPr="0048465B" w:rsidRDefault="00FC331F" w:rsidP="00FC331F">
      <w:pPr>
        <w:jc w:val="center"/>
        <w:rPr>
          <w:b/>
          <w:sz w:val="28"/>
          <w:szCs w:val="28"/>
          <w:lang w:val="en-GB"/>
        </w:rPr>
      </w:pPr>
      <w:r w:rsidRPr="0048465B">
        <w:rPr>
          <w:b/>
          <w:sz w:val="28"/>
          <w:szCs w:val="28"/>
          <w:lang w:val="en-GB"/>
        </w:rPr>
        <w:t xml:space="preserve">Israel Holds the Cards: </w:t>
      </w:r>
    </w:p>
    <w:p w14:paraId="49ED072F" w14:textId="77777777" w:rsidR="00FC331F" w:rsidRPr="0048465B" w:rsidRDefault="00FC331F" w:rsidP="00FC331F">
      <w:pPr>
        <w:jc w:val="center"/>
        <w:rPr>
          <w:sz w:val="28"/>
          <w:szCs w:val="28"/>
          <w:lang w:val="en-GB"/>
        </w:rPr>
      </w:pPr>
      <w:r w:rsidRPr="0048465B">
        <w:rPr>
          <w:b/>
          <w:sz w:val="28"/>
          <w:szCs w:val="28"/>
          <w:lang w:val="en-GB"/>
        </w:rPr>
        <w:t>Forms of Control in Israeli Culture, Media, and Literature</w:t>
      </w:r>
    </w:p>
    <w:p w14:paraId="25397875" w14:textId="77777777" w:rsidR="00FC331F" w:rsidRPr="0048465B" w:rsidRDefault="00FC331F" w:rsidP="00FC331F">
      <w:pPr>
        <w:rPr>
          <w:lang w:val="en-GB"/>
        </w:rPr>
      </w:pPr>
    </w:p>
    <w:p w14:paraId="28CEE6F0" w14:textId="08473CE5" w:rsidR="00FC331F" w:rsidRPr="0048465B" w:rsidRDefault="00FC331F" w:rsidP="00FC331F">
      <w:pPr>
        <w:rPr>
          <w:lang w:val="en-GB"/>
        </w:rPr>
      </w:pPr>
      <w:r w:rsidRPr="0048465B">
        <w:rPr>
          <w:lang w:val="en-GB"/>
        </w:rPr>
        <w:t xml:space="preserve">Chapters One and Two of this thesis have aimed to provide </w:t>
      </w:r>
      <w:r w:rsidR="00537350">
        <w:rPr>
          <w:lang w:val="en-GB"/>
        </w:rPr>
        <w:t xml:space="preserve">insights into the </w:t>
      </w:r>
      <w:r w:rsidRPr="0048465B">
        <w:rPr>
          <w:lang w:val="en-GB"/>
        </w:rPr>
        <w:t>emotional</w:t>
      </w:r>
      <w:r w:rsidR="00537350">
        <w:rPr>
          <w:lang w:val="en-GB"/>
        </w:rPr>
        <w:t>, historical, and cultural</w:t>
      </w:r>
      <w:r w:rsidRPr="0048465B">
        <w:rPr>
          <w:lang w:val="en-GB"/>
        </w:rPr>
        <w:t xml:space="preserve"> </w:t>
      </w:r>
      <w:r w:rsidR="00537350">
        <w:rPr>
          <w:lang w:val="en-GB"/>
        </w:rPr>
        <w:t xml:space="preserve">aspects of </w:t>
      </w:r>
      <w:r w:rsidRPr="0048465B">
        <w:rPr>
          <w:lang w:val="en-GB"/>
        </w:rPr>
        <w:t>what is perhaps the most high profile and seemingly intractable international conflict of the last hundred years. Whilst remaining in touch with the conflict between Israel and Palestine, this chapter finds itself directed more specifically towards the various intersections of Israeli and Israeli</w:t>
      </w:r>
      <w:r w:rsidR="001C47C6">
        <w:rPr>
          <w:lang w:val="en-GB"/>
        </w:rPr>
        <w:t xml:space="preserve"> </w:t>
      </w:r>
      <w:r w:rsidRPr="0048465B">
        <w:rPr>
          <w:lang w:val="en-GB"/>
        </w:rPr>
        <w:t>Arab</w:t>
      </w:r>
      <w:r w:rsidR="0023678C">
        <w:rPr>
          <w:lang w:val="en-GB"/>
        </w:rPr>
        <w:t>/Palestinian</w:t>
      </w:r>
      <w:r w:rsidRPr="0048465B">
        <w:rPr>
          <w:lang w:val="en-GB"/>
        </w:rPr>
        <w:t xml:space="preserve"> identity that exist both within Israel and abroad. Through investigating the status of Arabs and </w:t>
      </w:r>
      <w:r w:rsidR="00537350">
        <w:rPr>
          <w:lang w:val="en-GB"/>
        </w:rPr>
        <w:t>Palestinians</w:t>
      </w:r>
      <w:r w:rsidRPr="0048465B">
        <w:rPr>
          <w:lang w:val="en-GB"/>
        </w:rPr>
        <w:t xml:space="preserve"> within Israel, as well as focusing on more general understandings of race, religion, marriage, gender, and national duty in Israel, we can hope to develop a more comprehensive understanding of the social and cultural barriers that impede </w:t>
      </w:r>
      <w:r w:rsidR="00537350">
        <w:rPr>
          <w:lang w:val="en-GB"/>
        </w:rPr>
        <w:t>unity</w:t>
      </w:r>
      <w:r w:rsidRPr="0048465B">
        <w:rPr>
          <w:lang w:val="en-GB"/>
        </w:rPr>
        <w:t xml:space="preserve"> in the Middle East.</w:t>
      </w:r>
    </w:p>
    <w:p w14:paraId="247E5523" w14:textId="77777777" w:rsidR="00FC331F" w:rsidRPr="0048465B" w:rsidRDefault="00FC331F" w:rsidP="00FC331F">
      <w:pPr>
        <w:rPr>
          <w:lang w:val="en-GB"/>
        </w:rPr>
      </w:pPr>
    </w:p>
    <w:p w14:paraId="1D94F24A" w14:textId="0D4CA40A" w:rsidR="00FC331F" w:rsidRPr="0048465B" w:rsidRDefault="00FC331F" w:rsidP="00FC331F">
      <w:pPr>
        <w:rPr>
          <w:lang w:val="en-GB"/>
        </w:rPr>
      </w:pPr>
      <w:r w:rsidRPr="0048465B">
        <w:rPr>
          <w:lang w:val="en-GB"/>
        </w:rPr>
        <w:t xml:space="preserve">Complementary to the intersections of identity explored in this chapter is the notion of the ‘starting point’. Perhaps most evident in the chapter’s final analysis of Claire Hajaj’s novel </w:t>
      </w:r>
      <w:r w:rsidRPr="0048465B">
        <w:rPr>
          <w:i/>
          <w:lang w:val="en-GB"/>
        </w:rPr>
        <w:t>Ishmael’s Oranges</w:t>
      </w:r>
      <w:r w:rsidRPr="0048465B">
        <w:rPr>
          <w:lang w:val="en-GB"/>
        </w:rPr>
        <w:t xml:space="preserve">, the ‘starting point’, in this context, refers to the point from which one’s perspectives originate. Each of the explorations in this chapter demonstrates the increased complexity of approaching the Israeli-Palestinian conflict with the accoutrements of one’s people, culture, or religion in tow. Whilst such legacies </w:t>
      </w:r>
      <w:r w:rsidR="00537350">
        <w:rPr>
          <w:lang w:val="en-GB"/>
        </w:rPr>
        <w:t xml:space="preserve">are </w:t>
      </w:r>
      <w:r w:rsidRPr="0048465B">
        <w:rPr>
          <w:lang w:val="en-GB"/>
        </w:rPr>
        <w:t xml:space="preserve">undeniably </w:t>
      </w:r>
      <w:r w:rsidR="00537350">
        <w:rPr>
          <w:lang w:val="en-GB"/>
        </w:rPr>
        <w:t>important</w:t>
      </w:r>
      <w:r w:rsidRPr="0048465B">
        <w:rPr>
          <w:lang w:val="en-GB"/>
        </w:rPr>
        <w:t xml:space="preserve">, in the context of Israel and Palestine, the extent to which one is able to perceive and understand the voice of the other is often directly correlated to the critical distance with which one scrutinises the ideological positions </w:t>
      </w:r>
      <w:r w:rsidRPr="0048465B">
        <w:rPr>
          <w:lang w:val="en-GB"/>
        </w:rPr>
        <w:lastRenderedPageBreak/>
        <w:t>presented as innate within their own group. As such, each section in this chapter depicts not only a hegemonic belief or movement within Israel, but also the individuals or groups that challenge such beliefs through acts of defiance, literary expressions of nonconformity, or simply by their very existence. Whilst such individuals often find themselves embroiled in battles against dogmatic opposition, it is precisely these confrontations that are necessary if change is to occur in a nation structurally opposed to difference. It is only in the confrontation of absolutist ideologies, and the capacity for change in those who hold them, that a</w:t>
      </w:r>
      <w:r w:rsidR="00A15298">
        <w:rPr>
          <w:lang w:val="en-GB"/>
        </w:rPr>
        <w:t xml:space="preserve"> defiant act</w:t>
      </w:r>
      <w:r w:rsidRPr="0048465B">
        <w:rPr>
          <w:lang w:val="en-GB"/>
        </w:rPr>
        <w:t xml:space="preserve"> might eventually transform into an accepted practice.</w:t>
      </w:r>
    </w:p>
    <w:p w14:paraId="761FBACD" w14:textId="77777777" w:rsidR="00FC331F" w:rsidRPr="0048465B" w:rsidRDefault="00FC331F" w:rsidP="00FC331F">
      <w:pPr>
        <w:rPr>
          <w:lang w:val="en-GB"/>
        </w:rPr>
      </w:pPr>
    </w:p>
    <w:p w14:paraId="3A4E33F9" w14:textId="16F3398E" w:rsidR="00FC331F" w:rsidRPr="0048465B" w:rsidRDefault="00FC331F" w:rsidP="00FC331F">
      <w:pPr>
        <w:rPr>
          <w:lang w:val="en-GB"/>
        </w:rPr>
      </w:pPr>
      <w:r w:rsidRPr="0048465B">
        <w:rPr>
          <w:lang w:val="en-GB"/>
        </w:rPr>
        <w:t>Whilst it is the intersections of Israeli and Israeli</w:t>
      </w:r>
      <w:r w:rsidR="001C47C6">
        <w:rPr>
          <w:lang w:val="en-GB"/>
        </w:rPr>
        <w:t xml:space="preserve"> </w:t>
      </w:r>
      <w:r w:rsidRPr="0048465B">
        <w:rPr>
          <w:lang w:val="en-GB"/>
        </w:rPr>
        <w:t>Arab</w:t>
      </w:r>
      <w:r w:rsidR="0023678C">
        <w:rPr>
          <w:lang w:val="en-GB"/>
        </w:rPr>
        <w:t>/</w:t>
      </w:r>
      <w:r w:rsidR="0023678C" w:rsidRPr="0048465B">
        <w:rPr>
          <w:lang w:val="en-GB"/>
        </w:rPr>
        <w:t xml:space="preserve">Palestinian </w:t>
      </w:r>
      <w:r w:rsidRPr="0048465B">
        <w:rPr>
          <w:lang w:val="en-GB"/>
        </w:rPr>
        <w:t xml:space="preserve">identities that this chapter explores, it nonetheless centres these explorations primarily either within Israel’s borders, or with the pressures of the Israeli culture attendant. This is principally due to the fact that whilst there is no route to Israeli-Palestinian peace that depends primarily on Palestinian action alone, the same cannot be said for Israel. As the next two chapters will demonstrate, Palestinian and Arab agency, both individual and political, is held hostage by Israel and its allies, and </w:t>
      </w:r>
      <w:r w:rsidR="0058668E">
        <w:rPr>
          <w:lang w:val="en-GB"/>
        </w:rPr>
        <w:t xml:space="preserve">assessments of the </w:t>
      </w:r>
      <w:r w:rsidRPr="0048465B">
        <w:rPr>
          <w:lang w:val="en-GB"/>
        </w:rPr>
        <w:t>Palestin</w:t>
      </w:r>
      <w:r w:rsidR="0058668E">
        <w:rPr>
          <w:lang w:val="en-GB"/>
        </w:rPr>
        <w:t>ian capacity</w:t>
      </w:r>
      <w:r w:rsidRPr="0048465B">
        <w:rPr>
          <w:lang w:val="en-GB"/>
        </w:rPr>
        <w:t xml:space="preserve"> to end this conflict of its own accord should reflect this captivity. Israel alone benefits from the sustenance of what is, for non-Jews in both Israel and the Occupied Territories, an unsustainable status quo, and just as the ultimate responsibility for ending racism lies with the racist rather than the individual whose being they deem unacceptably ‘other’, Palestinians cannot be expected to put an end to oppressive practices over which they have no control. If the conflict is to be resolved, the lion’s share of the movement must come from the party who holds the most </w:t>
      </w:r>
      <w:r w:rsidRPr="0048465B">
        <w:rPr>
          <w:lang w:val="en-GB"/>
        </w:rPr>
        <w:lastRenderedPageBreak/>
        <w:t xml:space="preserve">power, and Israel </w:t>
      </w:r>
      <w:r w:rsidR="00157B10">
        <w:rPr>
          <w:lang w:val="en-GB"/>
        </w:rPr>
        <w:t>–</w:t>
      </w:r>
      <w:r w:rsidRPr="0048465B">
        <w:rPr>
          <w:lang w:val="en-GB"/>
        </w:rPr>
        <w:t xml:space="preserve"> with its U.S. supported military edge over each and every surrounding nation </w:t>
      </w:r>
      <w:r w:rsidR="00157B10">
        <w:rPr>
          <w:lang w:val="en-GB"/>
        </w:rPr>
        <w:t>–</w:t>
      </w:r>
      <w:r w:rsidRPr="0048465B">
        <w:rPr>
          <w:lang w:val="en-GB"/>
        </w:rPr>
        <w:t xml:space="preserve"> controls the stakes in this particular regard.</w:t>
      </w:r>
      <w:r w:rsidRPr="0048465B">
        <w:rPr>
          <w:vertAlign w:val="superscript"/>
          <w:lang w:val="en-GB"/>
        </w:rPr>
        <w:footnoteReference w:id="388"/>
      </w:r>
    </w:p>
    <w:p w14:paraId="652CA7B4" w14:textId="77777777" w:rsidR="00FC331F" w:rsidRPr="0048465B" w:rsidRDefault="00FC331F" w:rsidP="00FC331F">
      <w:pPr>
        <w:rPr>
          <w:lang w:val="en-GB"/>
        </w:rPr>
      </w:pPr>
    </w:p>
    <w:p w14:paraId="7D2A92D5" w14:textId="1610AF3D" w:rsidR="00FC331F" w:rsidRPr="0048465B" w:rsidRDefault="00FC331F" w:rsidP="00FC331F">
      <w:pPr>
        <w:rPr>
          <w:lang w:val="en-GB"/>
        </w:rPr>
      </w:pPr>
      <w:r w:rsidRPr="0048465B">
        <w:rPr>
          <w:lang w:val="en-GB"/>
        </w:rPr>
        <w:t>Through exploring the proposed unifying potential of the Mizrahim, the possibility of demographic or ideological shifts due to interfaith marriage, the coming together of Israel and Palestin</w:t>
      </w:r>
      <w:r w:rsidR="0058668E">
        <w:rPr>
          <w:lang w:val="en-GB"/>
        </w:rPr>
        <w:t>e in</w:t>
      </w:r>
      <w:r w:rsidRPr="0048465B">
        <w:rPr>
          <w:lang w:val="en-GB"/>
        </w:rPr>
        <w:t xml:space="preserve"> children of </w:t>
      </w:r>
      <w:r w:rsidR="0058668E">
        <w:rPr>
          <w:lang w:val="en-GB"/>
        </w:rPr>
        <w:t>dual</w:t>
      </w:r>
      <w:r w:rsidRPr="0048465B">
        <w:rPr>
          <w:lang w:val="en-GB"/>
        </w:rPr>
        <w:t xml:space="preserve"> Jewish-Palestinian heritage, and the social and cultural pressures that problematise each and every one of these notions, this chapter illustrate</w:t>
      </w:r>
      <w:r w:rsidR="0058668E">
        <w:rPr>
          <w:lang w:val="en-GB"/>
        </w:rPr>
        <w:t>s</w:t>
      </w:r>
      <w:r w:rsidRPr="0048465B">
        <w:rPr>
          <w:lang w:val="en-GB"/>
        </w:rPr>
        <w:t xml:space="preserve"> the extent to which Israeli-Palestinian unity is censured within Israel, thus exposing the improbability of Israeli initiated peace under the current status quo. Through these analyses, this chapter aims to provide an oversight of the socio-cultural context within Israel proper and amongst many Israeli Jews, in doing so laying the groundwork for the final chapter, which looks at potential routes for change. Such avenues include the ostensible political might of International Law, the human rights groundswell of movements such as BDS, </w:t>
      </w:r>
      <w:r w:rsidR="0058668E">
        <w:rPr>
          <w:lang w:val="en-GB"/>
        </w:rPr>
        <w:t xml:space="preserve">and </w:t>
      </w:r>
      <w:r w:rsidRPr="0048465B">
        <w:rPr>
          <w:lang w:val="en-GB"/>
        </w:rPr>
        <w:t>the possibility of a global ideological revolution</w:t>
      </w:r>
      <w:r w:rsidR="0058668E">
        <w:rPr>
          <w:lang w:val="en-GB"/>
        </w:rPr>
        <w:t>, triggered in part by</w:t>
      </w:r>
      <w:r w:rsidRPr="0048465B">
        <w:rPr>
          <w:lang w:val="en-GB"/>
        </w:rPr>
        <w:t xml:space="preserve"> the anti-racism and anti-fascism protests motivated by the murder of George Floyd.</w:t>
      </w:r>
    </w:p>
    <w:p w14:paraId="654FEB8A" w14:textId="77777777" w:rsidR="00FC331F" w:rsidRPr="0048465B" w:rsidRDefault="00FC331F" w:rsidP="00FC331F">
      <w:pPr>
        <w:rPr>
          <w:lang w:val="en-GB"/>
        </w:rPr>
      </w:pPr>
    </w:p>
    <w:p w14:paraId="460BF835" w14:textId="07C2FFB6" w:rsidR="00FC331F" w:rsidRDefault="00FC331F" w:rsidP="00FC331F">
      <w:pPr>
        <w:rPr>
          <w:lang w:val="en-GB"/>
        </w:rPr>
      </w:pPr>
      <w:r w:rsidRPr="0048465B">
        <w:rPr>
          <w:lang w:val="en-GB"/>
        </w:rPr>
        <w:t xml:space="preserve">Intersections between Israeli and </w:t>
      </w:r>
      <w:r w:rsidR="0058668E">
        <w:rPr>
          <w:lang w:val="en-GB"/>
        </w:rPr>
        <w:t>Israeli</w:t>
      </w:r>
      <w:r w:rsidR="001C47C6">
        <w:rPr>
          <w:lang w:val="en-GB"/>
        </w:rPr>
        <w:t xml:space="preserve"> </w:t>
      </w:r>
      <w:r w:rsidRPr="0048465B">
        <w:rPr>
          <w:lang w:val="en-GB"/>
        </w:rPr>
        <w:t xml:space="preserve">Arab/Palestinian peoples </w:t>
      </w:r>
      <w:r w:rsidR="00157B10">
        <w:rPr>
          <w:lang w:val="en-GB"/>
        </w:rPr>
        <w:t xml:space="preserve">are </w:t>
      </w:r>
      <w:r w:rsidRPr="0048465B">
        <w:rPr>
          <w:lang w:val="en-GB"/>
        </w:rPr>
        <w:t>abundan</w:t>
      </w:r>
      <w:r w:rsidR="00157B10">
        <w:rPr>
          <w:lang w:val="en-GB"/>
        </w:rPr>
        <w:t>t</w:t>
      </w:r>
      <w:r w:rsidRPr="0048465B">
        <w:rPr>
          <w:lang w:val="en-GB"/>
        </w:rPr>
        <w:t xml:space="preserve">, both within this chapter and in the real world. Yet whilst explorations of </w:t>
      </w:r>
      <w:r w:rsidR="00157B10">
        <w:rPr>
          <w:lang w:val="en-GB"/>
        </w:rPr>
        <w:t>such intersections</w:t>
      </w:r>
      <w:r w:rsidRPr="0048465B">
        <w:rPr>
          <w:lang w:val="en-GB"/>
        </w:rPr>
        <w:t xml:space="preserve"> show us that racial, religious, and marital multiplicity </w:t>
      </w:r>
      <w:r w:rsidR="00157B10">
        <w:rPr>
          <w:lang w:val="en-GB"/>
        </w:rPr>
        <w:t>exist</w:t>
      </w:r>
      <w:r w:rsidRPr="0048465B">
        <w:rPr>
          <w:lang w:val="en-GB"/>
        </w:rPr>
        <w:t xml:space="preserve"> within Israel, the extent to which </w:t>
      </w:r>
      <w:r w:rsidR="00157B10">
        <w:rPr>
          <w:lang w:val="en-GB"/>
        </w:rPr>
        <w:t>they</w:t>
      </w:r>
      <w:r w:rsidRPr="0048465B">
        <w:rPr>
          <w:lang w:val="en-GB"/>
        </w:rPr>
        <w:t xml:space="preserve"> </w:t>
      </w:r>
      <w:r w:rsidR="00157B10">
        <w:rPr>
          <w:lang w:val="en-GB"/>
        </w:rPr>
        <w:t>are</w:t>
      </w:r>
      <w:r w:rsidRPr="0048465B">
        <w:rPr>
          <w:lang w:val="en-GB"/>
        </w:rPr>
        <w:t xml:space="preserve"> able to </w:t>
      </w:r>
      <w:r w:rsidR="00B43E92">
        <w:rPr>
          <w:lang w:val="en-GB"/>
        </w:rPr>
        <w:t>stimulate</w:t>
      </w:r>
      <w:r w:rsidRPr="0048465B">
        <w:rPr>
          <w:lang w:val="en-GB"/>
        </w:rPr>
        <w:t xml:space="preserve"> change ultimately depends on Israel, as it is Israel that holds most, if not all, of the cards.</w:t>
      </w:r>
    </w:p>
    <w:p w14:paraId="4E63488E" w14:textId="51E3611A" w:rsidR="0058668E" w:rsidRDefault="0058668E" w:rsidP="00FC331F">
      <w:pPr>
        <w:rPr>
          <w:lang w:val="en-GB"/>
        </w:rPr>
      </w:pPr>
    </w:p>
    <w:p w14:paraId="1B110368" w14:textId="77777777" w:rsidR="0058668E" w:rsidRPr="0048465B" w:rsidRDefault="0058668E" w:rsidP="00FC331F">
      <w:pPr>
        <w:rPr>
          <w:lang w:val="en-GB"/>
        </w:rPr>
      </w:pPr>
    </w:p>
    <w:p w14:paraId="543DD262" w14:textId="77777777" w:rsidR="00FC331F" w:rsidRPr="0048465B" w:rsidRDefault="00FC331F" w:rsidP="00FC331F">
      <w:pPr>
        <w:rPr>
          <w:lang w:val="en-GB"/>
        </w:rPr>
      </w:pPr>
    </w:p>
    <w:p w14:paraId="62BCDE3A" w14:textId="77777777" w:rsidR="00FC331F" w:rsidRPr="0048465B" w:rsidRDefault="00FC331F" w:rsidP="00FC331F">
      <w:pPr>
        <w:jc w:val="center"/>
        <w:rPr>
          <w:lang w:val="en-GB"/>
        </w:rPr>
      </w:pPr>
      <w:r w:rsidRPr="0048465B">
        <w:rPr>
          <w:b/>
          <w:lang w:val="en-GB"/>
        </w:rPr>
        <w:lastRenderedPageBreak/>
        <w:t>Mizrahi Jews: Central, or Decentralised?</w:t>
      </w:r>
    </w:p>
    <w:p w14:paraId="02A6551B" w14:textId="77777777" w:rsidR="00FC331F" w:rsidRPr="0048465B" w:rsidRDefault="00FC331F" w:rsidP="00FC331F">
      <w:pPr>
        <w:rPr>
          <w:lang w:val="en-GB"/>
        </w:rPr>
      </w:pPr>
    </w:p>
    <w:p w14:paraId="421B8DDA" w14:textId="33090EB5" w:rsidR="00FC331F" w:rsidRPr="0048465B" w:rsidRDefault="00FC331F" w:rsidP="00FC331F">
      <w:pPr>
        <w:rPr>
          <w:lang w:val="en-GB"/>
        </w:rPr>
      </w:pPr>
      <w:r w:rsidRPr="0048465B">
        <w:rPr>
          <w:lang w:val="en-GB"/>
        </w:rPr>
        <w:t xml:space="preserve">The potential importance of the Mizrahim in resolving the Israeli-Palestinian conflict lies in their duality. Mizrahi Jews are primarily those of </w:t>
      </w:r>
      <w:r w:rsidR="00852AF6" w:rsidRPr="0048465B">
        <w:rPr>
          <w:lang w:val="en-GB"/>
        </w:rPr>
        <w:t>Middle Eastern</w:t>
      </w:r>
      <w:r w:rsidRPr="0048465B">
        <w:rPr>
          <w:lang w:val="en-GB"/>
        </w:rPr>
        <w:t xml:space="preserve"> descent, with North African Jews commonly included in the group due to the two people’s shared experience of having lived primarily under Muslim rule, and having either migrated, or been expelled from, countries of origin where Arabs are a considerable demographic presence. The argument behind the centrality of the Mizrahim in tempering the Israeli-Palestinian conflict is that their unique position provides them with a kind of double-vision, not only Israeli</w:t>
      </w:r>
      <w:r w:rsidR="00B45635">
        <w:rPr>
          <w:lang w:val="en-GB"/>
        </w:rPr>
        <w:t xml:space="preserve"> </w:t>
      </w:r>
      <w:r w:rsidRPr="0048465B">
        <w:rPr>
          <w:lang w:val="en-GB"/>
        </w:rPr>
        <w:t>Jewish citizens with an ability to understand the strength</w:t>
      </w:r>
      <w:r w:rsidR="0090027C">
        <w:rPr>
          <w:lang w:val="en-GB"/>
        </w:rPr>
        <w:t xml:space="preserve"> and importance</w:t>
      </w:r>
      <w:r w:rsidRPr="0048465B">
        <w:rPr>
          <w:lang w:val="en-GB"/>
        </w:rPr>
        <w:t xml:space="preserve"> of Jewish faith and history within Israel, but also aligned with Palestinians through their Arab identity, through being ethnically indigenous to the Middle East, and through the cultural affinities that this offers. The prospect of the Mizrahim ‘play[</w:t>
      </w:r>
      <w:proofErr w:type="spellStart"/>
      <w:r w:rsidRPr="0048465B">
        <w:rPr>
          <w:lang w:val="en-GB"/>
        </w:rPr>
        <w:t>ing</w:t>
      </w:r>
      <w:proofErr w:type="spellEnd"/>
      <w:r w:rsidRPr="0048465B">
        <w:rPr>
          <w:lang w:val="en-GB"/>
        </w:rPr>
        <w:t>] the role of mediator between opposing camps’</w:t>
      </w:r>
      <w:r w:rsidRPr="0048465B">
        <w:rPr>
          <w:vertAlign w:val="superscript"/>
          <w:lang w:val="en-GB"/>
        </w:rPr>
        <w:footnoteReference w:id="389"/>
      </w:r>
      <w:r w:rsidRPr="0048465B">
        <w:rPr>
          <w:lang w:val="en-GB"/>
        </w:rPr>
        <w:t xml:space="preserve"> is a particularly advantageous notion because the Mizrahim constitute roughly half of Israeli citizenry, and are thus a highly influential body within Israeli politics.</w:t>
      </w:r>
      <w:r w:rsidRPr="0048465B">
        <w:rPr>
          <w:vertAlign w:val="superscript"/>
          <w:lang w:val="en-GB"/>
        </w:rPr>
        <w:footnoteReference w:id="390"/>
      </w:r>
    </w:p>
    <w:p w14:paraId="361DC202" w14:textId="77777777" w:rsidR="00FC331F" w:rsidRPr="0048465B" w:rsidRDefault="00FC331F" w:rsidP="00FC331F">
      <w:pPr>
        <w:rPr>
          <w:lang w:val="en-GB"/>
        </w:rPr>
      </w:pPr>
    </w:p>
    <w:p w14:paraId="2EA8A117" w14:textId="4B88EAD7" w:rsidR="00FC331F" w:rsidRPr="0048465B" w:rsidRDefault="00FC331F" w:rsidP="00FC331F">
      <w:pPr>
        <w:rPr>
          <w:lang w:val="en-GB"/>
        </w:rPr>
      </w:pPr>
      <w:r w:rsidRPr="0048465B">
        <w:rPr>
          <w:lang w:val="en-GB"/>
        </w:rPr>
        <w:t>It is important to distinguish here between the terms Mizrahi and Sephardi. Whilst first generation Mizrahi Jews include those from countries in the Middle East and Africa such as Iraq, Yemen, Iran</w:t>
      </w:r>
      <w:r w:rsidR="0029599C">
        <w:rPr>
          <w:lang w:val="en-GB"/>
        </w:rPr>
        <w:t>,</w:t>
      </w:r>
      <w:r w:rsidRPr="0048465B">
        <w:rPr>
          <w:lang w:val="en-GB"/>
        </w:rPr>
        <w:t xml:space="preserve"> and Morocco, Sephardi Jews, in the original sense of the term, are Jews who migrated or are descendants of immigrants from Spain and Portugal. Prior to Israel’s establishment as a state the Mizrahim were not identified as a distinct group, and so the term Sephardic came to be used as a shorthand for all non-Ashkenazi Jews, within which the Mizrahim were subsumed. Drawing the </w:t>
      </w:r>
      <w:r w:rsidRPr="0048465B">
        <w:rPr>
          <w:lang w:val="en-GB"/>
        </w:rPr>
        <w:lastRenderedPageBreak/>
        <w:t>distinction now is key, however, as to group the Mizrahim under the broad umbrella of the Sephardi not only diminishes the experience of those Jews who originate in the Middle East and North Africa, but also centres the experience of the true Sephardi, the Spanish and Portuguese, in doing so ‘privileging links to Europe whilst disregarding Jewish roots in Africa and Asia’.</w:t>
      </w:r>
      <w:r w:rsidRPr="0048465B">
        <w:rPr>
          <w:vertAlign w:val="superscript"/>
          <w:lang w:val="en-GB"/>
        </w:rPr>
        <w:footnoteReference w:id="391"/>
      </w:r>
    </w:p>
    <w:p w14:paraId="1638CB72" w14:textId="77777777" w:rsidR="00FC331F" w:rsidRPr="0048465B" w:rsidRDefault="00FC331F" w:rsidP="00FC331F">
      <w:pPr>
        <w:rPr>
          <w:lang w:val="en-GB"/>
        </w:rPr>
      </w:pPr>
    </w:p>
    <w:p w14:paraId="1BE190F5" w14:textId="31D7752B" w:rsidR="00FC331F" w:rsidRPr="0048465B" w:rsidRDefault="00FC331F" w:rsidP="00FC331F">
      <w:pPr>
        <w:rPr>
          <w:lang w:val="en-GB"/>
        </w:rPr>
      </w:pPr>
      <w:r w:rsidRPr="0048465B">
        <w:rPr>
          <w:lang w:val="en-GB"/>
        </w:rPr>
        <w:t>It is this centring of European ideals, and the inherent inequality that comes with the prioritisation of the white European, that both complicates the position of the Mizrahi and</w:t>
      </w:r>
      <w:r w:rsidR="0029599C">
        <w:rPr>
          <w:lang w:val="en-GB"/>
        </w:rPr>
        <w:t xml:space="preserve"> allows them to</w:t>
      </w:r>
      <w:r w:rsidRPr="0048465B">
        <w:rPr>
          <w:lang w:val="en-GB"/>
        </w:rPr>
        <w:t xml:space="preserve"> provide insights into the colonial forms of oppression enacted upon the Palestinian community, both since the creation of Israel and before. If we look back to Chapter One and Max Silverman’s assertion that the end of colonialism and Europe’s global dominance resulted in the degeneration of ‘universal narratives’,</w:t>
      </w:r>
      <w:r w:rsidRPr="0048465B">
        <w:rPr>
          <w:vertAlign w:val="superscript"/>
          <w:lang w:val="en-GB"/>
        </w:rPr>
        <w:footnoteReference w:id="392"/>
      </w:r>
      <w:r w:rsidRPr="0048465B">
        <w:rPr>
          <w:lang w:val="en-GB"/>
        </w:rPr>
        <w:t xml:space="preserve"> it becomes increasingly clear that Israel subverts this proclamation. Not only is the colonial spirit alive in Israel, but so too is the power of the universal narrative. What is now increasingly referred to as Ashkenormativity </w:t>
      </w:r>
      <w:r w:rsidR="00B36F0A">
        <w:rPr>
          <w:lang w:val="en-GB"/>
        </w:rPr>
        <w:t>–</w:t>
      </w:r>
      <w:r w:rsidRPr="0048465B">
        <w:rPr>
          <w:lang w:val="en-GB"/>
        </w:rPr>
        <w:t xml:space="preserve"> the centring of the experiences and narratives of white Jews with ancestral roots in central or eastern Europe </w:t>
      </w:r>
      <w:r w:rsidR="00B36F0A">
        <w:rPr>
          <w:lang w:val="en-GB"/>
        </w:rPr>
        <w:t>–</w:t>
      </w:r>
      <w:r w:rsidRPr="0048465B">
        <w:rPr>
          <w:lang w:val="en-GB"/>
        </w:rPr>
        <w:t xml:space="preserve"> has its own roots in the colonial and Orientalist conception of the </w:t>
      </w:r>
      <w:r w:rsidR="00F00ADD">
        <w:rPr>
          <w:lang w:val="en-GB"/>
        </w:rPr>
        <w:t>S</w:t>
      </w:r>
      <w:r w:rsidRPr="0048465B">
        <w:rPr>
          <w:lang w:val="en-GB"/>
        </w:rPr>
        <w:t>tate of Israel over one hundred years ago. Theodor Herzl</w:t>
      </w:r>
      <w:r w:rsidR="007D1676">
        <w:rPr>
          <w:lang w:val="en-GB"/>
        </w:rPr>
        <w:t>, the cultural father of political Zionism,</w:t>
      </w:r>
      <w:r w:rsidRPr="0048465B">
        <w:rPr>
          <w:lang w:val="en-GB"/>
        </w:rPr>
        <w:t xml:space="preserve"> ‘framed Jewish settlement in Palestine as beneficial to imperial powers’, suggesting that Zionism, in the shape of a Jewish state</w:t>
      </w:r>
      <w:r w:rsidR="007D1676">
        <w:rPr>
          <w:lang w:val="en-GB"/>
        </w:rPr>
        <w:t xml:space="preserve"> specifically</w:t>
      </w:r>
      <w:r w:rsidRPr="0048465B">
        <w:rPr>
          <w:lang w:val="en-GB"/>
        </w:rPr>
        <w:t>, could ‘“form a portion of a rampart of Europe against Asia, an outpost of civilization as opposed to barbarism”’.</w:t>
      </w:r>
      <w:r w:rsidRPr="0048465B">
        <w:rPr>
          <w:vertAlign w:val="superscript"/>
          <w:lang w:val="en-GB"/>
        </w:rPr>
        <w:footnoteReference w:id="393"/>
      </w:r>
      <w:r w:rsidRPr="0048465B">
        <w:rPr>
          <w:lang w:val="en-GB"/>
        </w:rPr>
        <w:t xml:space="preserve"> The very word ‘Mizrahi’, which translates as ‘Eastern’ or ‘Oriental’ is an extension of this same racist thinking, with Jews of Middle</w:t>
      </w:r>
      <w:r w:rsidR="00B36F0A">
        <w:rPr>
          <w:lang w:val="en-GB"/>
        </w:rPr>
        <w:t xml:space="preserve"> </w:t>
      </w:r>
      <w:r w:rsidRPr="0048465B">
        <w:rPr>
          <w:lang w:val="en-GB"/>
        </w:rPr>
        <w:t>Eastern and North</w:t>
      </w:r>
      <w:r w:rsidR="00B36F0A">
        <w:rPr>
          <w:lang w:val="en-GB"/>
        </w:rPr>
        <w:t xml:space="preserve"> </w:t>
      </w:r>
      <w:r w:rsidRPr="0048465B">
        <w:rPr>
          <w:lang w:val="en-GB"/>
        </w:rPr>
        <w:t>African origin being marked out as non-</w:t>
      </w:r>
      <w:r w:rsidRPr="0048465B">
        <w:rPr>
          <w:lang w:val="en-GB"/>
        </w:rPr>
        <w:lastRenderedPageBreak/>
        <w:t>Ashkenazi upon entry to Israel, with their own surnames often being replaced with the word ‘Mizrahi’,</w:t>
      </w:r>
      <w:r w:rsidRPr="0048465B">
        <w:rPr>
          <w:vertAlign w:val="superscript"/>
          <w:lang w:val="en-GB"/>
        </w:rPr>
        <w:footnoteReference w:id="394"/>
      </w:r>
      <w:r w:rsidRPr="0048465B">
        <w:rPr>
          <w:lang w:val="en-GB"/>
        </w:rPr>
        <w:t xml:space="preserve"> thereby in one fell swoop effacing a significant component of their Arab identity and heritage, identifying them as second-class citizens not suitable for the higher echelons of society, and reinforcing the presumptive superiority of the Ashkenazi community.</w:t>
      </w:r>
      <w:r w:rsidRPr="0048465B">
        <w:rPr>
          <w:vertAlign w:val="superscript"/>
          <w:lang w:val="en-GB"/>
        </w:rPr>
        <w:footnoteReference w:id="395"/>
      </w:r>
    </w:p>
    <w:p w14:paraId="3782D7DA" w14:textId="77777777" w:rsidR="00FC331F" w:rsidRPr="0048465B" w:rsidRDefault="00FC331F" w:rsidP="00FC331F">
      <w:pPr>
        <w:rPr>
          <w:lang w:val="en-GB"/>
        </w:rPr>
      </w:pPr>
    </w:p>
    <w:p w14:paraId="319F9FA9" w14:textId="066D6CA9" w:rsidR="00FC331F" w:rsidRPr="0048465B" w:rsidRDefault="00FC331F" w:rsidP="00FC331F">
      <w:pPr>
        <w:rPr>
          <w:lang w:val="en-GB"/>
        </w:rPr>
      </w:pPr>
      <w:r w:rsidRPr="0048465B">
        <w:rPr>
          <w:lang w:val="en-GB"/>
        </w:rPr>
        <w:t>This distancing of the Mizrahi, and more broadly the non-Ashkenazi</w:t>
      </w:r>
      <w:r w:rsidR="00B43E92">
        <w:rPr>
          <w:lang w:val="en-GB"/>
        </w:rPr>
        <w:t>,</w:t>
      </w:r>
      <w:r w:rsidRPr="0048465B">
        <w:rPr>
          <w:lang w:val="en-GB"/>
        </w:rPr>
        <w:t xml:space="preserve"> from the Israeli mainstream is indicative of the key complication with a potential Mizrahi-led route to peace. In terms of demographics the Mizrahim could, in theory, be </w:t>
      </w:r>
      <w:r w:rsidR="00B36F0A" w:rsidRPr="0048465B">
        <w:rPr>
          <w:lang w:val="en-GB"/>
        </w:rPr>
        <w:t>key</w:t>
      </w:r>
      <w:r w:rsidRPr="0048465B">
        <w:rPr>
          <w:lang w:val="en-GB"/>
        </w:rPr>
        <w:t xml:space="preserve"> to change. However, the existence of the Mizrahim and the assumption that this existence equates to a recognised Arab voice within Israel, is inaccurate. Clare Louise Ducker lays bare the bones of this problem in her paper ‘Jews, Arabs and Arab Jews: The Politics of Identity and Reproduction in Israel’, where she makes the key observation that ‘[t]he lack of recognition</w:t>
      </w:r>
      <w:r w:rsidR="000C3FB4">
        <w:rPr>
          <w:lang w:val="en-GB"/>
        </w:rPr>
        <w:t xml:space="preserve"> […] </w:t>
      </w:r>
      <w:r w:rsidRPr="0048465B">
        <w:rPr>
          <w:lang w:val="en-GB"/>
        </w:rPr>
        <w:t>of Arab Jews is reflected in descriptions of the conflict in the Middle East as “a conflict between Jews and Arabs” despite the fact that about fifty percent of Israel’s Jewish population [in 2002] are also Arab’.</w:t>
      </w:r>
      <w:r w:rsidRPr="0048465B">
        <w:rPr>
          <w:vertAlign w:val="superscript"/>
          <w:lang w:val="en-GB"/>
        </w:rPr>
        <w:footnoteReference w:id="396"/>
      </w:r>
    </w:p>
    <w:p w14:paraId="53BCEB96" w14:textId="77777777" w:rsidR="00FC331F" w:rsidRPr="0048465B" w:rsidRDefault="00FC331F" w:rsidP="00FC331F">
      <w:pPr>
        <w:rPr>
          <w:lang w:val="en-GB"/>
        </w:rPr>
      </w:pPr>
    </w:p>
    <w:p w14:paraId="11A6C77D" w14:textId="2EEE4EB6" w:rsidR="00FC331F" w:rsidRPr="0048465B" w:rsidRDefault="00FC331F" w:rsidP="00FC331F">
      <w:pPr>
        <w:rPr>
          <w:lang w:val="en-GB"/>
        </w:rPr>
      </w:pPr>
      <w:r w:rsidRPr="0048465B">
        <w:rPr>
          <w:lang w:val="en-GB"/>
        </w:rPr>
        <w:t>This marginalisation of both the individual and collective experience of the Mizrahim consequently creates a scenario wherein for the Mizrahim to hold on to the identity and experiences of their countries of origin is to isolate themselves from mainstream society. The alternative is the ‘melting pot’, supposedly a coming together of differing cultural practices and experiences, but, more accurately something that ‘fuse[s] all immigrants into one community</w:t>
      </w:r>
      <w:r w:rsidR="000C3FB4">
        <w:rPr>
          <w:lang w:val="en-GB"/>
        </w:rPr>
        <w:t xml:space="preserve"> […] </w:t>
      </w:r>
      <w:r w:rsidRPr="0048465B">
        <w:rPr>
          <w:lang w:val="en-GB"/>
        </w:rPr>
        <w:t xml:space="preserve">to create new </w:t>
      </w:r>
      <w:r w:rsidRPr="0048465B">
        <w:rPr>
          <w:lang w:val="en-GB"/>
        </w:rPr>
        <w:lastRenderedPageBreak/>
        <w:t>Jewish men through the military service’.</w:t>
      </w:r>
      <w:r w:rsidRPr="0048465B">
        <w:rPr>
          <w:vertAlign w:val="superscript"/>
          <w:lang w:val="en-GB"/>
        </w:rPr>
        <w:footnoteReference w:id="397"/>
      </w:r>
      <w:r w:rsidRPr="0048465B">
        <w:rPr>
          <w:lang w:val="en-GB"/>
        </w:rPr>
        <w:t xml:space="preserve"> This manipulation of military service as a means into Israeli society is observed in Iraqi-born Israeli Jew Sami Michael’s novel </w:t>
      </w:r>
      <w:r w:rsidRPr="0048465B">
        <w:rPr>
          <w:i/>
          <w:lang w:val="en-GB"/>
        </w:rPr>
        <w:t>All Men are Equal but Some Are More</w:t>
      </w:r>
      <w:r w:rsidRPr="0048465B">
        <w:rPr>
          <w:lang w:val="en-GB"/>
        </w:rPr>
        <w:t>, within which Yochai Oppenheimer observes the main character’s ‘total alienation’, ‘quasi-forced participation in the Six-Day war’, and the overriding ‘assumption that the military experience is an unequivocal way of gaining acceptance in Israeli society’, culminating with the main character acquiring ‘“a document stating and attesting to my being an Israeli citizen”’.</w:t>
      </w:r>
      <w:r w:rsidRPr="0048465B">
        <w:rPr>
          <w:vertAlign w:val="superscript"/>
          <w:lang w:val="en-GB"/>
        </w:rPr>
        <w:footnoteReference w:id="398"/>
      </w:r>
      <w:r w:rsidRPr="0048465B">
        <w:rPr>
          <w:lang w:val="en-GB"/>
        </w:rPr>
        <w:t xml:space="preserve"> It is, of course, implicit within such </w:t>
      </w:r>
      <w:proofErr w:type="spellStart"/>
      <w:r w:rsidRPr="0048465B">
        <w:rPr>
          <w:lang w:val="en-GB"/>
        </w:rPr>
        <w:t>militarisations</w:t>
      </w:r>
      <w:proofErr w:type="spellEnd"/>
      <w:r w:rsidRPr="0048465B">
        <w:rPr>
          <w:lang w:val="en-GB"/>
        </w:rPr>
        <w:t xml:space="preserve"> of Arab Jews that this process not only identifies Israel as a state under attack that must be defended at all costs, but that it is the </w:t>
      </w:r>
      <w:r w:rsidR="00C112B0">
        <w:rPr>
          <w:lang w:val="en-GB"/>
        </w:rPr>
        <w:t xml:space="preserve">Arab </w:t>
      </w:r>
      <w:r w:rsidRPr="0048465B">
        <w:rPr>
          <w:lang w:val="en-GB"/>
        </w:rPr>
        <w:t>kinfolk of the Mizrahi</w:t>
      </w:r>
      <w:r w:rsidR="008F554C">
        <w:rPr>
          <w:lang w:val="en-GB"/>
        </w:rPr>
        <w:t>m</w:t>
      </w:r>
      <w:r w:rsidRPr="0048465B">
        <w:rPr>
          <w:lang w:val="en-GB"/>
        </w:rPr>
        <w:t>, the Palestinians, that are behind such attacks. The distorted binary observed by Ducker, wherein the Middle</w:t>
      </w:r>
      <w:r w:rsidR="00B36F0A">
        <w:rPr>
          <w:lang w:val="en-GB"/>
        </w:rPr>
        <w:t xml:space="preserve"> </w:t>
      </w:r>
      <w:r w:rsidRPr="0048465B">
        <w:rPr>
          <w:lang w:val="en-GB"/>
        </w:rPr>
        <w:t xml:space="preserve">Eastern conflict is seen as </w:t>
      </w:r>
      <w:r w:rsidR="00C112B0">
        <w:rPr>
          <w:lang w:val="en-GB"/>
        </w:rPr>
        <w:t xml:space="preserve">occurring </w:t>
      </w:r>
      <w:r w:rsidRPr="0048465B">
        <w:rPr>
          <w:lang w:val="en-GB"/>
        </w:rPr>
        <w:t xml:space="preserve">‘“between Jews and Arabs”’ is </w:t>
      </w:r>
      <w:r w:rsidR="0029599C">
        <w:rPr>
          <w:lang w:val="en-GB"/>
        </w:rPr>
        <w:t>thus</w:t>
      </w:r>
      <w:r w:rsidRPr="0048465B">
        <w:rPr>
          <w:lang w:val="en-GB"/>
        </w:rPr>
        <w:t xml:space="preserve"> further reinforced, with the Arab and/or Palestinian designated enemy, the Israeli</w:t>
      </w:r>
      <w:r w:rsidR="0029599C">
        <w:rPr>
          <w:lang w:val="en-GB"/>
        </w:rPr>
        <w:t>-</w:t>
      </w:r>
      <w:r w:rsidRPr="0048465B">
        <w:rPr>
          <w:lang w:val="en-GB"/>
        </w:rPr>
        <w:t>Ashkenazi aligned with virtuousness, and the Mizrahim stuck in between in an ethno-religious limbo.</w:t>
      </w:r>
    </w:p>
    <w:p w14:paraId="463FD2C3" w14:textId="77777777" w:rsidR="00FC331F" w:rsidRPr="0048465B" w:rsidRDefault="00FC331F" w:rsidP="00FC331F">
      <w:pPr>
        <w:rPr>
          <w:lang w:val="en-GB"/>
        </w:rPr>
      </w:pPr>
    </w:p>
    <w:p w14:paraId="19856034" w14:textId="651C0BB0" w:rsidR="00FC331F" w:rsidRPr="0048465B" w:rsidRDefault="00FC331F" w:rsidP="00FC331F">
      <w:pPr>
        <w:rPr>
          <w:lang w:val="en-GB"/>
        </w:rPr>
      </w:pPr>
      <w:r w:rsidRPr="0048465B">
        <w:rPr>
          <w:lang w:val="en-GB"/>
        </w:rPr>
        <w:t xml:space="preserve">Having transitioned from being ethnically homogeneous </w:t>
      </w:r>
      <w:r w:rsidR="00C112B0">
        <w:rPr>
          <w:lang w:val="en-GB"/>
        </w:rPr>
        <w:t>people</w:t>
      </w:r>
      <w:r w:rsidRPr="0048465B">
        <w:rPr>
          <w:lang w:val="en-GB"/>
        </w:rPr>
        <w:t xml:space="preserve"> persecuted for their religion in their countries of origin, to religiously homogeneous </w:t>
      </w:r>
      <w:r w:rsidR="00C112B0">
        <w:rPr>
          <w:lang w:val="en-GB"/>
        </w:rPr>
        <w:t>people</w:t>
      </w:r>
      <w:r w:rsidRPr="0048465B">
        <w:rPr>
          <w:lang w:val="en-GB"/>
        </w:rPr>
        <w:t xml:space="preserve"> persecuted for their ethnicity in Israel, one of the major forms of assimilation adopted by the Mizrahim has been through the adoption of and engagement with Holocaust terminology and culture</w:t>
      </w:r>
      <w:r w:rsidR="00C112B0">
        <w:rPr>
          <w:lang w:val="en-GB"/>
        </w:rPr>
        <w:t>,</w:t>
      </w:r>
      <w:r w:rsidRPr="0048465B">
        <w:rPr>
          <w:lang w:val="en-GB"/>
        </w:rPr>
        <w:t xml:space="preserve"> a means through which many non-Ashkenazi Jews attempt to gain entry into the Israeli mainstream. Oppenheimer writes of the ‘temptation and the danger threatening Mizrahim who imagine they can become accepted by the </w:t>
      </w:r>
      <w:r w:rsidRPr="0048465B">
        <w:rPr>
          <w:lang w:val="en-GB"/>
        </w:rPr>
        <w:lastRenderedPageBreak/>
        <w:t>Israeli mainstream by adopting hegemonic (Ashkenazi) models of Israeliness, so losing their own ethnic consciousness within the hegemonic Holocaust discourse’.</w:t>
      </w:r>
      <w:r w:rsidRPr="0048465B">
        <w:rPr>
          <w:vertAlign w:val="superscript"/>
          <w:lang w:val="en-GB"/>
        </w:rPr>
        <w:footnoteReference w:id="399"/>
      </w:r>
      <w:r w:rsidRPr="0048465B">
        <w:rPr>
          <w:lang w:val="en-GB"/>
        </w:rPr>
        <w:t xml:space="preserve"> </w:t>
      </w:r>
    </w:p>
    <w:p w14:paraId="2CC86ACE" w14:textId="77777777" w:rsidR="00FC331F" w:rsidRPr="0048465B" w:rsidRDefault="00FC331F" w:rsidP="00FC331F">
      <w:pPr>
        <w:rPr>
          <w:lang w:val="en-GB"/>
        </w:rPr>
      </w:pPr>
    </w:p>
    <w:p w14:paraId="1FB6385B" w14:textId="7FF941FD" w:rsidR="00FC331F" w:rsidRPr="0048465B" w:rsidRDefault="00FC331F" w:rsidP="00FC331F">
      <w:pPr>
        <w:rPr>
          <w:lang w:val="en-GB"/>
        </w:rPr>
      </w:pPr>
      <w:r w:rsidRPr="0048465B">
        <w:rPr>
          <w:lang w:val="en-GB"/>
        </w:rPr>
        <w:t xml:space="preserve">However, conscious Mizrahi attempts to retain Arab and North African origins and history whilst also engaging with Holocaust discourse have often been seen by Ashkenazi society as revisionism and metaphorisation of the Holocaust </w:t>
      </w:r>
      <w:r w:rsidR="00C60289">
        <w:rPr>
          <w:lang w:val="en-GB"/>
        </w:rPr>
        <w:t xml:space="preserve">rather </w:t>
      </w:r>
      <w:r w:rsidRPr="0048465B">
        <w:rPr>
          <w:lang w:val="en-GB"/>
        </w:rPr>
        <w:t xml:space="preserve">than explorations of less commonly explored Holocaust accounts. Oppenheimer recalls the outrage caused by the lighting of a seventh candle in a </w:t>
      </w:r>
      <w:r w:rsidR="00C112B0">
        <w:rPr>
          <w:lang w:val="en-GB"/>
        </w:rPr>
        <w:t xml:space="preserve">Mizrahi majority </w:t>
      </w:r>
      <w:r w:rsidRPr="0048465B">
        <w:rPr>
          <w:lang w:val="en-GB"/>
        </w:rPr>
        <w:t xml:space="preserve">school in Tel Aviv on Holocaust </w:t>
      </w:r>
      <w:r w:rsidR="00C60289">
        <w:rPr>
          <w:lang w:val="en-GB"/>
        </w:rPr>
        <w:t>Remembrance D</w:t>
      </w:r>
      <w:r w:rsidRPr="0048465B">
        <w:rPr>
          <w:lang w:val="en-GB"/>
        </w:rPr>
        <w:t>ay</w:t>
      </w:r>
      <w:r w:rsidR="00C112B0">
        <w:rPr>
          <w:lang w:val="en-GB"/>
        </w:rPr>
        <w:t>,</w:t>
      </w:r>
      <w:r w:rsidRPr="0048465B">
        <w:rPr>
          <w:lang w:val="en-GB"/>
        </w:rPr>
        <w:t xml:space="preserve"> in addition to the six candles lit for the six million victims of the Holocaust. The seventh candle was intended to commemorate those killed in other genocides around the world, ‘the extermination of Native Americans, the murder of Armenians in Turkey, the killings in Ruanda’,</w:t>
      </w:r>
      <w:r w:rsidRPr="0048465B">
        <w:rPr>
          <w:vertAlign w:val="superscript"/>
          <w:lang w:val="en-GB"/>
        </w:rPr>
        <w:footnoteReference w:id="400"/>
      </w:r>
      <w:r w:rsidRPr="0048465B">
        <w:rPr>
          <w:lang w:val="en-GB"/>
        </w:rPr>
        <w:t xml:space="preserve"> an extension of memorialisation that caused a ‘significant political storm’, and led to the principal of the school receiving a phone call wherein a woman ‘screamed</w:t>
      </w:r>
      <w:r w:rsidR="000C3FB4">
        <w:rPr>
          <w:lang w:val="en-GB"/>
        </w:rPr>
        <w:t xml:space="preserve"> […] </w:t>
      </w:r>
      <w:r w:rsidRPr="0048465B">
        <w:rPr>
          <w:lang w:val="en-GB"/>
        </w:rPr>
        <w:t>“You Moroccans have already stolen everything from us, but that’s it! Do not dare to touch the Holocaust. You will not steal the Holocaust from us with your belly dancing”’.</w:t>
      </w:r>
      <w:r w:rsidRPr="0048465B">
        <w:rPr>
          <w:vertAlign w:val="superscript"/>
          <w:lang w:val="en-GB"/>
        </w:rPr>
        <w:footnoteReference w:id="401"/>
      </w:r>
      <w:r w:rsidRPr="0048465B">
        <w:rPr>
          <w:lang w:val="en-GB"/>
        </w:rPr>
        <w:t xml:space="preserve"> Similarly, attempts to memorialise Mizrahi Jewish history such as ‘[t]he idea of establishing an institution called “Mizrahi Yad Vashem”’ exemplify this dependence upon Holocaust centric terminology, as does the use of ‘terms borrowed from the historiography of European Jewry’ such as the use of Russian word ‘pogrom’ to describe the </w:t>
      </w:r>
      <w:r w:rsidRPr="00365A61">
        <w:rPr>
          <w:i/>
          <w:iCs/>
          <w:lang w:val="en-GB"/>
        </w:rPr>
        <w:t>Farhud</w:t>
      </w:r>
      <w:r w:rsidRPr="0048465B">
        <w:rPr>
          <w:lang w:val="en-GB"/>
        </w:rPr>
        <w:t xml:space="preserve"> (violent dispossession) of Iraqi Jews in Baghdad in 1941, and to highlight the shared fate of Jews across the world in the process.</w:t>
      </w:r>
      <w:r w:rsidRPr="0048465B">
        <w:rPr>
          <w:vertAlign w:val="superscript"/>
          <w:lang w:val="en-GB"/>
        </w:rPr>
        <w:footnoteReference w:id="402"/>
      </w:r>
      <w:r w:rsidRPr="0048465B">
        <w:rPr>
          <w:lang w:val="en-GB"/>
        </w:rPr>
        <w:t xml:space="preserve"> Both of these efforts to elevate Mizrahi history are more representative of the preconditioning of such explorations upon adoption of the Ashkenazi </w:t>
      </w:r>
      <w:r w:rsidRPr="0048465B">
        <w:rPr>
          <w:lang w:val="en-GB"/>
        </w:rPr>
        <w:lastRenderedPageBreak/>
        <w:t>Holocaust lens than they are of the possibility for different, yet linked, traumatic histories to live alongside one another. When connecting this argument back to the Israeli-Palestinian conflict specifically, it is clear that this latter, as yet unobtained, co-existence of connected yet independent traumatic histories is much closer to that which Israeli-Palestinian peace would demand. Neither side, understandably, is willing to allow their history to be entirely subsumed by that of the other.</w:t>
      </w:r>
    </w:p>
    <w:p w14:paraId="2C9CB488" w14:textId="77777777" w:rsidR="00FC331F" w:rsidRPr="0048465B" w:rsidRDefault="00FC331F" w:rsidP="00FC331F">
      <w:pPr>
        <w:rPr>
          <w:lang w:val="en-GB"/>
        </w:rPr>
      </w:pPr>
    </w:p>
    <w:p w14:paraId="12C68519" w14:textId="07F579C4" w:rsidR="00FC331F" w:rsidRPr="0048465B" w:rsidRDefault="00FC331F" w:rsidP="00FC331F">
      <w:pPr>
        <w:rPr>
          <w:lang w:val="en-GB"/>
        </w:rPr>
      </w:pPr>
      <w:r w:rsidRPr="0048465B">
        <w:rPr>
          <w:lang w:val="en-GB"/>
        </w:rPr>
        <w:t xml:space="preserve">The works of second-generation Mizrahi authors such as </w:t>
      </w:r>
      <w:proofErr w:type="spellStart"/>
      <w:r w:rsidRPr="0048465B">
        <w:rPr>
          <w:lang w:val="en-GB"/>
        </w:rPr>
        <w:t>Orly</w:t>
      </w:r>
      <w:proofErr w:type="spellEnd"/>
      <w:r w:rsidRPr="0048465B">
        <w:rPr>
          <w:lang w:val="en-GB"/>
        </w:rPr>
        <w:t xml:space="preserve"> Castel-Bloom and Sami Berdugo paint a more composite, yet still intensely conflicted, picture of Mizrahi existence within Israel. Yet whilst the works of these authors allow greater space for their Arab origins, these origins </w:t>
      </w:r>
      <w:r w:rsidR="00C112B0">
        <w:rPr>
          <w:lang w:val="en-GB"/>
        </w:rPr>
        <w:t>–</w:t>
      </w:r>
      <w:r w:rsidRPr="0048465B">
        <w:rPr>
          <w:lang w:val="en-GB"/>
        </w:rPr>
        <w:t xml:space="preserve"> much like the Mizrahim, and to a greater extent Palestinians, in Israel </w:t>
      </w:r>
      <w:r w:rsidR="00C112B0">
        <w:rPr>
          <w:lang w:val="en-GB"/>
        </w:rPr>
        <w:t>–</w:t>
      </w:r>
      <w:r w:rsidRPr="0048465B">
        <w:rPr>
          <w:lang w:val="en-GB"/>
        </w:rPr>
        <w:t xml:space="preserve"> remain abstracted from the central narrative, hovering in the subliminal as a constant reminder of displacement and fragmented identity. </w:t>
      </w:r>
    </w:p>
    <w:p w14:paraId="64ECD2B1" w14:textId="77777777" w:rsidR="00FC331F" w:rsidRPr="0048465B" w:rsidRDefault="00FC331F" w:rsidP="00FC331F">
      <w:pPr>
        <w:rPr>
          <w:lang w:val="en-GB"/>
        </w:rPr>
      </w:pPr>
    </w:p>
    <w:p w14:paraId="1258DC15" w14:textId="347DFADF" w:rsidR="00C60289" w:rsidRDefault="00FC331F" w:rsidP="00FC331F">
      <w:pPr>
        <w:rPr>
          <w:lang w:val="en-GB"/>
        </w:rPr>
      </w:pPr>
      <w:r w:rsidRPr="0048465B">
        <w:rPr>
          <w:lang w:val="en-GB"/>
        </w:rPr>
        <w:t xml:space="preserve">In Sami Berdugo’s </w:t>
      </w:r>
      <w:r w:rsidRPr="0048465B">
        <w:rPr>
          <w:i/>
          <w:lang w:val="en-GB"/>
        </w:rPr>
        <w:t>Orphans</w:t>
      </w:r>
      <w:r w:rsidRPr="0048465B">
        <w:rPr>
          <w:lang w:val="en-GB"/>
        </w:rPr>
        <w:t>, the North</w:t>
      </w:r>
      <w:r w:rsidR="00B36F0A">
        <w:rPr>
          <w:lang w:val="en-GB"/>
        </w:rPr>
        <w:t xml:space="preserve"> </w:t>
      </w:r>
      <w:r w:rsidRPr="0048465B">
        <w:rPr>
          <w:lang w:val="en-GB"/>
        </w:rPr>
        <w:t xml:space="preserve">African protagonist Shmuel awakens one morning to find that his Ashkenazi wife, Rachel, is gone. What follows is an internal monologue that exposes Shmuel’s insecurity in finding himself alone, as this solitude means that he cannot depend upon the safety net of his wife and the way in which she anchors him to dominant Ashkenazi culture. As Shmuel’s internal monologue progresses, the reader discovers that, like him, Rachel ‘wasn’t born here’ in Israel. Yet despite the fact that they are both </w:t>
      </w:r>
      <w:r w:rsidR="00C60289">
        <w:rPr>
          <w:lang w:val="en-GB"/>
        </w:rPr>
        <w:t>immigrants</w:t>
      </w:r>
      <w:r w:rsidRPr="0048465B">
        <w:rPr>
          <w:lang w:val="en-GB"/>
        </w:rPr>
        <w:t xml:space="preserve">, Rachel’s European origin </w:t>
      </w:r>
      <w:r w:rsidR="00C112B0">
        <w:rPr>
          <w:lang w:val="en-GB"/>
        </w:rPr>
        <w:t>–</w:t>
      </w:r>
      <w:r w:rsidRPr="0048465B">
        <w:rPr>
          <w:lang w:val="en-GB"/>
        </w:rPr>
        <w:t xml:space="preserve"> her starting point </w:t>
      </w:r>
      <w:r w:rsidR="00C60289">
        <w:rPr>
          <w:lang w:val="en-GB"/>
        </w:rPr>
        <w:t>–</w:t>
      </w:r>
      <w:r w:rsidRPr="0048465B">
        <w:rPr>
          <w:lang w:val="en-GB"/>
        </w:rPr>
        <w:t xml:space="preserve"> ‘does not count as immigration in [Shmuel’s] inner world’.</w:t>
      </w:r>
      <w:r w:rsidRPr="0048465B">
        <w:rPr>
          <w:vertAlign w:val="superscript"/>
          <w:lang w:val="en-GB"/>
        </w:rPr>
        <w:footnoteReference w:id="403"/>
      </w:r>
      <w:r w:rsidRPr="0048465B">
        <w:rPr>
          <w:lang w:val="en-GB"/>
        </w:rPr>
        <w:t xml:space="preserve"> Instead of seeing Rachel as an immigrant like himself, Shmuel instead idolises her, Berdugo stylising Rachel’s desirable qualities as an ambiguous and decidedly non ‘Oriental’ ‘quiet goodness’, that Shmuel </w:t>
      </w:r>
      <w:r w:rsidRPr="0048465B">
        <w:rPr>
          <w:lang w:val="en-GB"/>
        </w:rPr>
        <w:lastRenderedPageBreak/>
        <w:t>decides he must ‘conform to’ on account of his coming ‘from outside’.</w:t>
      </w:r>
      <w:r w:rsidRPr="0048465B">
        <w:rPr>
          <w:vertAlign w:val="superscript"/>
          <w:lang w:val="en-GB"/>
        </w:rPr>
        <w:footnoteReference w:id="404"/>
      </w:r>
      <w:r w:rsidRPr="0048465B">
        <w:rPr>
          <w:lang w:val="en-GB"/>
        </w:rPr>
        <w:t xml:space="preserve"> Berdugo’s characterisation here aligns with Edward Said’s depiction of the Orientalist understanding of the Westerner as ‘rational, peaceful, liberal, logical, capable of holding real values, without natural suspicion’, whilst their vision of the Arab-Oriental (again, the literal translation of Mizrahi), is defined only contradictorily, as ‘none of these things’.</w:t>
      </w:r>
      <w:r w:rsidRPr="0048465B">
        <w:rPr>
          <w:vertAlign w:val="superscript"/>
          <w:lang w:val="en-GB"/>
        </w:rPr>
        <w:footnoteReference w:id="405"/>
      </w:r>
      <w:r w:rsidRPr="0048465B">
        <w:rPr>
          <w:lang w:val="en-GB"/>
        </w:rPr>
        <w:t xml:space="preserve"> </w:t>
      </w:r>
    </w:p>
    <w:p w14:paraId="72BD5182" w14:textId="77777777" w:rsidR="00C60289" w:rsidRDefault="00C60289" w:rsidP="00FC331F">
      <w:pPr>
        <w:rPr>
          <w:lang w:val="en-GB"/>
        </w:rPr>
      </w:pPr>
    </w:p>
    <w:p w14:paraId="6C5BBC7F" w14:textId="18658C0F" w:rsidR="00FC331F" w:rsidRPr="0048465B" w:rsidRDefault="00FC331F" w:rsidP="00FC331F">
      <w:pPr>
        <w:rPr>
          <w:lang w:val="en-GB"/>
        </w:rPr>
      </w:pPr>
      <w:r w:rsidRPr="0048465B">
        <w:rPr>
          <w:lang w:val="en-GB"/>
        </w:rPr>
        <w:t xml:space="preserve">This depiction of the Arab as naturally suspect is further emphasised when Rachel does not return, Shmuel’s anxiety growing in intensity as Rachel’s absence begins to manifest itself through a series of spectres of repressed Mizrahi identity. These are first characterised as ‘a latent pressure </w:t>
      </w:r>
      <w:proofErr w:type="spellStart"/>
      <w:r w:rsidRPr="0048465B">
        <w:rPr>
          <w:lang w:val="en-GB"/>
        </w:rPr>
        <w:t>ris</w:t>
      </w:r>
      <w:proofErr w:type="spellEnd"/>
      <w:r w:rsidRPr="0048465B">
        <w:rPr>
          <w:lang w:val="en-GB"/>
        </w:rPr>
        <w:t>[</w:t>
      </w:r>
      <w:proofErr w:type="spellStart"/>
      <w:r w:rsidRPr="0048465B">
        <w:rPr>
          <w:lang w:val="en-GB"/>
        </w:rPr>
        <w:t>ing</w:t>
      </w:r>
      <w:proofErr w:type="spellEnd"/>
      <w:r w:rsidRPr="0048465B">
        <w:rPr>
          <w:lang w:val="en-GB"/>
        </w:rPr>
        <w:t xml:space="preserve">] up from the reservoirs of the past [that] has to be controlled’, and shortly after </w:t>
      </w:r>
      <w:r w:rsidR="00920287">
        <w:rPr>
          <w:lang w:val="en-GB"/>
        </w:rPr>
        <w:t>displayed through</w:t>
      </w:r>
      <w:r w:rsidRPr="0048465B">
        <w:rPr>
          <w:lang w:val="en-GB"/>
        </w:rPr>
        <w:t xml:space="preserve"> Shmuel’s hyperfocus on boundaries and their transgressions, his discomfort at Rachel’s pairing of socks of different colours, his reluctance to look at himself in the mirror, and his apprehension at the fact that their apartment has no separate spaces. ‘Why did I agree to having it open here?’ Shmuel asks himself, ‘We gained a sense of space and lost a partition, which would have made a border</w:t>
      </w:r>
      <w:r w:rsidR="000C3FB4">
        <w:rPr>
          <w:lang w:val="en-GB"/>
        </w:rPr>
        <w:t xml:space="preserve"> […] </w:t>
      </w:r>
      <w:r w:rsidRPr="0048465B">
        <w:rPr>
          <w:lang w:val="en-GB"/>
        </w:rPr>
        <w:t>If there were partitions here perhaps we would have known how to behave. I got used to this kitchen too quickly’.</w:t>
      </w:r>
      <w:r w:rsidRPr="0048465B">
        <w:rPr>
          <w:vertAlign w:val="superscript"/>
          <w:lang w:val="en-GB"/>
        </w:rPr>
        <w:footnoteReference w:id="406"/>
      </w:r>
    </w:p>
    <w:p w14:paraId="165B3911" w14:textId="77777777" w:rsidR="00FC331F" w:rsidRPr="0048465B" w:rsidRDefault="00FC331F" w:rsidP="00FC331F">
      <w:pPr>
        <w:rPr>
          <w:lang w:val="en-GB"/>
        </w:rPr>
      </w:pPr>
    </w:p>
    <w:p w14:paraId="7F80B27E" w14:textId="6F888F07" w:rsidR="00E93B7D" w:rsidRDefault="00FC331F" w:rsidP="00FC331F">
      <w:pPr>
        <w:rPr>
          <w:lang w:val="en-GB"/>
        </w:rPr>
      </w:pPr>
      <w:r w:rsidRPr="0048465B">
        <w:rPr>
          <w:lang w:val="en-GB"/>
        </w:rPr>
        <w:t>This depiction of repressed Mizrahi identity, and the Ashkenazi cultural dominance that causes it, is embodied even more powerfully through both Shmuel and Rachel’s families. Rachel’s life is shaped by the Holocaust, or, more precisely</w:t>
      </w:r>
      <w:r w:rsidR="00C16996">
        <w:rPr>
          <w:lang w:val="en-GB"/>
        </w:rPr>
        <w:t>,</w:t>
      </w:r>
      <w:r w:rsidRPr="0048465B">
        <w:rPr>
          <w:lang w:val="en-GB"/>
        </w:rPr>
        <w:t xml:space="preserve"> by her parents’ survival of unnamed yet unmistakeable ‘European horrors’. Rachel’s parents are described as people who ‘always look </w:t>
      </w:r>
      <w:r w:rsidRPr="0048465B">
        <w:rPr>
          <w:lang w:val="en-GB"/>
        </w:rPr>
        <w:lastRenderedPageBreak/>
        <w:t xml:space="preserve">uncomfortable’, who are constantly ‘afraid of some incident that will happen from one moment to the next and turn things upside down in the world’. As a result of their experiences in the Holocaust, Rachel is transformed into ‘a baby of hope’, whilst her and Shmuel’s children, David </w:t>
      </w:r>
      <w:r w:rsidR="00920287">
        <w:rPr>
          <w:lang w:val="en-GB"/>
        </w:rPr>
        <w:t>–</w:t>
      </w:r>
      <w:r w:rsidRPr="0048465B">
        <w:rPr>
          <w:lang w:val="en-GB"/>
        </w:rPr>
        <w:t xml:space="preserve"> namesake of both the star of David and the biblical King of Israel and Judah </w:t>
      </w:r>
      <w:r w:rsidR="00920287">
        <w:rPr>
          <w:lang w:val="en-GB"/>
        </w:rPr>
        <w:t>–</w:t>
      </w:r>
      <w:r w:rsidRPr="0048465B">
        <w:rPr>
          <w:lang w:val="en-GB"/>
        </w:rPr>
        <w:t xml:space="preserve"> and </w:t>
      </w:r>
      <w:proofErr w:type="spellStart"/>
      <w:r w:rsidRPr="0048465B">
        <w:rPr>
          <w:lang w:val="en-GB"/>
        </w:rPr>
        <w:t>Dror</w:t>
      </w:r>
      <w:proofErr w:type="spellEnd"/>
      <w:r w:rsidRPr="0048465B">
        <w:rPr>
          <w:lang w:val="en-GB"/>
        </w:rPr>
        <w:t xml:space="preserve"> </w:t>
      </w:r>
      <w:r w:rsidR="00920287">
        <w:rPr>
          <w:lang w:val="en-GB"/>
        </w:rPr>
        <w:t>–</w:t>
      </w:r>
      <w:r w:rsidRPr="0048465B">
        <w:rPr>
          <w:lang w:val="en-GB"/>
        </w:rPr>
        <w:t xml:space="preserve"> the Hebrew word for ‘freedom’ </w:t>
      </w:r>
      <w:r w:rsidR="00920287">
        <w:rPr>
          <w:lang w:val="en-GB"/>
        </w:rPr>
        <w:t>–</w:t>
      </w:r>
      <w:r w:rsidRPr="0048465B">
        <w:rPr>
          <w:lang w:val="en-GB"/>
        </w:rPr>
        <w:t xml:space="preserve"> become ‘male heirs’ to the ‘dynasty’.</w:t>
      </w:r>
      <w:r w:rsidRPr="0048465B">
        <w:rPr>
          <w:vertAlign w:val="superscript"/>
          <w:lang w:val="en-GB"/>
        </w:rPr>
        <w:footnoteReference w:id="407"/>
      </w:r>
      <w:r w:rsidRPr="0048465B">
        <w:rPr>
          <w:lang w:val="en-GB"/>
        </w:rPr>
        <w:t xml:space="preserve"> Whilst Rachel’s parents’ Holocaust experiences are not explored directly, Oppenheimer argues that Berdugo uses the Holocaust ‘as background to understand the immigration and refugee experience, the loss of homeland, and the truncation of time continuity’, as a globally known narrative</w:t>
      </w:r>
      <w:r w:rsidR="00E93B7D">
        <w:rPr>
          <w:lang w:val="en-GB"/>
        </w:rPr>
        <w:t xml:space="preserve"> against which Berdugo can contrast the absence of Mizrahi representation</w:t>
      </w:r>
      <w:r w:rsidRPr="0048465B">
        <w:rPr>
          <w:lang w:val="en-GB"/>
        </w:rPr>
        <w:t>.</w:t>
      </w:r>
      <w:r w:rsidRPr="0048465B">
        <w:rPr>
          <w:vertAlign w:val="superscript"/>
          <w:lang w:val="en-GB"/>
        </w:rPr>
        <w:footnoteReference w:id="408"/>
      </w:r>
      <w:r w:rsidRPr="0048465B">
        <w:rPr>
          <w:lang w:val="en-GB"/>
        </w:rPr>
        <w:t xml:space="preserve"> </w:t>
      </w:r>
    </w:p>
    <w:p w14:paraId="1E4C8B73" w14:textId="77777777" w:rsidR="00E93B7D" w:rsidRDefault="00E93B7D" w:rsidP="00FC331F">
      <w:pPr>
        <w:rPr>
          <w:lang w:val="en-GB"/>
        </w:rPr>
      </w:pPr>
    </w:p>
    <w:p w14:paraId="44A90E6D" w14:textId="64E3F9C0" w:rsidR="00FC331F" w:rsidRPr="0048465B" w:rsidRDefault="00FC331F" w:rsidP="00FC331F">
      <w:pPr>
        <w:rPr>
          <w:lang w:val="en-GB"/>
        </w:rPr>
      </w:pPr>
      <w:r w:rsidRPr="0048465B">
        <w:rPr>
          <w:lang w:val="en-GB"/>
        </w:rPr>
        <w:t>Yet, crucially, whilst a powerful yearning for some kind of fusion of the Mizrahi and the Ashkenazi underlies Shmuel’s explorations of his past and present, Rachel’s parents are typified by the exact opposite. They are fearful of change, fearful that something will ‘eject them from their borders’, and hopeful ‘that it will hold steady at least until they reach the end’.</w:t>
      </w:r>
      <w:r w:rsidRPr="0048465B">
        <w:rPr>
          <w:vertAlign w:val="superscript"/>
          <w:lang w:val="en-GB"/>
        </w:rPr>
        <w:footnoteReference w:id="409"/>
      </w:r>
      <w:r w:rsidRPr="0048465B">
        <w:rPr>
          <w:lang w:val="en-GB"/>
        </w:rPr>
        <w:t xml:space="preserve"> Whilst such hopes are completely reasonable in subjective terms, the disparity between Ashkenazi hopes of preservation and Mizrahi longing for transformation gestures towards the relative comfort that the Ashkenazim are able to find in the existing state of affairs, whilst the Mizrahim remain cast to the side, both wanting to belong, and longing for change.</w:t>
      </w:r>
    </w:p>
    <w:p w14:paraId="249B4FDB" w14:textId="77777777" w:rsidR="00FC331F" w:rsidRPr="0048465B" w:rsidRDefault="00FC331F" w:rsidP="00FC331F">
      <w:pPr>
        <w:rPr>
          <w:lang w:val="en-GB"/>
        </w:rPr>
      </w:pPr>
    </w:p>
    <w:p w14:paraId="75533961" w14:textId="22919E71" w:rsidR="00FC331F" w:rsidRPr="0048465B" w:rsidRDefault="00FC331F" w:rsidP="00FC331F">
      <w:pPr>
        <w:rPr>
          <w:lang w:val="en-GB"/>
        </w:rPr>
      </w:pPr>
      <w:r w:rsidRPr="0048465B">
        <w:rPr>
          <w:lang w:val="en-GB"/>
        </w:rPr>
        <w:t xml:space="preserve">This desire to belong is clearly evident in Shmuel’s family, particularly his Moroccan grandfather, who would remind him and his family of the ‘need[] to pronounce and know Hebrew and Israeli </w:t>
      </w:r>
      <w:r w:rsidRPr="0048465B">
        <w:rPr>
          <w:lang w:val="en-GB"/>
        </w:rPr>
        <w:lastRenderedPageBreak/>
        <w:t xml:space="preserve">holidays, because it was an important part of us’, and reiterate to them that </w:t>
      </w:r>
      <w:r w:rsidR="00E6072D">
        <w:rPr>
          <w:lang w:val="en-GB"/>
        </w:rPr>
        <w:t xml:space="preserve">they ‘would not remain safe’ in Morocco, that they must go to </w:t>
      </w:r>
      <w:r w:rsidRPr="0048465B">
        <w:rPr>
          <w:lang w:val="en-GB"/>
        </w:rPr>
        <w:t xml:space="preserve">‘Eretz Israel, where everything was in the Hebrew language, which conveyed the sacred pulse of the Jewish people’. Here, even the protagonist’s memories of his </w:t>
      </w:r>
      <w:r w:rsidR="00E6072D">
        <w:rPr>
          <w:lang w:val="en-GB"/>
        </w:rPr>
        <w:t>grandfather</w:t>
      </w:r>
      <w:r w:rsidR="00E6072D" w:rsidRPr="0048465B">
        <w:rPr>
          <w:lang w:val="en-GB"/>
        </w:rPr>
        <w:t xml:space="preserve"> </w:t>
      </w:r>
      <w:r w:rsidRPr="0048465B">
        <w:rPr>
          <w:lang w:val="en-GB"/>
        </w:rPr>
        <w:t>in Morocco revolve around Israel and Hebrew, rather than around Morocco and Arabic, or even French</w:t>
      </w:r>
      <w:r w:rsidR="00E6072D">
        <w:rPr>
          <w:lang w:val="en-GB"/>
        </w:rPr>
        <w:t>, a centralisation that is further exemplified by Shmuel’s inability to ‘understand’ the sceptical comments that his grandmother offered in return</w:t>
      </w:r>
      <w:r w:rsidRPr="0048465B">
        <w:rPr>
          <w:lang w:val="en-GB"/>
        </w:rPr>
        <w:t>.</w:t>
      </w:r>
      <w:r w:rsidR="00E6072D" w:rsidRPr="0048465B">
        <w:rPr>
          <w:vertAlign w:val="superscript"/>
          <w:lang w:val="en-GB"/>
        </w:rPr>
        <w:footnoteReference w:id="410"/>
      </w:r>
      <w:r w:rsidRPr="0048465B">
        <w:rPr>
          <w:lang w:val="en-GB"/>
        </w:rPr>
        <w:t xml:space="preserve"> Whilst this association of Israel with safety and positivity is favourable, it</w:t>
      </w:r>
      <w:r w:rsidR="00E93B7D">
        <w:rPr>
          <w:lang w:val="en-GB"/>
        </w:rPr>
        <w:t xml:space="preserve"> nonetheless</w:t>
      </w:r>
      <w:r w:rsidRPr="0048465B">
        <w:rPr>
          <w:lang w:val="en-GB"/>
        </w:rPr>
        <w:t xml:space="preserve"> unsettles </w:t>
      </w:r>
      <w:r w:rsidR="00E93B7D">
        <w:rPr>
          <w:lang w:val="en-GB"/>
        </w:rPr>
        <w:t>Shmuel’s</w:t>
      </w:r>
      <w:r w:rsidRPr="0048465B">
        <w:rPr>
          <w:lang w:val="en-GB"/>
        </w:rPr>
        <w:t xml:space="preserve"> connection to his country of origin, and cultivates an environment wherein Israel’s glorification in turn valorises the Ashkenazim and their cultural practices, making them </w:t>
      </w:r>
      <w:r w:rsidR="00243338">
        <w:rPr>
          <w:lang w:val="en-GB"/>
        </w:rPr>
        <w:t>–</w:t>
      </w:r>
      <w:r w:rsidRPr="0048465B">
        <w:rPr>
          <w:lang w:val="en-GB"/>
        </w:rPr>
        <w:t xml:space="preserve"> much like the IDF in </w:t>
      </w:r>
      <w:r w:rsidRPr="0048465B">
        <w:rPr>
          <w:i/>
          <w:lang w:val="en-GB"/>
        </w:rPr>
        <w:t>All Men are Equal but Some Are More</w:t>
      </w:r>
      <w:r w:rsidRPr="0048465B">
        <w:rPr>
          <w:lang w:val="en-GB"/>
        </w:rPr>
        <w:t xml:space="preserve"> </w:t>
      </w:r>
      <w:r w:rsidR="00243338">
        <w:rPr>
          <w:lang w:val="en-GB"/>
        </w:rPr>
        <w:t xml:space="preserve">– a </w:t>
      </w:r>
      <w:r w:rsidRPr="0048465B">
        <w:rPr>
          <w:lang w:val="en-GB"/>
        </w:rPr>
        <w:t>gateway into Israeli society.</w:t>
      </w:r>
    </w:p>
    <w:p w14:paraId="14CD409E" w14:textId="77777777" w:rsidR="00FC331F" w:rsidRPr="0048465B" w:rsidRDefault="00FC331F" w:rsidP="00FC331F">
      <w:pPr>
        <w:rPr>
          <w:lang w:val="en-GB"/>
        </w:rPr>
      </w:pPr>
    </w:p>
    <w:p w14:paraId="2134A2F9" w14:textId="40634DB8" w:rsidR="00FC331F" w:rsidRPr="0048465B" w:rsidRDefault="00FC331F" w:rsidP="00FC331F">
      <w:pPr>
        <w:rPr>
          <w:lang w:val="en-GB"/>
        </w:rPr>
      </w:pPr>
      <w:r w:rsidRPr="0048465B">
        <w:rPr>
          <w:lang w:val="en-GB"/>
        </w:rPr>
        <w:t>Yet this gateway into Israel and Ashkenazi society is ultimately superficial. It is not in assimilating oneself into Ashkenormative society that serenity lies for the Mizrahim, as such conformity demands the erasure of Mizrahi identity. Berdugo demonstrates Shmuel’s subconscious desire to bring his Israeli and Mizrahi identities into harmony through showing his excitement about the change that might occur when Rachel returns. Shmuel notes that Rosh Hashanah and Yom Kippur are coming soon, and asks himself whether they might ‘do them differently? Introduce innovations in the arrangements of the apartment and the food? Maybe we’ll think about them seriously?’</w:t>
      </w:r>
      <w:r w:rsidRPr="0048465B">
        <w:rPr>
          <w:vertAlign w:val="superscript"/>
          <w:lang w:val="en-GB"/>
        </w:rPr>
        <w:footnoteReference w:id="411"/>
      </w:r>
      <w:r w:rsidRPr="0048465B">
        <w:rPr>
          <w:lang w:val="en-GB"/>
        </w:rPr>
        <w:t xml:space="preserve"> Whilst remaining within the remit of traditional Jewish Israeli holidays, the two holidays that Shmuel hopes to take more seriously have no basis in Ashkenazi culture specifically, and are not connected to the Holocaust, instead having roots in Middle</w:t>
      </w:r>
      <w:r w:rsidR="00243338">
        <w:rPr>
          <w:lang w:val="en-GB"/>
        </w:rPr>
        <w:t xml:space="preserve"> </w:t>
      </w:r>
      <w:r w:rsidRPr="0048465B">
        <w:rPr>
          <w:lang w:val="en-GB"/>
        </w:rPr>
        <w:t>Eastern agricultural practices</w:t>
      </w:r>
      <w:r w:rsidRPr="0048465B">
        <w:rPr>
          <w:vertAlign w:val="superscript"/>
          <w:lang w:val="en-GB"/>
        </w:rPr>
        <w:footnoteReference w:id="412"/>
      </w:r>
      <w:r w:rsidRPr="0048465B">
        <w:rPr>
          <w:lang w:val="en-GB"/>
        </w:rPr>
        <w:t xml:space="preserve"> and the </w:t>
      </w:r>
      <w:r w:rsidRPr="0048465B">
        <w:rPr>
          <w:lang w:val="en-GB"/>
        </w:rPr>
        <w:lastRenderedPageBreak/>
        <w:t>exodus of Middle</w:t>
      </w:r>
      <w:r w:rsidR="00243338">
        <w:rPr>
          <w:lang w:val="en-GB"/>
        </w:rPr>
        <w:t xml:space="preserve"> </w:t>
      </w:r>
      <w:r w:rsidRPr="0048465B">
        <w:rPr>
          <w:lang w:val="en-GB"/>
        </w:rPr>
        <w:t>Eastern Jews from Egypt respectively.</w:t>
      </w:r>
      <w:r w:rsidRPr="0048465B">
        <w:rPr>
          <w:vertAlign w:val="superscript"/>
          <w:lang w:val="en-GB"/>
        </w:rPr>
        <w:footnoteReference w:id="413"/>
      </w:r>
      <w:r w:rsidRPr="0048465B">
        <w:rPr>
          <w:lang w:val="en-GB"/>
        </w:rPr>
        <w:t xml:space="preserve"> Shmuel’s desire to take these holidays more seriously, to change the food they eat, to ‘manage the preparations [him]self’</w:t>
      </w:r>
      <w:r w:rsidR="00C16996">
        <w:rPr>
          <w:lang w:val="en-GB"/>
        </w:rPr>
        <w:t>,</w:t>
      </w:r>
      <w:r w:rsidRPr="0048465B">
        <w:rPr>
          <w:lang w:val="en-GB"/>
        </w:rPr>
        <w:t xml:space="preserve"> reflects a deep yearning to reconnect with his Mizrahi roots, to reposition Arab Jews at the centre of what it means to be Jewish, alongside the Ashkenazim.</w:t>
      </w:r>
      <w:r w:rsidR="00E93B7D" w:rsidRPr="0048465B">
        <w:rPr>
          <w:vertAlign w:val="superscript"/>
          <w:lang w:val="en-GB"/>
        </w:rPr>
        <w:footnoteReference w:id="414"/>
      </w:r>
    </w:p>
    <w:p w14:paraId="7B5CFF6C" w14:textId="77777777" w:rsidR="00FC331F" w:rsidRPr="0048465B" w:rsidRDefault="00FC331F" w:rsidP="00FC331F">
      <w:pPr>
        <w:rPr>
          <w:lang w:val="en-GB"/>
        </w:rPr>
      </w:pPr>
    </w:p>
    <w:p w14:paraId="39BFD1B0" w14:textId="73171BBB" w:rsidR="00FC331F" w:rsidRPr="0048465B" w:rsidRDefault="00FC331F" w:rsidP="00FC331F">
      <w:pPr>
        <w:rPr>
          <w:lang w:val="en-GB"/>
        </w:rPr>
      </w:pPr>
      <w:r w:rsidRPr="0048465B">
        <w:rPr>
          <w:lang w:val="en-GB"/>
        </w:rPr>
        <w:t xml:space="preserve">Similarly, Berdugo’s heavy emphasis on language within the novella highlights not a challenge to Hebrew, but a sublimated desire for the language of home. Shmuel congratulates himself on being able to ‘use it [Hebrew] fluently’ and openly enthuses on how important Hebrew is, ruminating on the significance of ‘the letters of the state and the Israeli language that externalizes them and enables us to talk to each other. Hats off to us for the success of the language and for learning to think in local letters’, he thinks. Yet at the same time Berdugo gives Shmuel a subconscious affection for those who struggle to speak Hebrew. When Shmuel meets the wives of recent immigrants at his workplace, the Welfare Bureau, he expresses his ‘sympathy for them, allowing them to be gentle and speak in whispers, as if they are penetrating me with their broken voices and their broken language’, and telling the reader that he chooses not to ‘correct their Hebrew’. Here, what may initially be read as a kind of pity for the linguistic shortcomings of those he speaks to is exposed by the </w:t>
      </w:r>
      <w:r w:rsidR="00662782" w:rsidRPr="0048465B">
        <w:rPr>
          <w:lang w:val="en-GB"/>
        </w:rPr>
        <w:t>self-conscious</w:t>
      </w:r>
      <w:r w:rsidRPr="0048465B">
        <w:rPr>
          <w:lang w:val="en-GB"/>
        </w:rPr>
        <w:t xml:space="preserve"> ‘as if’, this uncertain and contrived disregarding of the non-conforming unveiling Shmuel’s conflicted feelings about Hebrew, and revealing an appreciation of the ways in which the breaking down of the dominant language allows the distinct identities and histories of these women to be seen. </w:t>
      </w:r>
    </w:p>
    <w:p w14:paraId="0EDC25BB" w14:textId="77777777" w:rsidR="00FC331F" w:rsidRPr="0048465B" w:rsidRDefault="00FC331F" w:rsidP="00FC331F">
      <w:pPr>
        <w:rPr>
          <w:lang w:val="en-GB"/>
        </w:rPr>
      </w:pPr>
    </w:p>
    <w:p w14:paraId="2EA033C7" w14:textId="25A34FB3" w:rsidR="00FC331F" w:rsidRPr="0048465B" w:rsidRDefault="00FC331F" w:rsidP="00FC331F">
      <w:pPr>
        <w:rPr>
          <w:lang w:val="en-GB"/>
        </w:rPr>
      </w:pPr>
      <w:r w:rsidRPr="0048465B">
        <w:rPr>
          <w:lang w:val="en-GB"/>
        </w:rPr>
        <w:lastRenderedPageBreak/>
        <w:t>Berdugo reiterates this friction between the desire to conform and the need to acknowledge the noncompliant elements of one</w:t>
      </w:r>
      <w:r w:rsidR="00AB7FD2">
        <w:rPr>
          <w:lang w:val="en-GB"/>
        </w:rPr>
        <w:t>’</w:t>
      </w:r>
      <w:r w:rsidRPr="0048465B">
        <w:rPr>
          <w:lang w:val="en-GB"/>
        </w:rPr>
        <w:t xml:space="preserve">s identity when he details Shmuel’s confusion at how his understanding of ‘how to speak and write Hebrew’ </w:t>
      </w:r>
      <w:r w:rsidR="00AB7FD2">
        <w:rPr>
          <w:lang w:val="en-GB"/>
        </w:rPr>
        <w:t>–</w:t>
      </w:r>
      <w:r w:rsidRPr="0048465B">
        <w:rPr>
          <w:lang w:val="en-GB"/>
        </w:rPr>
        <w:t xml:space="preserve"> and the genuine pleasure that he takes in the language </w:t>
      </w:r>
      <w:r w:rsidR="00AB7FD2">
        <w:rPr>
          <w:lang w:val="en-GB"/>
        </w:rPr>
        <w:t>–</w:t>
      </w:r>
      <w:r w:rsidRPr="0048465B">
        <w:rPr>
          <w:lang w:val="en-GB"/>
        </w:rPr>
        <w:t xml:space="preserve"> does not save him from there being ‘nobody [he] could speak to in a coherent way about the confusion [he] felt’.</w:t>
      </w:r>
      <w:r w:rsidRPr="0048465B">
        <w:rPr>
          <w:vertAlign w:val="superscript"/>
          <w:lang w:val="en-GB"/>
        </w:rPr>
        <w:footnoteReference w:id="415"/>
      </w:r>
      <w:r w:rsidRPr="0048465B">
        <w:rPr>
          <w:lang w:val="en-GB"/>
        </w:rPr>
        <w:t xml:space="preserve"> Ironically, whilst Shmuel perceives his ability to speak and write in Hebrew as something that should enable him to express this vague confusion, it is the very fact that Shmuel seeks to use this dominant language to articulate his confusion that ensures that it remains inexpressible. </w:t>
      </w:r>
    </w:p>
    <w:p w14:paraId="52EF1FA6" w14:textId="77777777" w:rsidR="00FC331F" w:rsidRPr="0048465B" w:rsidRDefault="00FC331F" w:rsidP="00FC331F">
      <w:pPr>
        <w:rPr>
          <w:lang w:val="en-GB"/>
        </w:rPr>
      </w:pPr>
    </w:p>
    <w:p w14:paraId="3A9E12A6" w14:textId="47781EEE" w:rsidR="00FC331F" w:rsidRPr="0048465B" w:rsidRDefault="00FC331F" w:rsidP="00FC331F">
      <w:pPr>
        <w:rPr>
          <w:lang w:val="en-GB"/>
        </w:rPr>
      </w:pPr>
      <w:r w:rsidRPr="0048465B">
        <w:rPr>
          <w:lang w:val="en-GB"/>
        </w:rPr>
        <w:t xml:space="preserve">The predominance of the Hebrew language within Israel is further subverted, albeit counterintuitively, through Berdugo’s choice to write </w:t>
      </w:r>
      <w:r w:rsidRPr="0048465B">
        <w:rPr>
          <w:i/>
          <w:lang w:val="en-GB"/>
        </w:rPr>
        <w:t xml:space="preserve">Orphans </w:t>
      </w:r>
      <w:r w:rsidRPr="0048465B">
        <w:rPr>
          <w:lang w:val="en-GB"/>
        </w:rPr>
        <w:t>in Hebrew. Smadar Shiffman of Tel Aviv University asserts that this choice</w:t>
      </w:r>
      <w:r w:rsidR="00AB7FD2">
        <w:rPr>
          <w:lang w:val="en-GB"/>
        </w:rPr>
        <w:t xml:space="preserve"> places </w:t>
      </w:r>
      <w:r w:rsidR="00AB7FD2">
        <w:rPr>
          <w:i/>
          <w:iCs/>
          <w:lang w:val="en-GB"/>
        </w:rPr>
        <w:t>Orphans</w:t>
      </w:r>
      <w:r w:rsidRPr="0048465B">
        <w:rPr>
          <w:lang w:val="en-GB"/>
        </w:rPr>
        <w:t xml:space="preserve"> in line with Deleuze and Guattari’s definition of minor literatures as those ‘“which a minority constructs within a major language,”’ </w:t>
      </w:r>
      <w:r w:rsidR="00AB7FD2">
        <w:rPr>
          <w:lang w:val="en-GB"/>
        </w:rPr>
        <w:t xml:space="preserve">Berdugo’s novella </w:t>
      </w:r>
      <w:r w:rsidRPr="0048465B">
        <w:rPr>
          <w:lang w:val="en-GB"/>
        </w:rPr>
        <w:t>‘</w:t>
      </w:r>
      <w:proofErr w:type="spellStart"/>
      <w:r w:rsidRPr="0048465B">
        <w:rPr>
          <w:lang w:val="en-GB"/>
        </w:rPr>
        <w:t>mak</w:t>
      </w:r>
      <w:proofErr w:type="spellEnd"/>
      <w:r w:rsidR="00AB7FD2">
        <w:rPr>
          <w:lang w:val="en-GB"/>
        </w:rPr>
        <w:t>[</w:t>
      </w:r>
      <w:proofErr w:type="spellStart"/>
      <w:r w:rsidR="00AB7FD2">
        <w:rPr>
          <w:lang w:val="en-GB"/>
        </w:rPr>
        <w:t>ing</w:t>
      </w:r>
      <w:proofErr w:type="spellEnd"/>
      <w:r w:rsidR="00AB7FD2">
        <w:rPr>
          <w:lang w:val="en-GB"/>
        </w:rPr>
        <w:t>]</w:t>
      </w:r>
      <w:r w:rsidRPr="0048465B">
        <w:rPr>
          <w:lang w:val="en-GB"/>
        </w:rPr>
        <w:t xml:space="preserve"> use of the language of the majority to undermine its tenets and its cultural dominance’.</w:t>
      </w:r>
      <w:r w:rsidRPr="0048465B">
        <w:rPr>
          <w:vertAlign w:val="superscript"/>
          <w:lang w:val="en-GB"/>
        </w:rPr>
        <w:footnoteReference w:id="416"/>
      </w:r>
      <w:r w:rsidRPr="0048465B">
        <w:rPr>
          <w:lang w:val="en-GB"/>
        </w:rPr>
        <w:t xml:space="preserve"> Whilst still evident in the English translation, this undermining of Hebrew dominance would undoubtedly be even more powerful in the untranslated text due to Berdugo’s use of what Shiffman describes as ‘broken, idiosyncratic, and metaphorical Hebrew’ that serves to ‘emphasize his protagonist’s alienation and cultural distinctiveness’.</w:t>
      </w:r>
      <w:r w:rsidRPr="0048465B">
        <w:rPr>
          <w:vertAlign w:val="superscript"/>
          <w:lang w:val="en-GB"/>
        </w:rPr>
        <w:footnoteReference w:id="417"/>
      </w:r>
      <w:r w:rsidRPr="0048465B">
        <w:rPr>
          <w:lang w:val="en-GB"/>
        </w:rPr>
        <w:t xml:space="preserve"> Through alluding to the inability of Hebrew to allow expressions of Shmuel’s disorientation, and through doing so in imperfect Hebrew, Berdugo </w:t>
      </w:r>
      <w:r w:rsidR="0008000B">
        <w:rPr>
          <w:lang w:val="en-GB"/>
        </w:rPr>
        <w:t>challenges</w:t>
      </w:r>
      <w:r w:rsidRPr="0048465B">
        <w:rPr>
          <w:lang w:val="en-GB"/>
        </w:rPr>
        <w:t xml:space="preserve"> Hebrew’s position as the preeminent language in Israel and provides evidence for his critique at the same time. This same critique is perhaps even more </w:t>
      </w:r>
      <w:r w:rsidRPr="0048465B">
        <w:rPr>
          <w:lang w:val="en-GB"/>
        </w:rPr>
        <w:lastRenderedPageBreak/>
        <w:t>poignant today than upon the novella’s publication in 2006, due to the Basic Law of 2018 which saw Hebrew designated as the official language of Israel, with Arabic demoted to language of special status.</w:t>
      </w:r>
    </w:p>
    <w:p w14:paraId="5D3E40FF" w14:textId="77777777" w:rsidR="00FC331F" w:rsidRPr="0048465B" w:rsidRDefault="00FC331F" w:rsidP="00FC331F">
      <w:pPr>
        <w:rPr>
          <w:lang w:val="en-GB"/>
        </w:rPr>
      </w:pPr>
    </w:p>
    <w:p w14:paraId="3850568C" w14:textId="5D55972D" w:rsidR="00FC331F" w:rsidRPr="0048465B" w:rsidRDefault="00FC331F" w:rsidP="00FC331F">
      <w:pPr>
        <w:rPr>
          <w:lang w:val="en-GB"/>
        </w:rPr>
      </w:pPr>
      <w:r w:rsidRPr="0048465B">
        <w:rPr>
          <w:lang w:val="en-GB"/>
        </w:rPr>
        <w:t xml:space="preserve">The significance attributed to language in </w:t>
      </w:r>
      <w:r w:rsidRPr="0048465B">
        <w:rPr>
          <w:i/>
          <w:lang w:val="en-GB"/>
        </w:rPr>
        <w:t>Orphans</w:t>
      </w:r>
      <w:r w:rsidRPr="0048465B">
        <w:rPr>
          <w:lang w:val="en-GB"/>
        </w:rPr>
        <w:t xml:space="preserve"> is similarly evident in </w:t>
      </w:r>
      <w:proofErr w:type="spellStart"/>
      <w:r w:rsidRPr="0048465B">
        <w:rPr>
          <w:lang w:val="en-GB"/>
        </w:rPr>
        <w:t>Orly</w:t>
      </w:r>
      <w:proofErr w:type="spellEnd"/>
      <w:r w:rsidRPr="0048465B">
        <w:rPr>
          <w:lang w:val="en-GB"/>
        </w:rPr>
        <w:t xml:space="preserve"> Castel-Bloom’s short story ‘</w:t>
      </w:r>
      <w:proofErr w:type="spellStart"/>
      <w:r w:rsidRPr="0048465B">
        <w:rPr>
          <w:lang w:val="en-GB"/>
        </w:rPr>
        <w:t>Ummi</w:t>
      </w:r>
      <w:proofErr w:type="spellEnd"/>
      <w:r w:rsidRPr="0048465B">
        <w:rPr>
          <w:lang w:val="en-GB"/>
        </w:rPr>
        <w:t xml:space="preserve"> Fi </w:t>
      </w:r>
      <w:proofErr w:type="spellStart"/>
      <w:r w:rsidRPr="0048465B">
        <w:rPr>
          <w:lang w:val="en-GB"/>
        </w:rPr>
        <w:t>Shurl</w:t>
      </w:r>
      <w:proofErr w:type="spellEnd"/>
      <w:r w:rsidRPr="0048465B">
        <w:rPr>
          <w:lang w:val="en-GB"/>
        </w:rPr>
        <w:t>’.</w:t>
      </w:r>
      <w:r w:rsidRPr="0048465B">
        <w:rPr>
          <w:vertAlign w:val="superscript"/>
          <w:lang w:val="en-GB"/>
        </w:rPr>
        <w:footnoteReference w:id="418"/>
      </w:r>
      <w:r w:rsidRPr="0048465B">
        <w:rPr>
          <w:lang w:val="en-GB"/>
        </w:rPr>
        <w:t xml:space="preserve"> Although ‘</w:t>
      </w:r>
      <w:proofErr w:type="spellStart"/>
      <w:r w:rsidRPr="0048465B">
        <w:rPr>
          <w:lang w:val="en-GB"/>
        </w:rPr>
        <w:t>Ummi</w:t>
      </w:r>
      <w:proofErr w:type="spellEnd"/>
      <w:r w:rsidRPr="0048465B">
        <w:rPr>
          <w:lang w:val="en-GB"/>
        </w:rPr>
        <w:t xml:space="preserve"> Fi </w:t>
      </w:r>
      <w:proofErr w:type="spellStart"/>
      <w:r w:rsidRPr="0048465B">
        <w:rPr>
          <w:lang w:val="en-GB"/>
        </w:rPr>
        <w:t>Shurl</w:t>
      </w:r>
      <w:proofErr w:type="spellEnd"/>
      <w:r w:rsidRPr="0048465B">
        <w:rPr>
          <w:lang w:val="en-GB"/>
        </w:rPr>
        <w:t>’ was originally written mostly in Hebrew, the title</w:t>
      </w:r>
      <w:r w:rsidR="00AB7FD2">
        <w:rPr>
          <w:lang w:val="en-GB"/>
        </w:rPr>
        <w:t xml:space="preserve">, </w:t>
      </w:r>
      <w:r w:rsidRPr="0048465B">
        <w:rPr>
          <w:lang w:val="en-GB"/>
        </w:rPr>
        <w:t>which translates to ‘My mother is at work’</w:t>
      </w:r>
      <w:r w:rsidR="00AB7FD2">
        <w:rPr>
          <w:lang w:val="en-GB"/>
        </w:rPr>
        <w:t>, is in Arabic</w:t>
      </w:r>
      <w:r w:rsidRPr="0048465B">
        <w:rPr>
          <w:lang w:val="en-GB"/>
        </w:rPr>
        <w:t xml:space="preserve">. This authorial decision to introduce the text in Arabic is immediately jarring as it means that the title of the story, that which might normally be used for guidance, is kept secret from those who speak only Hebrew, or in the translated version, English. Castel-Bloom continues to expose the reader’s linguistic bias and limitation throughout the story, regularly switching from Hebrew to Arabic speech, an effect that is even more discordant for readers of the Hebrew original, since </w:t>
      </w:r>
      <w:r w:rsidR="00AB7FD2">
        <w:rPr>
          <w:lang w:val="en-GB"/>
        </w:rPr>
        <w:t>–</w:t>
      </w:r>
      <w:r w:rsidRPr="0048465B">
        <w:rPr>
          <w:lang w:val="en-GB"/>
        </w:rPr>
        <w:t xml:space="preserve"> where the English version has translations incorporated into the story itself </w:t>
      </w:r>
      <w:r w:rsidR="00AB7FD2">
        <w:rPr>
          <w:lang w:val="en-GB"/>
        </w:rPr>
        <w:t>–</w:t>
      </w:r>
      <w:r w:rsidRPr="0048465B">
        <w:rPr>
          <w:lang w:val="en-GB"/>
        </w:rPr>
        <w:t xml:space="preserve"> the Arabic interjections in the Hebrew version ‘are numbered as footnotes, and translations are provided in an appended glossary’. Professor of Jewish Literature Zvia Ben-Yoseph Ginor, describes this as a ‘textual strategy’ where the introduction of Arabic terms and phrases not only ‘introduce[s] a sense of alienation</w:t>
      </w:r>
      <w:r w:rsidR="000C3FB4">
        <w:rPr>
          <w:lang w:val="en-GB"/>
        </w:rPr>
        <w:t xml:space="preserve"> […] </w:t>
      </w:r>
      <w:r w:rsidRPr="0048465B">
        <w:rPr>
          <w:lang w:val="en-GB"/>
        </w:rPr>
        <w:t xml:space="preserve">between the language of the majority, Hebrew, and the language of the minority, Arabic’, but also, through the positioning of the Hebrew translations in the glossary, </w:t>
      </w:r>
      <w:r w:rsidR="0008000B">
        <w:rPr>
          <w:lang w:val="en-GB"/>
        </w:rPr>
        <w:t xml:space="preserve">both </w:t>
      </w:r>
      <w:r w:rsidRPr="0048465B">
        <w:rPr>
          <w:lang w:val="en-GB"/>
        </w:rPr>
        <w:t>highlights the ‘author’s awareness of the mainstream reader’s ignorance of the “foreign” tongue’, and serves as an ‘authorial intrusion’,</w:t>
      </w:r>
      <w:r w:rsidRPr="0048465B">
        <w:rPr>
          <w:vertAlign w:val="superscript"/>
          <w:lang w:val="en-GB"/>
        </w:rPr>
        <w:footnoteReference w:id="419"/>
      </w:r>
      <w:r w:rsidRPr="0048465B">
        <w:rPr>
          <w:lang w:val="en-GB"/>
        </w:rPr>
        <w:t xml:space="preserve"> intended to disrupt the otherwise assumed normality of Hebrew.</w:t>
      </w:r>
    </w:p>
    <w:p w14:paraId="7D14FF83" w14:textId="77777777" w:rsidR="00FC331F" w:rsidRPr="0048465B" w:rsidRDefault="00FC331F" w:rsidP="00FC331F">
      <w:pPr>
        <w:rPr>
          <w:lang w:val="en-GB"/>
        </w:rPr>
      </w:pPr>
    </w:p>
    <w:p w14:paraId="299B4FCF" w14:textId="77777777" w:rsidR="00FC331F" w:rsidRPr="0048465B" w:rsidRDefault="00FC331F" w:rsidP="00FC331F">
      <w:pPr>
        <w:rPr>
          <w:lang w:val="en-GB"/>
        </w:rPr>
      </w:pPr>
      <w:r w:rsidRPr="0048465B">
        <w:rPr>
          <w:lang w:val="en-GB"/>
        </w:rPr>
        <w:lastRenderedPageBreak/>
        <w:t>The presence of Arabic, and the notion of Arab presence more generally, serve a disruptive purpose throughout ‘</w:t>
      </w:r>
      <w:proofErr w:type="spellStart"/>
      <w:r w:rsidRPr="0048465B">
        <w:rPr>
          <w:lang w:val="en-GB"/>
        </w:rPr>
        <w:t>Ummi</w:t>
      </w:r>
      <w:proofErr w:type="spellEnd"/>
      <w:r w:rsidRPr="0048465B">
        <w:rPr>
          <w:lang w:val="en-GB"/>
        </w:rPr>
        <w:t xml:space="preserve"> Fi </w:t>
      </w:r>
      <w:proofErr w:type="spellStart"/>
      <w:r w:rsidRPr="0048465B">
        <w:rPr>
          <w:lang w:val="en-GB"/>
        </w:rPr>
        <w:t>Shurl</w:t>
      </w:r>
      <w:proofErr w:type="spellEnd"/>
      <w:r w:rsidRPr="0048465B">
        <w:rPr>
          <w:lang w:val="en-GB"/>
        </w:rPr>
        <w:t>’. The short story revolves around the female protagonist who gets up one day and starts to walk on account of her being ‘unable to stay in the house any longer’ as ‘the walls were closing in’ on her and she was beginning to ‘suffocate’.</w:t>
      </w:r>
      <w:r w:rsidRPr="0048465B">
        <w:rPr>
          <w:vertAlign w:val="superscript"/>
          <w:lang w:val="en-GB"/>
        </w:rPr>
        <w:footnoteReference w:id="420"/>
      </w:r>
      <w:r w:rsidRPr="0048465B">
        <w:rPr>
          <w:lang w:val="en-GB"/>
        </w:rPr>
        <w:t xml:space="preserve"> The young woman walks to a bench where she feels a sting on her foot and, upon looking down to search for a snake or scorpion, finds instead an older Arab woman who claims to be her mother.</w:t>
      </w:r>
      <w:r w:rsidRPr="0048465B">
        <w:rPr>
          <w:vertAlign w:val="superscript"/>
          <w:lang w:val="en-GB"/>
        </w:rPr>
        <w:footnoteReference w:id="421"/>
      </w:r>
      <w:r w:rsidRPr="0048465B">
        <w:rPr>
          <w:lang w:val="en-GB"/>
        </w:rPr>
        <w:t xml:space="preserve"> This older Arab woman is described as being ‘dressed totally in rags’, and stinking ‘of pee’, an unfavourable representation of Arab identity that is reinforced when the daughter turns her nose away from the woman. Here, Castel-Bloom chooses the word ‘</w:t>
      </w:r>
      <w:proofErr w:type="spellStart"/>
      <w:r w:rsidRPr="0048465B">
        <w:rPr>
          <w:i/>
          <w:lang w:val="en-GB"/>
        </w:rPr>
        <w:t>hotem</w:t>
      </w:r>
      <w:proofErr w:type="spellEnd"/>
      <w:r w:rsidRPr="0048465B">
        <w:rPr>
          <w:lang w:val="en-GB"/>
        </w:rPr>
        <w:t>’ for nose as opposed to ‘</w:t>
      </w:r>
      <w:proofErr w:type="spellStart"/>
      <w:r w:rsidRPr="0048465B">
        <w:rPr>
          <w:i/>
          <w:lang w:val="en-GB"/>
        </w:rPr>
        <w:t>af</w:t>
      </w:r>
      <w:proofErr w:type="spellEnd"/>
      <w:r w:rsidRPr="0048465B">
        <w:rPr>
          <w:lang w:val="en-GB"/>
        </w:rPr>
        <w:t>’, which, according to Ginor, is a word of higher register, thus juxtaposing the image of the Arab woman with ‘an elitist nose turning’.</w:t>
      </w:r>
      <w:r w:rsidRPr="0048465B">
        <w:rPr>
          <w:vertAlign w:val="superscript"/>
          <w:lang w:val="en-GB"/>
        </w:rPr>
        <w:footnoteReference w:id="422"/>
      </w:r>
      <w:r w:rsidRPr="0048465B">
        <w:rPr>
          <w:lang w:val="en-GB"/>
        </w:rPr>
        <w:t xml:space="preserve"> Castel Bloom’s lexical finesse is reemphasised through her choice of words when writing about the sting, the word for sting in Hebrew, ‘’</w:t>
      </w:r>
      <w:proofErr w:type="spellStart"/>
      <w:r w:rsidRPr="0048465B">
        <w:rPr>
          <w:lang w:val="en-GB"/>
        </w:rPr>
        <w:t>okets</w:t>
      </w:r>
      <w:proofErr w:type="spellEnd"/>
      <w:r w:rsidRPr="0048465B">
        <w:rPr>
          <w:lang w:val="en-GB"/>
        </w:rPr>
        <w:t>’, also meaning ‘the point, the climax, or the message of a tale’.</w:t>
      </w:r>
      <w:r w:rsidRPr="0048465B">
        <w:rPr>
          <w:vertAlign w:val="superscript"/>
          <w:lang w:val="en-GB"/>
        </w:rPr>
        <w:footnoteReference w:id="423"/>
      </w:r>
      <w:r w:rsidRPr="0048465B">
        <w:rPr>
          <w:lang w:val="en-GB"/>
        </w:rPr>
        <w:t xml:space="preserve"> </w:t>
      </w:r>
    </w:p>
    <w:p w14:paraId="46517E8F" w14:textId="77777777" w:rsidR="00FC331F" w:rsidRPr="0048465B" w:rsidRDefault="00FC331F" w:rsidP="00FC331F">
      <w:pPr>
        <w:rPr>
          <w:lang w:val="en-GB"/>
        </w:rPr>
      </w:pPr>
    </w:p>
    <w:p w14:paraId="3F70FCEE" w14:textId="51E49042" w:rsidR="00FC331F" w:rsidRPr="0048465B" w:rsidRDefault="00FC331F" w:rsidP="00FC331F">
      <w:pPr>
        <w:rPr>
          <w:lang w:val="en-GB"/>
        </w:rPr>
      </w:pPr>
      <w:r w:rsidRPr="0048465B">
        <w:rPr>
          <w:lang w:val="en-GB"/>
        </w:rPr>
        <w:t xml:space="preserve">Yet as this encounter </w:t>
      </w:r>
      <w:r w:rsidR="00063A0B" w:rsidRPr="0048465B">
        <w:rPr>
          <w:lang w:val="en-GB"/>
        </w:rPr>
        <w:t>develops,</w:t>
      </w:r>
      <w:r w:rsidRPr="0048465B">
        <w:rPr>
          <w:lang w:val="en-GB"/>
        </w:rPr>
        <w:t xml:space="preserve"> and the daughter’s Egyptian heritage is revealed </w:t>
      </w:r>
      <w:r w:rsidR="00AB7FD2">
        <w:rPr>
          <w:lang w:val="en-GB"/>
        </w:rPr>
        <w:t>–</w:t>
      </w:r>
      <w:r w:rsidRPr="0048465B">
        <w:rPr>
          <w:lang w:val="en-GB"/>
        </w:rPr>
        <w:t xml:space="preserve"> mirroring Castel-Bloom’s own origins </w:t>
      </w:r>
      <w:r w:rsidR="00AB7FD2">
        <w:rPr>
          <w:lang w:val="en-GB"/>
        </w:rPr>
        <w:t>–</w:t>
      </w:r>
      <w:r w:rsidRPr="0048465B">
        <w:rPr>
          <w:lang w:val="en-GB"/>
        </w:rPr>
        <w:t xml:space="preserve"> the opening of the story takes on new meaning. From the very </w:t>
      </w:r>
      <w:r w:rsidR="00AB7FD2">
        <w:rPr>
          <w:lang w:val="en-GB"/>
        </w:rPr>
        <w:t>beginning</w:t>
      </w:r>
      <w:r w:rsidRPr="0048465B">
        <w:rPr>
          <w:lang w:val="en-GB"/>
        </w:rPr>
        <w:t xml:space="preserve"> of the story, where the daughter gets up and starts walking, Castel-Bloom is already drawing distinction between Mizrahi and Ashkenazi experiences. Ginor links this opening section to the Ashkenazi Israeli poet Amir Gilboa’s ‘Shir </w:t>
      </w:r>
      <w:proofErr w:type="spellStart"/>
      <w:r w:rsidRPr="0048465B">
        <w:rPr>
          <w:lang w:val="en-GB"/>
        </w:rPr>
        <w:t>baboker</w:t>
      </w:r>
      <w:proofErr w:type="spellEnd"/>
      <w:r w:rsidRPr="0048465B">
        <w:rPr>
          <w:lang w:val="en-GB"/>
        </w:rPr>
        <w:t xml:space="preserve"> </w:t>
      </w:r>
      <w:proofErr w:type="spellStart"/>
      <w:r w:rsidRPr="0048465B">
        <w:rPr>
          <w:lang w:val="en-GB"/>
        </w:rPr>
        <w:t>baboker</w:t>
      </w:r>
      <w:proofErr w:type="spellEnd"/>
      <w:r w:rsidRPr="0048465B">
        <w:rPr>
          <w:lang w:val="en-GB"/>
        </w:rPr>
        <w:t xml:space="preserve">’, wherein a man wakes up in the morning and ‘thinks that he is a people and begins walking’. Whereas Castel-Bloom’s female </w:t>
      </w:r>
      <w:r w:rsidRPr="0048465B">
        <w:rPr>
          <w:lang w:val="en-GB"/>
        </w:rPr>
        <w:lastRenderedPageBreak/>
        <w:t>Mizrahi protagonist’s starting point is one of suffocation, paranoia, and seclusion, where walking is a means of escaping feeling, Gilboa’s male Ashkenazi protagonist starts walking with an ‘ecstatic mood’ and a ‘celebration of purpose’,</w:t>
      </w:r>
      <w:r w:rsidRPr="0048465B">
        <w:rPr>
          <w:vertAlign w:val="superscript"/>
          <w:lang w:val="en-GB"/>
        </w:rPr>
        <w:footnoteReference w:id="424"/>
      </w:r>
      <w:r w:rsidRPr="0048465B">
        <w:rPr>
          <w:lang w:val="en-GB"/>
        </w:rPr>
        <w:t xml:space="preserve"> a stark contrast to the lack of direction felt by Castel-Bloom’s central figure. </w:t>
      </w:r>
    </w:p>
    <w:p w14:paraId="6CA40D27" w14:textId="77777777" w:rsidR="00FC331F" w:rsidRPr="0048465B" w:rsidRDefault="00FC331F" w:rsidP="00FC331F">
      <w:pPr>
        <w:rPr>
          <w:lang w:val="en-GB"/>
        </w:rPr>
      </w:pPr>
    </w:p>
    <w:p w14:paraId="6C997113" w14:textId="78B971A8" w:rsidR="00FC331F" w:rsidRPr="0048465B" w:rsidRDefault="00FC331F" w:rsidP="00FC331F">
      <w:pPr>
        <w:rPr>
          <w:lang w:val="en-GB"/>
        </w:rPr>
      </w:pPr>
      <w:r w:rsidRPr="0048465B">
        <w:rPr>
          <w:lang w:val="en-GB"/>
        </w:rPr>
        <w:t xml:space="preserve">Shortly after the pivotal sting of the mother upon the daughter, the mother gets out from under the bench and sits to the daughter’s east, aligning herself with the literal translation of ‘Mizrahi’, ‘Eastern’. As the mother sits she speaks to the daughter, in Arabic </w:t>
      </w:r>
      <w:r w:rsidR="008C555F">
        <w:rPr>
          <w:lang w:val="en-GB"/>
        </w:rPr>
        <w:t>–</w:t>
      </w:r>
      <w:r w:rsidRPr="0048465B">
        <w:rPr>
          <w:lang w:val="en-GB"/>
        </w:rPr>
        <w:t xml:space="preserve"> </w:t>
      </w:r>
      <w:r w:rsidR="008C555F">
        <w:rPr>
          <w:lang w:val="en-GB"/>
        </w:rPr>
        <w:t>‘</w:t>
      </w:r>
      <w:r w:rsidRPr="0048465B">
        <w:rPr>
          <w:lang w:val="en-GB"/>
        </w:rPr>
        <w:t>as if she already knows’</w:t>
      </w:r>
      <w:r w:rsidR="00063A0B" w:rsidRPr="0048465B">
        <w:rPr>
          <w:vertAlign w:val="superscript"/>
          <w:lang w:val="en-GB"/>
        </w:rPr>
        <w:footnoteReference w:id="425"/>
      </w:r>
      <w:r w:rsidRPr="0048465B">
        <w:rPr>
          <w:lang w:val="en-GB"/>
        </w:rPr>
        <w:t xml:space="preserve"> </w:t>
      </w:r>
      <w:r w:rsidR="008C555F">
        <w:rPr>
          <w:lang w:val="en-GB"/>
        </w:rPr>
        <w:t>–</w:t>
      </w:r>
      <w:r w:rsidRPr="0048465B">
        <w:rPr>
          <w:lang w:val="en-GB"/>
        </w:rPr>
        <w:t xml:space="preserve"> asking ‘where [she] was from, in other words, what ethnic group [she] belonged to’.</w:t>
      </w:r>
      <w:r w:rsidRPr="0048465B">
        <w:rPr>
          <w:vertAlign w:val="superscript"/>
          <w:lang w:val="en-GB"/>
        </w:rPr>
        <w:footnoteReference w:id="426"/>
      </w:r>
      <w:r w:rsidRPr="0048465B">
        <w:rPr>
          <w:lang w:val="en-GB"/>
        </w:rPr>
        <w:t xml:space="preserve"> Whilst Castel-Bloom’s immediate literalisation of the subtext beneath the question ‘where are you from?’ is hardly delicate, it speaks most directly to people of colour who are othered by such microaggressions on a daily basis; where the question ‘where are you from?’ seeks not a city, village, or locality, but a clarification of why, in a place where whiteness is the norm, a given individual is not white.</w:t>
      </w:r>
      <w:r w:rsidRPr="0048465B">
        <w:rPr>
          <w:vertAlign w:val="superscript"/>
          <w:lang w:val="en-GB"/>
        </w:rPr>
        <w:footnoteReference w:id="427"/>
      </w:r>
      <w:r w:rsidRPr="0048465B">
        <w:rPr>
          <w:lang w:val="en-GB"/>
        </w:rPr>
        <w:t xml:space="preserve"> Whilst the question comes from the Arab mother, rather than a white person, the instinctive translation of the daughter alludes to the regularity with which people of colour are forced to affirm their existence in white hegemonic societies.</w:t>
      </w:r>
    </w:p>
    <w:p w14:paraId="5593D2EC" w14:textId="77777777" w:rsidR="00FC331F" w:rsidRPr="0048465B" w:rsidRDefault="00FC331F" w:rsidP="00FC331F">
      <w:pPr>
        <w:rPr>
          <w:lang w:val="en-GB"/>
        </w:rPr>
      </w:pPr>
    </w:p>
    <w:p w14:paraId="230F8CAA" w14:textId="37958ADD" w:rsidR="00FC331F" w:rsidRPr="0048465B" w:rsidRDefault="00FC331F" w:rsidP="00FC331F">
      <w:pPr>
        <w:rPr>
          <w:lang w:val="en-GB"/>
        </w:rPr>
      </w:pPr>
      <w:r w:rsidRPr="0048465B">
        <w:rPr>
          <w:lang w:val="en-GB"/>
        </w:rPr>
        <w:t>As if in response to this very questioning of ‘why one isn’t’, the daughter responds in the terms that shape the ‘expected and assumed experience of her culture’, those of the Holocaust.</w:t>
      </w:r>
      <w:r w:rsidRPr="0048465B">
        <w:rPr>
          <w:vertAlign w:val="superscript"/>
          <w:lang w:val="en-GB"/>
        </w:rPr>
        <w:footnoteReference w:id="428"/>
      </w:r>
      <w:r w:rsidRPr="0048465B">
        <w:rPr>
          <w:lang w:val="en-GB"/>
        </w:rPr>
        <w:t xml:space="preserve"> ‘“I’m not a Holocaust survivor”’, she replies ‘“but lately I’ve been dreaming that I am. As a matter of </w:t>
      </w:r>
      <w:r w:rsidRPr="0048465B">
        <w:rPr>
          <w:lang w:val="en-GB"/>
        </w:rPr>
        <w:lastRenderedPageBreak/>
        <w:t>fact, my parents are from Cairo”’.</w:t>
      </w:r>
      <w:r w:rsidRPr="0048465B">
        <w:rPr>
          <w:vertAlign w:val="superscript"/>
          <w:lang w:val="en-GB"/>
        </w:rPr>
        <w:footnoteReference w:id="429"/>
      </w:r>
      <w:r w:rsidRPr="0048465B">
        <w:rPr>
          <w:lang w:val="en-GB"/>
        </w:rPr>
        <w:t xml:space="preserve"> In addition to reinforcing the feeling that it matters more what one ‘is not’ rather than what one ‘is’, the discordant pairing of being ‘a Holocaust survivor’ with the act of ‘dreaming’ reveals the extent to which non-Ashkenazi Jews are distanced from the centre of Israeli life. Ironically, the daughter’s dreams of being a Holocaust survivor are not to do with the realities of the Holocaust at all, but are instead representative of the desire to ‘</w:t>
      </w:r>
      <w:proofErr w:type="spellStart"/>
      <w:r w:rsidRPr="0048465B">
        <w:rPr>
          <w:lang w:val="en-GB"/>
        </w:rPr>
        <w:t>assimilat</w:t>
      </w:r>
      <w:proofErr w:type="spellEnd"/>
      <w:r w:rsidRPr="0048465B">
        <w:rPr>
          <w:lang w:val="en-GB"/>
        </w:rPr>
        <w:t>[e] the majority culture’s neurosis</w:t>
      </w:r>
      <w:r w:rsidR="000C3FB4">
        <w:rPr>
          <w:lang w:val="en-GB"/>
        </w:rPr>
        <w:t xml:space="preserve"> […] </w:t>
      </w:r>
      <w:r w:rsidRPr="0048465B">
        <w:rPr>
          <w:lang w:val="en-GB"/>
        </w:rPr>
        <w:t>into her own psyche’,</w:t>
      </w:r>
      <w:r w:rsidRPr="0048465B">
        <w:rPr>
          <w:vertAlign w:val="superscript"/>
          <w:lang w:val="en-GB"/>
        </w:rPr>
        <w:footnoteReference w:id="430"/>
      </w:r>
      <w:r w:rsidRPr="0048465B">
        <w:rPr>
          <w:lang w:val="en-GB"/>
        </w:rPr>
        <w:t xml:space="preserve"> the desire to be able to share in that which was primarily an Ashkenazi experience, yet which has come to be seen as representative of Jewishness as a whole.</w:t>
      </w:r>
    </w:p>
    <w:p w14:paraId="269422F0" w14:textId="77777777" w:rsidR="00FC331F" w:rsidRPr="0048465B" w:rsidRDefault="00FC331F" w:rsidP="00FC331F">
      <w:pPr>
        <w:rPr>
          <w:lang w:val="en-GB"/>
        </w:rPr>
      </w:pPr>
    </w:p>
    <w:p w14:paraId="1C0D081D" w14:textId="4E2C1615" w:rsidR="00FC331F" w:rsidRPr="0048465B" w:rsidRDefault="00FC331F" w:rsidP="00FC331F">
      <w:pPr>
        <w:rPr>
          <w:lang w:val="en-GB"/>
        </w:rPr>
      </w:pPr>
      <w:r w:rsidRPr="0048465B">
        <w:rPr>
          <w:lang w:val="en-GB"/>
        </w:rPr>
        <w:t xml:space="preserve">Ginor offers a similar, secondary reading, suggesting that this ‘fantasy of being a survivor could be interpreted as her wish to alter her own identity’. The key observation here, however, is </w:t>
      </w:r>
      <w:r w:rsidR="008C555F">
        <w:rPr>
          <w:lang w:val="en-GB"/>
        </w:rPr>
        <w:t>–</w:t>
      </w:r>
      <w:r w:rsidRPr="0048465B">
        <w:rPr>
          <w:lang w:val="en-GB"/>
        </w:rPr>
        <w:t xml:space="preserve"> in Ginor’s words </w:t>
      </w:r>
      <w:r w:rsidR="008C555F">
        <w:rPr>
          <w:lang w:val="en-GB"/>
        </w:rPr>
        <w:t>–</w:t>
      </w:r>
      <w:r w:rsidRPr="0048465B">
        <w:rPr>
          <w:lang w:val="en-GB"/>
        </w:rPr>
        <w:t xml:space="preserve"> of ‘the protest of a Sephardic Jew against the dominant Ashkenazic culture, which demands an obliteration of cultural distinctiveness whilst placing sanctity on the Ashkenazic Holocaust victims’.</w:t>
      </w:r>
      <w:r w:rsidRPr="0048465B">
        <w:rPr>
          <w:vertAlign w:val="superscript"/>
          <w:lang w:val="en-GB"/>
        </w:rPr>
        <w:footnoteReference w:id="431"/>
      </w:r>
      <w:r w:rsidRPr="0048465B">
        <w:rPr>
          <w:lang w:val="en-GB"/>
        </w:rPr>
        <w:t xml:space="preserve"> Whilst Ginor falls into the trap of prioritising European Jewish roots through her use of the term ‘Sephardic’ for a Jew from Egypt, her argument remains valid. Through expressing her dreams of being a Holocaust survivor, the daughter exposes the divisive nature of the notion of being ‘of’ the Holocaust, and the prioritisation of those who have direct ties to it, whilst also displaying the perceived impossibility of </w:t>
      </w:r>
      <w:r w:rsidR="00662782" w:rsidRPr="0048465B">
        <w:rPr>
          <w:lang w:val="en-GB"/>
        </w:rPr>
        <w:t>simultaneously</w:t>
      </w:r>
      <w:r w:rsidRPr="0048465B">
        <w:rPr>
          <w:lang w:val="en-GB"/>
        </w:rPr>
        <w:t xml:space="preserve"> engaging with this central tenet of modern Jewishness and remaining true to Mizrahi origins that seem to be incompatible with it. Yet again, the promise of the all-inclusive multicultural ‘melting pot’ is exposed as the </w:t>
      </w:r>
      <w:r w:rsidRPr="0048465B">
        <w:rPr>
          <w:lang w:val="en-GB"/>
        </w:rPr>
        <w:lastRenderedPageBreak/>
        <w:t>curtain behind which Ashkenormativity either transforms individuals or rejects them, not a harmonious medley that modifies itself along with each new identity it absorbs.</w:t>
      </w:r>
    </w:p>
    <w:p w14:paraId="3AFCF97B" w14:textId="77777777" w:rsidR="00FC331F" w:rsidRPr="0048465B" w:rsidRDefault="00FC331F" w:rsidP="00FC331F">
      <w:pPr>
        <w:rPr>
          <w:lang w:val="en-GB"/>
        </w:rPr>
      </w:pPr>
    </w:p>
    <w:p w14:paraId="4212EDCB" w14:textId="22BE5230" w:rsidR="00063A0B" w:rsidRDefault="00FC331F" w:rsidP="00FC331F">
      <w:pPr>
        <w:rPr>
          <w:lang w:val="en-GB"/>
        </w:rPr>
      </w:pPr>
      <w:r w:rsidRPr="0048465B">
        <w:rPr>
          <w:lang w:val="en-GB"/>
        </w:rPr>
        <w:t>Immediately following the daughter’s digression, she and the mother go through a repetitive routine wherein the mother, upon being asked if she is a ghost, responds by saying she is the daughter’s ‘mother’, an answer she then changes to ‘sister’ when the daughter replies ‘“</w:t>
      </w:r>
      <w:proofErr w:type="spellStart"/>
      <w:r w:rsidRPr="0048465B">
        <w:rPr>
          <w:i/>
          <w:lang w:val="en-GB"/>
        </w:rPr>
        <w:t>Ummi</w:t>
      </w:r>
      <w:proofErr w:type="spellEnd"/>
      <w:r w:rsidRPr="0048465B">
        <w:rPr>
          <w:i/>
          <w:lang w:val="en-GB"/>
        </w:rPr>
        <w:t xml:space="preserve">? </w:t>
      </w:r>
      <w:proofErr w:type="spellStart"/>
      <w:r w:rsidRPr="0048465B">
        <w:rPr>
          <w:i/>
          <w:lang w:val="en-GB"/>
        </w:rPr>
        <w:t>Ummi</w:t>
      </w:r>
      <w:proofErr w:type="spellEnd"/>
      <w:r w:rsidRPr="0048465B">
        <w:rPr>
          <w:i/>
          <w:lang w:val="en-GB"/>
        </w:rPr>
        <w:t xml:space="preserve"> mush </w:t>
      </w:r>
      <w:proofErr w:type="spellStart"/>
      <w:r w:rsidRPr="0048465B">
        <w:rPr>
          <w:i/>
          <w:lang w:val="en-GB"/>
        </w:rPr>
        <w:t>huna</w:t>
      </w:r>
      <w:proofErr w:type="spellEnd"/>
      <w:r w:rsidRPr="0048465B">
        <w:rPr>
          <w:i/>
          <w:lang w:val="en-GB"/>
        </w:rPr>
        <w:t xml:space="preserve">, </w:t>
      </w:r>
      <w:proofErr w:type="spellStart"/>
      <w:r w:rsidRPr="0048465B">
        <w:rPr>
          <w:i/>
          <w:lang w:val="en-GB"/>
        </w:rPr>
        <w:t>ummi</w:t>
      </w:r>
      <w:proofErr w:type="spellEnd"/>
      <w:r w:rsidRPr="0048465B">
        <w:rPr>
          <w:i/>
          <w:lang w:val="en-GB"/>
        </w:rPr>
        <w:t xml:space="preserve"> fi </w:t>
      </w:r>
      <w:proofErr w:type="spellStart"/>
      <w:r w:rsidRPr="0048465B">
        <w:rPr>
          <w:i/>
          <w:lang w:val="en-GB"/>
        </w:rPr>
        <w:t>shurl</w:t>
      </w:r>
      <w:proofErr w:type="spellEnd"/>
      <w:r w:rsidRPr="0048465B">
        <w:rPr>
          <w:lang w:val="en-GB"/>
        </w:rPr>
        <w:t xml:space="preserve"> - My mother? My mother isn’t here, my mother’s at work”’, and then back to ‘mother’, then ‘sister’ again, ‘about twenty times’, until the mother grows tired of the routine and eventually asks the daughter to take her home and look after her.</w:t>
      </w:r>
      <w:r w:rsidR="00063A0B" w:rsidRPr="0048465B">
        <w:rPr>
          <w:vertAlign w:val="superscript"/>
          <w:lang w:val="en-GB"/>
        </w:rPr>
        <w:footnoteReference w:id="432"/>
      </w:r>
      <w:r w:rsidRPr="0048465B">
        <w:rPr>
          <w:lang w:val="en-GB"/>
        </w:rPr>
        <w:t xml:space="preserve"> When the daughter rejects this request, the mother says ‘“</w:t>
      </w:r>
      <w:proofErr w:type="spellStart"/>
      <w:r w:rsidRPr="0048465B">
        <w:rPr>
          <w:i/>
          <w:lang w:val="en-GB"/>
        </w:rPr>
        <w:t>Ya</w:t>
      </w:r>
      <w:proofErr w:type="spellEnd"/>
      <w:r w:rsidRPr="0048465B">
        <w:rPr>
          <w:i/>
          <w:lang w:val="en-GB"/>
        </w:rPr>
        <w:t xml:space="preserve"> </w:t>
      </w:r>
      <w:proofErr w:type="spellStart"/>
      <w:r w:rsidRPr="0048465B">
        <w:rPr>
          <w:i/>
          <w:lang w:val="en-GB"/>
        </w:rPr>
        <w:t>sater</w:t>
      </w:r>
      <w:proofErr w:type="spellEnd"/>
      <w:r w:rsidRPr="0048465B">
        <w:rPr>
          <w:i/>
          <w:lang w:val="en-GB"/>
        </w:rPr>
        <w:t xml:space="preserve">, </w:t>
      </w:r>
      <w:proofErr w:type="spellStart"/>
      <w:r w:rsidRPr="0048465B">
        <w:rPr>
          <w:i/>
          <w:lang w:val="en-GB"/>
        </w:rPr>
        <w:t>ya</w:t>
      </w:r>
      <w:proofErr w:type="spellEnd"/>
      <w:r w:rsidRPr="0048465B">
        <w:rPr>
          <w:i/>
          <w:lang w:val="en-GB"/>
        </w:rPr>
        <w:t xml:space="preserve"> </w:t>
      </w:r>
      <w:proofErr w:type="spellStart"/>
      <w:r w:rsidRPr="0048465B">
        <w:rPr>
          <w:i/>
          <w:lang w:val="en-GB"/>
        </w:rPr>
        <w:t>rabb</w:t>
      </w:r>
      <w:proofErr w:type="spellEnd"/>
      <w:r w:rsidRPr="0048465B">
        <w:rPr>
          <w:lang w:val="en-GB"/>
        </w:rPr>
        <w:t xml:space="preserve"> - God save us</w:t>
      </w:r>
      <w:r w:rsidRPr="0048465B">
        <w:rPr>
          <w:i/>
          <w:lang w:val="en-GB"/>
        </w:rPr>
        <w:t xml:space="preserve">”’ </w:t>
      </w:r>
      <w:r w:rsidRPr="0048465B">
        <w:rPr>
          <w:lang w:val="en-GB"/>
        </w:rPr>
        <w:t xml:space="preserve">and climbs back down under the bench. </w:t>
      </w:r>
    </w:p>
    <w:p w14:paraId="14E57B89" w14:textId="77777777" w:rsidR="00063A0B" w:rsidRDefault="00063A0B" w:rsidP="00FC331F">
      <w:pPr>
        <w:rPr>
          <w:lang w:val="en-GB"/>
        </w:rPr>
      </w:pPr>
    </w:p>
    <w:p w14:paraId="15FBBF53" w14:textId="0B2228D2" w:rsidR="00FC331F" w:rsidRPr="00063A0B" w:rsidRDefault="00FC331F" w:rsidP="00FC331F">
      <w:pPr>
        <w:rPr>
          <w:vertAlign w:val="superscript"/>
          <w:lang w:val="en-GB"/>
        </w:rPr>
      </w:pPr>
      <w:r w:rsidRPr="0048465B">
        <w:rPr>
          <w:lang w:val="en-GB"/>
        </w:rPr>
        <w:t>At this point, even though the daughter speaks of her fear that the mother ‘might bite me again’, she also states, ‘On the other hand, I felt awkward about getting up and going away’.</w:t>
      </w:r>
      <w:r w:rsidRPr="0048465B">
        <w:rPr>
          <w:vertAlign w:val="superscript"/>
          <w:lang w:val="en-GB"/>
        </w:rPr>
        <w:footnoteReference w:id="433"/>
      </w:r>
      <w:r w:rsidRPr="0048465B">
        <w:rPr>
          <w:lang w:val="en-GB"/>
        </w:rPr>
        <w:t xml:space="preserve"> Here, Ginor argues that ‘contrary to the reader’s expectation, the daughter’s dilemma is whether to stay in or leave the park because she fears another sting; her responsibility to her mother is disregarded completely’.</w:t>
      </w:r>
      <w:r w:rsidRPr="0048465B">
        <w:rPr>
          <w:vertAlign w:val="superscript"/>
          <w:lang w:val="en-GB"/>
        </w:rPr>
        <w:footnoteReference w:id="434"/>
      </w:r>
      <w:r w:rsidRPr="0048465B">
        <w:rPr>
          <w:lang w:val="en-GB"/>
        </w:rPr>
        <w:t xml:space="preserve"> Yet, contrary to Ginor’s assertion, the text itself registers the daughter’s awkwardness as the reason she stays. Here, through her use of the phrase ‘on the other hand’, Castel-Bloom places the awkwardness of ‘getting up and going away’ in direct opposition to the fear of getting stung, forcing the reader to look beyond fear and towards moral obligation for the reason that the daughter might stay. </w:t>
      </w:r>
      <w:r w:rsidR="000E5F86">
        <w:rPr>
          <w:lang w:val="en-GB"/>
        </w:rPr>
        <w:t>A</w:t>
      </w:r>
      <w:r w:rsidRPr="0048465B">
        <w:rPr>
          <w:lang w:val="en-GB"/>
        </w:rPr>
        <w:t>s</w:t>
      </w:r>
      <w:r w:rsidR="000E5F86">
        <w:rPr>
          <w:lang w:val="en-GB"/>
        </w:rPr>
        <w:t xml:space="preserve"> Professor of Comparative literature, Gil Hochberg</w:t>
      </w:r>
      <w:r w:rsidRPr="0048465B">
        <w:rPr>
          <w:lang w:val="en-GB"/>
        </w:rPr>
        <w:t xml:space="preserve">, states </w:t>
      </w:r>
      <w:r w:rsidRPr="0048465B">
        <w:rPr>
          <w:lang w:val="en-GB"/>
        </w:rPr>
        <w:lastRenderedPageBreak/>
        <w:t>of the mother, ‘[w]ho is she, if not the embodiment of a haunting repressed memory: the memory of the proximity, indeed familial ties, between Hebrew and Arabic, the Arab and the Jew?’</w:t>
      </w:r>
      <w:r w:rsidRPr="0048465B">
        <w:rPr>
          <w:vertAlign w:val="superscript"/>
          <w:lang w:val="en-GB"/>
        </w:rPr>
        <w:footnoteReference w:id="435"/>
      </w:r>
      <w:r w:rsidRPr="0048465B">
        <w:rPr>
          <w:lang w:val="en-GB"/>
        </w:rPr>
        <w:t xml:space="preserve"> Here, the daughter’s reasons for staying are more closely aligned with an inability to fully renounce the mother figure and the Mizrahi origins she represents than they are an embodiment of her fear of a para-maternal sting. Moreover, even if the latter were the case, what does the sting of the mother represent if not the sting of that which our mothers most indelibly and inescapably tie us to, our origins? Whilst Ginor argues that the mother and daughter are ‘bonded by anger’ and that ‘[b]</w:t>
      </w:r>
      <w:proofErr w:type="spellStart"/>
      <w:r w:rsidRPr="0048465B">
        <w:rPr>
          <w:lang w:val="en-GB"/>
        </w:rPr>
        <w:t>iological</w:t>
      </w:r>
      <w:proofErr w:type="spellEnd"/>
      <w:r w:rsidRPr="0048465B">
        <w:rPr>
          <w:lang w:val="en-GB"/>
        </w:rPr>
        <w:t>, emotional, and ethnic issues do not tie mother to daughter’, issues of ethnicity underlie each and every moment of Castel-Bloom’s short story, and represent an anguish and misery far more fearsome and inescapable than the physical pain of any sting.</w:t>
      </w:r>
    </w:p>
    <w:p w14:paraId="75E78C3F" w14:textId="77777777" w:rsidR="00FC331F" w:rsidRPr="0048465B" w:rsidRDefault="00FC331F" w:rsidP="00FC331F">
      <w:pPr>
        <w:rPr>
          <w:lang w:val="en-GB"/>
        </w:rPr>
      </w:pPr>
    </w:p>
    <w:p w14:paraId="4EFC3676" w14:textId="50D82B22" w:rsidR="00FC331F" w:rsidRPr="0048465B" w:rsidRDefault="00FC331F" w:rsidP="00FC331F">
      <w:pPr>
        <w:rPr>
          <w:lang w:val="en-GB"/>
        </w:rPr>
      </w:pPr>
      <w:r w:rsidRPr="0048465B">
        <w:rPr>
          <w:lang w:val="en-GB"/>
        </w:rPr>
        <w:t xml:space="preserve">In both their insight into the position of </w:t>
      </w:r>
      <w:r w:rsidR="00735F0A">
        <w:rPr>
          <w:lang w:val="en-GB"/>
        </w:rPr>
        <w:t xml:space="preserve">both </w:t>
      </w:r>
      <w:r w:rsidRPr="0048465B">
        <w:rPr>
          <w:lang w:val="en-GB"/>
        </w:rPr>
        <w:t>Arab and Jew, and their demographic significance, the Mizrahim undeniably have the potential to effect change in Israel. Yet to perceive them as sitting in an idealised space in between Palestinian and Ashkenazi identity is to overlook the considerable issues that the Mizrahim face themselves. Whilst some believe that the presence of the Mizrahim in Israel reinforces the repetitive claim that Israel is a state ‘for all Jews’,</w:t>
      </w:r>
      <w:r w:rsidRPr="0048465B">
        <w:rPr>
          <w:vertAlign w:val="superscript"/>
          <w:lang w:val="en-GB"/>
        </w:rPr>
        <w:footnoteReference w:id="436"/>
      </w:r>
      <w:r w:rsidRPr="0048465B">
        <w:rPr>
          <w:lang w:val="en-GB"/>
        </w:rPr>
        <w:t xml:space="preserve"> such claims are rarely reflected </w:t>
      </w:r>
      <w:r w:rsidR="0039637F" w:rsidRPr="0048465B">
        <w:rPr>
          <w:lang w:val="en-GB"/>
        </w:rPr>
        <w:t>in reality</w:t>
      </w:r>
      <w:r w:rsidRPr="0048465B">
        <w:rPr>
          <w:lang w:val="en-GB"/>
        </w:rPr>
        <w:t>. Regardless of the demographics, systemic inequality consistently stymies the personal and collective development of Mizrahi Jews. In 2012, the average income of Ashkenazi workers in the city was 33</w:t>
      </w:r>
      <w:r w:rsidR="00AE6D44">
        <w:rPr>
          <w:lang w:val="en-GB"/>
        </w:rPr>
        <w:t xml:space="preserve"> percent</w:t>
      </w:r>
      <w:r w:rsidRPr="0048465B">
        <w:rPr>
          <w:lang w:val="en-GB"/>
        </w:rPr>
        <w:t xml:space="preserve"> higher than that of Mizrahi workers in the </w:t>
      </w:r>
      <w:r w:rsidRPr="0048465B">
        <w:rPr>
          <w:lang w:val="en-GB"/>
        </w:rPr>
        <w:lastRenderedPageBreak/>
        <w:t>same areas, figures that were ‘almost unchanged over the past 12 years’.</w:t>
      </w:r>
      <w:r w:rsidRPr="0048465B">
        <w:rPr>
          <w:vertAlign w:val="superscript"/>
          <w:lang w:val="en-GB"/>
        </w:rPr>
        <w:footnoteReference w:id="437"/>
      </w:r>
      <w:r w:rsidRPr="0048465B">
        <w:rPr>
          <w:lang w:val="en-GB"/>
        </w:rPr>
        <w:t xml:space="preserve"> </w:t>
      </w:r>
      <w:r w:rsidR="009C3A9B">
        <w:rPr>
          <w:lang w:val="en-GB"/>
        </w:rPr>
        <w:t>‘</w:t>
      </w:r>
      <w:r w:rsidRPr="0048465B">
        <w:rPr>
          <w:lang w:val="en-GB"/>
        </w:rPr>
        <w:t>Israeli</w:t>
      </w:r>
      <w:r w:rsidR="009C3A9B">
        <w:rPr>
          <w:lang w:val="en-GB"/>
        </w:rPr>
        <w:t xml:space="preserve"> </w:t>
      </w:r>
      <w:r w:rsidRPr="0048465B">
        <w:rPr>
          <w:lang w:val="en-GB"/>
        </w:rPr>
        <w:t>Arab</w:t>
      </w:r>
      <w:r w:rsidR="009C3A9B">
        <w:rPr>
          <w:lang w:val="en-GB"/>
        </w:rPr>
        <w:t>[s]’</w:t>
      </w:r>
      <w:r w:rsidRPr="0048465B">
        <w:rPr>
          <w:lang w:val="en-GB"/>
        </w:rPr>
        <w:t xml:space="preserve"> </w:t>
      </w:r>
      <w:r w:rsidR="00D92ED1">
        <w:rPr>
          <w:lang w:val="en-GB"/>
        </w:rPr>
        <w:t>–</w:t>
      </w:r>
      <w:r w:rsidRPr="0048465B">
        <w:rPr>
          <w:lang w:val="en-GB"/>
        </w:rPr>
        <w:t xml:space="preserve"> or more accurately Palestinian citizens of Israel </w:t>
      </w:r>
      <w:r w:rsidR="00D92ED1">
        <w:rPr>
          <w:lang w:val="en-GB"/>
        </w:rPr>
        <w:t>–</w:t>
      </w:r>
      <w:r w:rsidRPr="0048465B">
        <w:rPr>
          <w:lang w:val="en-GB"/>
        </w:rPr>
        <w:t xml:space="preserve"> who worked in the same areas were, by contrast, a further 43</w:t>
      </w:r>
      <w:r w:rsidR="00AE6D44">
        <w:rPr>
          <w:lang w:val="en-GB"/>
        </w:rPr>
        <w:t xml:space="preserve"> percent</w:t>
      </w:r>
      <w:r w:rsidRPr="0048465B">
        <w:rPr>
          <w:lang w:val="en-GB"/>
        </w:rPr>
        <w:t xml:space="preserve"> lower. That is, 34</w:t>
      </w:r>
      <w:r w:rsidR="00AE6D44">
        <w:rPr>
          <w:lang w:val="en-GB"/>
        </w:rPr>
        <w:t xml:space="preserve"> percent</w:t>
      </w:r>
      <w:r w:rsidRPr="0048465B">
        <w:rPr>
          <w:lang w:val="en-GB"/>
        </w:rPr>
        <w:t xml:space="preserve"> lower than the national average, 52</w:t>
      </w:r>
      <w:r w:rsidR="00AE6D44">
        <w:rPr>
          <w:lang w:val="en-GB"/>
        </w:rPr>
        <w:t xml:space="preserve"> percent</w:t>
      </w:r>
      <w:r w:rsidRPr="0048465B">
        <w:rPr>
          <w:lang w:val="en-GB"/>
        </w:rPr>
        <w:t xml:space="preserve"> lower than Mizrahi workers, and 85</w:t>
      </w:r>
      <w:r w:rsidR="00AE6D44">
        <w:rPr>
          <w:lang w:val="en-GB"/>
        </w:rPr>
        <w:t xml:space="preserve"> percent</w:t>
      </w:r>
      <w:r w:rsidRPr="0048465B">
        <w:rPr>
          <w:lang w:val="en-GB"/>
        </w:rPr>
        <w:t xml:space="preserve"> lower than Ashkenazi workers. In the same vein, the Mizrahim are denied opportunities for educational advancement, with ‘vocational high schools </w:t>
      </w:r>
      <w:proofErr w:type="spellStart"/>
      <w:r w:rsidRPr="0048465B">
        <w:rPr>
          <w:lang w:val="en-GB"/>
        </w:rPr>
        <w:t>predominat</w:t>
      </w:r>
      <w:proofErr w:type="spellEnd"/>
      <w:r w:rsidRPr="0048465B">
        <w:rPr>
          <w:lang w:val="en-GB"/>
        </w:rPr>
        <w:t>[</w:t>
      </w:r>
      <w:proofErr w:type="spellStart"/>
      <w:r w:rsidRPr="0048465B">
        <w:rPr>
          <w:lang w:val="en-GB"/>
        </w:rPr>
        <w:t>ing</w:t>
      </w:r>
      <w:proofErr w:type="spellEnd"/>
      <w:r w:rsidRPr="0048465B">
        <w:rPr>
          <w:lang w:val="en-GB"/>
        </w:rPr>
        <w:t xml:space="preserve">]’ in Mizrahi majority towns, as opposed to the academic high schools provided in ‘socioeconomically better off communities’, whilst ‘just 8% of tenured lecturers in the public universities are Mizrahi’. These </w:t>
      </w:r>
      <w:r w:rsidR="009C3A9B">
        <w:rPr>
          <w:lang w:val="en-GB"/>
        </w:rPr>
        <w:t>contemporary</w:t>
      </w:r>
      <w:r w:rsidRPr="0048465B">
        <w:rPr>
          <w:lang w:val="en-GB"/>
        </w:rPr>
        <w:t xml:space="preserve"> realities demonstrate the lack of progress since statements made in 1945 by the man who later became director-general of the </w:t>
      </w:r>
      <w:r w:rsidR="009C3A9B">
        <w:rPr>
          <w:lang w:val="en-GB"/>
        </w:rPr>
        <w:t>M</w:t>
      </w:r>
      <w:r w:rsidRPr="0048465B">
        <w:rPr>
          <w:lang w:val="en-GB"/>
        </w:rPr>
        <w:t xml:space="preserve">inistry of </w:t>
      </w:r>
      <w:r w:rsidR="009C3A9B">
        <w:rPr>
          <w:lang w:val="en-GB"/>
        </w:rPr>
        <w:t>E</w:t>
      </w:r>
      <w:r w:rsidRPr="0048465B">
        <w:rPr>
          <w:lang w:val="en-GB"/>
        </w:rPr>
        <w:t xml:space="preserve">ducation, Eliezer </w:t>
      </w:r>
      <w:proofErr w:type="spellStart"/>
      <w:r w:rsidRPr="0048465B">
        <w:rPr>
          <w:lang w:val="en-GB"/>
        </w:rPr>
        <w:t>Reiger</w:t>
      </w:r>
      <w:proofErr w:type="spellEnd"/>
      <w:r w:rsidRPr="0048465B">
        <w:rPr>
          <w:lang w:val="en-GB"/>
        </w:rPr>
        <w:t>, who stated that ‘“children from Mizrahi families, or at least many of them, are not capable of abstract learning and will not profit very much from study that is not practical in nature’.</w:t>
      </w:r>
      <w:r w:rsidRPr="0048465B">
        <w:rPr>
          <w:vertAlign w:val="superscript"/>
          <w:lang w:val="en-GB"/>
        </w:rPr>
        <w:footnoteReference w:id="438"/>
      </w:r>
      <w:r w:rsidRPr="0048465B">
        <w:rPr>
          <w:lang w:val="en-GB"/>
        </w:rPr>
        <w:t xml:space="preserve"> </w:t>
      </w:r>
    </w:p>
    <w:p w14:paraId="3CC22429" w14:textId="77777777" w:rsidR="00FC331F" w:rsidRPr="0048465B" w:rsidRDefault="00FC331F" w:rsidP="00FC331F">
      <w:pPr>
        <w:rPr>
          <w:lang w:val="en-GB"/>
        </w:rPr>
      </w:pPr>
    </w:p>
    <w:p w14:paraId="7EF203D2" w14:textId="0EDBABC5" w:rsidR="00FC331F" w:rsidRPr="0048465B" w:rsidRDefault="00FC331F" w:rsidP="00FC331F">
      <w:pPr>
        <w:rPr>
          <w:lang w:val="en-GB"/>
        </w:rPr>
      </w:pPr>
      <w:r w:rsidRPr="0048465B">
        <w:rPr>
          <w:lang w:val="en-GB"/>
        </w:rPr>
        <w:t xml:space="preserve">Whilst such persecution might be seen to align the Mizrahim with the Palestinian, the two are completely different peoples with completely different issues, who </w:t>
      </w:r>
      <w:r w:rsidR="00D92ED1">
        <w:rPr>
          <w:lang w:val="en-GB"/>
        </w:rPr>
        <w:t>–</w:t>
      </w:r>
      <w:r w:rsidRPr="0048465B">
        <w:rPr>
          <w:lang w:val="en-GB"/>
        </w:rPr>
        <w:t xml:space="preserve"> within Israel </w:t>
      </w:r>
      <w:r w:rsidR="00D92ED1">
        <w:rPr>
          <w:lang w:val="en-GB"/>
        </w:rPr>
        <w:t>–</w:t>
      </w:r>
      <w:r w:rsidRPr="0048465B">
        <w:rPr>
          <w:lang w:val="en-GB"/>
        </w:rPr>
        <w:t xml:space="preserve"> are marginalised to very different extents. Daniel Bar-Tal and Yona </w:t>
      </w:r>
      <w:proofErr w:type="spellStart"/>
      <w:r w:rsidRPr="0048465B">
        <w:rPr>
          <w:lang w:val="en-GB"/>
        </w:rPr>
        <w:t>Teichman</w:t>
      </w:r>
      <w:proofErr w:type="spellEnd"/>
      <w:r w:rsidRPr="0048465B">
        <w:rPr>
          <w:lang w:val="en-GB"/>
        </w:rPr>
        <w:t xml:space="preserve"> of the University of Tel Aviv note that ‘“Israeli public discourse is characterized by a continuous negative stereotyping of Arabs in general”’, with Arabs being subjected to a media blackout on their ‘“concerns, problems, discrimination, or achievements”’, reporters instead focusing on their ‘“threat to the Jewish society”’ and focusing on ‘“events related to crime, protests, and anti-Israeli activities”’. </w:t>
      </w:r>
      <w:r w:rsidRPr="0048465B">
        <w:rPr>
          <w:lang w:val="en-GB"/>
        </w:rPr>
        <w:lastRenderedPageBreak/>
        <w:t>Yet within all of this, they identify ‘“Palestinians in particular”’ as the primary target.</w:t>
      </w:r>
      <w:r w:rsidRPr="0048465B">
        <w:rPr>
          <w:vertAlign w:val="superscript"/>
          <w:lang w:val="en-GB"/>
        </w:rPr>
        <w:footnoteReference w:id="439"/>
      </w:r>
      <w:r w:rsidRPr="0048465B">
        <w:rPr>
          <w:lang w:val="en-GB"/>
        </w:rPr>
        <w:t xml:space="preserve"> The problems of the Mizrahim lie in systemic inequality within a single country, a single religion, often within single buildings, businesses, families. The problems of the Palestinians are rooted in the colonial domination of a people who have either been exiled from their country of birth, live in Israel with greatly reduced human and civil rights, or continue to live in Occupied Palestinian Territories that </w:t>
      </w:r>
      <w:r w:rsidR="009C3A9B">
        <w:rPr>
          <w:lang w:val="en-GB"/>
        </w:rPr>
        <w:t>are both practically unliveable in and being slowly subsumed by Israel</w:t>
      </w:r>
      <w:r w:rsidRPr="0048465B">
        <w:rPr>
          <w:lang w:val="en-GB"/>
        </w:rPr>
        <w:t xml:space="preserve">. When placed alongside the Ashkenazim, both groups are victims of profound inequality, yet whilst Palestinian equality would likely advance Mizrahi communities by proxy, Mizrahi equality, as demonstrated by the average incomes of Palestinian citizens of Israel, would likely leave Palestinians as </w:t>
      </w:r>
      <w:r w:rsidR="00AF3B3E">
        <w:rPr>
          <w:lang w:val="en-GB"/>
        </w:rPr>
        <w:t>disadvantaged</w:t>
      </w:r>
      <w:r w:rsidRPr="0048465B">
        <w:rPr>
          <w:lang w:val="en-GB"/>
        </w:rPr>
        <w:t xml:space="preserve"> as they are today.</w:t>
      </w:r>
    </w:p>
    <w:p w14:paraId="258981B5" w14:textId="77777777" w:rsidR="00FC331F" w:rsidRPr="0048465B" w:rsidRDefault="00FC331F" w:rsidP="00FC331F">
      <w:pPr>
        <w:rPr>
          <w:lang w:val="en-GB"/>
        </w:rPr>
      </w:pPr>
    </w:p>
    <w:p w14:paraId="2741BE51" w14:textId="75F6E300" w:rsidR="00FC331F" w:rsidRPr="0048465B" w:rsidRDefault="00FC331F" w:rsidP="00FC331F">
      <w:pPr>
        <w:jc w:val="center"/>
        <w:rPr>
          <w:b/>
          <w:lang w:val="en-GB"/>
        </w:rPr>
      </w:pPr>
      <w:r w:rsidRPr="0048465B">
        <w:rPr>
          <w:b/>
          <w:lang w:val="en-GB"/>
        </w:rPr>
        <w:t>Israeli Approaches to Interfaith Marriage in Politics and Media</w:t>
      </w:r>
    </w:p>
    <w:p w14:paraId="202F00CB" w14:textId="77777777" w:rsidR="00FC331F" w:rsidRPr="0048465B" w:rsidRDefault="00FC331F" w:rsidP="00FC331F">
      <w:pPr>
        <w:rPr>
          <w:lang w:val="en-GB"/>
        </w:rPr>
      </w:pPr>
    </w:p>
    <w:p w14:paraId="463E3DA5" w14:textId="0219076E" w:rsidR="00FC331F" w:rsidRPr="0048465B" w:rsidRDefault="00FC331F" w:rsidP="00FC331F">
      <w:pPr>
        <w:rPr>
          <w:lang w:val="en-GB"/>
        </w:rPr>
      </w:pPr>
      <w:r w:rsidRPr="0048465B">
        <w:rPr>
          <w:lang w:val="en-GB"/>
        </w:rPr>
        <w:t>Just as the inequality of the Mizrahim serves the supplementary purpose of exposing the oppression of all Arabs in Israel more generally, our next intersection, that of Jewish-</w:t>
      </w:r>
      <w:r w:rsidR="00922CF3">
        <w:rPr>
          <w:lang w:val="en-GB"/>
        </w:rPr>
        <w:t xml:space="preserve"> Muslim</w:t>
      </w:r>
      <w:r w:rsidRPr="0048465B">
        <w:rPr>
          <w:lang w:val="en-GB"/>
        </w:rPr>
        <w:t>/Gentile interfaith marriage within Israel, exposes another side to the inequality that exists within Israel, that of all non-Jews.</w:t>
      </w:r>
    </w:p>
    <w:p w14:paraId="5CCFAADF" w14:textId="77777777" w:rsidR="00FC331F" w:rsidRPr="0048465B" w:rsidRDefault="00FC331F" w:rsidP="00FC331F">
      <w:pPr>
        <w:rPr>
          <w:lang w:val="en-GB"/>
        </w:rPr>
      </w:pPr>
    </w:p>
    <w:p w14:paraId="6414958C" w14:textId="4FF12303" w:rsidR="00AF3B3E" w:rsidRDefault="00FC331F" w:rsidP="00FC331F">
      <w:pPr>
        <w:rPr>
          <w:lang w:val="en-GB"/>
        </w:rPr>
      </w:pPr>
      <w:r w:rsidRPr="0048465B">
        <w:rPr>
          <w:lang w:val="en-GB"/>
        </w:rPr>
        <w:t xml:space="preserve">In 1985, the </w:t>
      </w:r>
      <w:r w:rsidRPr="0048465B">
        <w:rPr>
          <w:i/>
          <w:lang w:val="en-GB"/>
        </w:rPr>
        <w:t>Haaretz</w:t>
      </w:r>
      <w:r w:rsidRPr="0048465B">
        <w:rPr>
          <w:lang w:val="en-GB"/>
        </w:rPr>
        <w:t xml:space="preserve"> editor in chief at the time, Gershom Schocken, wrote an article on interfaith marriage. In the article, Schocken asserted that in the aftermath of wars of conquest, ‘it is natural that the two nations begin a process of merging</w:t>
      </w:r>
      <w:r w:rsidR="000C3FB4">
        <w:rPr>
          <w:lang w:val="en-GB"/>
        </w:rPr>
        <w:t xml:space="preserve"> [… </w:t>
      </w:r>
      <w:r w:rsidRPr="0048465B">
        <w:rPr>
          <w:lang w:val="en-GB"/>
        </w:rPr>
        <w:t>where</w:t>
      </w:r>
      <w:r w:rsidR="000C3FB4">
        <w:rPr>
          <w:lang w:val="en-GB"/>
        </w:rPr>
        <w:t xml:space="preserve"> …</w:t>
      </w:r>
      <w:r w:rsidRPr="0048465B">
        <w:rPr>
          <w:lang w:val="en-GB"/>
        </w:rPr>
        <w:t xml:space="preserve">] the conquered nation gradually accepts the culture and lifestyle of the dominant nation’, and at the same time cited ‘numerous </w:t>
      </w:r>
      <w:r w:rsidRPr="0048465B">
        <w:rPr>
          <w:lang w:val="en-GB"/>
        </w:rPr>
        <w:lastRenderedPageBreak/>
        <w:t>examples in Europe and the United States [that] provide a basis for hope that the outcome could be positive’.</w:t>
      </w:r>
      <w:r w:rsidRPr="0048465B">
        <w:rPr>
          <w:vertAlign w:val="superscript"/>
          <w:lang w:val="en-GB"/>
        </w:rPr>
        <w:footnoteReference w:id="440"/>
      </w:r>
      <w:r w:rsidRPr="0048465B">
        <w:rPr>
          <w:lang w:val="en-GB"/>
        </w:rPr>
        <w:t xml:space="preserve"> </w:t>
      </w:r>
      <w:r w:rsidR="00922CF3">
        <w:rPr>
          <w:lang w:val="en-GB"/>
        </w:rPr>
        <w:t xml:space="preserve">Schocken’s </w:t>
      </w:r>
      <w:r w:rsidRPr="0048465B">
        <w:rPr>
          <w:lang w:val="en-GB"/>
        </w:rPr>
        <w:t>use of the United States, a country whose president at the time, Ronald Reagan, had recently cut federal assistance to Native Americans by 82</w:t>
      </w:r>
      <w:r w:rsidR="00AE6D44">
        <w:rPr>
          <w:lang w:val="en-GB"/>
        </w:rPr>
        <w:t xml:space="preserve"> percent</w:t>
      </w:r>
      <w:r w:rsidRPr="0048465B">
        <w:rPr>
          <w:lang w:val="en-GB"/>
        </w:rPr>
        <w:t>,</w:t>
      </w:r>
      <w:r w:rsidRPr="0048465B">
        <w:rPr>
          <w:vertAlign w:val="superscript"/>
          <w:lang w:val="en-GB"/>
        </w:rPr>
        <w:footnoteReference w:id="441"/>
      </w:r>
      <w:r w:rsidRPr="0048465B">
        <w:rPr>
          <w:lang w:val="en-GB"/>
        </w:rPr>
        <w:t xml:space="preserve"> and whose outgoing president, Donald Trump, celebrated Independence Day ‘on land stolen from Native Americans’</w:t>
      </w:r>
      <w:r w:rsidRPr="0048465B">
        <w:rPr>
          <w:vertAlign w:val="superscript"/>
          <w:lang w:val="en-GB"/>
        </w:rPr>
        <w:footnoteReference w:id="442"/>
      </w:r>
      <w:r w:rsidRPr="0048465B">
        <w:rPr>
          <w:lang w:val="en-GB"/>
        </w:rPr>
        <w:t xml:space="preserve"> as an example of a ‘positive’ conquest, exposes the non-existence of ‘positive’ conquest. However, the message behind Schocken’s statement is that when one land or country becomes another, intermarriage serves as a process through which the ‘other’ gradually become normalised.</w:t>
      </w:r>
      <w:r w:rsidR="00C0567A">
        <w:rPr>
          <w:rStyle w:val="FootnoteReference"/>
          <w:lang w:val="en-GB"/>
        </w:rPr>
        <w:footnoteReference w:id="443"/>
      </w:r>
      <w:r w:rsidRPr="0048465B">
        <w:rPr>
          <w:lang w:val="en-GB"/>
        </w:rPr>
        <w:t xml:space="preserve"> </w:t>
      </w:r>
    </w:p>
    <w:p w14:paraId="6E6116B2" w14:textId="77777777" w:rsidR="00AF3B3E" w:rsidRDefault="00AF3B3E" w:rsidP="00FC331F">
      <w:pPr>
        <w:rPr>
          <w:lang w:val="en-GB"/>
        </w:rPr>
      </w:pPr>
    </w:p>
    <w:p w14:paraId="25DB153D" w14:textId="748270FA" w:rsidR="00FC331F" w:rsidRPr="0048465B" w:rsidRDefault="00FC331F" w:rsidP="00FC331F">
      <w:pPr>
        <w:rPr>
          <w:lang w:val="en-GB"/>
        </w:rPr>
      </w:pPr>
      <w:r w:rsidRPr="0048465B">
        <w:rPr>
          <w:lang w:val="en-GB"/>
        </w:rPr>
        <w:t xml:space="preserve">In fact, this identification of one group as ‘other’, and the inequality therein, is inherent within the word ‘intermarriage’ alone. Anthropologist Edmund Leach argues that ‘“In a very fundamental </w:t>
      </w:r>
      <w:r w:rsidRPr="0048465B">
        <w:rPr>
          <w:lang w:val="en-GB"/>
        </w:rPr>
        <w:lastRenderedPageBreak/>
        <w:t>way, we all of us distinguish those who are of our kind from those who are not of our kind by asking ourselves the question: Do we intermarry with them”’, that is, if the notion of intermarriage exists between two groups, then a division between the two groups exists.</w:t>
      </w:r>
      <w:r w:rsidR="007C1FA2" w:rsidRPr="0048465B">
        <w:rPr>
          <w:vertAlign w:val="superscript"/>
          <w:lang w:val="en-GB"/>
        </w:rPr>
        <w:footnoteReference w:id="444"/>
      </w:r>
      <w:r w:rsidRPr="0048465B">
        <w:rPr>
          <w:lang w:val="en-GB"/>
        </w:rPr>
        <w:t xml:space="preserve"> Just as Israel’s treatment of Mizrahi Jews exposes systemic racism within Israel that has ramifications for hopes of Israeli-Palestinian peace, Israel’s approach to interfaith marriage within their borders exposes similar issues regarding faith, issues that exist here between Israeli</w:t>
      </w:r>
      <w:r w:rsidR="00B45635">
        <w:rPr>
          <w:lang w:val="en-GB"/>
        </w:rPr>
        <w:t xml:space="preserve"> </w:t>
      </w:r>
      <w:r w:rsidRPr="0048465B">
        <w:rPr>
          <w:lang w:val="en-GB"/>
        </w:rPr>
        <w:t>Jews and Palestinian</w:t>
      </w:r>
      <w:r w:rsidR="00B45635">
        <w:rPr>
          <w:lang w:val="en-GB"/>
        </w:rPr>
        <w:t xml:space="preserve"> </w:t>
      </w:r>
      <w:r w:rsidRPr="0048465B">
        <w:rPr>
          <w:lang w:val="en-GB"/>
        </w:rPr>
        <w:t>Muslim citizens of Israel specifically, but ones that also hold clear and unambiguous ramifications for all Palestinians by proxy.</w:t>
      </w:r>
    </w:p>
    <w:p w14:paraId="60CA9209" w14:textId="77777777" w:rsidR="00FC331F" w:rsidRPr="0048465B" w:rsidRDefault="00FC331F" w:rsidP="00FC331F">
      <w:pPr>
        <w:rPr>
          <w:lang w:val="en-GB"/>
        </w:rPr>
      </w:pPr>
    </w:p>
    <w:p w14:paraId="56514B0B" w14:textId="4F3C615C" w:rsidR="00FC331F" w:rsidRPr="0048465B" w:rsidRDefault="00FC331F" w:rsidP="00FC331F">
      <w:pPr>
        <w:rPr>
          <w:lang w:val="en-GB"/>
        </w:rPr>
      </w:pPr>
      <w:r w:rsidRPr="0048465B">
        <w:rPr>
          <w:lang w:val="en-GB"/>
        </w:rPr>
        <w:t xml:space="preserve">Whilst normally the very attempt to identify a ‘mixed’ relationship would be complicated by what Maha </w:t>
      </w:r>
      <w:proofErr w:type="spellStart"/>
      <w:r w:rsidR="00B760E0" w:rsidRPr="00B760E0">
        <w:t>Karkabi-Sabbah</w:t>
      </w:r>
      <w:proofErr w:type="spellEnd"/>
      <w:r w:rsidRPr="0048465B">
        <w:rPr>
          <w:lang w:val="en-GB"/>
        </w:rPr>
        <w:t xml:space="preserve"> describes as the mislaid ‘preconception of individuals and groups as being “pure” monocultural or monoracial entities with distinct boundaries as opposed to the heterogenous and changing nature of individuals and groups that exist in reality’, Israel’s nationalisation of Judaism upends this otherwise sound logic.</w:t>
      </w:r>
      <w:r w:rsidR="00F36B9F">
        <w:rPr>
          <w:rStyle w:val="FootnoteReference"/>
          <w:lang w:val="en-GB"/>
        </w:rPr>
        <w:footnoteReference w:id="445"/>
      </w:r>
      <w:r w:rsidRPr="0048465B">
        <w:rPr>
          <w:lang w:val="en-GB"/>
        </w:rPr>
        <w:t xml:space="preserve"> Whilst in most nations in the world, two people of a single nation would be unified by the very fact that they share a nationality, Israel’s self-identification as ‘Jewish state’ specifically means that two Israeli citizens of differing religions do not share the same rights.</w:t>
      </w:r>
      <w:r w:rsidRPr="0048465B">
        <w:rPr>
          <w:vertAlign w:val="superscript"/>
          <w:lang w:val="en-GB"/>
        </w:rPr>
        <w:footnoteReference w:id="446"/>
      </w:r>
      <w:r w:rsidRPr="0048465B">
        <w:rPr>
          <w:lang w:val="en-GB"/>
        </w:rPr>
        <w:t xml:space="preserve"> This reality is reinforced through Israel’s recent approach to the ‘Nationality’ section on Israeli ID cards, wherein </w:t>
      </w:r>
      <w:r w:rsidR="00BA5BE4">
        <w:rPr>
          <w:lang w:val="en-GB"/>
        </w:rPr>
        <w:t>–</w:t>
      </w:r>
      <w:r w:rsidRPr="0048465B">
        <w:rPr>
          <w:lang w:val="en-GB"/>
        </w:rPr>
        <w:t xml:space="preserve"> prior to 2015</w:t>
      </w:r>
      <w:r w:rsidR="007C1FA2">
        <w:rPr>
          <w:lang w:val="en-GB"/>
        </w:rPr>
        <w:t>,</w:t>
      </w:r>
      <w:r w:rsidRPr="0048465B">
        <w:rPr>
          <w:lang w:val="en-GB"/>
        </w:rPr>
        <w:t xml:space="preserve"> when the section was removed altogether </w:t>
      </w:r>
      <w:r w:rsidR="00BA5BE4">
        <w:rPr>
          <w:lang w:val="en-GB"/>
        </w:rPr>
        <w:t>–</w:t>
      </w:r>
      <w:r w:rsidRPr="0048465B">
        <w:rPr>
          <w:lang w:val="en-GB"/>
        </w:rPr>
        <w:t xml:space="preserve"> Jewish citizens would be marked as ‘“Jews” by default’ for both nationality and religion,</w:t>
      </w:r>
      <w:r w:rsidR="007C1FA2" w:rsidRPr="007C1FA2">
        <w:rPr>
          <w:vertAlign w:val="superscript"/>
          <w:lang w:val="en-GB"/>
        </w:rPr>
        <w:t xml:space="preserve"> </w:t>
      </w:r>
      <w:r w:rsidRPr="0048465B">
        <w:rPr>
          <w:lang w:val="en-GB"/>
        </w:rPr>
        <w:t xml:space="preserve">whereas non-Jews would be identified by both their religion, for example, Muslim, and </w:t>
      </w:r>
      <w:r w:rsidRPr="0048465B">
        <w:rPr>
          <w:lang w:val="en-GB"/>
        </w:rPr>
        <w:lastRenderedPageBreak/>
        <w:t>their ‘nation’ in an ethnic sense, for example, Arab.</w:t>
      </w:r>
      <w:r w:rsidR="007C1FA2" w:rsidRPr="0048465B">
        <w:rPr>
          <w:vertAlign w:val="superscript"/>
          <w:lang w:val="en-GB"/>
        </w:rPr>
        <w:footnoteReference w:id="447"/>
      </w:r>
      <w:r w:rsidRPr="0048465B">
        <w:rPr>
          <w:lang w:val="en-GB"/>
        </w:rPr>
        <w:t xml:space="preserve"> Such definitions </w:t>
      </w:r>
      <w:r w:rsidR="00BA5BE4">
        <w:rPr>
          <w:lang w:val="en-GB"/>
        </w:rPr>
        <w:t>sought</w:t>
      </w:r>
      <w:r w:rsidRPr="0048465B">
        <w:rPr>
          <w:lang w:val="en-GB"/>
        </w:rPr>
        <w:t xml:space="preserve"> to remove any commonalities between Israel’s Jewish and non-Jewish citizens, in doing so forestalling potential accusations of injustice centred in the claim</w:t>
      </w:r>
      <w:r w:rsidR="007E744A">
        <w:rPr>
          <w:lang w:val="en-GB"/>
        </w:rPr>
        <w:t>s of Israel’s Palestinian citizens</w:t>
      </w:r>
      <w:r w:rsidRPr="0048465B">
        <w:rPr>
          <w:lang w:val="en-GB"/>
        </w:rPr>
        <w:t xml:space="preserve"> to </w:t>
      </w:r>
      <w:r w:rsidR="007E744A">
        <w:rPr>
          <w:lang w:val="en-GB"/>
        </w:rPr>
        <w:t xml:space="preserve">the </w:t>
      </w:r>
      <w:r w:rsidRPr="0048465B">
        <w:rPr>
          <w:lang w:val="en-GB"/>
        </w:rPr>
        <w:t>equal rights that shared nationality would otherwise provide. Moreover, in addition to reinforcing the identity of Israel as the Nation State of Jews, such descriptions also promote the tactical blurring of the line between Israeli and Jew in global discourse, thus reinforcing erroneous arguments that ‘hostility to Israel and hostility to Jews are one and the same thing’.</w:t>
      </w:r>
      <w:r w:rsidRPr="0048465B">
        <w:rPr>
          <w:vertAlign w:val="superscript"/>
          <w:lang w:val="en-GB"/>
        </w:rPr>
        <w:footnoteReference w:id="448"/>
      </w:r>
      <w:r w:rsidRPr="0048465B">
        <w:rPr>
          <w:lang w:val="en-GB"/>
        </w:rPr>
        <w:t xml:space="preserve"> As Jonathan Ofir states, in a nod to the aforementioned work by Sami Michael, ‘“all Israelis are equal”</w:t>
      </w:r>
      <w:r w:rsidR="000C3FB4">
        <w:rPr>
          <w:lang w:val="en-GB"/>
        </w:rPr>
        <w:t xml:space="preserve"> [… </w:t>
      </w:r>
      <w:r w:rsidRPr="0048465B">
        <w:rPr>
          <w:lang w:val="en-GB"/>
        </w:rPr>
        <w:t>but</w:t>
      </w:r>
      <w:r w:rsidR="000C3FB4">
        <w:rPr>
          <w:lang w:val="en-GB"/>
        </w:rPr>
        <w:t xml:space="preserve"> …</w:t>
      </w:r>
      <w:r w:rsidRPr="0048465B">
        <w:rPr>
          <w:lang w:val="en-GB"/>
        </w:rPr>
        <w:t>] some are indeed more “Israeli” than others’.</w:t>
      </w:r>
      <w:r w:rsidRPr="0048465B">
        <w:rPr>
          <w:vertAlign w:val="superscript"/>
          <w:lang w:val="en-GB"/>
        </w:rPr>
        <w:footnoteReference w:id="449"/>
      </w:r>
      <w:r w:rsidRPr="0048465B">
        <w:rPr>
          <w:lang w:val="en-GB"/>
        </w:rPr>
        <w:t xml:space="preserve"> The inscription of such partitions in the official documentation of Israel until just </w:t>
      </w:r>
      <w:r w:rsidR="007C1FA2">
        <w:rPr>
          <w:lang w:val="en-GB"/>
        </w:rPr>
        <w:t>six</w:t>
      </w:r>
      <w:r w:rsidRPr="0048465B">
        <w:rPr>
          <w:lang w:val="en-GB"/>
        </w:rPr>
        <w:t xml:space="preserve"> years ago </w:t>
      </w:r>
      <w:r w:rsidR="00BA5BE4">
        <w:rPr>
          <w:lang w:val="en-GB"/>
        </w:rPr>
        <w:t>–</w:t>
      </w:r>
      <w:r w:rsidRPr="0048465B">
        <w:rPr>
          <w:lang w:val="en-GB"/>
        </w:rPr>
        <w:t xml:space="preserve"> when removing the question of nationality altogether was seen as preferable to providing Israeli nationality to all of Israel’s citizens </w:t>
      </w:r>
      <w:r w:rsidR="00BA5BE4">
        <w:rPr>
          <w:lang w:val="en-GB"/>
        </w:rPr>
        <w:t>–</w:t>
      </w:r>
      <w:r w:rsidRPr="0048465B">
        <w:rPr>
          <w:lang w:val="en-GB"/>
        </w:rPr>
        <w:t xml:space="preserve"> highlights the extent to which Jewish-Gentile marriages are an act of defiance</w:t>
      </w:r>
      <w:r w:rsidR="00BA5BE4">
        <w:rPr>
          <w:lang w:val="en-GB"/>
        </w:rPr>
        <w:t>,</w:t>
      </w:r>
      <w:r w:rsidRPr="0048465B">
        <w:rPr>
          <w:lang w:val="en-GB"/>
        </w:rPr>
        <w:t xml:space="preserve"> not only in relation to the pure mono-religious partitions preferred by the Israeli state, but also in relation to very core of Israeli state-identity.</w:t>
      </w:r>
    </w:p>
    <w:p w14:paraId="07B8D4CB" w14:textId="77777777" w:rsidR="00FC331F" w:rsidRPr="0048465B" w:rsidRDefault="00FC331F" w:rsidP="00FC331F">
      <w:pPr>
        <w:rPr>
          <w:lang w:val="en-GB"/>
        </w:rPr>
      </w:pPr>
    </w:p>
    <w:p w14:paraId="58C82385" w14:textId="560DE7FC" w:rsidR="00FC331F" w:rsidRPr="0048465B" w:rsidRDefault="00FC331F" w:rsidP="00FC331F">
      <w:pPr>
        <w:rPr>
          <w:lang w:val="en-GB"/>
        </w:rPr>
      </w:pPr>
      <w:r w:rsidRPr="0048465B">
        <w:rPr>
          <w:lang w:val="en-GB"/>
        </w:rPr>
        <w:t xml:space="preserve">Such divisions within official documentation serve more as active reinforcements of difference, rather than a strict prohibition on interfaith marriage. </w:t>
      </w:r>
      <w:r w:rsidR="0039637F" w:rsidRPr="0048465B">
        <w:rPr>
          <w:lang w:val="en-GB"/>
        </w:rPr>
        <w:t>However,</w:t>
      </w:r>
      <w:r w:rsidRPr="0048465B">
        <w:rPr>
          <w:lang w:val="en-GB"/>
        </w:rPr>
        <w:t xml:space="preserve"> such prohibitions also exist within Israel, where civil marriage is impossible, as ‘[t]he only courts which are allowed to perform marriages in Israel are the religious courts’. The only options for Jews and non-Jews who wish to get married in Israel are to either travel abroad to marry in another country, or for one of the couple to convert. Whilst Israel will retroactively acknowledge interfaith marriages performed in other </w:t>
      </w:r>
      <w:r w:rsidRPr="0048465B">
        <w:rPr>
          <w:lang w:val="en-GB"/>
        </w:rPr>
        <w:lastRenderedPageBreak/>
        <w:t xml:space="preserve">countries, the </w:t>
      </w:r>
      <w:r w:rsidR="00BA5BE4">
        <w:rPr>
          <w:lang w:val="en-GB"/>
        </w:rPr>
        <w:t>latter option</w:t>
      </w:r>
      <w:r w:rsidRPr="0048465B">
        <w:rPr>
          <w:lang w:val="en-GB"/>
        </w:rPr>
        <w:t>, conversion, often leads to both ‘harassment by the Interior Ministry’ and, for those who do not have Israeli citizenship, ‘an attempt to expel him or her from the country’.</w:t>
      </w:r>
      <w:r w:rsidRPr="0048465B">
        <w:rPr>
          <w:vertAlign w:val="superscript"/>
          <w:lang w:val="en-GB"/>
        </w:rPr>
        <w:footnoteReference w:id="450"/>
      </w:r>
      <w:r w:rsidRPr="0048465B">
        <w:rPr>
          <w:lang w:val="en-GB"/>
        </w:rPr>
        <w:t xml:space="preserve"> The Rabbinate also refuse to marry same sex couples, and punishes women disproportionately through designating the children of unfaithful Jewish women ‘Mamzers’ (similar to archaic use of the word ‘Bastard’), whilst the children of unfaithful Jewish men remain untarnished by this term. Mamzers may only marry other Mamzers, and their children will be considered Mamzers in perpetuity. The classification of a child as ‘Mamzer’ is inclusive of children born as the consequence of the rape of a married woman.</w:t>
      </w:r>
      <w:r w:rsidRPr="0048465B">
        <w:rPr>
          <w:vertAlign w:val="superscript"/>
          <w:lang w:val="en-GB"/>
        </w:rPr>
        <w:footnoteReference w:id="451"/>
      </w:r>
    </w:p>
    <w:p w14:paraId="110792DD" w14:textId="77777777" w:rsidR="00FC331F" w:rsidRPr="0048465B" w:rsidRDefault="00FC331F" w:rsidP="00FC331F">
      <w:pPr>
        <w:rPr>
          <w:lang w:val="en-GB"/>
        </w:rPr>
      </w:pPr>
    </w:p>
    <w:p w14:paraId="6A99F130" w14:textId="5A6FD8C4" w:rsidR="00FC331F" w:rsidRPr="0048465B" w:rsidRDefault="00FC331F" w:rsidP="00FC331F">
      <w:pPr>
        <w:rPr>
          <w:lang w:val="en-GB"/>
        </w:rPr>
      </w:pPr>
      <w:r w:rsidRPr="0048465B">
        <w:rPr>
          <w:lang w:val="en-GB"/>
        </w:rPr>
        <w:t xml:space="preserve">Whilst this may seem irrelevant to interfaith marriage, the disproportionate punishment of women is indicative of a much more comprehensive form of control of Jewish women and their bodies. Moreover, </w:t>
      </w:r>
      <w:r w:rsidR="009757D7">
        <w:rPr>
          <w:lang w:val="en-GB"/>
        </w:rPr>
        <w:t xml:space="preserve">due to Judaism’s status as that which </w:t>
      </w:r>
      <w:r w:rsidR="000E5F86">
        <w:rPr>
          <w:lang w:val="en-GB"/>
        </w:rPr>
        <w:t xml:space="preserve">is </w:t>
      </w:r>
      <w:r w:rsidR="009757D7">
        <w:rPr>
          <w:lang w:val="en-GB"/>
        </w:rPr>
        <w:t>inherited matrilineally,</w:t>
      </w:r>
      <w:r w:rsidRPr="0048465B">
        <w:rPr>
          <w:lang w:val="en-GB"/>
        </w:rPr>
        <w:t xml:space="preserve"> the control of the marital choices of women is of immense importance to Israel’s control of national demographics, and the maintaining of its identity as a Jewish state. </w:t>
      </w:r>
      <w:proofErr w:type="spellStart"/>
      <w:r w:rsidR="00B760E0" w:rsidRPr="00B760E0">
        <w:t>Karkabi-Sabbah</w:t>
      </w:r>
      <w:proofErr w:type="spellEnd"/>
      <w:r w:rsidRPr="0048465B">
        <w:rPr>
          <w:lang w:val="en-GB"/>
        </w:rPr>
        <w:t xml:space="preserve"> elucidates that ‘[p]</w:t>
      </w:r>
      <w:proofErr w:type="spellStart"/>
      <w:r w:rsidRPr="0048465B">
        <w:rPr>
          <w:lang w:val="en-GB"/>
        </w:rPr>
        <w:t>reventing</w:t>
      </w:r>
      <w:proofErr w:type="spellEnd"/>
      <w:r w:rsidRPr="0048465B">
        <w:rPr>
          <w:lang w:val="en-GB"/>
        </w:rPr>
        <w:t xml:space="preserve"> women from marrying outside of their group guarantees racial, cultural, religious, or national similarities across generations and the stability of “the group” at the collective level’,</w:t>
      </w:r>
      <w:r w:rsidRPr="0048465B">
        <w:rPr>
          <w:vertAlign w:val="superscript"/>
          <w:lang w:val="en-GB"/>
        </w:rPr>
        <w:footnoteReference w:id="452"/>
      </w:r>
      <w:r w:rsidRPr="0048465B">
        <w:rPr>
          <w:lang w:val="en-GB"/>
        </w:rPr>
        <w:t xml:space="preserve"> with women being seen as the ‘“bearers of the collective”’, and therefore </w:t>
      </w:r>
      <w:r w:rsidR="009757D7">
        <w:rPr>
          <w:lang w:val="en-GB"/>
        </w:rPr>
        <w:t xml:space="preserve">being </w:t>
      </w:r>
      <w:r w:rsidRPr="0048465B">
        <w:rPr>
          <w:lang w:val="en-GB"/>
        </w:rPr>
        <w:t>subject</w:t>
      </w:r>
      <w:r w:rsidR="009757D7">
        <w:rPr>
          <w:lang w:val="en-GB"/>
        </w:rPr>
        <w:t>ed</w:t>
      </w:r>
      <w:r w:rsidRPr="0048465B">
        <w:rPr>
          <w:lang w:val="en-GB"/>
        </w:rPr>
        <w:t xml:space="preserve"> to great</w:t>
      </w:r>
      <w:r w:rsidR="009757D7">
        <w:rPr>
          <w:lang w:val="en-GB"/>
        </w:rPr>
        <w:t>er</w:t>
      </w:r>
      <w:r w:rsidRPr="0048465B">
        <w:rPr>
          <w:lang w:val="en-GB"/>
        </w:rPr>
        <w:t xml:space="preserve"> control in order to ensure that their ‘choices, </w:t>
      </w:r>
      <w:proofErr w:type="spellStart"/>
      <w:r w:rsidRPr="0048465B">
        <w:rPr>
          <w:lang w:val="en-GB"/>
        </w:rPr>
        <w:t>behavior</w:t>
      </w:r>
      <w:proofErr w:type="spellEnd"/>
      <w:r w:rsidRPr="0048465B">
        <w:rPr>
          <w:lang w:val="en-GB"/>
        </w:rPr>
        <w:t>, or appearance conform to collective norms and practices’.</w:t>
      </w:r>
      <w:r w:rsidRPr="0048465B">
        <w:rPr>
          <w:vertAlign w:val="superscript"/>
          <w:lang w:val="en-GB"/>
        </w:rPr>
        <w:footnoteReference w:id="453"/>
      </w:r>
      <w:r w:rsidRPr="0048465B">
        <w:rPr>
          <w:lang w:val="en-GB"/>
        </w:rPr>
        <w:t xml:space="preserve"> Ironically, despite the fact that the Rabbinate considers the child of a Jewish woman to be Jewish </w:t>
      </w:r>
      <w:r w:rsidRPr="0048465B">
        <w:rPr>
          <w:lang w:val="en-GB"/>
        </w:rPr>
        <w:lastRenderedPageBreak/>
        <w:t>regardless of the lineage of the father, a Jewish woman who marries a</w:t>
      </w:r>
      <w:r w:rsidR="001226D6">
        <w:rPr>
          <w:lang w:val="en-GB"/>
        </w:rPr>
        <w:t xml:space="preserve"> </w:t>
      </w:r>
      <w:r w:rsidRPr="0048465B">
        <w:rPr>
          <w:lang w:val="en-GB"/>
        </w:rPr>
        <w:t>Muslim</w:t>
      </w:r>
      <w:r w:rsidR="001226D6">
        <w:rPr>
          <w:lang w:val="en-GB"/>
        </w:rPr>
        <w:t xml:space="preserve"> Palestinian</w:t>
      </w:r>
      <w:r w:rsidRPr="0048465B">
        <w:rPr>
          <w:lang w:val="en-GB"/>
        </w:rPr>
        <w:t xml:space="preserve"> is seen as ‘</w:t>
      </w:r>
      <w:proofErr w:type="spellStart"/>
      <w:r w:rsidRPr="0048465B">
        <w:rPr>
          <w:lang w:val="en-GB"/>
        </w:rPr>
        <w:t>contribut</w:t>
      </w:r>
      <w:proofErr w:type="spellEnd"/>
      <w:r w:rsidRPr="0048465B">
        <w:rPr>
          <w:lang w:val="en-GB"/>
        </w:rPr>
        <w:t>[</w:t>
      </w:r>
      <w:proofErr w:type="spellStart"/>
      <w:r w:rsidRPr="0048465B">
        <w:rPr>
          <w:lang w:val="en-GB"/>
        </w:rPr>
        <w:t>ing</w:t>
      </w:r>
      <w:proofErr w:type="spellEnd"/>
      <w:r w:rsidRPr="0048465B">
        <w:rPr>
          <w:lang w:val="en-GB"/>
        </w:rPr>
        <w:t>] to the biological and cultural reproduction of another ethnoreligious group that is generally perceived as “the enemy”’.</w:t>
      </w:r>
      <w:r w:rsidRPr="0048465B">
        <w:rPr>
          <w:vertAlign w:val="superscript"/>
          <w:lang w:val="en-GB"/>
        </w:rPr>
        <w:footnoteReference w:id="454"/>
      </w:r>
      <w:r w:rsidRPr="0048465B">
        <w:rPr>
          <w:lang w:val="en-GB"/>
        </w:rPr>
        <w:t xml:space="preserve"> Such relationships are considered so threatening to Israel’s Jewish status that there have been hearings in the ‘Knesset Committee on the Status of Women’ on the ‘subject of “the phenomenon of assimilation in Israel”</w:t>
      </w:r>
      <w:r w:rsidR="000C3FB4">
        <w:rPr>
          <w:lang w:val="en-GB"/>
        </w:rPr>
        <w:t xml:space="preserve"> […] </w:t>
      </w:r>
      <w:r w:rsidRPr="0048465B">
        <w:rPr>
          <w:lang w:val="en-GB"/>
        </w:rPr>
        <w:t>which dealt with marriages of Jewish women to Muslim men, [and] which were described as violent and harmful relationships’, which should be prevented, mainly from an educational standpoint.</w:t>
      </w:r>
      <w:r w:rsidRPr="0048465B">
        <w:rPr>
          <w:vertAlign w:val="superscript"/>
          <w:lang w:val="en-GB"/>
        </w:rPr>
        <w:footnoteReference w:id="455"/>
      </w:r>
    </w:p>
    <w:p w14:paraId="2EC6B487" w14:textId="77777777" w:rsidR="00FC331F" w:rsidRPr="0048465B" w:rsidRDefault="00FC331F" w:rsidP="00FC331F">
      <w:pPr>
        <w:rPr>
          <w:lang w:val="en-GB"/>
        </w:rPr>
      </w:pPr>
    </w:p>
    <w:p w14:paraId="18085CB6" w14:textId="6837A463" w:rsidR="00FC331F" w:rsidRPr="0048465B" w:rsidRDefault="00FC331F" w:rsidP="00FC331F">
      <w:pPr>
        <w:rPr>
          <w:lang w:val="en-GB"/>
        </w:rPr>
      </w:pPr>
      <w:r w:rsidRPr="0048465B">
        <w:rPr>
          <w:lang w:val="en-GB"/>
        </w:rPr>
        <w:t>Such restrictions serve as a clear indicator of</w:t>
      </w:r>
      <w:r w:rsidR="004B61D8">
        <w:rPr>
          <w:lang w:val="en-GB"/>
        </w:rPr>
        <w:t xml:space="preserve"> the</w:t>
      </w:r>
      <w:r w:rsidRPr="0048465B">
        <w:rPr>
          <w:lang w:val="en-GB"/>
        </w:rPr>
        <w:t xml:space="preserve"> ‘formal</w:t>
      </w:r>
      <w:r w:rsidR="000C3FB4">
        <w:rPr>
          <w:lang w:val="en-GB"/>
        </w:rPr>
        <w:t xml:space="preserve"> […] </w:t>
      </w:r>
      <w:r w:rsidRPr="0048465B">
        <w:rPr>
          <w:lang w:val="en-GB"/>
        </w:rPr>
        <w:t>sanctions’</w:t>
      </w:r>
      <w:r w:rsidR="004B61D8">
        <w:rPr>
          <w:lang w:val="en-GB"/>
        </w:rPr>
        <w:t xml:space="preserve"> opposing interfaith marriage in Israel, the absence of which </w:t>
      </w:r>
      <w:proofErr w:type="spellStart"/>
      <w:r w:rsidR="004B61D8" w:rsidRPr="004B61D8">
        <w:t>Karkabi-Sabbah</w:t>
      </w:r>
      <w:proofErr w:type="spellEnd"/>
      <w:r w:rsidR="004B61D8">
        <w:t xml:space="preserve"> identifies</w:t>
      </w:r>
      <w:r w:rsidRPr="0048465B">
        <w:rPr>
          <w:lang w:val="en-GB"/>
        </w:rPr>
        <w:t xml:space="preserve"> </w:t>
      </w:r>
      <w:r w:rsidR="004B61D8">
        <w:rPr>
          <w:lang w:val="en-GB"/>
        </w:rPr>
        <w:t>as</w:t>
      </w:r>
      <w:r w:rsidRPr="0048465B">
        <w:rPr>
          <w:lang w:val="en-GB"/>
        </w:rPr>
        <w:t xml:space="preserve"> just one of three components said to be necessary in order for interfaith or mixed marriages to occur</w:t>
      </w:r>
      <w:r w:rsidR="004B61D8">
        <w:rPr>
          <w:lang w:val="en-GB"/>
        </w:rPr>
        <w:t>.</w:t>
      </w:r>
      <w:r w:rsidRPr="0048465B">
        <w:rPr>
          <w:lang w:val="en-GB"/>
        </w:rPr>
        <w:t xml:space="preserve"> </w:t>
      </w:r>
      <w:r w:rsidR="004B61D8">
        <w:rPr>
          <w:lang w:val="en-GB"/>
        </w:rPr>
        <w:t>T</w:t>
      </w:r>
      <w:r w:rsidRPr="0048465B">
        <w:rPr>
          <w:lang w:val="en-GB"/>
        </w:rPr>
        <w:t xml:space="preserve">he other two </w:t>
      </w:r>
      <w:r w:rsidR="00B760E0">
        <w:rPr>
          <w:lang w:val="en-GB"/>
        </w:rPr>
        <w:t>–</w:t>
      </w:r>
      <w:r w:rsidRPr="0048465B">
        <w:rPr>
          <w:lang w:val="en-GB"/>
        </w:rPr>
        <w:t xml:space="preserve"> </w:t>
      </w:r>
      <w:r w:rsidR="00B760E0">
        <w:rPr>
          <w:lang w:val="en-GB"/>
        </w:rPr>
        <w:t>‘t</w:t>
      </w:r>
      <w:r w:rsidRPr="0048465B">
        <w:rPr>
          <w:lang w:val="en-GB"/>
        </w:rPr>
        <w:t>he preference for certain attributes of the spouse</w:t>
      </w:r>
      <w:r w:rsidR="000C3FB4">
        <w:rPr>
          <w:lang w:val="en-GB"/>
        </w:rPr>
        <w:t xml:space="preserve"> [… </w:t>
      </w:r>
      <w:r w:rsidRPr="0048465B">
        <w:rPr>
          <w:lang w:val="en-GB"/>
        </w:rPr>
        <w:t>and</w:t>
      </w:r>
      <w:r w:rsidR="000C3FB4">
        <w:rPr>
          <w:lang w:val="en-GB"/>
        </w:rPr>
        <w:t xml:space="preserve"> …</w:t>
      </w:r>
      <w:r w:rsidRPr="0048465B">
        <w:rPr>
          <w:lang w:val="en-GB"/>
        </w:rPr>
        <w:t xml:space="preserve">] the availability of opportunities for meeting’ </w:t>
      </w:r>
      <w:r w:rsidR="004B61D8">
        <w:rPr>
          <w:lang w:val="en-GB"/>
        </w:rPr>
        <w:t>–</w:t>
      </w:r>
      <w:r w:rsidRPr="0048465B">
        <w:rPr>
          <w:lang w:val="en-GB"/>
        </w:rPr>
        <w:t xml:space="preserve"> </w:t>
      </w:r>
      <w:r w:rsidR="004B61D8">
        <w:rPr>
          <w:lang w:val="en-GB"/>
        </w:rPr>
        <w:t xml:space="preserve">are </w:t>
      </w:r>
      <w:r w:rsidRPr="0048465B">
        <w:rPr>
          <w:lang w:val="en-GB"/>
        </w:rPr>
        <w:t>much more centred in social and cultural pressures than authoritative regulations. The</w:t>
      </w:r>
      <w:r w:rsidR="004B61D8">
        <w:rPr>
          <w:lang w:val="en-GB"/>
        </w:rPr>
        <w:t>se</w:t>
      </w:r>
      <w:r w:rsidRPr="0048465B">
        <w:rPr>
          <w:lang w:val="en-GB"/>
        </w:rPr>
        <w:t xml:space="preserve"> </w:t>
      </w:r>
      <w:r w:rsidR="004B61D8">
        <w:rPr>
          <w:lang w:val="en-GB"/>
        </w:rPr>
        <w:t xml:space="preserve">pressures are component in another broad category mentioned by </w:t>
      </w:r>
      <w:proofErr w:type="spellStart"/>
      <w:r w:rsidR="004B61D8" w:rsidRPr="004B61D8">
        <w:t>Karkabi-Sabbah</w:t>
      </w:r>
      <w:proofErr w:type="spellEnd"/>
      <w:r w:rsidR="004B61D8">
        <w:t>,</w:t>
      </w:r>
      <w:r w:rsidR="004B61D8" w:rsidRPr="004B61D8">
        <w:rPr>
          <w:lang w:val="en-GB"/>
        </w:rPr>
        <w:t xml:space="preserve"> </w:t>
      </w:r>
      <w:r w:rsidR="004B61D8">
        <w:rPr>
          <w:lang w:val="en-GB"/>
        </w:rPr>
        <w:t xml:space="preserve">that of </w:t>
      </w:r>
      <w:r w:rsidRPr="0048465B">
        <w:rPr>
          <w:lang w:val="en-GB"/>
        </w:rPr>
        <w:t>‘informal sanctions’</w:t>
      </w:r>
      <w:r w:rsidR="004B61D8">
        <w:rPr>
          <w:lang w:val="en-GB"/>
        </w:rPr>
        <w:t>.</w:t>
      </w:r>
      <w:r w:rsidR="004B61D8">
        <w:rPr>
          <w:rStyle w:val="FootnoteReference"/>
          <w:lang w:val="en-GB"/>
        </w:rPr>
        <w:footnoteReference w:id="456"/>
      </w:r>
      <w:r w:rsidR="004B61D8">
        <w:rPr>
          <w:lang w:val="en-GB"/>
        </w:rPr>
        <w:t xml:space="preserve"> These sanctions, based not in law but in</w:t>
      </w:r>
      <w:r w:rsidRPr="0048465B">
        <w:rPr>
          <w:lang w:val="en-GB"/>
        </w:rPr>
        <w:t xml:space="preserve"> community-led obstructions, </w:t>
      </w:r>
      <w:r w:rsidR="004B61D8">
        <w:rPr>
          <w:lang w:val="en-GB"/>
        </w:rPr>
        <w:t xml:space="preserve">are </w:t>
      </w:r>
      <w:r w:rsidRPr="0048465B">
        <w:rPr>
          <w:lang w:val="en-GB"/>
        </w:rPr>
        <w:t xml:space="preserve">in many ways a more pervasive form of intolerance, with far deeper implications that stray beyond the confines of the </w:t>
      </w:r>
      <w:r w:rsidR="00F00ADD">
        <w:rPr>
          <w:lang w:val="en-GB"/>
        </w:rPr>
        <w:t>S</w:t>
      </w:r>
      <w:r w:rsidRPr="0048465B">
        <w:rPr>
          <w:lang w:val="en-GB"/>
        </w:rPr>
        <w:t>tate of Israel itself</w:t>
      </w:r>
      <w:r w:rsidR="00C46376">
        <w:rPr>
          <w:lang w:val="en-GB"/>
        </w:rPr>
        <w:t>,</w:t>
      </w:r>
      <w:r w:rsidRPr="0048465B">
        <w:rPr>
          <w:lang w:val="en-GB"/>
        </w:rPr>
        <w:t xml:space="preserve"> and complicate Jewish-Gentile relationships, and Jewish-Muslim relationships especially, across the globe.</w:t>
      </w:r>
      <w:r w:rsidR="004B61D8" w:rsidRPr="004B61D8">
        <w:rPr>
          <w:rStyle w:val="FootnoteReference"/>
          <w:lang w:val="en-GB"/>
        </w:rPr>
        <w:t xml:space="preserve"> </w:t>
      </w:r>
    </w:p>
    <w:p w14:paraId="13D97867" w14:textId="77777777" w:rsidR="00FC331F" w:rsidRPr="0048465B" w:rsidRDefault="00FC331F" w:rsidP="00FC331F">
      <w:pPr>
        <w:rPr>
          <w:lang w:val="en-GB"/>
        </w:rPr>
      </w:pPr>
    </w:p>
    <w:p w14:paraId="18ECC96F" w14:textId="7C074D8C" w:rsidR="00FC331F" w:rsidRPr="0048465B" w:rsidRDefault="00FC331F" w:rsidP="00FC331F">
      <w:pPr>
        <w:rPr>
          <w:lang w:val="en-GB"/>
        </w:rPr>
      </w:pPr>
      <w:r w:rsidRPr="0048465B">
        <w:rPr>
          <w:lang w:val="en-GB"/>
        </w:rPr>
        <w:lastRenderedPageBreak/>
        <w:t xml:space="preserve">Before looking at such relationships abroad, however, it is pertinent to analyse the small minority of interfaith relationships that do occur in Israel, both through religious conversion and through travelling abroad to marry. Perhaps the most </w:t>
      </w:r>
      <w:r w:rsidR="0039637F" w:rsidRPr="0048465B">
        <w:rPr>
          <w:lang w:val="en-GB"/>
        </w:rPr>
        <w:t>high-profile</w:t>
      </w:r>
      <w:r w:rsidRPr="0048465B">
        <w:rPr>
          <w:lang w:val="en-GB"/>
        </w:rPr>
        <w:t xml:space="preserve"> marriage between a Jew and a Muslim in recent years was that of Morel Malka, an Israeli</w:t>
      </w:r>
      <w:r w:rsidR="00C46376">
        <w:rPr>
          <w:lang w:val="en-GB"/>
        </w:rPr>
        <w:t xml:space="preserve"> </w:t>
      </w:r>
      <w:r w:rsidRPr="0048465B">
        <w:rPr>
          <w:lang w:val="en-GB"/>
        </w:rPr>
        <w:t xml:space="preserve">Jew who converted to Islam, and her husband, Mahmoud Mansour, a </w:t>
      </w:r>
      <w:r w:rsidR="00C46376">
        <w:rPr>
          <w:lang w:val="en-GB"/>
        </w:rPr>
        <w:t xml:space="preserve">Muslim </w:t>
      </w:r>
      <w:r w:rsidR="007E744A">
        <w:rPr>
          <w:lang w:val="en-GB"/>
        </w:rPr>
        <w:t>Palestinian</w:t>
      </w:r>
      <w:r w:rsidRPr="0048465B">
        <w:rPr>
          <w:lang w:val="en-GB"/>
        </w:rPr>
        <w:t xml:space="preserve"> </w:t>
      </w:r>
      <w:r w:rsidR="00C46376">
        <w:rPr>
          <w:lang w:val="en-GB"/>
        </w:rPr>
        <w:t xml:space="preserve">citizen of Israel </w:t>
      </w:r>
      <w:r w:rsidRPr="0048465B">
        <w:rPr>
          <w:lang w:val="en-GB"/>
        </w:rPr>
        <w:t>from Jaffa. Due to Malka’s conversion, the two were able to marry one another in the summer of 2014, an act which caused an onslaught of both criticism and hatred, as well as support and encouragement, in more than fifty pieces of mainstream media.</w:t>
      </w:r>
      <w:r w:rsidRPr="0048465B">
        <w:rPr>
          <w:vertAlign w:val="superscript"/>
          <w:lang w:val="en-GB"/>
        </w:rPr>
        <w:footnoteReference w:id="457"/>
      </w:r>
      <w:r w:rsidRPr="0048465B">
        <w:rPr>
          <w:lang w:val="en-GB"/>
        </w:rPr>
        <w:t xml:space="preserve"> It is worth mentioning at this juncture that neither Malka nor Mansour are celebrities, or were in any way in the public eye prior to their wedding.</w:t>
      </w:r>
    </w:p>
    <w:p w14:paraId="4EF85BC6" w14:textId="77777777" w:rsidR="00FC331F" w:rsidRPr="0048465B" w:rsidRDefault="00FC331F" w:rsidP="00FC331F">
      <w:pPr>
        <w:rPr>
          <w:lang w:val="en-GB"/>
        </w:rPr>
      </w:pPr>
    </w:p>
    <w:p w14:paraId="28E59A77" w14:textId="77777777" w:rsidR="00FC331F" w:rsidRPr="0048465B" w:rsidRDefault="00FC331F" w:rsidP="00FC331F">
      <w:pPr>
        <w:rPr>
          <w:lang w:val="en-GB"/>
        </w:rPr>
      </w:pPr>
      <w:r w:rsidRPr="0048465B">
        <w:rPr>
          <w:lang w:val="en-GB"/>
        </w:rPr>
        <w:t xml:space="preserve">In addition to condemnations of the marriage coming from those as high up as the Sephardic Chief Rabbi of Israel and ‘well known politician’ Rabbi Haim </w:t>
      </w:r>
      <w:proofErr w:type="spellStart"/>
      <w:r w:rsidRPr="0048465B">
        <w:rPr>
          <w:lang w:val="en-GB"/>
        </w:rPr>
        <w:t>Druckman</w:t>
      </w:r>
      <w:proofErr w:type="spellEnd"/>
      <w:r w:rsidRPr="0048465B">
        <w:rPr>
          <w:lang w:val="en-GB"/>
        </w:rPr>
        <w:t>, who described the marriage as a ‘“real tragedy”’,</w:t>
      </w:r>
      <w:r w:rsidRPr="0048465B">
        <w:rPr>
          <w:vertAlign w:val="superscript"/>
          <w:lang w:val="en-GB"/>
        </w:rPr>
        <w:footnoteReference w:id="458"/>
      </w:r>
      <w:r w:rsidRPr="0048465B">
        <w:rPr>
          <w:lang w:val="en-GB"/>
        </w:rPr>
        <w:t xml:space="preserve"> the most aggressive and radical response came courtesy of the group known as Lehava, ‘an acronym of “preventing assimilation in the Holy Land”’. Upon discovering that the wedding was due to occur, Lehava ‘posted photographs of the wedding invitation on social media and urged protesters to rally outside the wedding hall with megaphones and banners’.</w:t>
      </w:r>
      <w:r w:rsidRPr="0048465B">
        <w:rPr>
          <w:vertAlign w:val="superscript"/>
          <w:lang w:val="en-GB"/>
        </w:rPr>
        <w:footnoteReference w:id="459"/>
      </w:r>
      <w:r w:rsidRPr="0048465B">
        <w:rPr>
          <w:lang w:val="en-GB"/>
        </w:rPr>
        <w:t xml:space="preserve"> Lehava’s involvement, which is explored in greater detail later, served as the catalyst for the responses that came thereafter from a wide variety of news sources, both traditional and modern. These responses have been grouped by Israeli Professor of Sociology Sylvie Fogiel-Bijaoui into three types of discourse, the human rights discourse, the Romeo and Juliet discourse, and the assimilation discourse.</w:t>
      </w:r>
    </w:p>
    <w:p w14:paraId="0B63916A" w14:textId="77777777" w:rsidR="00FC331F" w:rsidRPr="0048465B" w:rsidRDefault="00FC331F" w:rsidP="00FC331F">
      <w:pPr>
        <w:rPr>
          <w:lang w:val="en-GB"/>
        </w:rPr>
      </w:pPr>
    </w:p>
    <w:p w14:paraId="05CE3C3E" w14:textId="55B2B397" w:rsidR="00FC331F" w:rsidRPr="0048465B" w:rsidRDefault="00FC331F" w:rsidP="00FC331F">
      <w:pPr>
        <w:rPr>
          <w:lang w:val="en-GB"/>
        </w:rPr>
      </w:pPr>
      <w:r w:rsidRPr="0048465B">
        <w:rPr>
          <w:lang w:val="en-GB"/>
        </w:rPr>
        <w:t xml:space="preserve">Whilst the assimilation discourse might seem, based on names alone, as though it is the only problematic discourse of the three, there are features of each discourse that highlight both the depth of anti-assimilation sentiment and the inequality of Jews and non-Jews in Israel. The first of these discourses, the human rights discourse, focuses on publications by newspaper </w:t>
      </w:r>
      <w:r w:rsidRPr="0048465B">
        <w:rPr>
          <w:i/>
          <w:lang w:val="en-GB"/>
        </w:rPr>
        <w:t>Haaretz</w:t>
      </w:r>
      <w:r w:rsidRPr="0048465B">
        <w:rPr>
          <w:lang w:val="en-GB"/>
        </w:rPr>
        <w:t xml:space="preserve"> and online news portal </w:t>
      </w:r>
      <w:r w:rsidRPr="0048465B">
        <w:rPr>
          <w:i/>
          <w:lang w:val="en-GB"/>
        </w:rPr>
        <w:t>Walla</w:t>
      </w:r>
      <w:r w:rsidRPr="0048465B">
        <w:rPr>
          <w:lang w:val="en-GB"/>
        </w:rPr>
        <w:t xml:space="preserve">. Fogiel-Bijaoui states that whilst </w:t>
      </w:r>
      <w:r w:rsidRPr="0048465B">
        <w:rPr>
          <w:i/>
          <w:lang w:val="en-GB"/>
        </w:rPr>
        <w:t>Haaretz</w:t>
      </w:r>
      <w:r w:rsidRPr="0048465B">
        <w:rPr>
          <w:lang w:val="en-GB"/>
        </w:rPr>
        <w:t xml:space="preserve">’ discussions explore ‘democratic values such as liberty, equality, and justice[,] </w:t>
      </w:r>
      <w:r w:rsidRPr="0048465B">
        <w:rPr>
          <w:i/>
          <w:lang w:val="en-GB"/>
        </w:rPr>
        <w:t>Walla</w:t>
      </w:r>
      <w:r w:rsidRPr="0048465B">
        <w:rPr>
          <w:lang w:val="en-GB"/>
        </w:rPr>
        <w:t>’s discourse refers to liberal democracy and human rights by emphasizing the Israeliness of all Israeli citizens, their common denominators, and</w:t>
      </w:r>
      <w:r w:rsidR="000C3FB4">
        <w:rPr>
          <w:lang w:val="en-GB"/>
        </w:rPr>
        <w:t xml:space="preserve"> […] </w:t>
      </w:r>
      <w:r w:rsidRPr="0048465B">
        <w:rPr>
          <w:lang w:val="en-GB"/>
        </w:rPr>
        <w:t>affinities’.</w:t>
      </w:r>
      <w:r w:rsidRPr="0048465B">
        <w:rPr>
          <w:vertAlign w:val="superscript"/>
          <w:lang w:val="en-GB"/>
        </w:rPr>
        <w:footnoteReference w:id="460"/>
      </w:r>
      <w:r w:rsidRPr="0048465B">
        <w:rPr>
          <w:lang w:val="en-GB"/>
        </w:rPr>
        <w:t xml:space="preserve"> Whilst such approaches are more desirable than those presented by Lehava and the assimilation discourse, the four reports published by </w:t>
      </w:r>
      <w:r w:rsidRPr="003B0751">
        <w:rPr>
          <w:i/>
          <w:iCs/>
          <w:lang w:val="en-GB"/>
        </w:rPr>
        <w:t>Walla</w:t>
      </w:r>
      <w:r w:rsidRPr="0048465B">
        <w:rPr>
          <w:lang w:val="en-GB"/>
        </w:rPr>
        <w:t xml:space="preserve"> that choose to emphasise ‘the dimension of “shared Israeliness”</w:t>
      </w:r>
      <w:r w:rsidR="000C3FB4">
        <w:rPr>
          <w:lang w:val="en-GB"/>
        </w:rPr>
        <w:t xml:space="preserve"> […] </w:t>
      </w:r>
      <w:r w:rsidRPr="0048465B">
        <w:rPr>
          <w:lang w:val="en-GB"/>
        </w:rPr>
        <w:t xml:space="preserve">and solidarity among all Israeli citizens’ overlook the reality that Israeli citizens of </w:t>
      </w:r>
      <w:r w:rsidR="00600564">
        <w:rPr>
          <w:lang w:val="en-GB"/>
        </w:rPr>
        <w:t>differing</w:t>
      </w:r>
      <w:r w:rsidRPr="0048465B">
        <w:rPr>
          <w:lang w:val="en-GB"/>
        </w:rPr>
        <w:t xml:space="preserve"> religions and/or races </w:t>
      </w:r>
      <w:r w:rsidR="00600564">
        <w:rPr>
          <w:lang w:val="en-GB"/>
        </w:rPr>
        <w:t>–</w:t>
      </w:r>
      <w:r w:rsidRPr="0048465B">
        <w:rPr>
          <w:lang w:val="en-GB"/>
        </w:rPr>
        <w:t xml:space="preserve"> as already evidenced </w:t>
      </w:r>
      <w:r w:rsidR="00600564">
        <w:rPr>
          <w:lang w:val="en-GB"/>
        </w:rPr>
        <w:t>–</w:t>
      </w:r>
      <w:r w:rsidRPr="0048465B">
        <w:rPr>
          <w:lang w:val="en-GB"/>
        </w:rPr>
        <w:t xml:space="preserve"> do not share ‘Israeliness’ to the same degree. The desire to present a positive outlook on the marriage, whilst sincere, ultimately effaces the difficulties faced by interfaith couples in a similar way to that in which claims of ‘not seeing colour’ when talking about race does not solve racism, but obscures it. This misrepresentation of reality is solidified through </w:t>
      </w:r>
      <w:r w:rsidRPr="0048465B">
        <w:rPr>
          <w:i/>
          <w:lang w:val="en-GB"/>
        </w:rPr>
        <w:t>Walla</w:t>
      </w:r>
      <w:r w:rsidRPr="0048465B">
        <w:rPr>
          <w:lang w:val="en-GB"/>
        </w:rPr>
        <w:t>’s choice of the ‘six pictures that accompany the reports’, Fogiel-Bijaoui writing that ‘all but one illustrate support for the marriage, and two of them portray the couple dancing and smiling at their wedding party’.</w:t>
      </w:r>
      <w:r w:rsidRPr="0048465B">
        <w:rPr>
          <w:vertAlign w:val="superscript"/>
          <w:lang w:val="en-GB"/>
        </w:rPr>
        <w:footnoteReference w:id="461"/>
      </w:r>
      <w:r w:rsidRPr="0048465B">
        <w:rPr>
          <w:lang w:val="en-GB"/>
        </w:rPr>
        <w:t xml:space="preserve"> Similarly unbalanced thinking permeates the Romeo and Juliet discourse, with the suggestion that ‘“Love will overcome”’ serving only to camouflage the inequality in a country where ‘racism, fascism, and systemic discrimination against Arabs is the rule’.</w:t>
      </w:r>
      <w:r w:rsidRPr="0048465B">
        <w:rPr>
          <w:vertAlign w:val="superscript"/>
          <w:lang w:val="en-GB"/>
        </w:rPr>
        <w:footnoteReference w:id="462"/>
      </w:r>
      <w:r w:rsidRPr="0048465B">
        <w:rPr>
          <w:lang w:val="en-GB"/>
        </w:rPr>
        <w:t xml:space="preserve"> In both of these cases the true controversy </w:t>
      </w:r>
      <w:r w:rsidRPr="0048465B">
        <w:rPr>
          <w:lang w:val="en-GB"/>
        </w:rPr>
        <w:lastRenderedPageBreak/>
        <w:t>of the act is dismissed, and the overarching belief system that insists on such acts being controversial remains unchallenged.</w:t>
      </w:r>
    </w:p>
    <w:p w14:paraId="53E9DADB" w14:textId="77777777" w:rsidR="00FC331F" w:rsidRPr="0048465B" w:rsidRDefault="00FC331F" w:rsidP="00FC331F">
      <w:pPr>
        <w:rPr>
          <w:lang w:val="en-GB"/>
        </w:rPr>
      </w:pPr>
    </w:p>
    <w:p w14:paraId="4D7DF693" w14:textId="43A092C7" w:rsidR="00FC331F" w:rsidRPr="0048465B" w:rsidRDefault="00FC331F" w:rsidP="00FC331F">
      <w:pPr>
        <w:rPr>
          <w:lang w:val="en-GB"/>
        </w:rPr>
      </w:pPr>
      <w:r w:rsidRPr="0048465B">
        <w:rPr>
          <w:i/>
          <w:lang w:val="en-GB"/>
        </w:rPr>
        <w:t>Haaretz</w:t>
      </w:r>
      <w:r w:rsidRPr="0048465B">
        <w:rPr>
          <w:lang w:val="en-GB"/>
        </w:rPr>
        <w:t>’ approach, on the other hand, directly acknowledges Lehava’s protest against the marriage, publishing an article with the headline ‘“Lehava threatens to disrupt the wedding between a Muslim man and Jewish woman”’.</w:t>
      </w:r>
      <w:r w:rsidRPr="0048465B">
        <w:rPr>
          <w:vertAlign w:val="superscript"/>
          <w:lang w:val="en-GB"/>
        </w:rPr>
        <w:footnoteReference w:id="463"/>
      </w:r>
      <w:r w:rsidRPr="0048465B">
        <w:rPr>
          <w:lang w:val="en-GB"/>
        </w:rPr>
        <w:t xml:space="preserve"> Yet through referring to Morel Malka</w:t>
      </w:r>
      <w:r w:rsidR="00763BAB">
        <w:rPr>
          <w:lang w:val="en-GB"/>
        </w:rPr>
        <w:t xml:space="preserve"> as</w:t>
      </w:r>
      <w:r w:rsidRPr="0048465B">
        <w:rPr>
          <w:lang w:val="en-GB"/>
        </w:rPr>
        <w:t xml:space="preserve"> a ‘Jewish woman’</w:t>
      </w:r>
      <w:r w:rsidR="00763BAB">
        <w:rPr>
          <w:lang w:val="en-GB"/>
        </w:rPr>
        <w:t>,</w:t>
      </w:r>
      <w:r w:rsidRPr="0048465B">
        <w:rPr>
          <w:lang w:val="en-GB"/>
        </w:rPr>
        <w:t xml:space="preserve"> rather than her actual</w:t>
      </w:r>
      <w:r w:rsidR="00763BAB">
        <w:rPr>
          <w:lang w:val="en-GB"/>
        </w:rPr>
        <w:t xml:space="preserve"> post-conversion</w:t>
      </w:r>
      <w:r w:rsidRPr="0048465B">
        <w:rPr>
          <w:lang w:val="en-GB"/>
        </w:rPr>
        <w:t xml:space="preserve"> identity as a Muslim woman, the liberal newspaper ultimately reinforces de-individualising religious laws that disregard Jews who choose to convert</w:t>
      </w:r>
      <w:r w:rsidR="000E5F86">
        <w:rPr>
          <w:lang w:val="en-GB"/>
        </w:rPr>
        <w:t>,</w:t>
      </w:r>
      <w:r w:rsidRPr="0048465B">
        <w:rPr>
          <w:lang w:val="en-GB"/>
        </w:rPr>
        <w:t xml:space="preserve"> and completely overlook Malka’s agency as an individual. In addition to exposing the ways in which the discourse of assimilation is able to ‘penetrate[] the traditional media’,</w:t>
      </w:r>
      <w:r w:rsidRPr="0048465B">
        <w:rPr>
          <w:vertAlign w:val="superscript"/>
          <w:lang w:val="en-GB"/>
        </w:rPr>
        <w:footnoteReference w:id="464"/>
      </w:r>
      <w:r w:rsidRPr="0048465B">
        <w:rPr>
          <w:lang w:val="en-GB"/>
        </w:rPr>
        <w:t xml:space="preserve"> this particular </w:t>
      </w:r>
      <w:r w:rsidRPr="0048465B">
        <w:rPr>
          <w:i/>
          <w:lang w:val="en-GB"/>
        </w:rPr>
        <w:t>Haaretz</w:t>
      </w:r>
      <w:r w:rsidRPr="0048465B">
        <w:rPr>
          <w:lang w:val="en-GB"/>
        </w:rPr>
        <w:t xml:space="preserve"> publication exposes the fact that the issue is not at all to do with the marriage itself, but is to do with the right-wing Israeli perception that Jewish women who choose to be in relationships with non-Jews are not capable of making their own decisions, and that the decisions they do make are invalid. The realisation that a factually correct headline would have read ‘Lehava threatens to disrupt the wedding between a Muslim man and a</w:t>
      </w:r>
      <w:r w:rsidR="00250034">
        <w:rPr>
          <w:lang w:val="en-GB"/>
        </w:rPr>
        <w:t xml:space="preserve"> </w:t>
      </w:r>
      <w:r w:rsidR="00613A05">
        <w:rPr>
          <w:lang w:val="en-GB"/>
        </w:rPr>
        <w:t xml:space="preserve">female </w:t>
      </w:r>
      <w:r w:rsidR="00250034">
        <w:rPr>
          <w:lang w:val="en-GB"/>
        </w:rPr>
        <w:t>Jewish convert to Islam’</w:t>
      </w:r>
      <w:r w:rsidRPr="0048465B">
        <w:rPr>
          <w:lang w:val="en-GB"/>
        </w:rPr>
        <w:t xml:space="preserve"> exposes the self-importance of Lehava’s imposition, and the indifference to female-Jewish agency that guides it.</w:t>
      </w:r>
    </w:p>
    <w:p w14:paraId="74693845" w14:textId="77777777" w:rsidR="00FC331F" w:rsidRPr="0048465B" w:rsidRDefault="00FC331F" w:rsidP="00FC331F">
      <w:pPr>
        <w:rPr>
          <w:lang w:val="en-GB"/>
        </w:rPr>
      </w:pPr>
    </w:p>
    <w:p w14:paraId="03A0AB3A" w14:textId="7DFD4F79" w:rsidR="00FC331F" w:rsidRPr="0048465B" w:rsidRDefault="00FC331F" w:rsidP="00FC331F">
      <w:pPr>
        <w:rPr>
          <w:lang w:val="en-GB"/>
        </w:rPr>
      </w:pPr>
      <w:r w:rsidRPr="0048465B">
        <w:rPr>
          <w:lang w:val="en-GB"/>
        </w:rPr>
        <w:t xml:space="preserve">It is this prioritisation of that which is perceived as best for the collective, rather than the (often female) individual, that drives the assimilation discourse, one typified by Lehava, as well as </w:t>
      </w:r>
      <w:r w:rsidRPr="000E5F86">
        <w:rPr>
          <w:i/>
          <w:iCs/>
          <w:lang w:val="en-GB"/>
        </w:rPr>
        <w:t>Makor Rishon</w:t>
      </w:r>
      <w:r w:rsidRPr="0048465B">
        <w:rPr>
          <w:lang w:val="en-GB"/>
        </w:rPr>
        <w:t xml:space="preserve"> (a now discontinued religious-nationalist paper) and Israel’s most widely read newspaper, </w:t>
      </w:r>
      <w:r w:rsidRPr="000E5F86">
        <w:rPr>
          <w:i/>
          <w:iCs/>
          <w:lang w:val="en-GB"/>
        </w:rPr>
        <w:lastRenderedPageBreak/>
        <w:t>Israel Hayom</w:t>
      </w:r>
      <w:r w:rsidRPr="0048465B">
        <w:rPr>
          <w:lang w:val="en-GB"/>
        </w:rPr>
        <w:t>.</w:t>
      </w:r>
      <w:r w:rsidRPr="0048465B">
        <w:rPr>
          <w:vertAlign w:val="superscript"/>
          <w:lang w:val="en-GB"/>
        </w:rPr>
        <w:footnoteReference w:id="465"/>
      </w:r>
      <w:r w:rsidRPr="0048465B">
        <w:rPr>
          <w:lang w:val="en-GB"/>
        </w:rPr>
        <w:t xml:space="preserve"> Whilst the assimilation discourse was the least prevalent of the three discourses quantitatively, the fact that it was published in the most circulated newspaper in Israel, and one that Fogiel-Bijaoui describes as being ‘directly connected to Prime Minister Benjamin Netanyahu’ through its publisher Sheldon Adelson, means that this particular narrative is by no means unrepresentative of a significant proportion of Israeli society. </w:t>
      </w:r>
    </w:p>
    <w:p w14:paraId="45D582CC" w14:textId="77777777" w:rsidR="00FC331F" w:rsidRPr="0048465B" w:rsidRDefault="00FC331F" w:rsidP="00FC331F">
      <w:pPr>
        <w:rPr>
          <w:lang w:val="en-GB"/>
        </w:rPr>
      </w:pPr>
    </w:p>
    <w:p w14:paraId="2B07A4D3" w14:textId="022BBDDB" w:rsidR="00FC331F" w:rsidRPr="0048465B" w:rsidRDefault="00FC331F" w:rsidP="00FC331F">
      <w:pPr>
        <w:rPr>
          <w:lang w:val="en-GB"/>
        </w:rPr>
      </w:pPr>
      <w:r w:rsidRPr="0048465B">
        <w:rPr>
          <w:lang w:val="en-GB"/>
        </w:rPr>
        <w:t xml:space="preserve">Both </w:t>
      </w:r>
      <w:r w:rsidRPr="0048465B">
        <w:rPr>
          <w:i/>
          <w:lang w:val="en-GB"/>
        </w:rPr>
        <w:t>Israel Hayom</w:t>
      </w:r>
      <w:r w:rsidRPr="0048465B">
        <w:rPr>
          <w:lang w:val="en-GB"/>
        </w:rPr>
        <w:t xml:space="preserve"> and </w:t>
      </w:r>
      <w:r w:rsidRPr="0048465B">
        <w:rPr>
          <w:i/>
          <w:lang w:val="en-GB"/>
        </w:rPr>
        <w:t>Makor Rishon</w:t>
      </w:r>
      <w:r w:rsidRPr="0048465B">
        <w:rPr>
          <w:lang w:val="en-GB"/>
        </w:rPr>
        <w:t xml:space="preserve"> paint assimilation as an ‘issue’ that ‘religious-Zionists must deal with’, with </w:t>
      </w:r>
      <w:r w:rsidRPr="0018453A">
        <w:rPr>
          <w:i/>
          <w:iCs/>
          <w:lang w:val="en-GB"/>
        </w:rPr>
        <w:t>Makor Rishon</w:t>
      </w:r>
      <w:r w:rsidRPr="0048465B">
        <w:rPr>
          <w:lang w:val="en-GB"/>
        </w:rPr>
        <w:t xml:space="preserve"> in particular presenting assimilation unanimously as a ‘real problem</w:t>
      </w:r>
      <w:r w:rsidR="000C3FB4">
        <w:rPr>
          <w:lang w:val="en-GB"/>
        </w:rPr>
        <w:t xml:space="preserve"> […] </w:t>
      </w:r>
      <w:r w:rsidRPr="0048465B">
        <w:rPr>
          <w:lang w:val="en-GB"/>
        </w:rPr>
        <w:t xml:space="preserve">that the religious-Zionist sector is not doing anything about’, whilst also asserting that ‘struggling against assimilation has nothing to do with racism but has everything to do with Jewish survival’. </w:t>
      </w:r>
      <w:r w:rsidRPr="0018453A">
        <w:rPr>
          <w:i/>
          <w:iCs/>
          <w:lang w:val="en-GB"/>
        </w:rPr>
        <w:t>Israel Hayom</w:t>
      </w:r>
      <w:r w:rsidRPr="0048465B">
        <w:rPr>
          <w:lang w:val="en-GB"/>
        </w:rPr>
        <w:t>, on the other hand, takes what might appear to be a more level approach where each newspaper item refers to both ‘the basic human right to marry’ as well as the legitimate ‘subject of concern’ that is assimilation.</w:t>
      </w:r>
      <w:r w:rsidRPr="0048465B">
        <w:rPr>
          <w:vertAlign w:val="superscript"/>
          <w:lang w:val="en-GB"/>
        </w:rPr>
        <w:footnoteReference w:id="466"/>
      </w:r>
      <w:r w:rsidRPr="0048465B">
        <w:rPr>
          <w:lang w:val="en-GB"/>
        </w:rPr>
        <w:t xml:space="preserve"> Yet whilst the presentation of these two things may seem like an even-handed approach to the concerns of all, this approach legitimises anti-assimilationist sentiment through presenting it as something that is, ironically and completely incompatibly, equally as valid as the fundamental right to marry. </w:t>
      </w:r>
    </w:p>
    <w:p w14:paraId="5F4B0EE3" w14:textId="77777777" w:rsidR="00FC331F" w:rsidRPr="0048465B" w:rsidRDefault="00FC331F" w:rsidP="00FC331F">
      <w:pPr>
        <w:rPr>
          <w:lang w:val="en-GB"/>
        </w:rPr>
      </w:pPr>
    </w:p>
    <w:p w14:paraId="5D870B4E" w14:textId="0D35C898" w:rsidR="00FC331F" w:rsidRPr="0048465B" w:rsidRDefault="00FC331F" w:rsidP="00FC331F">
      <w:pPr>
        <w:rPr>
          <w:lang w:val="en-GB"/>
        </w:rPr>
      </w:pPr>
      <w:r w:rsidRPr="0048465B">
        <w:rPr>
          <w:lang w:val="en-GB"/>
        </w:rPr>
        <w:t xml:space="preserve">A key observation here, and a point of distinction between all of these discourses, is the ways in which the three discourses understand individual agency. Despite their flaws, the human rights and Romeo and Juliet discourses prioritise human agency, focusing on human rights and individual preference rather than what might be perceived as the desire of the collective. The assimilation </w:t>
      </w:r>
      <w:r w:rsidRPr="0048465B">
        <w:rPr>
          <w:lang w:val="en-GB"/>
        </w:rPr>
        <w:lastRenderedPageBreak/>
        <w:t>discourse presented by</w:t>
      </w:r>
      <w:r w:rsidRPr="0048465B">
        <w:rPr>
          <w:i/>
          <w:lang w:val="en-GB"/>
        </w:rPr>
        <w:t xml:space="preserve"> Israel Hayom</w:t>
      </w:r>
      <w:r w:rsidRPr="0048465B">
        <w:rPr>
          <w:lang w:val="en-GB"/>
        </w:rPr>
        <w:t xml:space="preserve"> and </w:t>
      </w:r>
      <w:r w:rsidRPr="0048465B">
        <w:rPr>
          <w:i/>
          <w:lang w:val="en-GB"/>
        </w:rPr>
        <w:t>Makor Rishon</w:t>
      </w:r>
      <w:r w:rsidRPr="0048465B">
        <w:rPr>
          <w:lang w:val="en-GB"/>
        </w:rPr>
        <w:t>, however, views this movement towards the prioritisation of ‘individuals and their human rights’ in a more negative light. In fact, these two papers, in addition to Lehava, present more precisely ‘the fear that the “slight integration” of Israeli-Palestinians[,] together with the individualization process and the legitimacy it gives to individual choices[,] may endanger the “Jewish family” and the “authentic identity of the Jewish state”’. This fear, twinned with the ‘rising anxiety regarding the meaning of Jewish identity within a Jewish state’, reflects the central tenet underlying the anti-assimilation mindset, that the desires of Jewish individuals are not as important as the needs of the Jewish collective.</w:t>
      </w:r>
      <w:r w:rsidRPr="0048465B">
        <w:rPr>
          <w:vertAlign w:val="superscript"/>
          <w:lang w:val="en-GB"/>
        </w:rPr>
        <w:footnoteReference w:id="467"/>
      </w:r>
      <w:r w:rsidRPr="0048465B">
        <w:rPr>
          <w:lang w:val="en-GB"/>
        </w:rPr>
        <w:t xml:space="preserve"> This prioritisation of the Jewish collective, in addition to having ramifications for those Israelis who seek to challenge the status quo politically as well as maritally, has drastic connotations for the growing community of Palestinian citizens within Israel, for whom the desire to maintain a Jewish majority could mean relocation outside of Israel’s borders as per </w:t>
      </w:r>
      <w:r w:rsidR="00D92EA3">
        <w:rPr>
          <w:lang w:val="en-GB"/>
        </w:rPr>
        <w:t xml:space="preserve">the </w:t>
      </w:r>
      <w:r w:rsidRPr="0048465B">
        <w:rPr>
          <w:lang w:val="en-GB"/>
        </w:rPr>
        <w:t>peace plan</w:t>
      </w:r>
      <w:r w:rsidR="00D92EA3">
        <w:rPr>
          <w:lang w:val="en-GB"/>
        </w:rPr>
        <w:t>s of the Trump administration</w:t>
      </w:r>
      <w:r w:rsidRPr="0048465B">
        <w:rPr>
          <w:lang w:val="en-GB"/>
        </w:rPr>
        <w:t>.</w:t>
      </w:r>
      <w:r w:rsidRPr="0048465B">
        <w:rPr>
          <w:vertAlign w:val="superscript"/>
          <w:lang w:val="en-GB"/>
        </w:rPr>
        <w:footnoteReference w:id="468"/>
      </w:r>
      <w:r w:rsidRPr="0048465B">
        <w:rPr>
          <w:lang w:val="en-GB"/>
        </w:rPr>
        <w:t xml:space="preserve"> Moreover, this same </w:t>
      </w:r>
      <w:r w:rsidR="0039637F" w:rsidRPr="0048465B">
        <w:rPr>
          <w:lang w:val="en-GB"/>
        </w:rPr>
        <w:t>prioritisation</w:t>
      </w:r>
      <w:r w:rsidRPr="0048465B">
        <w:rPr>
          <w:lang w:val="en-GB"/>
        </w:rPr>
        <w:t xml:space="preserve"> has even greater implications for the prospect of peace altogether, in that one of the key sticking points of potential peace plan</w:t>
      </w:r>
      <w:r w:rsidR="0018453A">
        <w:rPr>
          <w:lang w:val="en-GB"/>
        </w:rPr>
        <w:t>s</w:t>
      </w:r>
      <w:r w:rsidRPr="0048465B">
        <w:rPr>
          <w:lang w:val="en-GB"/>
        </w:rPr>
        <w:t xml:space="preserve"> </w:t>
      </w:r>
      <w:r w:rsidR="009362D9">
        <w:rPr>
          <w:lang w:val="en-GB"/>
        </w:rPr>
        <w:t>–</w:t>
      </w:r>
      <w:r w:rsidRPr="0048465B">
        <w:rPr>
          <w:lang w:val="en-GB"/>
        </w:rPr>
        <w:t xml:space="preserve"> equality for Palestinian citizens of Israel and the requisite transformation of Israel into a true democracy </w:t>
      </w:r>
      <w:r w:rsidR="009362D9">
        <w:rPr>
          <w:lang w:val="en-GB"/>
        </w:rPr>
        <w:t>–</w:t>
      </w:r>
      <w:r w:rsidRPr="0048465B">
        <w:rPr>
          <w:lang w:val="en-GB"/>
        </w:rPr>
        <w:t xml:space="preserve"> is fundamentally </w:t>
      </w:r>
      <w:r w:rsidR="00D92EA3">
        <w:rPr>
          <w:lang w:val="en-GB"/>
        </w:rPr>
        <w:t>incompatible with</w:t>
      </w:r>
      <w:r w:rsidRPr="0048465B">
        <w:rPr>
          <w:lang w:val="en-GB"/>
        </w:rPr>
        <w:t xml:space="preserve"> a government that favours only the Jewish collective.</w:t>
      </w:r>
    </w:p>
    <w:p w14:paraId="20C99E4F" w14:textId="77777777" w:rsidR="00FC331F" w:rsidRPr="0048465B" w:rsidRDefault="00FC331F" w:rsidP="00FC331F">
      <w:pPr>
        <w:rPr>
          <w:lang w:val="en-GB"/>
        </w:rPr>
      </w:pPr>
    </w:p>
    <w:p w14:paraId="71CAF08C" w14:textId="51C626DB" w:rsidR="00FC331F" w:rsidRPr="0048465B" w:rsidRDefault="00FC331F" w:rsidP="00FC331F">
      <w:pPr>
        <w:rPr>
          <w:lang w:val="en-GB"/>
        </w:rPr>
      </w:pPr>
      <w:r w:rsidRPr="0048465B">
        <w:rPr>
          <w:lang w:val="en-GB"/>
        </w:rPr>
        <w:t xml:space="preserve">For Lehava, the organisation that brought this marriage into the </w:t>
      </w:r>
      <w:r w:rsidR="008466EA">
        <w:rPr>
          <w:lang w:val="en-GB"/>
        </w:rPr>
        <w:t>public eye</w:t>
      </w:r>
      <w:r w:rsidRPr="0048465B">
        <w:rPr>
          <w:lang w:val="en-GB"/>
        </w:rPr>
        <w:t xml:space="preserve">, this prioritisation of the collective takes the shape of the control of Jewish women. Just as </w:t>
      </w:r>
      <w:r w:rsidRPr="0018453A">
        <w:rPr>
          <w:i/>
          <w:iCs/>
          <w:lang w:val="en-GB"/>
        </w:rPr>
        <w:t>Makor Rishon</w:t>
      </w:r>
      <w:r w:rsidRPr="0048465B">
        <w:rPr>
          <w:lang w:val="en-GB"/>
        </w:rPr>
        <w:t xml:space="preserve"> featured a professor who described ‘young Jewish girls (not women)’ who choose to marry Arab men as </w:t>
      </w:r>
      <w:r w:rsidRPr="0048465B">
        <w:rPr>
          <w:lang w:val="en-GB"/>
        </w:rPr>
        <w:lastRenderedPageBreak/>
        <w:t>being ‘“in socioeconomic distress”’, Lehava’s entire existence is predicated on the belief that the Jewish people as a collective ‘must “protect” Jewish women from the “Arab threat”’.</w:t>
      </w:r>
      <w:r w:rsidRPr="0048465B">
        <w:rPr>
          <w:vertAlign w:val="superscript"/>
          <w:lang w:val="en-GB"/>
        </w:rPr>
        <w:footnoteReference w:id="469"/>
      </w:r>
      <w:r w:rsidRPr="0048465B">
        <w:rPr>
          <w:lang w:val="en-GB"/>
        </w:rPr>
        <w:t xml:space="preserve"> On the United States version of the Lehava website, Lehava post stories about ‘victim[s] of assimilation’, describing one Jewish woman who, despite being</w:t>
      </w:r>
      <w:r w:rsidR="002219A6">
        <w:rPr>
          <w:lang w:val="en-GB"/>
        </w:rPr>
        <w:t xml:space="preserve"> identified as</w:t>
      </w:r>
      <w:r w:rsidRPr="0048465B">
        <w:rPr>
          <w:lang w:val="en-GB"/>
        </w:rPr>
        <w:t xml:space="preserve"> a victim, was ‘willing to cut all connections’ with</w:t>
      </w:r>
      <w:r w:rsidR="008466EA">
        <w:rPr>
          <w:lang w:val="en-GB"/>
        </w:rPr>
        <w:t xml:space="preserve"> her</w:t>
      </w:r>
      <w:r w:rsidRPr="0048465B">
        <w:rPr>
          <w:lang w:val="en-GB"/>
        </w:rPr>
        <w:t xml:space="preserve"> family in order to be with her Arab partner. In addition to the fact that this young woman is clearly capable of making her own decisions precisely due to her willingness to cut ties with her family, the Lehava article also, ironically and revealingly, at no point even identifies the woman’s partner as anything other than an ‘Arab’, this implication that Jewish woman and Arab man are incompatible individually also reinforcing the flawed belief that </w:t>
      </w:r>
      <w:r w:rsidR="002219A6">
        <w:rPr>
          <w:lang w:val="en-GB"/>
        </w:rPr>
        <w:t>‘</w:t>
      </w:r>
      <w:r w:rsidRPr="0048465B">
        <w:rPr>
          <w:lang w:val="en-GB"/>
        </w:rPr>
        <w:t>Arab</w:t>
      </w:r>
      <w:r w:rsidR="002219A6">
        <w:rPr>
          <w:lang w:val="en-GB"/>
        </w:rPr>
        <w:t>’ and ‘Jew’ are mutually exclusive terms</w:t>
      </w:r>
      <w:r w:rsidRPr="0048465B">
        <w:rPr>
          <w:lang w:val="en-GB"/>
        </w:rPr>
        <w:t>.</w:t>
      </w:r>
      <w:r w:rsidRPr="0048465B">
        <w:rPr>
          <w:vertAlign w:val="superscript"/>
          <w:lang w:val="en-GB"/>
        </w:rPr>
        <w:footnoteReference w:id="470"/>
      </w:r>
    </w:p>
    <w:p w14:paraId="117B1F60" w14:textId="77777777" w:rsidR="00FC331F" w:rsidRPr="0048465B" w:rsidRDefault="00FC331F" w:rsidP="00FC331F">
      <w:pPr>
        <w:rPr>
          <w:lang w:val="en-GB"/>
        </w:rPr>
      </w:pPr>
    </w:p>
    <w:p w14:paraId="3B6F6ABC" w14:textId="1E2C67E6" w:rsidR="00FC331F" w:rsidRPr="0048465B" w:rsidRDefault="00FC331F" w:rsidP="00FC331F">
      <w:pPr>
        <w:rPr>
          <w:lang w:val="en-GB"/>
        </w:rPr>
      </w:pPr>
      <w:r w:rsidRPr="0048465B">
        <w:rPr>
          <w:lang w:val="en-GB"/>
        </w:rPr>
        <w:t xml:space="preserve">Such anti-Arab sentiment permeates Lehava pamphlets, which have included taglines such as ‘“Don’t go out with </w:t>
      </w:r>
      <w:proofErr w:type="spellStart"/>
      <w:r w:rsidRPr="0048465B">
        <w:rPr>
          <w:lang w:val="en-GB"/>
        </w:rPr>
        <w:t>Mahamad</w:t>
      </w:r>
      <w:proofErr w:type="spellEnd"/>
      <w:r w:rsidRPr="0048465B">
        <w:rPr>
          <w:lang w:val="en-GB"/>
        </w:rPr>
        <w:t>. He may be cute now, but then you’ll be his slave”’.</w:t>
      </w:r>
      <w:r w:rsidRPr="0048465B">
        <w:rPr>
          <w:vertAlign w:val="superscript"/>
          <w:lang w:val="en-GB"/>
        </w:rPr>
        <w:footnoteReference w:id="471"/>
      </w:r>
      <w:r w:rsidRPr="0048465B">
        <w:rPr>
          <w:lang w:val="en-GB"/>
        </w:rPr>
        <w:t xml:space="preserve"> Yet what is perhaps most evident within Lehava’s own literature is the aforementioned complete disregard for the Jewish female individual. </w:t>
      </w:r>
      <w:proofErr w:type="spellStart"/>
      <w:r w:rsidRPr="0048465B">
        <w:rPr>
          <w:lang w:val="en-GB"/>
        </w:rPr>
        <w:t>Bentzi</w:t>
      </w:r>
      <w:proofErr w:type="spellEnd"/>
      <w:r w:rsidRPr="0048465B">
        <w:rPr>
          <w:lang w:val="en-GB"/>
        </w:rPr>
        <w:t xml:space="preserve"> </w:t>
      </w:r>
      <w:proofErr w:type="spellStart"/>
      <w:r w:rsidRPr="0048465B">
        <w:rPr>
          <w:lang w:val="en-GB"/>
        </w:rPr>
        <w:t>Gopstein</w:t>
      </w:r>
      <w:proofErr w:type="spellEnd"/>
      <w:r w:rsidRPr="0048465B">
        <w:rPr>
          <w:lang w:val="en-GB"/>
        </w:rPr>
        <w:t>, the CEO of Lehava, stated in an interview that Lehava ‘do not wait for the girls to call for help but we come to them before. Most of the time we are approached by concerned family members or good friends’, further revealing that ‘[</w:t>
      </w:r>
      <w:proofErr w:type="spellStart"/>
      <w:r w:rsidRPr="0048465B">
        <w:rPr>
          <w:lang w:val="en-GB"/>
        </w:rPr>
        <w:t>i</w:t>
      </w:r>
      <w:proofErr w:type="spellEnd"/>
      <w:r w:rsidRPr="0048465B">
        <w:rPr>
          <w:lang w:val="en-GB"/>
        </w:rPr>
        <w:t>]n most cases, the girls do not cooperate; they do not want [to] severe [</w:t>
      </w:r>
      <w:r w:rsidRPr="0048465B">
        <w:rPr>
          <w:i/>
          <w:lang w:val="en-GB"/>
        </w:rPr>
        <w:t>sic</w:t>
      </w:r>
      <w:r w:rsidRPr="0048465B">
        <w:rPr>
          <w:lang w:val="en-GB"/>
        </w:rPr>
        <w:t xml:space="preserve">] their connections with their </w:t>
      </w:r>
      <w:proofErr w:type="spellStart"/>
      <w:r w:rsidRPr="0048465B">
        <w:rPr>
          <w:lang w:val="en-GB"/>
        </w:rPr>
        <w:t>parnters</w:t>
      </w:r>
      <w:proofErr w:type="spellEnd"/>
      <w:r w:rsidRPr="0048465B">
        <w:rPr>
          <w:lang w:val="en-GB"/>
        </w:rPr>
        <w:t xml:space="preserve"> [</w:t>
      </w:r>
      <w:r w:rsidRPr="0048465B">
        <w:rPr>
          <w:i/>
          <w:lang w:val="en-GB"/>
        </w:rPr>
        <w:t>sic</w:t>
      </w:r>
      <w:r w:rsidRPr="0048465B">
        <w:rPr>
          <w:lang w:val="en-GB"/>
        </w:rPr>
        <w:t xml:space="preserve">]’. </w:t>
      </w:r>
      <w:proofErr w:type="spellStart"/>
      <w:r w:rsidRPr="0048465B">
        <w:rPr>
          <w:lang w:val="en-GB"/>
        </w:rPr>
        <w:t>Gopstein</w:t>
      </w:r>
      <w:proofErr w:type="spellEnd"/>
      <w:r w:rsidRPr="0048465B">
        <w:rPr>
          <w:lang w:val="en-GB"/>
        </w:rPr>
        <w:t xml:space="preserve"> states that it is at this point he calls his ‘activists who reach out to these </w:t>
      </w:r>
      <w:r w:rsidRPr="0048465B">
        <w:rPr>
          <w:lang w:val="en-GB"/>
        </w:rPr>
        <w:lastRenderedPageBreak/>
        <w:t>girls at school, at work and convince them to leave their non-Jewish partner’.</w:t>
      </w:r>
      <w:r w:rsidRPr="0048465B">
        <w:rPr>
          <w:vertAlign w:val="superscript"/>
          <w:lang w:val="en-GB"/>
        </w:rPr>
        <w:footnoteReference w:id="472"/>
      </w:r>
      <w:r w:rsidRPr="0048465B">
        <w:rPr>
          <w:lang w:val="en-GB"/>
        </w:rPr>
        <w:t xml:space="preserve"> Here, the harassment of young Jewish women in order to stop potential relationships with non-Jewish, primarily Arab</w:t>
      </w:r>
      <w:r w:rsidR="008466EA">
        <w:rPr>
          <w:lang w:val="en-GB"/>
        </w:rPr>
        <w:t xml:space="preserve"> </w:t>
      </w:r>
      <w:r w:rsidRPr="0048465B">
        <w:rPr>
          <w:lang w:val="en-GB"/>
        </w:rPr>
        <w:t>Muslim, men, is promoted as an acceptable means of maintaining the Jewish character of Israel and its Jewish citizens, demonstrating the intensity of both demographic-centred anxiety in Israel and the associated mistreatment of Arabs both within Israel and without.</w:t>
      </w:r>
    </w:p>
    <w:p w14:paraId="3C5E855D" w14:textId="77777777" w:rsidR="00FC331F" w:rsidRPr="0048465B" w:rsidRDefault="00FC331F" w:rsidP="00FC331F">
      <w:pPr>
        <w:rPr>
          <w:lang w:val="en-GB"/>
        </w:rPr>
      </w:pPr>
    </w:p>
    <w:p w14:paraId="112F1D2D" w14:textId="3B50424F" w:rsidR="00FC331F" w:rsidRPr="0048465B" w:rsidRDefault="00FC331F" w:rsidP="00FC331F">
      <w:pPr>
        <w:rPr>
          <w:lang w:val="en-GB"/>
        </w:rPr>
      </w:pPr>
      <w:r w:rsidRPr="0048465B">
        <w:rPr>
          <w:lang w:val="en-GB"/>
        </w:rPr>
        <w:t>Lehava represent an extreme form of these anti-assimilationist views, yet the very fact that they were able to prompt mainstream coverage of what was a simple wedding between two individuals, and influence the shape of this coverage through offering a supposedly legitimate argument against the wedding, demonstrates the power of anti-</w:t>
      </w:r>
      <w:r w:rsidR="002219A6">
        <w:rPr>
          <w:lang w:val="en-GB"/>
        </w:rPr>
        <w:t>Palestinian</w:t>
      </w:r>
      <w:r w:rsidRPr="0048465B">
        <w:rPr>
          <w:lang w:val="en-GB"/>
        </w:rPr>
        <w:t xml:space="preserve"> and Islamophobic sentiment in Israel. Moreover, as observed by Professor of International Law </w:t>
      </w:r>
      <w:proofErr w:type="spellStart"/>
      <w:r w:rsidRPr="0048465B">
        <w:rPr>
          <w:lang w:val="en-GB"/>
        </w:rPr>
        <w:t>Aeyal</w:t>
      </w:r>
      <w:proofErr w:type="spellEnd"/>
      <w:r w:rsidRPr="0048465B">
        <w:rPr>
          <w:lang w:val="en-GB"/>
        </w:rPr>
        <w:t xml:space="preserve"> Gross, there were legal precedents and opportunities for Lehava protests to be banned on grounds of racism. Whilst many would argue that protests such as Lehava’s should be allowed due to the right to free speech and the freedom of assembly, Gross draws attention to ‘the gap between how Lehava’s right to hold a racist demonstration near a private celebration was preserved’ and ‘the many instances in which protesters were arrested during social-justice demonstrations</w:t>
      </w:r>
      <w:r w:rsidR="000C3FB4">
        <w:rPr>
          <w:lang w:val="en-GB"/>
        </w:rPr>
        <w:t xml:space="preserve"> [… </w:t>
      </w:r>
      <w:r w:rsidRPr="0048465B">
        <w:rPr>
          <w:lang w:val="en-GB"/>
        </w:rPr>
        <w:t>with</w:t>
      </w:r>
      <w:r w:rsidR="000C3FB4">
        <w:rPr>
          <w:lang w:val="en-GB"/>
        </w:rPr>
        <w:t xml:space="preserve"> …</w:t>
      </w:r>
      <w:r w:rsidRPr="0048465B">
        <w:rPr>
          <w:lang w:val="en-GB"/>
        </w:rPr>
        <w:t>] 1,500 anti-war protesters arrest</w:t>
      </w:r>
      <w:r w:rsidR="007B581C">
        <w:rPr>
          <w:lang w:val="en-GB"/>
        </w:rPr>
        <w:t>ed</w:t>
      </w:r>
      <w:r w:rsidRPr="0048465B">
        <w:rPr>
          <w:lang w:val="en-GB"/>
        </w:rPr>
        <w:t xml:space="preserve"> over the past month, nearly all of them Arabs’.</w:t>
      </w:r>
      <w:r w:rsidRPr="0048465B">
        <w:rPr>
          <w:vertAlign w:val="superscript"/>
          <w:lang w:val="en-GB"/>
        </w:rPr>
        <w:footnoteReference w:id="473"/>
      </w:r>
      <w:r w:rsidRPr="0048465B">
        <w:rPr>
          <w:lang w:val="en-GB"/>
        </w:rPr>
        <w:t xml:space="preserve"> Such observations reveal the prejudicial divides within Israel. Yet again, the prioritisation of Jewish state identity ensures that the right to racist demonstration is defended, whilst protests that question the Israeli stranglehold on Palestine </w:t>
      </w:r>
      <w:r w:rsidR="007B581C">
        <w:rPr>
          <w:lang w:val="en-GB"/>
        </w:rPr>
        <w:t>–</w:t>
      </w:r>
      <w:r w:rsidRPr="0048465B">
        <w:rPr>
          <w:lang w:val="en-GB"/>
        </w:rPr>
        <w:t xml:space="preserve"> and therefore threaten the status quo </w:t>
      </w:r>
      <w:r w:rsidR="007B581C">
        <w:rPr>
          <w:lang w:val="en-GB"/>
        </w:rPr>
        <w:t>–</w:t>
      </w:r>
      <w:r w:rsidRPr="0048465B">
        <w:rPr>
          <w:lang w:val="en-GB"/>
        </w:rPr>
        <w:t xml:space="preserve"> are targeted and demobilised.</w:t>
      </w:r>
    </w:p>
    <w:p w14:paraId="577EF966" w14:textId="77777777" w:rsidR="00FC331F" w:rsidRPr="0048465B" w:rsidRDefault="00FC331F" w:rsidP="00FC331F">
      <w:pPr>
        <w:rPr>
          <w:lang w:val="en-GB"/>
        </w:rPr>
      </w:pPr>
    </w:p>
    <w:p w14:paraId="3D32A4C8" w14:textId="2FB4CDC3" w:rsidR="00FC331F" w:rsidRPr="0048465B" w:rsidRDefault="00FC331F" w:rsidP="00FC331F">
      <w:pPr>
        <w:rPr>
          <w:lang w:val="en-GB"/>
        </w:rPr>
      </w:pPr>
      <w:r w:rsidRPr="0048465B">
        <w:rPr>
          <w:lang w:val="en-GB"/>
        </w:rPr>
        <w:lastRenderedPageBreak/>
        <w:t>Whilst mixed marriages appear almost impossible within Israel, the stability of Jewish-Palestinian relationships outside of Israel are by no means uncomplicated, primarily due to the kind of collective, social, environmental, and familial pressures that Lehava represent one extreme end of. Yet these pressures do not have to take the shape of literal intrusions</w:t>
      </w:r>
      <w:r w:rsidR="001226D6">
        <w:rPr>
          <w:lang w:val="en-GB"/>
        </w:rPr>
        <w:t>,</w:t>
      </w:r>
      <w:r w:rsidRPr="0048465B">
        <w:rPr>
          <w:lang w:val="en-GB"/>
        </w:rPr>
        <w:t xml:space="preserve"> such as those opted for by Lehava</w:t>
      </w:r>
      <w:r w:rsidR="001226D6">
        <w:rPr>
          <w:lang w:val="en-GB"/>
        </w:rPr>
        <w:t>,</w:t>
      </w:r>
      <w:r w:rsidRPr="0048465B">
        <w:rPr>
          <w:lang w:val="en-GB"/>
        </w:rPr>
        <w:t xml:space="preserve"> for them to take effect. As previously mentioned, the Knesset have taken an active role in preventing assimilation between Jewish women and Muslim men through shaping the education of Israel’s children. This imposition made headlines in Israel and across the globe in late 2015, when a novel that featured an interfaith relationship was banned in Israeli high</w:t>
      </w:r>
      <w:r w:rsidR="0039637F">
        <w:rPr>
          <w:lang w:val="en-GB"/>
        </w:rPr>
        <w:t xml:space="preserve"> </w:t>
      </w:r>
      <w:r w:rsidRPr="0048465B">
        <w:rPr>
          <w:lang w:val="en-GB"/>
        </w:rPr>
        <w:t>schools ‘over concerns that it encourages romantic relationships between Jews and Arabs’,</w:t>
      </w:r>
      <w:r w:rsidRPr="0048465B">
        <w:rPr>
          <w:vertAlign w:val="superscript"/>
          <w:lang w:val="en-GB"/>
        </w:rPr>
        <w:footnoteReference w:id="474"/>
      </w:r>
      <w:r w:rsidRPr="0048465B">
        <w:rPr>
          <w:lang w:val="en-GB"/>
        </w:rPr>
        <w:t xml:space="preserve"> and uneasiness at the possibility that the novel might disrupt ‘the need to maintain what was referred to as “the identity and the heritage of students in every sector”’.</w:t>
      </w:r>
      <w:r w:rsidRPr="0048465B">
        <w:rPr>
          <w:vertAlign w:val="superscript"/>
          <w:lang w:val="en-GB"/>
        </w:rPr>
        <w:footnoteReference w:id="475"/>
      </w:r>
      <w:r w:rsidRPr="0048465B">
        <w:rPr>
          <w:lang w:val="en-GB"/>
        </w:rPr>
        <w:t xml:space="preserve"> The novel in question, Dorit Rabinyan’s </w:t>
      </w:r>
      <w:r w:rsidRPr="0048465B">
        <w:rPr>
          <w:i/>
          <w:lang w:val="en-GB"/>
        </w:rPr>
        <w:t>All the Rivers</w:t>
      </w:r>
      <w:r w:rsidRPr="0048465B">
        <w:rPr>
          <w:lang w:val="en-GB"/>
        </w:rPr>
        <w:t xml:space="preserve"> (originally </w:t>
      </w:r>
      <w:proofErr w:type="spellStart"/>
      <w:r w:rsidRPr="0048465B">
        <w:rPr>
          <w:i/>
          <w:lang w:val="en-GB"/>
        </w:rPr>
        <w:t>Borderlife</w:t>
      </w:r>
      <w:proofErr w:type="spellEnd"/>
      <w:r w:rsidRPr="0048465B">
        <w:rPr>
          <w:lang w:val="en-GB"/>
        </w:rPr>
        <w:t>), follows an Israeli Jew of Iranian descent named Liat living in New York, who enters into a relationship with a Palestinian</w:t>
      </w:r>
      <w:r w:rsidR="001226D6">
        <w:rPr>
          <w:lang w:val="en-GB"/>
        </w:rPr>
        <w:t xml:space="preserve"> </w:t>
      </w:r>
      <w:r w:rsidRPr="0048465B">
        <w:rPr>
          <w:lang w:val="en-GB"/>
        </w:rPr>
        <w:t>named Hilmi.</w:t>
      </w:r>
      <w:r w:rsidR="002219A6" w:rsidRPr="0048465B">
        <w:rPr>
          <w:vertAlign w:val="superscript"/>
          <w:lang w:val="en-GB"/>
        </w:rPr>
        <w:footnoteReference w:id="476"/>
      </w:r>
      <w:r w:rsidRPr="0048465B">
        <w:rPr>
          <w:lang w:val="en-GB"/>
        </w:rPr>
        <w:t xml:space="preserve"> To give a brief synopsis, presented through the interior monologue of the </w:t>
      </w:r>
      <w:r w:rsidR="002219A6">
        <w:rPr>
          <w:lang w:val="en-GB"/>
        </w:rPr>
        <w:t>Jewish</w:t>
      </w:r>
      <w:r w:rsidR="001226D6">
        <w:rPr>
          <w:lang w:val="en-GB"/>
        </w:rPr>
        <w:t xml:space="preserve"> </w:t>
      </w:r>
      <w:r w:rsidRPr="0048465B">
        <w:rPr>
          <w:lang w:val="en-GB"/>
        </w:rPr>
        <w:t xml:space="preserve">Israeli Liat, the two people meet by chance and, after a heavily romanticised initial interaction, they begin a relationship. Yet whilst the two share moments of love and mutual appreciation, the relationship is infused with distrust, ignorance, and insensitivity, an effect especially evident from the perspective of the narrator, Liat. As Liat’s planned departure back to Israel draws closer the impending physical division between </w:t>
      </w:r>
      <w:r w:rsidRPr="0048465B">
        <w:rPr>
          <w:lang w:val="en-GB"/>
        </w:rPr>
        <w:lastRenderedPageBreak/>
        <w:t>Hilmi’s home in Ramallah, and Liat’s in Tel Aviv, drives a stake between them even whilst they are in New York.</w:t>
      </w:r>
    </w:p>
    <w:p w14:paraId="5AE8679E" w14:textId="77777777" w:rsidR="00FC331F" w:rsidRPr="0048465B" w:rsidRDefault="00FC331F" w:rsidP="00FC331F">
      <w:pPr>
        <w:rPr>
          <w:lang w:val="en-GB"/>
        </w:rPr>
      </w:pPr>
    </w:p>
    <w:p w14:paraId="20DC05DF" w14:textId="77777777" w:rsidR="00FC331F" w:rsidRPr="0048465B" w:rsidRDefault="00FC331F" w:rsidP="00FC331F">
      <w:pPr>
        <w:rPr>
          <w:lang w:val="en-GB"/>
        </w:rPr>
      </w:pPr>
      <w:r w:rsidRPr="0048465B">
        <w:rPr>
          <w:lang w:val="en-GB"/>
        </w:rPr>
        <w:t xml:space="preserve">Education ministry official Dalia Fenig, who headed the committee that banned the novel from the school curriculum, told ‘Israeli news site </w:t>
      </w:r>
      <w:proofErr w:type="spellStart"/>
      <w:r w:rsidRPr="0048465B">
        <w:rPr>
          <w:lang w:val="en-GB"/>
        </w:rPr>
        <w:t>Ynet</w:t>
      </w:r>
      <w:proofErr w:type="spellEnd"/>
      <w:r w:rsidRPr="0048465B">
        <w:rPr>
          <w:lang w:val="en-GB"/>
        </w:rPr>
        <w:t xml:space="preserve"> that “Marrying a non-Jew is not what the education system aims to teach”’.</w:t>
      </w:r>
      <w:r w:rsidRPr="0048465B">
        <w:rPr>
          <w:vertAlign w:val="superscript"/>
          <w:lang w:val="en-GB"/>
        </w:rPr>
        <w:footnoteReference w:id="477"/>
      </w:r>
      <w:r w:rsidRPr="0048465B">
        <w:rPr>
          <w:lang w:val="en-GB"/>
        </w:rPr>
        <w:t xml:space="preserve"> In response to the protest caused by the banning of the novel, Fenig wrote a letter that provided the following reasoning behind the ban:</w:t>
      </w:r>
    </w:p>
    <w:p w14:paraId="33D9FDF3" w14:textId="77777777" w:rsidR="00FC331F" w:rsidRPr="0048465B" w:rsidRDefault="00FC331F" w:rsidP="00FC331F">
      <w:pPr>
        <w:rPr>
          <w:lang w:val="en-GB"/>
        </w:rPr>
      </w:pPr>
    </w:p>
    <w:p w14:paraId="4CF0271F" w14:textId="46467247" w:rsidR="00FC331F" w:rsidRPr="0048465B" w:rsidRDefault="00FC331F" w:rsidP="00FC331F">
      <w:pPr>
        <w:ind w:left="720"/>
        <w:rPr>
          <w:lang w:val="en-GB"/>
        </w:rPr>
      </w:pPr>
      <w:r w:rsidRPr="0048465B">
        <w:rPr>
          <w:lang w:val="en-GB"/>
        </w:rPr>
        <w:t>The story is based on a romantic motif of impossible prohibited/secret love. Young people of adolescent age tend to romanticize and don’t, in many cases, have the systemic vision that includes considerations involving maintaining the national-ethnic identity of the people and the significance of miscegenation</w:t>
      </w:r>
      <w:r w:rsidR="000C3FB4">
        <w:rPr>
          <w:lang w:val="en-GB"/>
        </w:rPr>
        <w:t xml:space="preserve"> […] </w:t>
      </w:r>
      <w:r w:rsidRPr="0048465B">
        <w:rPr>
          <w:lang w:val="en-GB"/>
        </w:rPr>
        <w:t>Intimate relations and certainly the open option of institutionalizing [a relationship] through marriage and having a family, even if it doesn’t come to fruition in the story, between Jews and non-Jews is perceived among large segments of society as a threat to a separate identity.</w:t>
      </w:r>
      <w:r w:rsidRPr="0048465B">
        <w:rPr>
          <w:vertAlign w:val="superscript"/>
          <w:lang w:val="en-GB"/>
        </w:rPr>
        <w:footnoteReference w:id="478"/>
      </w:r>
    </w:p>
    <w:p w14:paraId="3419B3EB" w14:textId="77777777" w:rsidR="00FC331F" w:rsidRPr="0048465B" w:rsidRDefault="00FC331F" w:rsidP="00FC331F">
      <w:pPr>
        <w:ind w:left="720"/>
        <w:rPr>
          <w:lang w:val="en-GB"/>
        </w:rPr>
      </w:pPr>
    </w:p>
    <w:p w14:paraId="5918082D" w14:textId="179AEFBA" w:rsidR="00FC331F" w:rsidRPr="0048465B" w:rsidRDefault="00FC331F" w:rsidP="00FC331F">
      <w:pPr>
        <w:rPr>
          <w:lang w:val="en-GB"/>
        </w:rPr>
      </w:pPr>
      <w:r w:rsidRPr="0048465B">
        <w:rPr>
          <w:lang w:val="en-GB"/>
        </w:rPr>
        <w:t xml:space="preserve">Despite the novel being retroactively designated as acceptable to be studied in advanced literature classes, </w:t>
      </w:r>
      <w:r w:rsidRPr="0048465B">
        <w:rPr>
          <w:i/>
          <w:lang w:val="en-GB"/>
        </w:rPr>
        <w:t>Haaretz</w:t>
      </w:r>
      <w:r w:rsidRPr="0048465B">
        <w:rPr>
          <w:lang w:val="en-GB"/>
        </w:rPr>
        <w:t xml:space="preserve"> journalist Or </w:t>
      </w:r>
      <w:proofErr w:type="spellStart"/>
      <w:r w:rsidRPr="0048465B">
        <w:rPr>
          <w:lang w:val="en-GB"/>
        </w:rPr>
        <w:t>Kashti</w:t>
      </w:r>
      <w:proofErr w:type="spellEnd"/>
      <w:r w:rsidRPr="0048465B">
        <w:rPr>
          <w:lang w:val="en-GB"/>
        </w:rPr>
        <w:t xml:space="preserve"> states that ‘the number of students who study advanced literature is</w:t>
      </w:r>
      <w:r w:rsidR="000C3FB4">
        <w:rPr>
          <w:lang w:val="en-GB"/>
        </w:rPr>
        <w:t xml:space="preserve"> […] </w:t>
      </w:r>
      <w:r w:rsidRPr="0048465B">
        <w:rPr>
          <w:lang w:val="en-GB"/>
        </w:rPr>
        <w:t>low, and the choice of books is very wide’.</w:t>
      </w:r>
      <w:r w:rsidRPr="0048465B">
        <w:rPr>
          <w:vertAlign w:val="superscript"/>
          <w:lang w:val="en-GB"/>
        </w:rPr>
        <w:footnoteReference w:id="479"/>
      </w:r>
      <w:r w:rsidRPr="0048465B">
        <w:rPr>
          <w:lang w:val="en-GB"/>
        </w:rPr>
        <w:t xml:space="preserve"> </w:t>
      </w:r>
      <w:proofErr w:type="spellStart"/>
      <w:r w:rsidRPr="0048465B">
        <w:rPr>
          <w:lang w:val="en-GB"/>
        </w:rPr>
        <w:t>Rabinyan</w:t>
      </w:r>
      <w:proofErr w:type="spellEnd"/>
      <w:r w:rsidRPr="0048465B">
        <w:rPr>
          <w:lang w:val="en-GB"/>
        </w:rPr>
        <w:t xml:space="preserve"> herself, in an interview in </w:t>
      </w:r>
      <w:r w:rsidR="0018453A">
        <w:rPr>
          <w:i/>
          <w:iCs/>
          <w:lang w:val="en-GB"/>
        </w:rPr>
        <w:t>The N</w:t>
      </w:r>
      <w:r w:rsidRPr="0018453A">
        <w:rPr>
          <w:i/>
          <w:iCs/>
          <w:lang w:val="en-GB"/>
        </w:rPr>
        <w:t>ew York Times</w:t>
      </w:r>
      <w:r w:rsidRPr="0048465B">
        <w:rPr>
          <w:lang w:val="en-GB"/>
        </w:rPr>
        <w:t xml:space="preserve">, revealed that even though sales of her novel rose dramatically after it was banned, ‘“The kids themselves rejected the book”’, identifying it as a ‘“lefty book”’, not worth </w:t>
      </w:r>
      <w:r w:rsidRPr="0048465B">
        <w:rPr>
          <w:lang w:val="en-GB"/>
        </w:rPr>
        <w:lastRenderedPageBreak/>
        <w:t>reading.</w:t>
      </w:r>
      <w:r w:rsidRPr="0048465B">
        <w:rPr>
          <w:vertAlign w:val="superscript"/>
          <w:lang w:val="en-GB"/>
        </w:rPr>
        <w:footnoteReference w:id="480"/>
      </w:r>
      <w:r w:rsidRPr="0048465B">
        <w:rPr>
          <w:lang w:val="en-GB"/>
        </w:rPr>
        <w:t xml:space="preserve"> Yet the underlying issue here is not to do with how many students do or do not engage with it per se, but with the racist views that underlie the banning of the book in the first place.</w:t>
      </w:r>
    </w:p>
    <w:p w14:paraId="09FE7CF8" w14:textId="77777777" w:rsidR="00FC331F" w:rsidRPr="0048465B" w:rsidRDefault="00FC331F" w:rsidP="00FC331F">
      <w:pPr>
        <w:rPr>
          <w:lang w:val="en-GB"/>
        </w:rPr>
      </w:pPr>
    </w:p>
    <w:p w14:paraId="030CE8AD" w14:textId="2DEB758F" w:rsidR="00FC331F" w:rsidRPr="0048465B" w:rsidRDefault="00FC331F" w:rsidP="00FC331F">
      <w:pPr>
        <w:rPr>
          <w:lang w:val="en-GB"/>
        </w:rPr>
      </w:pPr>
      <w:r w:rsidRPr="0048465B">
        <w:rPr>
          <w:lang w:val="en-GB"/>
        </w:rPr>
        <w:t>As already glimpsed through the asymmetrical schooling opportunities offered to Mizrahi and Ashkenazi Jews respectively, the desire to ‘maintain</w:t>
      </w:r>
      <w:r w:rsidR="000C3FB4">
        <w:rPr>
          <w:lang w:val="en-GB"/>
        </w:rPr>
        <w:t xml:space="preserve"> […] </w:t>
      </w:r>
      <w:r w:rsidRPr="0048465B">
        <w:rPr>
          <w:lang w:val="en-GB"/>
        </w:rPr>
        <w:t>“the identity and the heritage of students in every sector”’ serves more to establish a caste system within Israeli schools than it does to celebrate the individual identities of its students.</w:t>
      </w:r>
      <w:r w:rsidR="00B07295">
        <w:rPr>
          <w:rStyle w:val="FootnoteReference"/>
          <w:lang w:val="en-GB"/>
        </w:rPr>
        <w:footnoteReference w:id="481"/>
      </w:r>
      <w:r w:rsidRPr="0048465B">
        <w:rPr>
          <w:lang w:val="en-GB"/>
        </w:rPr>
        <w:t xml:space="preserve"> Moreover, </w:t>
      </w:r>
      <w:proofErr w:type="spellStart"/>
      <w:r w:rsidR="0055254A">
        <w:rPr>
          <w:lang w:val="en-GB"/>
        </w:rPr>
        <w:t>Fenig’s</w:t>
      </w:r>
      <w:proofErr w:type="spellEnd"/>
      <w:r w:rsidR="0055254A">
        <w:rPr>
          <w:lang w:val="en-GB"/>
        </w:rPr>
        <w:t xml:space="preserve"> choice to use</w:t>
      </w:r>
      <w:r w:rsidRPr="0048465B">
        <w:rPr>
          <w:lang w:val="en-GB"/>
        </w:rPr>
        <w:t xml:space="preserve"> the word ‘miscegenation’ </w:t>
      </w:r>
      <w:r w:rsidR="00B07295">
        <w:rPr>
          <w:lang w:val="en-GB"/>
        </w:rPr>
        <w:t>–</w:t>
      </w:r>
      <w:r w:rsidRPr="0048465B">
        <w:rPr>
          <w:lang w:val="en-GB"/>
        </w:rPr>
        <w:t xml:space="preserve"> a word that is rooted in the practice of maintaining pure bloodlines, one that was created in order to ridicule the notion of mixed-race relationships and propagate fear at their possibility </w:t>
      </w:r>
      <w:r w:rsidR="00B07295">
        <w:rPr>
          <w:lang w:val="en-GB"/>
        </w:rPr>
        <w:t>–</w:t>
      </w:r>
      <w:r w:rsidRPr="0048465B">
        <w:rPr>
          <w:lang w:val="en-GB"/>
        </w:rPr>
        <w:t xml:space="preserve"> un/intentionally exposes both the Israeli government’s prioritisation of Jewish lives and the accompanying existence of governmentally mandated racism, thus demonstrating the extent to which Israel’s claims to being both a democratic state and a ‘Jewish State’ remain, at present,  incompatible.</w:t>
      </w:r>
      <w:r w:rsidR="0055254A" w:rsidRPr="0048465B">
        <w:rPr>
          <w:vertAlign w:val="superscript"/>
          <w:lang w:val="en-GB"/>
        </w:rPr>
        <w:footnoteReference w:id="482"/>
      </w:r>
    </w:p>
    <w:p w14:paraId="2146D944" w14:textId="77777777" w:rsidR="00FC331F" w:rsidRPr="0048465B" w:rsidRDefault="00FC331F" w:rsidP="00FC331F">
      <w:pPr>
        <w:rPr>
          <w:lang w:val="en-GB"/>
        </w:rPr>
      </w:pPr>
    </w:p>
    <w:p w14:paraId="3609C3D2" w14:textId="7A1873CE" w:rsidR="00FC331F" w:rsidRPr="0048465B" w:rsidRDefault="00FC331F" w:rsidP="00FC331F">
      <w:pPr>
        <w:rPr>
          <w:lang w:val="en-GB"/>
        </w:rPr>
      </w:pPr>
      <w:r w:rsidRPr="0048465B">
        <w:rPr>
          <w:lang w:val="en-GB"/>
        </w:rPr>
        <w:t>Fenig once again uses racialised language when she refers to the ‘separate identity’ of Jews, a separate identity that is ‘perceived among large segments of society’ as being under threat due to Jewish-Gentile, but most importantly Jewish-</w:t>
      </w:r>
      <w:r w:rsidR="0055254A">
        <w:rPr>
          <w:lang w:val="en-GB"/>
        </w:rPr>
        <w:t>Muslim</w:t>
      </w:r>
      <w:r w:rsidRPr="0048465B">
        <w:rPr>
          <w:lang w:val="en-GB"/>
        </w:rPr>
        <w:t xml:space="preserve">, weddings. </w:t>
      </w:r>
      <w:proofErr w:type="spellStart"/>
      <w:r w:rsidRPr="0048465B">
        <w:rPr>
          <w:lang w:val="en-GB"/>
        </w:rPr>
        <w:t>Fenig’s</w:t>
      </w:r>
      <w:proofErr w:type="spellEnd"/>
      <w:r w:rsidRPr="0048465B">
        <w:rPr>
          <w:lang w:val="en-GB"/>
        </w:rPr>
        <w:t xml:space="preserve"> use of this terminology evokes the ‘separate but equal’ doctrine of Plessy v. Ferguson, where black Americans were ostensibly guaranteed equal protection under the laws of the United States, yet continued to be persecuted on account of their race, to be provided with inferior services in every aspect of their </w:t>
      </w:r>
      <w:r w:rsidR="0039637F" w:rsidRPr="0048465B">
        <w:rPr>
          <w:lang w:val="en-GB"/>
        </w:rPr>
        <w:lastRenderedPageBreak/>
        <w:t>day-to-day</w:t>
      </w:r>
      <w:r w:rsidRPr="0048465B">
        <w:rPr>
          <w:lang w:val="en-GB"/>
        </w:rPr>
        <w:t xml:space="preserve"> life, and to be seen and treated as inferior within American society. Such injustices share the same roots as the Ministry of Education’s fixation on maintaining separate identity in schools and hyperfocus on ‘identity and heritage’. Even more importantly, this example functions as a microcosm of the same problem in Israel more fundamentally. Whilst Fenig falsely suggests that ensuring ideological and existential separation between students and humans of different races or religions in no way affects the equality of these people, the Israeli Declaration of Independence, in the same vein, argues that it is able to ‘“ensure complete equality</w:t>
      </w:r>
      <w:r w:rsidR="000C3FB4">
        <w:rPr>
          <w:lang w:val="en-GB"/>
        </w:rPr>
        <w:t xml:space="preserve"> […] </w:t>
      </w:r>
      <w:r w:rsidRPr="0048465B">
        <w:rPr>
          <w:lang w:val="en-GB"/>
        </w:rPr>
        <w:t>to all its inhabitants irrespective of religion</w:t>
      </w:r>
      <w:r w:rsidR="000C3FB4">
        <w:rPr>
          <w:lang w:val="en-GB"/>
        </w:rPr>
        <w:t xml:space="preserve"> [… </w:t>
      </w:r>
      <w:r w:rsidRPr="0048465B">
        <w:rPr>
          <w:lang w:val="en-GB"/>
        </w:rPr>
        <w:t>and</w:t>
      </w:r>
      <w:r w:rsidR="000C3FB4">
        <w:rPr>
          <w:lang w:val="en-GB"/>
        </w:rPr>
        <w:t xml:space="preserve"> …</w:t>
      </w:r>
      <w:r w:rsidRPr="0048465B">
        <w:rPr>
          <w:lang w:val="en-GB"/>
        </w:rPr>
        <w:t>] guarantee freedom of religion”’.</w:t>
      </w:r>
      <w:r w:rsidRPr="0048465B">
        <w:rPr>
          <w:vertAlign w:val="superscript"/>
          <w:lang w:val="en-GB"/>
        </w:rPr>
        <w:footnoteReference w:id="483"/>
      </w:r>
      <w:r w:rsidRPr="0048465B">
        <w:rPr>
          <w:lang w:val="en-GB"/>
        </w:rPr>
        <w:t xml:space="preserve"> In a country where the schools preach anti-assimilation, where the law refuses to allow interfaith marriage, and where the most widely read newspaper presents the castigation of women who choose to convert as a valid </w:t>
      </w:r>
      <w:r w:rsidR="0055254A">
        <w:rPr>
          <w:lang w:val="en-GB"/>
        </w:rPr>
        <w:t>form of protest</w:t>
      </w:r>
      <w:r w:rsidRPr="0048465B">
        <w:rPr>
          <w:lang w:val="en-GB"/>
        </w:rPr>
        <w:t>, any claims of religious and racial equality-for-all fall flat long before considerations of Palestinians and border walls are taken into consideration.</w:t>
      </w:r>
      <w:r w:rsidRPr="0048465B">
        <w:rPr>
          <w:vertAlign w:val="superscript"/>
          <w:lang w:val="en-GB"/>
        </w:rPr>
        <w:footnoteReference w:id="484"/>
      </w:r>
    </w:p>
    <w:p w14:paraId="2FAA3006" w14:textId="77777777" w:rsidR="00FC331F" w:rsidRPr="0048465B" w:rsidRDefault="00FC331F" w:rsidP="00FC331F">
      <w:pPr>
        <w:rPr>
          <w:lang w:val="en-GB"/>
        </w:rPr>
      </w:pPr>
    </w:p>
    <w:p w14:paraId="2F011CC3" w14:textId="171F97E1" w:rsidR="00FC331F" w:rsidRPr="0048465B" w:rsidRDefault="00FC331F" w:rsidP="00FC331F">
      <w:pPr>
        <w:rPr>
          <w:lang w:val="en-GB"/>
        </w:rPr>
      </w:pPr>
      <w:r w:rsidRPr="0048465B">
        <w:rPr>
          <w:lang w:val="en-GB"/>
        </w:rPr>
        <w:t xml:space="preserve">However, one of the more unexpected, and disconcerting, elements of the Israeli government’s banning of Rabinyan’s novel is that, despite the implication that the novel demonstrates an idealised and romantic interfaith relationship that might inspire Israeli youths to seek out similar relationships, the relationship presented in </w:t>
      </w:r>
      <w:r w:rsidRPr="0048465B">
        <w:rPr>
          <w:i/>
          <w:lang w:val="en-GB"/>
        </w:rPr>
        <w:t xml:space="preserve">All the Rivers </w:t>
      </w:r>
      <w:r w:rsidRPr="0048465B">
        <w:rPr>
          <w:lang w:val="en-GB"/>
        </w:rPr>
        <w:t>is far from desirable. The novel is permeated by the introspective tug of war between the guilt that Liat feels regarding Hilmi’s dispossession and her often vehement and disproportionate defences of Israel, remonstrations that often shock</w:t>
      </w:r>
      <w:r w:rsidR="0055254A">
        <w:rPr>
          <w:lang w:val="en-GB"/>
        </w:rPr>
        <w:t xml:space="preserve"> and</w:t>
      </w:r>
      <w:r w:rsidRPr="0048465B">
        <w:rPr>
          <w:lang w:val="en-GB"/>
        </w:rPr>
        <w:t xml:space="preserve"> upset Liat herself more than they do Hilmi. It is important here to note both that Dorit </w:t>
      </w:r>
      <w:proofErr w:type="spellStart"/>
      <w:r w:rsidRPr="0048465B">
        <w:rPr>
          <w:lang w:val="en-GB"/>
        </w:rPr>
        <w:t>Rabinyan</w:t>
      </w:r>
      <w:proofErr w:type="spellEnd"/>
      <w:r w:rsidR="0055254A">
        <w:rPr>
          <w:lang w:val="en-GB"/>
        </w:rPr>
        <w:t>, like Liat,</w:t>
      </w:r>
      <w:r w:rsidRPr="0048465B">
        <w:rPr>
          <w:lang w:val="en-GB"/>
        </w:rPr>
        <w:t xml:space="preserve"> is an Israeli</w:t>
      </w:r>
      <w:r w:rsidR="005E5A8B">
        <w:rPr>
          <w:lang w:val="en-GB"/>
        </w:rPr>
        <w:t xml:space="preserve"> Jew</w:t>
      </w:r>
      <w:r w:rsidRPr="0048465B">
        <w:rPr>
          <w:lang w:val="en-GB"/>
        </w:rPr>
        <w:t xml:space="preserve"> of Iranian descent, and that </w:t>
      </w:r>
      <w:r w:rsidRPr="0048465B">
        <w:rPr>
          <w:i/>
          <w:lang w:val="en-GB"/>
        </w:rPr>
        <w:t>All the Rivers</w:t>
      </w:r>
      <w:r w:rsidRPr="0048465B">
        <w:rPr>
          <w:lang w:val="en-GB"/>
        </w:rPr>
        <w:t xml:space="preserve"> was based on </w:t>
      </w:r>
      <w:r w:rsidRPr="0048465B">
        <w:rPr>
          <w:lang w:val="en-GB"/>
        </w:rPr>
        <w:lastRenderedPageBreak/>
        <w:t xml:space="preserve">Rabinyan’s own relationship with Palestinian artist Hasan Hourani. </w:t>
      </w:r>
      <w:r w:rsidR="002F4F2D">
        <w:rPr>
          <w:lang w:val="en-GB"/>
        </w:rPr>
        <w:t xml:space="preserve">The </w:t>
      </w:r>
      <w:r w:rsidRPr="0048465B">
        <w:rPr>
          <w:lang w:val="en-GB"/>
        </w:rPr>
        <w:t xml:space="preserve">fact that this novel is based </w:t>
      </w:r>
      <w:r w:rsidR="005D1565">
        <w:rPr>
          <w:lang w:val="en-GB"/>
        </w:rPr>
        <w:t>o</w:t>
      </w:r>
      <w:r w:rsidRPr="0048465B">
        <w:rPr>
          <w:lang w:val="en-GB"/>
        </w:rPr>
        <w:t xml:space="preserve">n experience rather than imagination speaks to the complicated nature of Israeli-Palestinian relationships in reality, and demonstrates the social and familial pressures placed on young Israeli women especially regarding interfaith and mixed relationships, even when situated beyond Israel’s borders. </w:t>
      </w:r>
    </w:p>
    <w:p w14:paraId="58B942B9" w14:textId="77777777" w:rsidR="00FC331F" w:rsidRPr="0048465B" w:rsidRDefault="00FC331F" w:rsidP="00FC331F">
      <w:pPr>
        <w:rPr>
          <w:lang w:val="en-GB"/>
        </w:rPr>
      </w:pPr>
    </w:p>
    <w:p w14:paraId="5641A3E6" w14:textId="07FF857A" w:rsidR="00FC331F" w:rsidRPr="0048465B" w:rsidRDefault="00FC331F" w:rsidP="00FC331F">
      <w:pPr>
        <w:rPr>
          <w:lang w:val="en-GB"/>
        </w:rPr>
      </w:pPr>
      <w:r w:rsidRPr="0048465B">
        <w:rPr>
          <w:lang w:val="en-GB"/>
        </w:rPr>
        <w:t>One of the first examples of the guilt that Liat feels comes in the shape of a rather ungainly metaphor. Upon helping Hilmi to search for his lost keys, Liat’s own keys jingle, and Liat finds herself troubled by ‘a dim echo of guilt and by the inescapable symbolism: the loss of his keys and the jangling presence of my own as a simplistic metaphor for our miserable situation back home’.</w:t>
      </w:r>
      <w:r w:rsidRPr="0048465B">
        <w:rPr>
          <w:vertAlign w:val="superscript"/>
          <w:lang w:val="en-GB"/>
        </w:rPr>
        <w:footnoteReference w:id="485"/>
      </w:r>
      <w:r w:rsidRPr="0048465B">
        <w:rPr>
          <w:lang w:val="en-GB"/>
        </w:rPr>
        <w:t xml:space="preserve"> Whilst we might forgive </w:t>
      </w:r>
      <w:proofErr w:type="spellStart"/>
      <w:r w:rsidRPr="0048465B">
        <w:rPr>
          <w:lang w:val="en-GB"/>
        </w:rPr>
        <w:t>Rabinyan</w:t>
      </w:r>
      <w:proofErr w:type="spellEnd"/>
      <w:r w:rsidRPr="0048465B">
        <w:rPr>
          <w:lang w:val="en-GB"/>
        </w:rPr>
        <w:t xml:space="preserve"> the metaphor </w:t>
      </w:r>
      <w:r w:rsidR="005E5A8B">
        <w:rPr>
          <w:lang w:val="en-GB"/>
        </w:rPr>
        <w:t>–</w:t>
      </w:r>
      <w:r w:rsidRPr="0048465B">
        <w:rPr>
          <w:lang w:val="en-GB"/>
        </w:rPr>
        <w:t xml:space="preserve"> she does admit its simplistic essence after all, and the event itself is based upon a real experience she shared with Hourani</w:t>
      </w:r>
      <w:r w:rsidRPr="0048465B">
        <w:rPr>
          <w:vertAlign w:val="superscript"/>
          <w:lang w:val="en-GB"/>
        </w:rPr>
        <w:footnoteReference w:id="486"/>
      </w:r>
      <w:r w:rsidR="005E5A8B">
        <w:rPr>
          <w:lang w:val="en-GB"/>
        </w:rPr>
        <w:t xml:space="preserve"> – the</w:t>
      </w:r>
      <w:r w:rsidRPr="0048465B">
        <w:rPr>
          <w:lang w:val="en-GB"/>
        </w:rPr>
        <w:t xml:space="preserve"> sense of guilt that Liat feels here, and throughout the book, is due more to her consistent and repeated </w:t>
      </w:r>
      <w:r w:rsidR="0039637F" w:rsidRPr="0048465B">
        <w:rPr>
          <w:lang w:val="en-GB"/>
        </w:rPr>
        <w:t>centring</w:t>
      </w:r>
      <w:r w:rsidRPr="0048465B">
        <w:rPr>
          <w:lang w:val="en-GB"/>
        </w:rPr>
        <w:t xml:space="preserve"> of herself and her own internal conflict regarding her Israeli identity, than it is to do with her own actions, or those of Israel itself. </w:t>
      </w:r>
    </w:p>
    <w:p w14:paraId="2F398F97" w14:textId="77777777" w:rsidR="00FC331F" w:rsidRPr="0048465B" w:rsidRDefault="00FC331F" w:rsidP="00FC331F">
      <w:pPr>
        <w:rPr>
          <w:lang w:val="en-GB"/>
        </w:rPr>
      </w:pPr>
    </w:p>
    <w:p w14:paraId="4E464FF3" w14:textId="2A2B77A6" w:rsidR="00FC331F" w:rsidRPr="0048465B" w:rsidRDefault="00FC331F" w:rsidP="00FC331F">
      <w:pPr>
        <w:rPr>
          <w:lang w:val="en-GB"/>
        </w:rPr>
      </w:pPr>
      <w:r w:rsidRPr="0048465B">
        <w:rPr>
          <w:lang w:val="en-GB"/>
        </w:rPr>
        <w:t xml:space="preserve">When attempting to retrace their steps, Liat remembers all the things she said unthinkingly, such as how much she loved to swim in the sea </w:t>
      </w:r>
      <w:r w:rsidR="005E5A8B">
        <w:rPr>
          <w:lang w:val="en-GB"/>
        </w:rPr>
        <w:t>–</w:t>
      </w:r>
      <w:r w:rsidRPr="0048465B">
        <w:rPr>
          <w:lang w:val="en-GB"/>
        </w:rPr>
        <w:t xml:space="preserve"> a freedom not possible for the landlocked Palestinians of the West Bank </w:t>
      </w:r>
      <w:r w:rsidR="005E5A8B">
        <w:rPr>
          <w:lang w:val="en-GB"/>
        </w:rPr>
        <w:t>–</w:t>
      </w:r>
      <w:r w:rsidRPr="0048465B">
        <w:rPr>
          <w:lang w:val="en-GB"/>
        </w:rPr>
        <w:t xml:space="preserve"> and remembers the times that Hilmi said nothing, looked away, or sighed, unsettled by Liat’s unawareness of the difference between their respective realities. This guilt appears in the novel on numerous occasions; when Liat attempts to hide Hilmi from a Jewish friend </w:t>
      </w:r>
      <w:r w:rsidRPr="0048465B">
        <w:rPr>
          <w:lang w:val="en-GB"/>
        </w:rPr>
        <w:lastRenderedPageBreak/>
        <w:t xml:space="preserve">of hers on a walk, when she pretends to be asleep and covers her face in order to avoid being seen with Hilmi by a family friend from Israel, when she </w:t>
      </w:r>
      <w:r w:rsidR="005E5A8B">
        <w:rPr>
          <w:lang w:val="en-GB"/>
        </w:rPr>
        <w:t>–</w:t>
      </w:r>
      <w:r w:rsidRPr="0048465B">
        <w:rPr>
          <w:lang w:val="en-GB"/>
        </w:rPr>
        <w:t xml:space="preserve"> literally, through a video </w:t>
      </w:r>
      <w:r w:rsidR="005E5A8B">
        <w:rPr>
          <w:lang w:val="en-GB"/>
        </w:rPr>
        <w:t>–</w:t>
      </w:r>
      <w:r w:rsidRPr="0048465B">
        <w:rPr>
          <w:lang w:val="en-GB"/>
        </w:rPr>
        <w:t xml:space="preserve"> sees Israel from the point of view of Palestinians and feels that </w:t>
      </w:r>
      <w:r w:rsidR="002C1E54">
        <w:rPr>
          <w:lang w:val="en-GB"/>
        </w:rPr>
        <w:t>inhabiting</w:t>
      </w:r>
      <w:r w:rsidRPr="0048465B">
        <w:rPr>
          <w:lang w:val="en-GB"/>
        </w:rPr>
        <w:t xml:space="preserve"> this viewpoint is a betrayal of her home, when she speaks to her father and fails to mention Hilmi, right up to the final moments of the novel, where upon hearing of Hilmi’s death she feels guilty because her first instinct, that he was killed by IDF soldiers, is incorrect.</w:t>
      </w:r>
    </w:p>
    <w:p w14:paraId="7A75EAAD" w14:textId="77777777" w:rsidR="00FC331F" w:rsidRPr="0048465B" w:rsidRDefault="00FC331F" w:rsidP="00FC331F">
      <w:pPr>
        <w:rPr>
          <w:lang w:val="en-GB"/>
        </w:rPr>
      </w:pPr>
    </w:p>
    <w:p w14:paraId="18B8E10B" w14:textId="77777777" w:rsidR="00FC331F" w:rsidRPr="0048465B" w:rsidRDefault="00FC331F" w:rsidP="00FC331F">
      <w:pPr>
        <w:rPr>
          <w:lang w:val="en-GB"/>
        </w:rPr>
      </w:pPr>
      <w:r w:rsidRPr="0048465B">
        <w:rPr>
          <w:lang w:val="en-GB"/>
        </w:rPr>
        <w:t>Whilst manifested in a number of ways, this guilt ultimately originates due to friction between Liat’s emotional and human connection to Hilmi and her seemingly incompatible feelings of duty and collective responsibility to her family and Israel. Since the recent Working Definition of Antisemitism put forward by the IHRA claims that it is antisemitic to ‘Accus[e] Jewish citizens of being more loyal to Israel, or to the alleged priorities of Jews worldwide, than to the interests of their own nations’,</w:t>
      </w:r>
      <w:r w:rsidRPr="0048465B">
        <w:rPr>
          <w:vertAlign w:val="superscript"/>
          <w:lang w:val="en-GB"/>
        </w:rPr>
        <w:footnoteReference w:id="487"/>
      </w:r>
      <w:r w:rsidRPr="0048465B">
        <w:rPr>
          <w:lang w:val="en-GB"/>
        </w:rPr>
        <w:t xml:space="preserve"> it is important to clarify that this analysis observes Liat’s conflicting loyalties not between Israel and another nation, but between Israel and an individual, and between the two ideologies that these entities represent.</w:t>
      </w:r>
    </w:p>
    <w:p w14:paraId="079E0F95" w14:textId="77777777" w:rsidR="00FC331F" w:rsidRPr="0048465B" w:rsidRDefault="00FC331F" w:rsidP="00FC331F">
      <w:pPr>
        <w:rPr>
          <w:lang w:val="en-GB"/>
        </w:rPr>
      </w:pPr>
    </w:p>
    <w:p w14:paraId="55C87D87" w14:textId="42059DD8" w:rsidR="00FC331F" w:rsidRPr="0048465B" w:rsidRDefault="00FC331F" w:rsidP="00FC331F">
      <w:pPr>
        <w:rPr>
          <w:lang w:val="en-GB"/>
        </w:rPr>
      </w:pPr>
      <w:r w:rsidRPr="0048465B">
        <w:rPr>
          <w:lang w:val="en-GB"/>
        </w:rPr>
        <w:t>These two ideologies, perhaps best defined as individual desire on the one hand, and collective values on the other, come into play each time Liat’s Israeliness, and Hilmi’s Palestinian</w:t>
      </w:r>
      <w:r w:rsidR="002C1E54">
        <w:rPr>
          <w:lang w:val="en-GB"/>
        </w:rPr>
        <w:t>n</w:t>
      </w:r>
      <w:r w:rsidRPr="0048465B">
        <w:rPr>
          <w:lang w:val="en-GB"/>
        </w:rPr>
        <w:t xml:space="preserve">ess, become unavoidable. When Liat covers her face to avoid being seen by her friend from Israel, she does so because she believes Hilmi and his Palestinianness have become apparent, and her subsequent elation at not being discovered is made all the more poignant due to the fact that ‘Boaz’s parents and mine were good friends’, and that her escape means that their relationship </w:t>
      </w:r>
      <w:r w:rsidRPr="0048465B">
        <w:rPr>
          <w:lang w:val="en-GB"/>
        </w:rPr>
        <w:lastRenderedPageBreak/>
        <w:t>may remain secret from the family back home in Israel.</w:t>
      </w:r>
      <w:r w:rsidRPr="0048465B">
        <w:rPr>
          <w:vertAlign w:val="superscript"/>
          <w:lang w:val="en-GB"/>
        </w:rPr>
        <w:footnoteReference w:id="488"/>
      </w:r>
      <w:r w:rsidRPr="0048465B">
        <w:rPr>
          <w:lang w:val="en-GB"/>
        </w:rPr>
        <w:t xml:space="preserve"> Here, Liat’s individual desire to be in a relationship with Hilmi is compromised by her perceived betrayal of collective values. This same distinction is evident upon Hilmi’s death. Even at this time of immense personal pain relating to the death of a specific individual, Hilmi, Liat’s grief is tainted by the feeling that in wrongfully suspecting the IDF of being responsible for his death, she has betrayed the Israeli collective.</w:t>
      </w:r>
    </w:p>
    <w:p w14:paraId="078478F1" w14:textId="77777777" w:rsidR="00FC331F" w:rsidRPr="0048465B" w:rsidRDefault="00FC331F" w:rsidP="00FC331F">
      <w:pPr>
        <w:rPr>
          <w:lang w:val="en-GB"/>
        </w:rPr>
      </w:pPr>
    </w:p>
    <w:p w14:paraId="00206150" w14:textId="42F6E741" w:rsidR="00FC331F" w:rsidRPr="0048465B" w:rsidRDefault="00FC331F" w:rsidP="00FC331F">
      <w:pPr>
        <w:rPr>
          <w:lang w:val="en-GB"/>
        </w:rPr>
      </w:pPr>
      <w:r w:rsidRPr="0048465B">
        <w:rPr>
          <w:lang w:val="en-GB"/>
        </w:rPr>
        <w:t xml:space="preserve">Here, Liat is battling against not only the political turmoil that divides Hilmi and herself, but also the belief that exists among some Israelis </w:t>
      </w:r>
      <w:r w:rsidR="005E5A8B">
        <w:rPr>
          <w:lang w:val="en-GB"/>
        </w:rPr>
        <w:t>–</w:t>
      </w:r>
      <w:r w:rsidRPr="0048465B">
        <w:rPr>
          <w:lang w:val="en-GB"/>
        </w:rPr>
        <w:t xml:space="preserve"> one that becomes particularly palpable when looking at interfaith marriage </w:t>
      </w:r>
      <w:r w:rsidR="005E5A8B">
        <w:rPr>
          <w:lang w:val="en-GB"/>
        </w:rPr>
        <w:t>–</w:t>
      </w:r>
      <w:r w:rsidRPr="0048465B">
        <w:rPr>
          <w:lang w:val="en-GB"/>
        </w:rPr>
        <w:t xml:space="preserve"> that Israeli individuals should be not so much agents of their own desires </w:t>
      </w:r>
      <w:r w:rsidR="008F554C">
        <w:rPr>
          <w:lang w:val="en-GB"/>
        </w:rPr>
        <w:t>as</w:t>
      </w:r>
      <w:r w:rsidR="008F554C" w:rsidRPr="0048465B">
        <w:rPr>
          <w:lang w:val="en-GB"/>
        </w:rPr>
        <w:t xml:space="preserve"> </w:t>
      </w:r>
      <w:r w:rsidRPr="0048465B">
        <w:rPr>
          <w:lang w:val="en-GB"/>
        </w:rPr>
        <w:t xml:space="preserve">agents for the greater Jewish good. Rabbi Seth Farber, founder of Israeli non-profit ITIM that aims to use policy to improve the quality of Jewish life for Jews in Israel, embodies this same belief in his article ‘The Real Reason Intermarriage is Bad for the Jews’, where he describes ‘Discouraging intermarriage’ as ‘important’, but ‘creating a meaningful dialogue about why the Jewish people need to survive’ as ‘even more critical’. Farber describes the arguments against intermarriage as being threefold. First, that intermarriage threatens Jewish identity, which is different from gentile identity. Second, that intermarriage is a betrayal of one’s God. Third, that intermarriage is not ‘good for the collective’. </w:t>
      </w:r>
      <w:r w:rsidR="0039637F" w:rsidRPr="0048465B">
        <w:rPr>
          <w:lang w:val="en-GB"/>
        </w:rPr>
        <w:t xml:space="preserve">Yet whilst Farber acknowledges that the first two of these three arguments fall short on account of what he describes as the ‘trap’ of the ‘dominant values of multiculturalism and pluralism so prevalent in Western democracies’, he suggests that the third argument escapes this particular pitfall. </w:t>
      </w:r>
      <w:r w:rsidRPr="0048465B">
        <w:rPr>
          <w:lang w:val="en-GB"/>
        </w:rPr>
        <w:t xml:space="preserve">Instead, he argues, that whilst the third argument ‘recognizes that the choice of a particular mate, who happens to be non-Jewish, might well be </w:t>
      </w:r>
      <w:r w:rsidR="005B5CFE">
        <w:rPr>
          <w:lang w:val="en-GB"/>
        </w:rPr>
        <w:lastRenderedPageBreak/>
        <w:t>“</w:t>
      </w:r>
      <w:r w:rsidRPr="0048465B">
        <w:rPr>
          <w:lang w:val="en-GB"/>
        </w:rPr>
        <w:t>good</w:t>
      </w:r>
      <w:r w:rsidR="005B5CFE">
        <w:rPr>
          <w:lang w:val="en-GB"/>
        </w:rPr>
        <w:t>”</w:t>
      </w:r>
      <w:r w:rsidRPr="0048465B">
        <w:rPr>
          <w:lang w:val="en-GB"/>
        </w:rPr>
        <w:t xml:space="preserve"> for the individual</w:t>
      </w:r>
      <w:r w:rsidR="000C3FB4">
        <w:rPr>
          <w:lang w:val="en-GB"/>
        </w:rPr>
        <w:t xml:space="preserve"> […] </w:t>
      </w:r>
      <w:r w:rsidRPr="0048465B">
        <w:rPr>
          <w:lang w:val="en-GB"/>
        </w:rPr>
        <w:t>it also asks the utilitarian question, “is your individual act really good for the collective?”’</w:t>
      </w:r>
      <w:r w:rsidRPr="0048465B">
        <w:rPr>
          <w:vertAlign w:val="superscript"/>
          <w:lang w:val="en-GB"/>
        </w:rPr>
        <w:footnoteReference w:id="489"/>
      </w:r>
    </w:p>
    <w:p w14:paraId="7541F088" w14:textId="77777777" w:rsidR="00FC331F" w:rsidRPr="0048465B" w:rsidRDefault="00FC331F" w:rsidP="00FC331F">
      <w:pPr>
        <w:rPr>
          <w:lang w:val="en-GB"/>
        </w:rPr>
      </w:pPr>
    </w:p>
    <w:p w14:paraId="7DB593A1" w14:textId="0362778D" w:rsidR="00FC331F" w:rsidRPr="0048465B" w:rsidRDefault="00FC331F" w:rsidP="00FC331F">
      <w:pPr>
        <w:rPr>
          <w:lang w:val="en-GB"/>
        </w:rPr>
      </w:pPr>
      <w:r w:rsidRPr="0048465B">
        <w:rPr>
          <w:lang w:val="en-GB"/>
        </w:rPr>
        <w:t xml:space="preserve">Yet whilst Farber attempts to give this last consideration a sense of logical reason through aligning it with utilitarianism, his understanding of utilitarianism, much like his view on marriage, prioritises the greatest number of Jewish humans and Jewish happiness rather than the happiness of the greatest number of people altogether, as utilitarianism should do. In </w:t>
      </w:r>
      <w:r w:rsidR="0039637F" w:rsidRPr="0048465B">
        <w:rPr>
          <w:lang w:val="en-GB"/>
        </w:rPr>
        <w:t>fact,</w:t>
      </w:r>
      <w:r w:rsidRPr="0048465B">
        <w:rPr>
          <w:lang w:val="en-GB"/>
        </w:rPr>
        <w:t xml:space="preserve"> utilitarianism as a doctrine </w:t>
      </w:r>
      <w:r w:rsidR="00755849">
        <w:rPr>
          <w:lang w:val="en-GB"/>
        </w:rPr>
        <w:t>–</w:t>
      </w:r>
      <w:r w:rsidRPr="0048465B">
        <w:rPr>
          <w:lang w:val="en-GB"/>
        </w:rPr>
        <w:t xml:space="preserve"> much like international law, as the next chapter will illustrate </w:t>
      </w:r>
      <w:r w:rsidR="00755849">
        <w:rPr>
          <w:lang w:val="en-GB"/>
        </w:rPr>
        <w:t>–</w:t>
      </w:r>
      <w:r w:rsidRPr="0048465B">
        <w:rPr>
          <w:lang w:val="en-GB"/>
        </w:rPr>
        <w:t xml:space="preserve"> is fundamentally weighted against </w:t>
      </w:r>
      <w:r w:rsidR="00D012E9" w:rsidRPr="0048465B">
        <w:rPr>
          <w:lang w:val="en-GB"/>
        </w:rPr>
        <w:t>all</w:t>
      </w:r>
      <w:r w:rsidRPr="0048465B">
        <w:rPr>
          <w:lang w:val="en-GB"/>
        </w:rPr>
        <w:t xml:space="preserve"> minorities. Globally speaking, this would mean that it is predisposed against the interests of any individual religious group, as there is no singular religion that represents a global majority. Yet in Farber’s adapted vision of utilitarianism,</w:t>
      </w:r>
      <w:r w:rsidR="005B5CFE">
        <w:rPr>
          <w:lang w:val="en-GB"/>
        </w:rPr>
        <w:t xml:space="preserve"> where the only voices of relevance are Jewish,</w:t>
      </w:r>
      <w:r w:rsidRPr="0048465B">
        <w:rPr>
          <w:lang w:val="en-GB"/>
        </w:rPr>
        <w:t xml:space="preserve"> the Jewish people are the majority, and those who wish to leave them, the minority.</w:t>
      </w:r>
    </w:p>
    <w:p w14:paraId="39ED8A3D" w14:textId="77777777" w:rsidR="00FC331F" w:rsidRPr="0048465B" w:rsidRDefault="00FC331F" w:rsidP="00FC331F">
      <w:pPr>
        <w:rPr>
          <w:lang w:val="en-GB"/>
        </w:rPr>
      </w:pPr>
    </w:p>
    <w:p w14:paraId="68DD1EA6" w14:textId="15128288" w:rsidR="00FC331F" w:rsidRPr="0048465B" w:rsidRDefault="00FC331F" w:rsidP="005D1565">
      <w:pPr>
        <w:rPr>
          <w:lang w:val="en-GB"/>
        </w:rPr>
      </w:pPr>
      <w:r w:rsidRPr="0048465B">
        <w:rPr>
          <w:lang w:val="en-GB"/>
        </w:rPr>
        <w:t>This peculiar corruption of utilitarianism is, ironically, exposed to an even greater extent through Farber’s offering of his own ‘gross analogy’. He writes, ‘While I value an individual’s right to leave a light on overnight, the sustainability of the climate and the environment</w:t>
      </w:r>
      <w:r w:rsidR="000C3FB4">
        <w:rPr>
          <w:lang w:val="en-GB"/>
        </w:rPr>
        <w:t xml:space="preserve"> […] </w:t>
      </w:r>
      <w:r w:rsidRPr="0048465B">
        <w:rPr>
          <w:lang w:val="en-GB"/>
        </w:rPr>
        <w:t xml:space="preserve">far outweighs anyone’s individual choice. That’s why we turn off our lights’. Yet again, Farber attempts to align the needs of the Jewish religion specifically with the survival of the planet as a whole, in doing so pairing interfaith marriage with casual and selfish disregard for the planet’s survival. Through this very alignment, the notion of the prioritisation of the collective is exposed as not holding the interests of Jews as human beings, but as instruments of religious continuity. Indeed, how </w:t>
      </w:r>
      <w:r w:rsidRPr="0048465B">
        <w:rPr>
          <w:lang w:val="en-GB"/>
        </w:rPr>
        <w:lastRenderedPageBreak/>
        <w:t>otherwise could intermarriage be, in Farber’s words, ‘bad for the Jews’, when willing Jewish individuals are one half of every Jewish-Gentile marriage? Whilst every religion has a right to exist and every individual a right to marry within their own religion, such rights should be acted upon because of the experiential benefits offered by the religion, not, as Farber’s article suggests, because marrying another Jew and having Jewish children are one</w:t>
      </w:r>
      <w:r w:rsidR="009F016C">
        <w:rPr>
          <w:lang w:val="en-GB"/>
        </w:rPr>
        <w:t>’</w:t>
      </w:r>
      <w:r w:rsidRPr="0048465B">
        <w:rPr>
          <w:lang w:val="en-GB"/>
        </w:rPr>
        <w:t>s civic or religious duty.</w:t>
      </w:r>
    </w:p>
    <w:p w14:paraId="05EDB401" w14:textId="77777777" w:rsidR="00FC331F" w:rsidRPr="0048465B" w:rsidRDefault="00FC331F" w:rsidP="00FC331F">
      <w:pPr>
        <w:rPr>
          <w:lang w:val="en-GB"/>
        </w:rPr>
      </w:pPr>
    </w:p>
    <w:p w14:paraId="0B1F3AD8" w14:textId="02264DB0" w:rsidR="00FC331F" w:rsidRPr="0048465B" w:rsidRDefault="00FC331F" w:rsidP="00FC331F">
      <w:pPr>
        <w:rPr>
          <w:lang w:val="en-GB"/>
        </w:rPr>
      </w:pPr>
      <w:r w:rsidRPr="0048465B">
        <w:rPr>
          <w:lang w:val="en-GB"/>
        </w:rPr>
        <w:t>Farber continues to contend that this third argument ‘doesn’t place the onus of avoiding intermarriage exclusively on the couple</w:t>
      </w:r>
      <w:r w:rsidR="000C3FB4">
        <w:rPr>
          <w:lang w:val="en-GB"/>
        </w:rPr>
        <w:t xml:space="preserve"> […] </w:t>
      </w:r>
      <w:r w:rsidRPr="0048465B">
        <w:rPr>
          <w:lang w:val="en-GB"/>
        </w:rPr>
        <w:t xml:space="preserve">[but] demands that the community engage in different strategies to combat intermarriage’. Yet whilst this statement suggests that an active intervention might need to be made in order to stop an interfaith marriage or relationship </w:t>
      </w:r>
      <w:r w:rsidR="00755849">
        <w:rPr>
          <w:lang w:val="en-GB"/>
        </w:rPr>
        <w:t>–</w:t>
      </w:r>
      <w:r w:rsidRPr="0048465B">
        <w:rPr>
          <w:lang w:val="en-GB"/>
        </w:rPr>
        <w:t xml:space="preserve"> such as those made by Lehava </w:t>
      </w:r>
      <w:r w:rsidR="00755849">
        <w:rPr>
          <w:lang w:val="en-GB"/>
        </w:rPr>
        <w:t>–</w:t>
      </w:r>
      <w:r w:rsidRPr="0048465B">
        <w:rPr>
          <w:lang w:val="en-GB"/>
        </w:rPr>
        <w:t xml:space="preserve"> the ingrained political and cultural divisions between Israel and Palestine, and the Israeli focus on demographics and the need to maintain a Jewish</w:t>
      </w:r>
      <w:r w:rsidR="00BC374E">
        <w:rPr>
          <w:lang w:val="en-GB"/>
        </w:rPr>
        <w:t xml:space="preserve"> </w:t>
      </w:r>
      <w:r w:rsidRPr="0048465B">
        <w:rPr>
          <w:lang w:val="en-GB"/>
        </w:rPr>
        <w:t xml:space="preserve">Israeli majority, means that the active intervention of the community itself is not actually necessary in order to encourage separation between Jews and </w:t>
      </w:r>
      <w:r w:rsidR="00F97F43">
        <w:rPr>
          <w:lang w:val="en-GB"/>
        </w:rPr>
        <w:t>g</w:t>
      </w:r>
      <w:r w:rsidRPr="0048465B">
        <w:rPr>
          <w:lang w:val="en-GB"/>
        </w:rPr>
        <w:t>entiles. The very knowledge that the community exists at all is often enough.</w:t>
      </w:r>
    </w:p>
    <w:p w14:paraId="482137F3" w14:textId="77777777" w:rsidR="00FC331F" w:rsidRPr="0048465B" w:rsidRDefault="00FC331F" w:rsidP="00FC331F">
      <w:pPr>
        <w:rPr>
          <w:lang w:val="en-GB"/>
        </w:rPr>
      </w:pPr>
    </w:p>
    <w:p w14:paraId="3D6C4A0E" w14:textId="7DEB5A44" w:rsidR="00FC331F" w:rsidRPr="0048465B" w:rsidRDefault="00FC331F" w:rsidP="00FC331F">
      <w:pPr>
        <w:rPr>
          <w:lang w:val="en-GB"/>
        </w:rPr>
      </w:pPr>
      <w:proofErr w:type="spellStart"/>
      <w:r w:rsidRPr="0048465B">
        <w:rPr>
          <w:lang w:val="en-GB"/>
        </w:rPr>
        <w:t>Rabinyan</w:t>
      </w:r>
      <w:proofErr w:type="spellEnd"/>
      <w:r w:rsidRPr="0048465B">
        <w:rPr>
          <w:lang w:val="en-GB"/>
        </w:rPr>
        <w:t xml:space="preserve"> explores this sense of community-awareness and demographic-alertness through establishing a </w:t>
      </w:r>
      <w:r w:rsidR="005B5CFE">
        <w:rPr>
          <w:lang w:val="en-GB"/>
        </w:rPr>
        <w:t xml:space="preserve">direct </w:t>
      </w:r>
      <w:r w:rsidRPr="0048465B">
        <w:rPr>
          <w:lang w:val="en-GB"/>
        </w:rPr>
        <w:t xml:space="preserve">correlation between the degree to which Liat perceives Hilmi as actively Palestinian and the degree to which she perceives herself as actively Israeli, and therefore incompatible with Hilmi. When Hilmi speaks Arabic to his mother over the phone, Liat hears him through a wall, this partition </w:t>
      </w:r>
      <w:r w:rsidR="00755849">
        <w:rPr>
          <w:lang w:val="en-GB"/>
        </w:rPr>
        <w:t>–</w:t>
      </w:r>
      <w:r w:rsidRPr="0048465B">
        <w:rPr>
          <w:lang w:val="en-GB"/>
        </w:rPr>
        <w:t xml:space="preserve"> in addition to representing the barrier that lies between their two lands and between them as people </w:t>
      </w:r>
      <w:r w:rsidR="00755849">
        <w:rPr>
          <w:lang w:val="en-GB"/>
        </w:rPr>
        <w:t>–</w:t>
      </w:r>
      <w:r w:rsidRPr="0048465B">
        <w:rPr>
          <w:lang w:val="en-GB"/>
        </w:rPr>
        <w:t xml:space="preserve"> separating the Arabic that Hilmi speaks from Hilmi as an individual, and transforming it into </w:t>
      </w:r>
      <w:r w:rsidR="008F554C">
        <w:rPr>
          <w:lang w:val="en-GB"/>
        </w:rPr>
        <w:t xml:space="preserve">a </w:t>
      </w:r>
      <w:r w:rsidRPr="0048465B">
        <w:rPr>
          <w:lang w:val="en-GB"/>
        </w:rPr>
        <w:t xml:space="preserve">‘menacing, crude and violent’ language, ‘like a string of </w:t>
      </w:r>
      <w:r w:rsidRPr="0048465B">
        <w:rPr>
          <w:lang w:val="en-GB"/>
        </w:rPr>
        <w:lastRenderedPageBreak/>
        <w:t xml:space="preserve">expletives’. In order to discover whether he might be talking about her, Liat ‘listen[s] for any mention of “Israel” or “Jewish”’, the barrier between them not only transforming Hilmi into a featureless representation of </w:t>
      </w:r>
      <w:r w:rsidR="005B5CFE">
        <w:rPr>
          <w:lang w:val="en-GB"/>
        </w:rPr>
        <w:t>Arab entity</w:t>
      </w:r>
      <w:r w:rsidRPr="0048465B">
        <w:rPr>
          <w:lang w:val="en-GB"/>
        </w:rPr>
        <w:t>, but also ensuring that Liat reduces herself to such simplistic and deindividualising identifiers as well.</w:t>
      </w:r>
      <w:r w:rsidRPr="0048465B">
        <w:rPr>
          <w:vertAlign w:val="superscript"/>
          <w:lang w:val="en-GB"/>
        </w:rPr>
        <w:footnoteReference w:id="490"/>
      </w:r>
    </w:p>
    <w:p w14:paraId="7E61E0AF" w14:textId="77777777" w:rsidR="00FC331F" w:rsidRPr="0048465B" w:rsidRDefault="00FC331F" w:rsidP="00FC331F">
      <w:pPr>
        <w:rPr>
          <w:lang w:val="en-GB"/>
        </w:rPr>
      </w:pPr>
    </w:p>
    <w:p w14:paraId="0BF5A578" w14:textId="6EB6771E" w:rsidR="00FC331F" w:rsidRPr="0048465B" w:rsidRDefault="00FC331F" w:rsidP="00FC331F">
      <w:pPr>
        <w:rPr>
          <w:lang w:val="en-GB"/>
        </w:rPr>
      </w:pPr>
      <w:r w:rsidRPr="0048465B">
        <w:rPr>
          <w:lang w:val="en-GB"/>
        </w:rPr>
        <w:t>This self-conscious protection of the Jewish collective is demonstrated even more perceptibly when Liat meets Hilmi’s family, and she finds herself in an argument with his brother Wasim. The reader finds themselves mid-argument with Wasim referring to Liat as ‘“You Israelis”’,</w:t>
      </w:r>
      <w:r w:rsidRPr="0048465B">
        <w:rPr>
          <w:vertAlign w:val="superscript"/>
          <w:lang w:val="en-GB"/>
        </w:rPr>
        <w:footnoteReference w:id="491"/>
      </w:r>
      <w:r w:rsidRPr="0048465B">
        <w:rPr>
          <w:lang w:val="en-GB"/>
        </w:rPr>
        <w:t xml:space="preserve"> viewing her as a representative of Israeli citizens rather than an individual, before saying that eventually Israelis will be a minority in their country regardless of political agreements. Initially, Liat attempts to find a middle</w:t>
      </w:r>
      <w:r w:rsidR="00C14E08">
        <w:rPr>
          <w:lang w:val="en-GB"/>
        </w:rPr>
        <w:t xml:space="preserve"> </w:t>
      </w:r>
      <w:r w:rsidRPr="0048465B">
        <w:rPr>
          <w:lang w:val="en-GB"/>
        </w:rPr>
        <w:t>ground by balancing her assertion that ‘religious fanaticism is taking over your people’ with the acknowledgement that such a charge comes ‘under the pressure of the occupation’.</w:t>
      </w:r>
      <w:r w:rsidRPr="0048465B">
        <w:rPr>
          <w:vertAlign w:val="superscript"/>
          <w:lang w:val="en-GB"/>
        </w:rPr>
        <w:footnoteReference w:id="492"/>
      </w:r>
      <w:r w:rsidRPr="0048465B">
        <w:rPr>
          <w:lang w:val="en-GB"/>
        </w:rPr>
        <w:t xml:space="preserve"> Yet this attempt at balance falls through when, as the argument continues, Liat aligns the vision of a single state </w:t>
      </w:r>
      <w:r w:rsidR="00755849">
        <w:rPr>
          <w:lang w:val="en-GB"/>
        </w:rPr>
        <w:t>–</w:t>
      </w:r>
      <w:r w:rsidRPr="0048465B">
        <w:rPr>
          <w:lang w:val="en-GB"/>
        </w:rPr>
        <w:t xml:space="preserve"> espoused by Wasim </w:t>
      </w:r>
      <w:r w:rsidR="00755849">
        <w:rPr>
          <w:lang w:val="en-GB"/>
        </w:rPr>
        <w:t>–</w:t>
      </w:r>
      <w:r w:rsidRPr="0048465B">
        <w:rPr>
          <w:lang w:val="en-GB"/>
        </w:rPr>
        <w:t xml:space="preserve"> as having the ‘real goal’ of ‘the destruction of the state of Israel’, a prospect that ‘brings out our deepest fears, the most terrible trauma’.</w:t>
      </w:r>
      <w:r w:rsidRPr="0048465B">
        <w:rPr>
          <w:vertAlign w:val="superscript"/>
          <w:lang w:val="en-GB"/>
        </w:rPr>
        <w:footnoteReference w:id="493"/>
      </w:r>
      <w:r w:rsidRPr="0048465B">
        <w:rPr>
          <w:lang w:val="en-GB"/>
        </w:rPr>
        <w:t xml:space="preserve"> This gesture towards the Holocaust is made absolute when, after more back and forth arguing between the two of them, Liat protests ‘How can we, a democratic Jewish minority in a majority of Muslim Arabs, be sure that a catastrophe like the Holocaust won’t happen’</w:t>
      </w:r>
      <w:r w:rsidR="009F016C">
        <w:rPr>
          <w:lang w:val="en-GB"/>
        </w:rPr>
        <w:t>?</w:t>
      </w:r>
      <w:r w:rsidRPr="0048465B">
        <w:rPr>
          <w:vertAlign w:val="superscript"/>
          <w:lang w:val="en-GB"/>
        </w:rPr>
        <w:footnoteReference w:id="494"/>
      </w:r>
    </w:p>
    <w:p w14:paraId="69D9A4DD" w14:textId="77777777" w:rsidR="00FC331F" w:rsidRPr="0048465B" w:rsidRDefault="00FC331F" w:rsidP="00FC331F">
      <w:pPr>
        <w:rPr>
          <w:lang w:val="en-GB"/>
        </w:rPr>
      </w:pPr>
    </w:p>
    <w:p w14:paraId="5D969BEF" w14:textId="2E5CB813" w:rsidR="00FC331F" w:rsidRPr="0048465B" w:rsidRDefault="00FC331F" w:rsidP="00FC331F">
      <w:pPr>
        <w:rPr>
          <w:lang w:val="en-GB"/>
        </w:rPr>
      </w:pPr>
      <w:r w:rsidRPr="0048465B">
        <w:rPr>
          <w:lang w:val="en-GB"/>
        </w:rPr>
        <w:lastRenderedPageBreak/>
        <w:t xml:space="preserve">Whilst these concerns have a certain validity to them </w:t>
      </w:r>
      <w:r w:rsidR="00755849">
        <w:rPr>
          <w:lang w:val="en-GB"/>
        </w:rPr>
        <w:t>–</w:t>
      </w:r>
      <w:r w:rsidRPr="0048465B">
        <w:rPr>
          <w:lang w:val="en-GB"/>
        </w:rPr>
        <w:t xml:space="preserve"> no minority in any nation is assured of safety from persecution, and minority Jewish communities have been subjected to persecution throughout history </w:t>
      </w:r>
      <w:r w:rsidR="00755849">
        <w:rPr>
          <w:lang w:val="en-GB"/>
        </w:rPr>
        <w:t>–</w:t>
      </w:r>
      <w:r w:rsidRPr="0048465B">
        <w:rPr>
          <w:lang w:val="en-GB"/>
        </w:rPr>
        <w:t xml:space="preserve"> and whilst </w:t>
      </w:r>
      <w:proofErr w:type="spellStart"/>
      <w:r w:rsidRPr="0048465B">
        <w:rPr>
          <w:lang w:val="en-GB"/>
        </w:rPr>
        <w:t>Rabinyan</w:t>
      </w:r>
      <w:proofErr w:type="spellEnd"/>
      <w:r w:rsidRPr="0048465B">
        <w:rPr>
          <w:lang w:val="en-GB"/>
        </w:rPr>
        <w:t xml:space="preserve"> places Liat opposite an incendiary and condescending opponent in Wasim, Liat’s involvement in the argument is not so much due to her passionate belief in the things that she says, but because of the emotions that Wasim’s criticisms of Israel evoke. When such arguments regarding Palestine and Israel occur, Liat feels herself ‘swept into a fateful sense of national responsibility, as though nothing less than the future of Israel was resting on my shoulders </w:t>
      </w:r>
      <w:r w:rsidR="00ED7125">
        <w:rPr>
          <w:lang w:val="en-GB"/>
        </w:rPr>
        <w:t>–</w:t>
      </w:r>
      <w:r w:rsidRPr="0048465B">
        <w:rPr>
          <w:lang w:val="en-GB"/>
        </w:rPr>
        <w:t xml:space="preserve"> the destiny of the Jewish people ever after depended on what I said’.</w:t>
      </w:r>
      <w:r w:rsidRPr="0048465B">
        <w:rPr>
          <w:vertAlign w:val="superscript"/>
          <w:lang w:val="en-GB"/>
        </w:rPr>
        <w:footnoteReference w:id="495"/>
      </w:r>
      <w:r w:rsidRPr="0048465B">
        <w:rPr>
          <w:lang w:val="en-GB"/>
        </w:rPr>
        <w:t xml:space="preserve"> Similarly, when arguing with Hilmi, Liat despairs at the ‘ridiculous patriotic pathos that kept taking me over. I hated that every time I was faced with his radical Arab positions I had to veer to the right, squeezing in alongside my conservative parents’, where she finds herself ‘defending the Israeli consensus </w:t>
      </w:r>
      <w:r w:rsidR="00ED7125">
        <w:rPr>
          <w:lang w:val="en-GB"/>
        </w:rPr>
        <w:t>–</w:t>
      </w:r>
      <w:r w:rsidRPr="0048465B">
        <w:rPr>
          <w:lang w:val="en-GB"/>
        </w:rPr>
        <w:t xml:space="preserve"> the very same centrist opinions that outraged me when my parents espoused them’.</w:t>
      </w:r>
      <w:r w:rsidRPr="0048465B">
        <w:rPr>
          <w:vertAlign w:val="superscript"/>
          <w:lang w:val="en-GB"/>
        </w:rPr>
        <w:footnoteReference w:id="496"/>
      </w:r>
      <w:r w:rsidRPr="0048465B">
        <w:rPr>
          <w:lang w:val="en-GB"/>
        </w:rPr>
        <w:t xml:space="preserve"> Both here and in Farber’s exploration of Jewish-</w:t>
      </w:r>
      <w:r w:rsidR="00F97F43">
        <w:rPr>
          <w:lang w:val="en-GB"/>
        </w:rPr>
        <w:t>G</w:t>
      </w:r>
      <w:r w:rsidRPr="0048465B">
        <w:rPr>
          <w:lang w:val="en-GB"/>
        </w:rPr>
        <w:t xml:space="preserve">entile relationships, the defence of the collective is prioritised at the expense of the desires of the individual, and there is, in both examples, a palpable sense of fear and survivalism. In Rabinyan’s novel this takes the shape of Liat’s underlying fear that demographic changes in Israel will lead to a second Holocaust, whilst in Farber’s case </w:t>
      </w:r>
      <w:r w:rsidR="008E0C30">
        <w:rPr>
          <w:lang w:val="en-GB"/>
        </w:rPr>
        <w:t>–</w:t>
      </w:r>
      <w:r w:rsidRPr="0048465B">
        <w:rPr>
          <w:lang w:val="en-GB"/>
        </w:rPr>
        <w:t xml:space="preserve"> one of the more progressive arguments against intermarriage there is, if such a thing can exist </w:t>
      </w:r>
      <w:r w:rsidR="008E0C30">
        <w:rPr>
          <w:lang w:val="en-GB"/>
        </w:rPr>
        <w:t>–</w:t>
      </w:r>
      <w:r w:rsidRPr="0048465B">
        <w:rPr>
          <w:lang w:val="en-GB"/>
        </w:rPr>
        <w:t xml:space="preserve"> this takes the shape of the simple argument that whilst civil marriage should be possible in Israel, it should be actively discouraged in order to ensure Jewish survival.</w:t>
      </w:r>
    </w:p>
    <w:p w14:paraId="75E8FE02" w14:textId="77777777" w:rsidR="00FC331F" w:rsidRPr="0048465B" w:rsidRDefault="00FC331F" w:rsidP="00FC331F">
      <w:pPr>
        <w:rPr>
          <w:lang w:val="en-GB"/>
        </w:rPr>
      </w:pPr>
    </w:p>
    <w:p w14:paraId="066578EF" w14:textId="360E69C6" w:rsidR="00FC331F" w:rsidRPr="0048465B" w:rsidRDefault="00FC331F" w:rsidP="00FC331F">
      <w:pPr>
        <w:rPr>
          <w:lang w:val="en-GB"/>
        </w:rPr>
      </w:pPr>
      <w:r w:rsidRPr="0048465B">
        <w:rPr>
          <w:lang w:val="en-GB"/>
        </w:rPr>
        <w:t xml:space="preserve">As demonstrated by both Farber and by Rabinyan’s protagonist, albeit more literally by the latter, this fusion of survivalist instinct with concerns about intermarriage and the connected possibility </w:t>
      </w:r>
      <w:r w:rsidRPr="0048465B">
        <w:rPr>
          <w:lang w:val="en-GB"/>
        </w:rPr>
        <w:lastRenderedPageBreak/>
        <w:t xml:space="preserve">of demographic shifts is indicative of one of the many lessons learned from the Holocaust, that to be a Jewish minority is to be vulnerable. Zionist Liberal Centrist Lawmaker Yair </w:t>
      </w:r>
      <w:proofErr w:type="spellStart"/>
      <w:r w:rsidRPr="0048465B">
        <w:rPr>
          <w:lang w:val="en-GB"/>
        </w:rPr>
        <w:t>Lapid</w:t>
      </w:r>
      <w:proofErr w:type="spellEnd"/>
      <w:r w:rsidRPr="0048465B">
        <w:rPr>
          <w:lang w:val="en-GB"/>
        </w:rPr>
        <w:t xml:space="preserve"> made the connection between the two manifest when he stated that interfaith marriages were problematic because “we haven’t recovered from the Holocaust yet</w:t>
      </w:r>
      <w:r w:rsidR="000C3FB4">
        <w:rPr>
          <w:lang w:val="en-GB"/>
        </w:rPr>
        <w:t xml:space="preserve"> […] </w:t>
      </w:r>
      <w:r w:rsidRPr="0048465B">
        <w:rPr>
          <w:lang w:val="en-GB"/>
        </w:rPr>
        <w:t>there are fewer Jews than there were before the Holocaust and we’re trying to grow”’.</w:t>
      </w:r>
      <w:r w:rsidRPr="0048465B">
        <w:rPr>
          <w:vertAlign w:val="superscript"/>
          <w:lang w:val="en-GB"/>
        </w:rPr>
        <w:footnoteReference w:id="497"/>
      </w:r>
      <w:r w:rsidRPr="0048465B">
        <w:rPr>
          <w:lang w:val="en-GB"/>
        </w:rPr>
        <w:t xml:space="preserve"> When twinned with the fact that intermarriage ‘has even been compared to a “silent Holocaust”’,</w:t>
      </w:r>
      <w:r w:rsidRPr="0048465B">
        <w:rPr>
          <w:vertAlign w:val="superscript"/>
          <w:lang w:val="en-GB"/>
        </w:rPr>
        <w:footnoteReference w:id="498"/>
      </w:r>
      <w:r w:rsidRPr="0048465B">
        <w:rPr>
          <w:lang w:val="en-GB"/>
        </w:rPr>
        <w:t xml:space="preserve"> the instrumentalisation of the Holocaust as a means of provoking fear at the prospect of intermarriage and the potential changes in demographics that it would likely bring about, becomes clear. As a result of this, in many of these examples of intermarriage and the desire to discourage, ban, or prevent it, the simple fact that genocide is not the </w:t>
      </w:r>
      <w:r w:rsidR="00666821">
        <w:rPr>
          <w:lang w:val="en-GB"/>
        </w:rPr>
        <w:t>inevitable</w:t>
      </w:r>
      <w:r w:rsidRPr="0048465B">
        <w:rPr>
          <w:lang w:val="en-GB"/>
        </w:rPr>
        <w:t xml:space="preserve"> alternative to religious segregation is overlooked. </w:t>
      </w:r>
    </w:p>
    <w:p w14:paraId="7DDD1301" w14:textId="77777777" w:rsidR="00FC331F" w:rsidRPr="0048465B" w:rsidRDefault="00FC331F" w:rsidP="00FC331F">
      <w:pPr>
        <w:rPr>
          <w:lang w:val="en-GB"/>
        </w:rPr>
      </w:pPr>
    </w:p>
    <w:p w14:paraId="252F17AF" w14:textId="3E53DB75" w:rsidR="00FC331F" w:rsidRPr="0048465B" w:rsidRDefault="00FC331F" w:rsidP="00FC331F">
      <w:pPr>
        <w:rPr>
          <w:lang w:val="en-GB"/>
        </w:rPr>
      </w:pPr>
      <w:r w:rsidRPr="0048465B">
        <w:rPr>
          <w:lang w:val="en-GB"/>
        </w:rPr>
        <w:t xml:space="preserve">Yet whilst concerns regarding the status and treatment of minority groups are legitimate, the notion that Jewish-Gentile interfaith marriage is driven by a desire to eliminate Jewish life is undermined by the fact that such marriages are predicated upon the desire of a non-Jew to coexist with a Jewish individual. Moreover, if we look at the 2008 census data, we see that ‘only 2.1% of Israeli Jewish men were married to Palestinian women’, and that of these marriages ‘only 3% </w:t>
      </w:r>
      <w:r w:rsidR="000C3FB4">
        <w:rPr>
          <w:lang w:val="en-GB"/>
        </w:rPr>
        <w:t>[…]</w:t>
      </w:r>
      <w:r w:rsidRPr="0048465B">
        <w:rPr>
          <w:lang w:val="en-GB"/>
        </w:rPr>
        <w:t xml:space="preserve"> involved Muslim women’.</w:t>
      </w:r>
      <w:r w:rsidRPr="0048465B">
        <w:rPr>
          <w:vertAlign w:val="superscript"/>
          <w:lang w:val="en-GB"/>
        </w:rPr>
        <w:footnoteReference w:id="499"/>
      </w:r>
      <w:r w:rsidRPr="0048465B">
        <w:rPr>
          <w:lang w:val="en-GB"/>
        </w:rPr>
        <w:t xml:space="preserve"> Data from 2015 displays a similar message. Out of ‘58,000 registered marriages, only 23 were between “Arabs and Jews”. That’s less than one out of two-thousand</w:t>
      </w:r>
      <w:r w:rsidR="000C3FB4">
        <w:rPr>
          <w:lang w:val="en-GB"/>
        </w:rPr>
        <w:t xml:space="preserve"> […] </w:t>
      </w:r>
      <w:r w:rsidRPr="0048465B">
        <w:rPr>
          <w:lang w:val="en-GB"/>
        </w:rPr>
        <w:t>in a state where the Israeli-Palestinian citizenry is about 20%’.</w:t>
      </w:r>
      <w:r w:rsidRPr="0048465B">
        <w:rPr>
          <w:vertAlign w:val="superscript"/>
          <w:lang w:val="en-GB"/>
        </w:rPr>
        <w:footnoteReference w:id="500"/>
      </w:r>
      <w:r w:rsidRPr="0048465B">
        <w:rPr>
          <w:lang w:val="en-GB"/>
        </w:rPr>
        <w:t xml:space="preserve"> In 2011, figures on interfaith </w:t>
      </w:r>
      <w:r w:rsidRPr="0048465B">
        <w:rPr>
          <w:lang w:val="en-GB"/>
        </w:rPr>
        <w:lastRenderedPageBreak/>
        <w:t xml:space="preserve">marriages that occurred between Israelis abroad in order to circumvent Israel’s religious monopoly on marriage were released. In the year of 2011, just under </w:t>
      </w:r>
      <w:r w:rsidR="00AE6D44">
        <w:rPr>
          <w:lang w:val="en-GB"/>
        </w:rPr>
        <w:t>nine</w:t>
      </w:r>
      <w:r w:rsidR="00ED7125">
        <w:rPr>
          <w:lang w:val="en-GB"/>
        </w:rPr>
        <w:t xml:space="preserve"> </w:t>
      </w:r>
      <w:r w:rsidR="00AE6D44">
        <w:rPr>
          <w:lang w:val="en-GB"/>
        </w:rPr>
        <w:t>thousand</w:t>
      </w:r>
      <w:r w:rsidRPr="0048465B">
        <w:rPr>
          <w:lang w:val="en-GB"/>
        </w:rPr>
        <w:t xml:space="preserve"> couples were married overseas. Of these couples, there were only ‘three cases of Jewish men married to Arab women, and 16 cases of Arab men married to Jewish women’,</w:t>
      </w:r>
      <w:r w:rsidRPr="0048465B">
        <w:rPr>
          <w:vertAlign w:val="superscript"/>
          <w:lang w:val="en-GB"/>
        </w:rPr>
        <w:footnoteReference w:id="501"/>
      </w:r>
      <w:r w:rsidRPr="0048465B">
        <w:rPr>
          <w:lang w:val="en-GB"/>
        </w:rPr>
        <w:t xml:space="preserve"> the children of whom, in the latter </w:t>
      </w:r>
      <w:r w:rsidR="00AE6D44">
        <w:rPr>
          <w:lang w:val="en-GB"/>
        </w:rPr>
        <w:t>sixteen</w:t>
      </w:r>
      <w:r w:rsidRPr="0048465B">
        <w:rPr>
          <w:lang w:val="en-GB"/>
        </w:rPr>
        <w:t xml:space="preserve"> cases, would be considered Jewish according to Jewish Law. </w:t>
      </w:r>
    </w:p>
    <w:p w14:paraId="1AAC540B" w14:textId="77777777" w:rsidR="00FC331F" w:rsidRPr="0048465B" w:rsidRDefault="00FC331F" w:rsidP="00FC331F">
      <w:pPr>
        <w:rPr>
          <w:lang w:val="en-GB"/>
        </w:rPr>
      </w:pPr>
    </w:p>
    <w:p w14:paraId="6020D7B3" w14:textId="1000FAD4" w:rsidR="00FC331F" w:rsidRPr="0048465B" w:rsidRDefault="00FC331F" w:rsidP="00FC331F">
      <w:pPr>
        <w:rPr>
          <w:lang w:val="en-GB"/>
        </w:rPr>
      </w:pPr>
      <w:r w:rsidRPr="0048465B">
        <w:rPr>
          <w:lang w:val="en-GB"/>
        </w:rPr>
        <w:t>Whilst Israeli concerns regarding interfaith marriage in Israel do not begin and end with</w:t>
      </w:r>
      <w:r w:rsidR="007E744A">
        <w:rPr>
          <w:lang w:val="en-GB"/>
        </w:rPr>
        <w:t xml:space="preserve"> unions between Jewish</w:t>
      </w:r>
      <w:r w:rsidR="001226D6">
        <w:rPr>
          <w:lang w:val="en-GB"/>
        </w:rPr>
        <w:t xml:space="preserve"> </w:t>
      </w:r>
      <w:r w:rsidR="007E744A">
        <w:rPr>
          <w:lang w:val="en-GB"/>
        </w:rPr>
        <w:t>Israelis and Muslim</w:t>
      </w:r>
      <w:r w:rsidR="001226D6">
        <w:rPr>
          <w:lang w:val="en-GB"/>
        </w:rPr>
        <w:t xml:space="preserve"> </w:t>
      </w:r>
      <w:r w:rsidR="00666821">
        <w:rPr>
          <w:lang w:val="en-GB"/>
        </w:rPr>
        <w:t>Palestinians</w:t>
      </w:r>
      <w:r w:rsidRPr="0048465B">
        <w:rPr>
          <w:lang w:val="en-GB"/>
        </w:rPr>
        <w:t xml:space="preserve">, discourse on interfaith marriage from the Israeli Ministry of Education, Israel’s most widely read newspaper (with ties to Netanyahu), and its politicians have demonstrated that in the eyes of the Israeli government </w:t>
      </w:r>
      <w:r w:rsidR="007E744A">
        <w:rPr>
          <w:lang w:val="en-GB"/>
        </w:rPr>
        <w:t>Jewish</w:t>
      </w:r>
      <w:r w:rsidR="00BC374E">
        <w:rPr>
          <w:lang w:val="en-GB"/>
        </w:rPr>
        <w:t xml:space="preserve"> </w:t>
      </w:r>
      <w:r w:rsidRPr="0048465B">
        <w:rPr>
          <w:lang w:val="en-GB"/>
        </w:rPr>
        <w:t>Israeli</w:t>
      </w:r>
      <w:r w:rsidR="00ED7125">
        <w:rPr>
          <w:lang w:val="en-GB"/>
        </w:rPr>
        <w:t>-</w:t>
      </w:r>
      <w:r w:rsidR="007E744A">
        <w:rPr>
          <w:lang w:val="en-GB"/>
        </w:rPr>
        <w:t>Muslim</w:t>
      </w:r>
      <w:r w:rsidR="00BC374E">
        <w:rPr>
          <w:lang w:val="en-GB"/>
        </w:rPr>
        <w:t xml:space="preserve"> </w:t>
      </w:r>
      <w:r w:rsidR="00666821">
        <w:rPr>
          <w:lang w:val="en-GB"/>
        </w:rPr>
        <w:t>Palestinian</w:t>
      </w:r>
      <w:r w:rsidRPr="0048465B">
        <w:rPr>
          <w:lang w:val="en-GB"/>
        </w:rPr>
        <w:t xml:space="preserve"> relationships are considered a significant threat. Given the above statistics and the focus on </w:t>
      </w:r>
      <w:r w:rsidR="00666821">
        <w:rPr>
          <w:lang w:val="en-GB"/>
        </w:rPr>
        <w:t>Muslim</w:t>
      </w:r>
      <w:r w:rsidRPr="0048465B">
        <w:rPr>
          <w:lang w:val="en-GB"/>
        </w:rPr>
        <w:t>-Jewish unions specifically, the threat of interfaith and mixed marriages does not represent a significant enough threat to justify the force with which Israel condemns and punishes it. Israeli approaches to intermarriage, where education, community, army,</w:t>
      </w:r>
      <w:r w:rsidRPr="0048465B">
        <w:rPr>
          <w:vertAlign w:val="superscript"/>
          <w:lang w:val="en-GB"/>
        </w:rPr>
        <w:footnoteReference w:id="502"/>
      </w:r>
      <w:r w:rsidRPr="0048465B">
        <w:rPr>
          <w:lang w:val="en-GB"/>
        </w:rPr>
        <w:t xml:space="preserve"> and government all </w:t>
      </w:r>
      <w:r w:rsidRPr="0048465B">
        <w:rPr>
          <w:lang w:val="en-GB"/>
        </w:rPr>
        <w:lastRenderedPageBreak/>
        <w:t xml:space="preserve">encourage ethno-religious purity on the grounds of either superiority or synonymous ‘difference’, depict a country that is consumed by fear, hostility, and disdain towards </w:t>
      </w:r>
      <w:r w:rsidR="00666821">
        <w:rPr>
          <w:lang w:val="en-GB"/>
        </w:rPr>
        <w:t>Palestinians</w:t>
      </w:r>
      <w:r w:rsidRPr="0048465B">
        <w:rPr>
          <w:lang w:val="en-GB"/>
        </w:rPr>
        <w:t xml:space="preserve"> who not only already reside within </w:t>
      </w:r>
      <w:r w:rsidR="008E0C30">
        <w:rPr>
          <w:lang w:val="en-GB"/>
        </w:rPr>
        <w:t>Israel’s</w:t>
      </w:r>
      <w:r w:rsidRPr="0048465B">
        <w:rPr>
          <w:lang w:val="en-GB"/>
        </w:rPr>
        <w:t xml:space="preserve"> borders, but who choose to dedicate their lives to Jewish partners. Whether the solution to the Israeli-Palestinian conflict comes in the shape of one or two states, the treatment of those </w:t>
      </w:r>
      <w:r w:rsidR="00666821">
        <w:rPr>
          <w:lang w:val="en-GB"/>
        </w:rPr>
        <w:t>Palestinians</w:t>
      </w:r>
      <w:r w:rsidRPr="0048465B">
        <w:rPr>
          <w:lang w:val="en-GB"/>
        </w:rPr>
        <w:t xml:space="preserve"> who are already citizens of Israel discloses the reality that Israel is currently unwilling to entertain the prospect of </w:t>
      </w:r>
      <w:r w:rsidR="00666821">
        <w:rPr>
          <w:lang w:val="en-GB"/>
        </w:rPr>
        <w:t>Palestinian</w:t>
      </w:r>
      <w:r w:rsidRPr="0048465B">
        <w:rPr>
          <w:lang w:val="en-GB"/>
        </w:rPr>
        <w:t xml:space="preserve"> equality within those areas over which it has legitimate control, let alone those it controls illegally. </w:t>
      </w:r>
    </w:p>
    <w:p w14:paraId="66FFE696" w14:textId="77777777" w:rsidR="00FC331F" w:rsidRPr="0048465B" w:rsidRDefault="00FC331F" w:rsidP="00FC331F">
      <w:pPr>
        <w:rPr>
          <w:lang w:val="en-GB"/>
        </w:rPr>
      </w:pPr>
    </w:p>
    <w:p w14:paraId="023DEC4D" w14:textId="77777777" w:rsidR="00FC331F" w:rsidRPr="0048465B" w:rsidRDefault="00FC331F" w:rsidP="00FC331F">
      <w:pPr>
        <w:jc w:val="center"/>
        <w:rPr>
          <w:b/>
          <w:lang w:val="en-GB"/>
        </w:rPr>
      </w:pPr>
      <w:r w:rsidRPr="0048465B">
        <w:rPr>
          <w:b/>
          <w:lang w:val="en-GB"/>
        </w:rPr>
        <w:t xml:space="preserve">The Inescapable Intersection: </w:t>
      </w:r>
    </w:p>
    <w:p w14:paraId="1C9EF75A" w14:textId="77777777" w:rsidR="00FC331F" w:rsidRPr="0048465B" w:rsidRDefault="00FC331F" w:rsidP="00FC331F">
      <w:pPr>
        <w:jc w:val="center"/>
        <w:rPr>
          <w:b/>
          <w:lang w:val="en-GB"/>
        </w:rPr>
      </w:pPr>
      <w:r w:rsidRPr="0048465B">
        <w:rPr>
          <w:b/>
          <w:lang w:val="en-GB"/>
        </w:rPr>
        <w:t>Dual-Heritage Children and Their Parents, in Israel and Abroad</w:t>
      </w:r>
    </w:p>
    <w:p w14:paraId="19840613" w14:textId="77777777" w:rsidR="00FC331F" w:rsidRPr="0048465B" w:rsidRDefault="00FC331F" w:rsidP="00FC331F">
      <w:pPr>
        <w:rPr>
          <w:lang w:val="en-GB"/>
        </w:rPr>
      </w:pPr>
    </w:p>
    <w:p w14:paraId="78E9D13A" w14:textId="667B7244" w:rsidR="00FC331F" w:rsidRPr="0048465B" w:rsidRDefault="00FC331F" w:rsidP="00FC331F">
      <w:pPr>
        <w:rPr>
          <w:lang w:val="en-GB"/>
        </w:rPr>
      </w:pPr>
      <w:r w:rsidRPr="0048465B">
        <w:rPr>
          <w:lang w:val="en-GB"/>
        </w:rPr>
        <w:t xml:space="preserve">Whilst there are numerous barriers in place to prevent interfaith relationships, those few unions that are able to overcome these political, religious, and cultural hurdles may result in the birth of children privy to the most complex of all positions, that of being a </w:t>
      </w:r>
      <w:r w:rsidR="0023678C">
        <w:rPr>
          <w:lang w:val="en-GB"/>
        </w:rPr>
        <w:t>dual-heritage</w:t>
      </w:r>
      <w:r w:rsidRPr="0048465B">
        <w:rPr>
          <w:lang w:val="en-GB"/>
        </w:rPr>
        <w:t xml:space="preserve">/faith child of Israeli-Palestinian or Jewish-Palestinian heritage. Whilst the limited number of such individuals </w:t>
      </w:r>
      <w:r w:rsidR="007A2084">
        <w:rPr>
          <w:lang w:val="en-GB"/>
        </w:rPr>
        <w:t>means</w:t>
      </w:r>
      <w:r w:rsidRPr="0048465B">
        <w:rPr>
          <w:lang w:val="en-GB"/>
        </w:rPr>
        <w:t xml:space="preserve"> that they are unlikely to represent demographic transformation and bring political revolution as a result, </w:t>
      </w:r>
      <w:r w:rsidR="007A2084">
        <w:rPr>
          <w:lang w:val="en-GB"/>
        </w:rPr>
        <w:t>such children</w:t>
      </w:r>
      <w:r w:rsidRPr="0048465B">
        <w:rPr>
          <w:lang w:val="en-GB"/>
        </w:rPr>
        <w:t xml:space="preserve"> nonetheless offer a unique insight into the conflict itself </w:t>
      </w:r>
      <w:r w:rsidR="00823A84">
        <w:rPr>
          <w:lang w:val="en-GB"/>
        </w:rPr>
        <w:t>–</w:t>
      </w:r>
      <w:r w:rsidRPr="0048465B">
        <w:rPr>
          <w:lang w:val="en-GB"/>
        </w:rPr>
        <w:t xml:space="preserve"> representing as they do the only ‘starting</w:t>
      </w:r>
      <w:r w:rsidR="00F75D64">
        <w:rPr>
          <w:lang w:val="en-GB"/>
        </w:rPr>
        <w:t xml:space="preserve"> </w:t>
      </w:r>
      <w:r w:rsidRPr="0048465B">
        <w:rPr>
          <w:lang w:val="en-GB"/>
        </w:rPr>
        <w:t xml:space="preserve">point’ that is </w:t>
      </w:r>
      <w:r w:rsidR="00F75D64">
        <w:rPr>
          <w:lang w:val="en-GB"/>
        </w:rPr>
        <w:t>a fusion of</w:t>
      </w:r>
      <w:r w:rsidRPr="0048465B">
        <w:rPr>
          <w:lang w:val="en-GB"/>
        </w:rPr>
        <w:t xml:space="preserve"> both Israeli</w:t>
      </w:r>
      <w:r w:rsidR="00F75D64">
        <w:rPr>
          <w:lang w:val="en-GB"/>
        </w:rPr>
        <w:t>/Jewish</w:t>
      </w:r>
      <w:r w:rsidRPr="0048465B">
        <w:rPr>
          <w:lang w:val="en-GB"/>
        </w:rPr>
        <w:t xml:space="preserve"> and Palestinian</w:t>
      </w:r>
      <w:r w:rsidR="00F75D64">
        <w:rPr>
          <w:lang w:val="en-GB"/>
        </w:rPr>
        <w:t xml:space="preserve"> by birth</w:t>
      </w:r>
      <w:r w:rsidRPr="0048465B">
        <w:rPr>
          <w:lang w:val="en-GB"/>
        </w:rPr>
        <w:t xml:space="preserve"> </w:t>
      </w:r>
      <w:r w:rsidR="00823A84">
        <w:rPr>
          <w:lang w:val="en-GB"/>
        </w:rPr>
        <w:t>–</w:t>
      </w:r>
      <w:r w:rsidRPr="0048465B">
        <w:rPr>
          <w:lang w:val="en-GB"/>
        </w:rPr>
        <w:t xml:space="preserve"> and are thus able to </w:t>
      </w:r>
      <w:r w:rsidR="007A2084">
        <w:rPr>
          <w:lang w:val="en-GB"/>
        </w:rPr>
        <w:t xml:space="preserve">potentially </w:t>
      </w:r>
      <w:r w:rsidR="00F75D64">
        <w:rPr>
          <w:lang w:val="en-GB"/>
        </w:rPr>
        <w:t>explore</w:t>
      </w:r>
      <w:r w:rsidR="00F75D64" w:rsidRPr="0048465B">
        <w:rPr>
          <w:lang w:val="en-GB"/>
        </w:rPr>
        <w:t xml:space="preserve"> </w:t>
      </w:r>
      <w:r w:rsidRPr="0048465B">
        <w:rPr>
          <w:lang w:val="en-GB"/>
        </w:rPr>
        <w:t xml:space="preserve">the </w:t>
      </w:r>
      <w:r w:rsidR="007A2084">
        <w:rPr>
          <w:lang w:val="en-GB"/>
        </w:rPr>
        <w:t>ways in which understandings of each group are formed by the other</w:t>
      </w:r>
      <w:r w:rsidRPr="0048465B">
        <w:rPr>
          <w:lang w:val="en-GB"/>
        </w:rPr>
        <w:t xml:space="preserve">. Accounts of the raising of such children in Israel highlight the feeling of hopelessness when surrounded by the Israeli-Palestinian conflict, especially when the power of the community </w:t>
      </w:r>
      <w:r w:rsidR="00823A84">
        <w:rPr>
          <w:lang w:val="en-GB"/>
        </w:rPr>
        <w:t>–</w:t>
      </w:r>
      <w:r w:rsidRPr="0048465B">
        <w:rPr>
          <w:lang w:val="en-GB"/>
        </w:rPr>
        <w:t xml:space="preserve"> as explored above </w:t>
      </w:r>
      <w:r w:rsidR="00823A84">
        <w:rPr>
          <w:lang w:val="en-GB"/>
        </w:rPr>
        <w:t>–</w:t>
      </w:r>
      <w:r w:rsidRPr="0048465B">
        <w:rPr>
          <w:lang w:val="en-GB"/>
        </w:rPr>
        <w:t xml:space="preserve"> is both omnipresent and bisected, represented by two equally personal, and often equally oppositional, sides.</w:t>
      </w:r>
    </w:p>
    <w:p w14:paraId="3D0CA577" w14:textId="77777777" w:rsidR="00FC331F" w:rsidRPr="0048465B" w:rsidRDefault="00FC331F" w:rsidP="00FC331F">
      <w:pPr>
        <w:rPr>
          <w:lang w:val="en-GB"/>
        </w:rPr>
      </w:pPr>
    </w:p>
    <w:p w14:paraId="2934A8C3" w14:textId="52D7E523" w:rsidR="00FC331F" w:rsidRPr="0048465B" w:rsidRDefault="00FC331F" w:rsidP="00FC331F">
      <w:pPr>
        <w:rPr>
          <w:lang w:val="en-GB"/>
        </w:rPr>
      </w:pPr>
      <w:r w:rsidRPr="0048465B">
        <w:rPr>
          <w:lang w:val="en-GB"/>
        </w:rPr>
        <w:t xml:space="preserve">The seemingly paradoxical nature of this position is illuminated by journalist Ofra Edelman, who took accounts from </w:t>
      </w:r>
      <w:r w:rsidR="00ED7125">
        <w:rPr>
          <w:lang w:val="en-GB"/>
        </w:rPr>
        <w:t>couples where one parent was</w:t>
      </w:r>
      <w:r w:rsidRPr="0048465B">
        <w:rPr>
          <w:lang w:val="en-GB"/>
        </w:rPr>
        <w:t xml:space="preserve"> </w:t>
      </w:r>
      <w:r w:rsidR="00F96AB7">
        <w:rPr>
          <w:lang w:val="en-GB"/>
        </w:rPr>
        <w:t>Jewish</w:t>
      </w:r>
      <w:r w:rsidR="00823A84">
        <w:rPr>
          <w:lang w:val="en-GB"/>
        </w:rPr>
        <w:t xml:space="preserve"> </w:t>
      </w:r>
      <w:r w:rsidRPr="0048465B">
        <w:rPr>
          <w:lang w:val="en-GB"/>
        </w:rPr>
        <w:t>Israeli</w:t>
      </w:r>
      <w:r w:rsidR="00ED7125">
        <w:rPr>
          <w:lang w:val="en-GB"/>
        </w:rPr>
        <w:t xml:space="preserve">, and the other was a </w:t>
      </w:r>
      <w:r w:rsidR="00F96AB7">
        <w:rPr>
          <w:lang w:val="en-GB"/>
        </w:rPr>
        <w:t>Palestinian</w:t>
      </w:r>
      <w:r w:rsidR="00823A84">
        <w:rPr>
          <w:lang w:val="en-GB"/>
        </w:rPr>
        <w:t xml:space="preserve"> citizen of Israel</w:t>
      </w:r>
      <w:r w:rsidRPr="0048465B">
        <w:rPr>
          <w:lang w:val="en-GB"/>
        </w:rPr>
        <w:t xml:space="preserve">, as well as from </w:t>
      </w:r>
      <w:r w:rsidR="00ED7125">
        <w:rPr>
          <w:lang w:val="en-GB"/>
        </w:rPr>
        <w:t>the</w:t>
      </w:r>
      <w:r w:rsidR="00ED7125" w:rsidRPr="0048465B">
        <w:rPr>
          <w:lang w:val="en-GB"/>
        </w:rPr>
        <w:t xml:space="preserve"> </w:t>
      </w:r>
      <w:r w:rsidRPr="0048465B">
        <w:rPr>
          <w:lang w:val="en-GB"/>
        </w:rPr>
        <w:t>children</w:t>
      </w:r>
      <w:r w:rsidR="00ED7125">
        <w:rPr>
          <w:lang w:val="en-GB"/>
        </w:rPr>
        <w:t xml:space="preserve"> of these couples</w:t>
      </w:r>
      <w:r w:rsidRPr="0048465B">
        <w:rPr>
          <w:lang w:val="en-GB"/>
        </w:rPr>
        <w:t xml:space="preserve">. When </w:t>
      </w:r>
      <w:r w:rsidR="00823A84">
        <w:rPr>
          <w:lang w:val="en-GB"/>
        </w:rPr>
        <w:t>interviewing</w:t>
      </w:r>
      <w:r w:rsidRPr="0048465B">
        <w:rPr>
          <w:lang w:val="en-GB"/>
        </w:rPr>
        <w:t xml:space="preserve"> </w:t>
      </w:r>
      <w:proofErr w:type="spellStart"/>
      <w:r w:rsidRPr="0048465B">
        <w:rPr>
          <w:lang w:val="en-GB"/>
        </w:rPr>
        <w:t>Fanya</w:t>
      </w:r>
      <w:proofErr w:type="spellEnd"/>
      <w:r w:rsidRPr="0048465B">
        <w:rPr>
          <w:lang w:val="en-GB"/>
        </w:rPr>
        <w:t xml:space="preserve">, an Israeli who was born Jewish and converted to Islam, about her son Anwar, </w:t>
      </w:r>
      <w:proofErr w:type="spellStart"/>
      <w:r w:rsidRPr="0048465B">
        <w:rPr>
          <w:lang w:val="en-GB"/>
        </w:rPr>
        <w:t>Fanya</w:t>
      </w:r>
      <w:proofErr w:type="spellEnd"/>
      <w:r w:rsidRPr="0048465B">
        <w:rPr>
          <w:lang w:val="en-GB"/>
        </w:rPr>
        <w:t xml:space="preserve"> </w:t>
      </w:r>
      <w:r w:rsidR="00823A84">
        <w:rPr>
          <w:lang w:val="en-GB"/>
        </w:rPr>
        <w:t>spoke of how the family live in an area where ‘“</w:t>
      </w:r>
      <w:r w:rsidRPr="0048465B">
        <w:rPr>
          <w:lang w:val="en-GB"/>
        </w:rPr>
        <w:t xml:space="preserve">they talk about Jews </w:t>
      </w:r>
      <w:r w:rsidR="000C3FB4">
        <w:rPr>
          <w:lang w:val="en-GB"/>
        </w:rPr>
        <w:t>[…]</w:t>
      </w:r>
      <w:r w:rsidRPr="0048465B">
        <w:rPr>
          <w:lang w:val="en-GB"/>
        </w:rPr>
        <w:t xml:space="preserve"> often not favourably. However, </w:t>
      </w:r>
      <w:r w:rsidR="00823A84">
        <w:rPr>
          <w:lang w:val="en-GB"/>
        </w:rPr>
        <w:t>[Anwar]</w:t>
      </w:r>
      <w:r w:rsidRPr="0048465B">
        <w:rPr>
          <w:lang w:val="en-GB"/>
        </w:rPr>
        <w:t xml:space="preserve"> has Jewish uncles and a grandmother whom he visits every week, so he doesn’t understand. He knows I used to be Jewish, but he doesn’t like that”’. She continues to recall a time when her son saw an Israeli soldier aim a gun at someone who failed to produce identification, ‘</w:t>
      </w:r>
      <w:proofErr w:type="spellStart"/>
      <w:r w:rsidRPr="0048465B">
        <w:rPr>
          <w:lang w:val="en-GB"/>
        </w:rPr>
        <w:t>Fanya</w:t>
      </w:r>
      <w:proofErr w:type="spellEnd"/>
      <w:r w:rsidRPr="0048465B">
        <w:rPr>
          <w:lang w:val="en-GB"/>
        </w:rPr>
        <w:t xml:space="preserve"> told him that their job was to keep guard, but she add[ed], “I have to keep repeating this so he won’t think Jews are bad”’. Here, despite living in Israel (albeit in</w:t>
      </w:r>
      <w:r w:rsidR="00823A84">
        <w:rPr>
          <w:lang w:val="en-GB"/>
        </w:rPr>
        <w:t xml:space="preserve"> </w:t>
      </w:r>
      <w:proofErr w:type="spellStart"/>
      <w:r w:rsidR="00823A84">
        <w:rPr>
          <w:lang w:val="en-GB"/>
        </w:rPr>
        <w:t>Tira</w:t>
      </w:r>
      <w:proofErr w:type="spellEnd"/>
      <w:r w:rsidR="00823A84">
        <w:rPr>
          <w:lang w:val="en-GB"/>
        </w:rPr>
        <w:t>,</w:t>
      </w:r>
      <w:r w:rsidRPr="0048465B">
        <w:rPr>
          <w:lang w:val="en-GB"/>
        </w:rPr>
        <w:t xml:space="preserve"> an Arab town) and having close Jewish relatives and a Jewish-born mother who is very proactive in ensuring that a positive representation of Jewishness exists, the duality that one might hope is able to flourish in this child is repressed by the feeling that ‘“everything [must be] divided into good or evil”’. Upon hearing of the racism that similar mixed children had experienced, </w:t>
      </w:r>
      <w:proofErr w:type="spellStart"/>
      <w:r w:rsidRPr="0048465B">
        <w:rPr>
          <w:lang w:val="en-GB"/>
        </w:rPr>
        <w:t>Fanya</w:t>
      </w:r>
      <w:proofErr w:type="spellEnd"/>
      <w:r w:rsidRPr="0048465B">
        <w:rPr>
          <w:lang w:val="en-GB"/>
        </w:rPr>
        <w:t xml:space="preserve"> moved with her family to Australia to ensure that her children ‘“don’t have to pay the price”’ for the decisions she made.</w:t>
      </w:r>
      <w:r w:rsidRPr="0048465B">
        <w:rPr>
          <w:vertAlign w:val="superscript"/>
          <w:lang w:val="en-GB"/>
        </w:rPr>
        <w:footnoteReference w:id="503"/>
      </w:r>
    </w:p>
    <w:p w14:paraId="643B1535" w14:textId="77777777" w:rsidR="00FC331F" w:rsidRPr="0048465B" w:rsidRDefault="00FC331F" w:rsidP="00FC331F">
      <w:pPr>
        <w:rPr>
          <w:lang w:val="en-GB"/>
        </w:rPr>
      </w:pPr>
    </w:p>
    <w:p w14:paraId="49A98053" w14:textId="4BD95680" w:rsidR="00FC331F" w:rsidRPr="0048465B" w:rsidRDefault="00FC331F" w:rsidP="00FC331F">
      <w:pPr>
        <w:rPr>
          <w:lang w:val="en-GB"/>
        </w:rPr>
      </w:pPr>
      <w:r w:rsidRPr="0048465B">
        <w:rPr>
          <w:lang w:val="en-GB"/>
        </w:rPr>
        <w:t>In a similar account, a</w:t>
      </w:r>
      <w:r w:rsidR="007E744A">
        <w:rPr>
          <w:lang w:val="en-GB"/>
        </w:rPr>
        <w:t xml:space="preserve"> Palestinian</w:t>
      </w:r>
      <w:r w:rsidR="00B45635">
        <w:rPr>
          <w:lang w:val="en-GB"/>
        </w:rPr>
        <w:t xml:space="preserve"> </w:t>
      </w:r>
      <w:r w:rsidR="007E744A">
        <w:rPr>
          <w:lang w:val="en-GB"/>
        </w:rPr>
        <w:t>Israeli father</w:t>
      </w:r>
      <w:r w:rsidRPr="0048465B">
        <w:rPr>
          <w:lang w:val="en-GB"/>
        </w:rPr>
        <w:t xml:space="preserve"> said of his daughter Nour, ‘“She likes freedom and I don’t want the mentality that prevails here [in Umm al-</w:t>
      </w:r>
      <w:proofErr w:type="spellStart"/>
      <w:r w:rsidRPr="0048465B">
        <w:rPr>
          <w:lang w:val="en-GB"/>
        </w:rPr>
        <w:t>Fahm</w:t>
      </w:r>
      <w:proofErr w:type="spellEnd"/>
      <w:r w:rsidRPr="0048465B">
        <w:rPr>
          <w:lang w:val="en-GB"/>
        </w:rPr>
        <w:t xml:space="preserve">, an Arab majority city in Israel] to restrict her”’. </w:t>
      </w:r>
      <w:r w:rsidR="0039637F" w:rsidRPr="0048465B">
        <w:rPr>
          <w:lang w:val="en-GB"/>
        </w:rPr>
        <w:t>In a statement evocative of the inferior educational opportunities for Mizrahi Jews in Israel</w:t>
      </w:r>
      <w:r w:rsidR="00F96AB7">
        <w:rPr>
          <w:lang w:val="en-GB"/>
        </w:rPr>
        <w:t>,</w:t>
      </w:r>
      <w:r w:rsidR="0039637F" w:rsidRPr="0048465B">
        <w:rPr>
          <w:lang w:val="en-GB"/>
        </w:rPr>
        <w:t xml:space="preserve"> and </w:t>
      </w:r>
      <w:proofErr w:type="spellStart"/>
      <w:r w:rsidR="0039637F" w:rsidRPr="0048465B">
        <w:rPr>
          <w:lang w:val="en-GB"/>
        </w:rPr>
        <w:t>Fenig’s</w:t>
      </w:r>
      <w:proofErr w:type="spellEnd"/>
      <w:r w:rsidR="0039637F" w:rsidRPr="0048465B">
        <w:rPr>
          <w:lang w:val="en-GB"/>
        </w:rPr>
        <w:t xml:space="preserve"> desire to discourage miscegenation, Nour’s father continued to suggest that </w:t>
      </w:r>
      <w:r w:rsidR="0039637F" w:rsidRPr="0048465B">
        <w:rPr>
          <w:lang w:val="en-GB"/>
        </w:rPr>
        <w:lastRenderedPageBreak/>
        <w:t xml:space="preserve">she would be ‘“able to better fulfil her potential in a Jewish environment, one in which there are more opportunities”’. </w:t>
      </w:r>
      <w:r w:rsidRPr="0048465B">
        <w:rPr>
          <w:lang w:val="en-GB"/>
        </w:rPr>
        <w:t>When asked herself, Nour stated that she would like to live on a kibbutz,</w:t>
      </w:r>
      <w:r w:rsidRPr="0048465B">
        <w:rPr>
          <w:vertAlign w:val="superscript"/>
          <w:lang w:val="en-GB"/>
        </w:rPr>
        <w:footnoteReference w:id="504"/>
      </w:r>
      <w:r w:rsidRPr="0048465B">
        <w:rPr>
          <w:lang w:val="en-GB"/>
        </w:rPr>
        <w:t xml:space="preserve"> ‘“because of the space and quiet”’ and because she ‘wants room to ride her bike’. She continues, ‘“I sometimes feel strange</w:t>
      </w:r>
      <w:r w:rsidR="00ED7125">
        <w:rPr>
          <w:lang w:val="en-GB"/>
        </w:rPr>
        <w:t xml:space="preserve"> –</w:t>
      </w:r>
      <w:r w:rsidRPr="0048465B">
        <w:rPr>
          <w:lang w:val="en-GB"/>
        </w:rPr>
        <w:t xml:space="preserve"> I’d prefer to leave my parents the way they are, but it’s easier</w:t>
      </w:r>
      <w:r w:rsidR="000C3FB4">
        <w:rPr>
          <w:lang w:val="en-GB"/>
        </w:rPr>
        <w:t xml:space="preserve"> […] </w:t>
      </w:r>
      <w:r w:rsidRPr="0048465B">
        <w:rPr>
          <w:lang w:val="en-GB"/>
        </w:rPr>
        <w:t>when parents have the same religion”’.</w:t>
      </w:r>
      <w:r w:rsidRPr="0048465B">
        <w:rPr>
          <w:vertAlign w:val="superscript"/>
          <w:lang w:val="en-GB"/>
        </w:rPr>
        <w:footnoteReference w:id="505"/>
      </w:r>
    </w:p>
    <w:p w14:paraId="06ACC37A" w14:textId="77777777" w:rsidR="00FC331F" w:rsidRPr="0048465B" w:rsidRDefault="00FC331F" w:rsidP="00FC331F">
      <w:pPr>
        <w:rPr>
          <w:lang w:val="en-GB"/>
        </w:rPr>
      </w:pPr>
    </w:p>
    <w:p w14:paraId="2CD3D233" w14:textId="6BD850FA" w:rsidR="00FC331F" w:rsidRPr="0048465B" w:rsidRDefault="00FC331F" w:rsidP="00FC331F">
      <w:pPr>
        <w:rPr>
          <w:lang w:val="en-GB"/>
        </w:rPr>
      </w:pPr>
      <w:r w:rsidRPr="0048465B">
        <w:rPr>
          <w:lang w:val="en-GB"/>
        </w:rPr>
        <w:t>In both of these examples, despite being raised by and emotionally attached to both Israeli</w:t>
      </w:r>
      <w:r w:rsidR="00B45635">
        <w:rPr>
          <w:lang w:val="en-GB"/>
        </w:rPr>
        <w:t xml:space="preserve"> </w:t>
      </w:r>
      <w:r w:rsidRPr="0048465B">
        <w:rPr>
          <w:lang w:val="en-GB"/>
        </w:rPr>
        <w:t xml:space="preserve">Jewish and </w:t>
      </w:r>
      <w:r w:rsidR="007E744A">
        <w:rPr>
          <w:lang w:val="en-GB"/>
        </w:rPr>
        <w:t>Palestinian</w:t>
      </w:r>
      <w:r w:rsidR="00B45635">
        <w:rPr>
          <w:lang w:val="en-GB"/>
        </w:rPr>
        <w:t xml:space="preserve"> </w:t>
      </w:r>
      <w:r w:rsidR="004C5945">
        <w:rPr>
          <w:lang w:val="en-GB"/>
        </w:rPr>
        <w:t>Israeli</w:t>
      </w:r>
      <w:r w:rsidRPr="0048465B">
        <w:rPr>
          <w:lang w:val="en-GB"/>
        </w:rPr>
        <w:t xml:space="preserve"> family members, the children of these families find themselves unable to escape the polarisation of Israeli</w:t>
      </w:r>
      <w:r w:rsidR="00B45635">
        <w:rPr>
          <w:lang w:val="en-GB"/>
        </w:rPr>
        <w:t xml:space="preserve"> </w:t>
      </w:r>
      <w:r w:rsidRPr="0048465B">
        <w:rPr>
          <w:lang w:val="en-GB"/>
        </w:rPr>
        <w:t xml:space="preserve">Jewish and </w:t>
      </w:r>
      <w:r w:rsidR="00F96AB7">
        <w:rPr>
          <w:lang w:val="en-GB"/>
        </w:rPr>
        <w:t>Palestinian</w:t>
      </w:r>
      <w:r w:rsidR="00B45635">
        <w:rPr>
          <w:lang w:val="en-GB"/>
        </w:rPr>
        <w:t xml:space="preserve"> </w:t>
      </w:r>
      <w:r w:rsidRPr="0048465B">
        <w:rPr>
          <w:lang w:val="en-GB"/>
        </w:rPr>
        <w:t>Muslim identities. In the first instance, despite his mother’s attempts, Anwar’s experiences of living in an Arab majority city and his witnessing of IDF hostility ha</w:t>
      </w:r>
      <w:r w:rsidR="008F554C">
        <w:rPr>
          <w:lang w:val="en-GB"/>
        </w:rPr>
        <w:t>ve</w:t>
      </w:r>
      <w:r w:rsidRPr="0048465B">
        <w:rPr>
          <w:lang w:val="en-GB"/>
        </w:rPr>
        <w:t xml:space="preserve"> led him to not only actively dissociate himself from his Jewish heritage, but also to attempt to reject his mother’s heritage on account of it being ‘“bad”’. </w:t>
      </w:r>
      <w:r w:rsidR="004C5945">
        <w:rPr>
          <w:lang w:val="en-GB"/>
        </w:rPr>
        <w:t>In</w:t>
      </w:r>
      <w:r w:rsidRPr="0048465B">
        <w:rPr>
          <w:lang w:val="en-GB"/>
        </w:rPr>
        <w:t xml:space="preserve"> contrast, Nour </w:t>
      </w:r>
      <w:r w:rsidR="004C5945">
        <w:rPr>
          <w:lang w:val="en-GB"/>
        </w:rPr>
        <w:t>–</w:t>
      </w:r>
      <w:r w:rsidRPr="0048465B">
        <w:rPr>
          <w:lang w:val="en-GB"/>
        </w:rPr>
        <w:t xml:space="preserve"> who also lives in an Arab majority city </w:t>
      </w:r>
      <w:r w:rsidR="004C5945">
        <w:rPr>
          <w:lang w:val="en-GB"/>
        </w:rPr>
        <w:t>–</w:t>
      </w:r>
      <w:r w:rsidRPr="0048465B">
        <w:rPr>
          <w:lang w:val="en-GB"/>
        </w:rPr>
        <w:t xml:space="preserve"> sees greater engagement with the Jewish side of her identity and Jewish styles of living as providing space and peace away from her current situation</w:t>
      </w:r>
      <w:r w:rsidR="004C5945">
        <w:rPr>
          <w:lang w:val="en-GB"/>
        </w:rPr>
        <w:t xml:space="preserve"> in </w:t>
      </w:r>
      <w:r w:rsidR="004C5945" w:rsidRPr="0048465B">
        <w:rPr>
          <w:lang w:val="en-GB"/>
        </w:rPr>
        <w:t>Umm al-</w:t>
      </w:r>
      <w:proofErr w:type="spellStart"/>
      <w:r w:rsidR="004C5945" w:rsidRPr="0048465B">
        <w:rPr>
          <w:lang w:val="en-GB"/>
        </w:rPr>
        <w:t>Fahm</w:t>
      </w:r>
      <w:proofErr w:type="spellEnd"/>
      <w:r w:rsidRPr="0048465B">
        <w:rPr>
          <w:lang w:val="en-GB"/>
        </w:rPr>
        <w:t xml:space="preserve">, where </w:t>
      </w:r>
      <w:r w:rsidR="004C5945">
        <w:rPr>
          <w:lang w:val="en-GB"/>
        </w:rPr>
        <w:t>–</w:t>
      </w:r>
      <w:r w:rsidRPr="0048465B">
        <w:rPr>
          <w:lang w:val="en-GB"/>
        </w:rPr>
        <w:t xml:space="preserve"> much like Amal and her friends in </w:t>
      </w:r>
      <w:r w:rsidRPr="0048465B">
        <w:rPr>
          <w:i/>
          <w:lang w:val="en-GB"/>
        </w:rPr>
        <w:t>Mornings in Jenin</w:t>
      </w:r>
      <w:r w:rsidRPr="0048465B">
        <w:rPr>
          <w:lang w:val="en-GB"/>
        </w:rPr>
        <w:t xml:space="preserve"> who wished to own a bike or sit by the sea </w:t>
      </w:r>
      <w:r w:rsidR="004C5945">
        <w:rPr>
          <w:lang w:val="en-GB"/>
        </w:rPr>
        <w:t>–</w:t>
      </w:r>
      <w:r w:rsidRPr="0048465B">
        <w:rPr>
          <w:lang w:val="en-GB"/>
        </w:rPr>
        <w:t xml:space="preserve"> to ride one’s bike unhindered seems implausible.</w:t>
      </w:r>
      <w:r w:rsidRPr="0048465B">
        <w:rPr>
          <w:vertAlign w:val="superscript"/>
          <w:lang w:val="en-GB"/>
        </w:rPr>
        <w:footnoteReference w:id="506"/>
      </w:r>
      <w:r w:rsidRPr="0048465B">
        <w:rPr>
          <w:lang w:val="en-GB"/>
        </w:rPr>
        <w:t xml:space="preserve"> Her father, a </w:t>
      </w:r>
      <w:r w:rsidR="0023678C">
        <w:rPr>
          <w:lang w:val="en-GB"/>
        </w:rPr>
        <w:t>Palestinian citizen of Israel himself</w:t>
      </w:r>
      <w:r w:rsidRPr="0048465B">
        <w:rPr>
          <w:lang w:val="en-GB"/>
        </w:rPr>
        <w:t>, reinforces this same message, seeing the possibility of his daughter living in a ‘Jewish environment’ as the key to greater opportunities, to prosperity and power.</w:t>
      </w:r>
    </w:p>
    <w:p w14:paraId="5533AED1" w14:textId="77777777" w:rsidR="00FC331F" w:rsidRPr="0048465B" w:rsidRDefault="00FC331F" w:rsidP="00FC331F">
      <w:pPr>
        <w:rPr>
          <w:lang w:val="en-GB"/>
        </w:rPr>
      </w:pPr>
    </w:p>
    <w:p w14:paraId="3AC65BEC" w14:textId="7A56A160" w:rsidR="00FC331F" w:rsidRPr="0048465B" w:rsidRDefault="00FC331F" w:rsidP="00FC331F">
      <w:pPr>
        <w:rPr>
          <w:lang w:val="en-GB"/>
        </w:rPr>
      </w:pPr>
      <w:r w:rsidRPr="0048465B">
        <w:rPr>
          <w:lang w:val="en-GB"/>
        </w:rPr>
        <w:lastRenderedPageBreak/>
        <w:t xml:space="preserve">The experience of dual </w:t>
      </w:r>
      <w:r w:rsidR="0039637F" w:rsidRPr="0048465B">
        <w:rPr>
          <w:lang w:val="en-GB"/>
        </w:rPr>
        <w:t>heritage</w:t>
      </w:r>
      <w:r w:rsidRPr="0048465B">
        <w:rPr>
          <w:lang w:val="en-GB"/>
        </w:rPr>
        <w:t xml:space="preserve"> children in Israel </w:t>
      </w:r>
      <w:r w:rsidR="0075641E">
        <w:rPr>
          <w:lang w:val="en-GB"/>
        </w:rPr>
        <w:t>–</w:t>
      </w:r>
      <w:r w:rsidRPr="0048465B">
        <w:rPr>
          <w:lang w:val="en-GB"/>
        </w:rPr>
        <w:t xml:space="preserve"> and abroad </w:t>
      </w:r>
      <w:r w:rsidR="0075641E">
        <w:rPr>
          <w:lang w:val="en-GB"/>
        </w:rPr>
        <w:t>–</w:t>
      </w:r>
      <w:r w:rsidRPr="0048465B">
        <w:rPr>
          <w:lang w:val="en-GB"/>
        </w:rPr>
        <w:t xml:space="preserve"> is also affected by the disparate experiences of their parents, experiences that give different contexts to the experiences of the child in the eyes of each respective parent. Whilst the relative mundanity of wh</w:t>
      </w:r>
      <w:r w:rsidR="001E34E8">
        <w:rPr>
          <w:lang w:val="en-GB"/>
        </w:rPr>
        <w:t>ich</w:t>
      </w:r>
      <w:r w:rsidRPr="0048465B">
        <w:rPr>
          <w:lang w:val="en-GB"/>
        </w:rPr>
        <w:t xml:space="preserve"> languages to speak in the home and wh</w:t>
      </w:r>
      <w:r w:rsidR="001E34E8">
        <w:rPr>
          <w:lang w:val="en-GB"/>
        </w:rPr>
        <w:t>ich</w:t>
      </w:r>
      <w:r w:rsidRPr="0048465B">
        <w:rPr>
          <w:lang w:val="en-GB"/>
        </w:rPr>
        <w:t xml:space="preserve"> religious holidays and rituals the children follow nonetheless represent areas of compromise and potential friction for the parents, the burdensome experience of</w:t>
      </w:r>
      <w:r w:rsidR="00CB4815">
        <w:rPr>
          <w:lang w:val="en-GB"/>
        </w:rPr>
        <w:t xml:space="preserve"> being a</w:t>
      </w:r>
      <w:r w:rsidRPr="0048465B">
        <w:rPr>
          <w:lang w:val="en-GB"/>
        </w:rPr>
        <w:t xml:space="preserve"> </w:t>
      </w:r>
      <w:r w:rsidR="0023678C">
        <w:rPr>
          <w:lang w:val="en-GB"/>
        </w:rPr>
        <w:t>Palestinian</w:t>
      </w:r>
      <w:r w:rsidR="00CB4815">
        <w:rPr>
          <w:lang w:val="en-GB"/>
        </w:rPr>
        <w:t xml:space="preserve"> citizen of Israel for one parent</w:t>
      </w:r>
      <w:r w:rsidRPr="0048465B">
        <w:rPr>
          <w:lang w:val="en-GB"/>
        </w:rPr>
        <w:t xml:space="preserve">, and the inherited </w:t>
      </w:r>
      <w:r w:rsidR="00CB4815">
        <w:rPr>
          <w:lang w:val="en-GB"/>
        </w:rPr>
        <w:t>memories</w:t>
      </w:r>
      <w:r w:rsidRPr="0048465B">
        <w:rPr>
          <w:lang w:val="en-GB"/>
        </w:rPr>
        <w:t xml:space="preserve"> of the Holocaust</w:t>
      </w:r>
      <w:r w:rsidR="00CB4815">
        <w:rPr>
          <w:lang w:val="en-GB"/>
        </w:rPr>
        <w:t xml:space="preserve"> for the other</w:t>
      </w:r>
      <w:r w:rsidRPr="0048465B">
        <w:rPr>
          <w:lang w:val="en-GB"/>
        </w:rPr>
        <w:t>, have a far more intimate and personal effect on the</w:t>
      </w:r>
      <w:r w:rsidR="00CB4815">
        <w:rPr>
          <w:lang w:val="en-GB"/>
        </w:rPr>
        <w:t xml:space="preserve"> upbringing of dual-heritage</w:t>
      </w:r>
      <w:r w:rsidRPr="0048465B">
        <w:rPr>
          <w:lang w:val="en-GB"/>
        </w:rPr>
        <w:t xml:space="preserve"> child</w:t>
      </w:r>
      <w:r w:rsidR="00CB4815">
        <w:rPr>
          <w:lang w:val="en-GB"/>
        </w:rPr>
        <w:t>ren</w:t>
      </w:r>
      <w:r w:rsidRPr="0048465B">
        <w:rPr>
          <w:lang w:val="en-GB"/>
        </w:rPr>
        <w:t xml:space="preserve">. </w:t>
      </w:r>
    </w:p>
    <w:p w14:paraId="66C137F6" w14:textId="77777777" w:rsidR="00FC331F" w:rsidRPr="0048465B" w:rsidRDefault="00FC331F" w:rsidP="00FC331F">
      <w:pPr>
        <w:rPr>
          <w:lang w:val="en-GB"/>
        </w:rPr>
      </w:pPr>
    </w:p>
    <w:p w14:paraId="1D8CC04C" w14:textId="71104427" w:rsidR="00FC331F" w:rsidRPr="0048465B" w:rsidRDefault="00FC331F" w:rsidP="00FC331F">
      <w:pPr>
        <w:rPr>
          <w:lang w:val="en-GB"/>
        </w:rPr>
      </w:pPr>
      <w:r w:rsidRPr="0048465B">
        <w:rPr>
          <w:lang w:val="en-GB"/>
        </w:rPr>
        <w:t xml:space="preserve">In the case of </w:t>
      </w:r>
      <w:r w:rsidR="0023678C">
        <w:rPr>
          <w:lang w:val="en-GB"/>
        </w:rPr>
        <w:t>Palestinian</w:t>
      </w:r>
      <w:r w:rsidR="00B45635">
        <w:rPr>
          <w:lang w:val="en-GB"/>
        </w:rPr>
        <w:t xml:space="preserve"> </w:t>
      </w:r>
      <w:r w:rsidR="0023678C">
        <w:rPr>
          <w:lang w:val="en-GB"/>
        </w:rPr>
        <w:t>Israeli</w:t>
      </w:r>
      <w:r w:rsidRPr="0048465B">
        <w:rPr>
          <w:lang w:val="en-GB"/>
        </w:rPr>
        <w:t xml:space="preserve"> Amer, and his Jewish</w:t>
      </w:r>
      <w:r w:rsidR="00B45635">
        <w:rPr>
          <w:lang w:val="en-GB"/>
        </w:rPr>
        <w:t xml:space="preserve"> </w:t>
      </w:r>
      <w:r w:rsidRPr="0048465B">
        <w:rPr>
          <w:lang w:val="en-GB"/>
        </w:rPr>
        <w:t>Israeli wife Varda (they married in the Netherlands, Varda’s country of birth), the different experiences and the manner in which they affect the dispositions of the parents become clear in various circumstances. Amer and Varda describe the experience of being a mixed family in Ben Gurion airport as ‘“degrading and painful”’, with ‘extra security searches and questions’.</w:t>
      </w:r>
      <w:r w:rsidRPr="0048465B">
        <w:rPr>
          <w:vertAlign w:val="superscript"/>
          <w:lang w:val="en-GB"/>
        </w:rPr>
        <w:footnoteReference w:id="507"/>
      </w:r>
      <w:r w:rsidRPr="0048465B">
        <w:rPr>
          <w:lang w:val="en-GB"/>
        </w:rPr>
        <w:t xml:space="preserve"> Yet whilst this experience is one that the entire family is subjected to, it is rooted in Amer’s inclusion in the family, rather than Varda’s. Such incidents send the message to Palestinian citizens of Israel, those who choose to marry them, and the children that they produce, that such relationships are unacceptable in the eyes of national security. Such experiences are not anomalous. Despite not having the visible burden of being an interracial couple, another Jewish-Gentile couple recall the experience of returning to Israel after marrying abroad, and receiving only three gas masks as they passed through the airport, one for the Jewish mother and two for the Jewish daughters, whilst the gentile father was left without.</w:t>
      </w:r>
      <w:r w:rsidRPr="0048465B">
        <w:rPr>
          <w:vertAlign w:val="superscript"/>
          <w:lang w:val="en-GB"/>
        </w:rPr>
        <w:footnoteReference w:id="508"/>
      </w:r>
    </w:p>
    <w:p w14:paraId="3BB9D49D" w14:textId="77777777" w:rsidR="00FC331F" w:rsidRPr="0048465B" w:rsidRDefault="00FC331F" w:rsidP="00FC331F">
      <w:pPr>
        <w:rPr>
          <w:lang w:val="en-GB"/>
        </w:rPr>
      </w:pPr>
    </w:p>
    <w:p w14:paraId="631E5CEE" w14:textId="0789BEA9" w:rsidR="00FC331F" w:rsidRPr="0048465B" w:rsidRDefault="00FC331F" w:rsidP="00FC331F">
      <w:pPr>
        <w:rPr>
          <w:lang w:val="en-GB"/>
        </w:rPr>
      </w:pPr>
      <w:r w:rsidRPr="0048465B">
        <w:rPr>
          <w:lang w:val="en-GB"/>
        </w:rPr>
        <w:lastRenderedPageBreak/>
        <w:t>For Amer and Varda, yet another example of the different freedoms afforded to Israeli</w:t>
      </w:r>
      <w:r w:rsidR="00B45635">
        <w:rPr>
          <w:lang w:val="en-GB"/>
        </w:rPr>
        <w:t xml:space="preserve"> </w:t>
      </w:r>
      <w:r w:rsidRPr="0048465B">
        <w:rPr>
          <w:lang w:val="en-GB"/>
        </w:rPr>
        <w:t xml:space="preserve">Jewish and </w:t>
      </w:r>
      <w:r w:rsidR="0023678C">
        <w:rPr>
          <w:lang w:val="en-GB"/>
        </w:rPr>
        <w:t>Palestinian</w:t>
      </w:r>
      <w:r w:rsidR="00B45635">
        <w:rPr>
          <w:lang w:val="en-GB"/>
        </w:rPr>
        <w:t xml:space="preserve"> </w:t>
      </w:r>
      <w:r w:rsidR="0023678C">
        <w:rPr>
          <w:lang w:val="en-GB"/>
        </w:rPr>
        <w:t>Israeli</w:t>
      </w:r>
      <w:r w:rsidRPr="0048465B">
        <w:rPr>
          <w:lang w:val="en-GB"/>
        </w:rPr>
        <w:t xml:space="preserve"> parents is visible through their account of attending an anti-racism rally together in Jerusalem. The rally was picketed by members of Lehava</w:t>
      </w:r>
      <w:r w:rsidR="008B30BA">
        <w:rPr>
          <w:lang w:val="en-GB"/>
        </w:rPr>
        <w:t>.</w:t>
      </w:r>
      <w:r w:rsidRPr="0048465B">
        <w:rPr>
          <w:lang w:val="en-GB"/>
        </w:rPr>
        <w:t xml:space="preserve"> Varda</w:t>
      </w:r>
      <w:r w:rsidR="008B30BA">
        <w:rPr>
          <w:lang w:val="en-GB"/>
        </w:rPr>
        <w:t xml:space="preserve"> </w:t>
      </w:r>
      <w:r w:rsidR="00470243">
        <w:rPr>
          <w:lang w:val="en-GB"/>
        </w:rPr>
        <w:t>–</w:t>
      </w:r>
      <w:r w:rsidRPr="0048465B">
        <w:rPr>
          <w:lang w:val="en-GB"/>
        </w:rPr>
        <w:t xml:space="preserve"> a European-born white Israeli Jew</w:t>
      </w:r>
      <w:r w:rsidR="008B30BA">
        <w:rPr>
          <w:lang w:val="en-GB"/>
        </w:rPr>
        <w:t xml:space="preserve"> </w:t>
      </w:r>
      <w:r w:rsidR="00470243">
        <w:rPr>
          <w:lang w:val="en-GB"/>
        </w:rPr>
        <w:t>–</w:t>
      </w:r>
      <w:r w:rsidRPr="0048465B">
        <w:rPr>
          <w:lang w:val="en-GB"/>
        </w:rPr>
        <w:t xml:space="preserve"> felt compelled to argue with the Lehava supporters, a situation from which Amer had to ‘drag her away’. Whilst Varda saw her response as a refusal to ‘“give in</w:t>
      </w:r>
      <w:r w:rsidR="000C3FB4">
        <w:rPr>
          <w:lang w:val="en-GB"/>
        </w:rPr>
        <w:t xml:space="preserve"> [… to her …]</w:t>
      </w:r>
      <w:r w:rsidRPr="0048465B">
        <w:rPr>
          <w:lang w:val="en-GB"/>
        </w:rPr>
        <w:t xml:space="preserve"> fear”’, Amer saw the situation differently, as one where fear was the logical reaction, and where to get oneself out of the situation was the priority. ‘“[Y]</w:t>
      </w:r>
      <w:proofErr w:type="spellStart"/>
      <w:r w:rsidRPr="0048465B">
        <w:rPr>
          <w:lang w:val="en-GB"/>
        </w:rPr>
        <w:t>ou</w:t>
      </w:r>
      <w:proofErr w:type="spellEnd"/>
      <w:r w:rsidRPr="0048465B">
        <w:rPr>
          <w:lang w:val="en-GB"/>
        </w:rPr>
        <w:t xml:space="preserve"> should be afraid of these people”’, he tells Varda.</w:t>
      </w:r>
      <w:r w:rsidRPr="0048465B">
        <w:rPr>
          <w:vertAlign w:val="superscript"/>
          <w:lang w:val="en-GB"/>
        </w:rPr>
        <w:footnoteReference w:id="509"/>
      </w:r>
      <w:r w:rsidRPr="0048465B">
        <w:rPr>
          <w:lang w:val="en-GB"/>
        </w:rPr>
        <w:t xml:space="preserve"> Here, Varda is sheltered by the fact that </w:t>
      </w:r>
      <w:r w:rsidR="00470243">
        <w:rPr>
          <w:lang w:val="en-GB"/>
        </w:rPr>
        <w:t>–</w:t>
      </w:r>
      <w:r w:rsidRPr="0048465B">
        <w:rPr>
          <w:lang w:val="en-GB"/>
        </w:rPr>
        <w:t xml:space="preserve"> even though Jewish women are the primary targets of Lehava activism </w:t>
      </w:r>
      <w:r w:rsidR="00470243">
        <w:rPr>
          <w:lang w:val="en-GB"/>
        </w:rPr>
        <w:t>–</w:t>
      </w:r>
      <w:r w:rsidRPr="0048465B">
        <w:rPr>
          <w:lang w:val="en-GB"/>
        </w:rPr>
        <w:t xml:space="preserve"> the narrative behind this targeting is one of male Arab enchantment of defenceless Jewish women, where despite being the target of Lehava’s activism, the Jewish woman is the victim and innocent by definition, whilst the Arab man who accompanies her is the sinful criminal. Whilst the experience was undeniably painful for both of them, Amer </w:t>
      </w:r>
      <w:r w:rsidR="0023678C">
        <w:rPr>
          <w:lang w:val="en-GB"/>
        </w:rPr>
        <w:t>–</w:t>
      </w:r>
      <w:r w:rsidRPr="0048465B">
        <w:rPr>
          <w:lang w:val="en-GB"/>
        </w:rPr>
        <w:t xml:space="preserve"> a</w:t>
      </w:r>
      <w:r w:rsidR="0023678C">
        <w:rPr>
          <w:lang w:val="en-GB"/>
        </w:rPr>
        <w:t xml:space="preserve"> Palestinian citizen of Israel</w:t>
      </w:r>
      <w:r w:rsidRPr="0048465B">
        <w:rPr>
          <w:lang w:val="en-GB"/>
        </w:rPr>
        <w:t xml:space="preserve"> </w:t>
      </w:r>
      <w:r w:rsidR="00470243">
        <w:rPr>
          <w:lang w:val="en-GB"/>
        </w:rPr>
        <w:t>–</w:t>
      </w:r>
      <w:r w:rsidRPr="0048465B">
        <w:rPr>
          <w:lang w:val="en-GB"/>
        </w:rPr>
        <w:t xml:space="preserve"> is the only one who truly understands the danger of the situation, the one for whom the violence that Lehava represent is a physical and existential threat. Whilst their children are half Palestinian citizen</w:t>
      </w:r>
      <w:r w:rsidR="001E34E8">
        <w:rPr>
          <w:lang w:val="en-GB"/>
        </w:rPr>
        <w:t>s</w:t>
      </w:r>
      <w:r w:rsidRPr="0048465B">
        <w:rPr>
          <w:lang w:val="en-GB"/>
        </w:rPr>
        <w:t xml:space="preserve"> of Israel, and half Jewish citizen</w:t>
      </w:r>
      <w:r w:rsidR="001E34E8">
        <w:rPr>
          <w:lang w:val="en-GB"/>
        </w:rPr>
        <w:t>s</w:t>
      </w:r>
      <w:r w:rsidRPr="0048465B">
        <w:rPr>
          <w:lang w:val="en-GB"/>
        </w:rPr>
        <w:t xml:space="preserve"> of Israel, the Palestinian half ensures that it is with similar prejudice that these children will be met.</w:t>
      </w:r>
    </w:p>
    <w:p w14:paraId="1EE004C2" w14:textId="77777777" w:rsidR="00FC331F" w:rsidRPr="0048465B" w:rsidRDefault="00FC331F" w:rsidP="00FC331F">
      <w:pPr>
        <w:rPr>
          <w:lang w:val="en-GB"/>
        </w:rPr>
      </w:pPr>
    </w:p>
    <w:p w14:paraId="13234857" w14:textId="17181444" w:rsidR="00FC331F" w:rsidRPr="0048465B" w:rsidRDefault="00FC331F" w:rsidP="00FC331F">
      <w:pPr>
        <w:rPr>
          <w:lang w:val="en-GB"/>
        </w:rPr>
      </w:pPr>
      <w:r w:rsidRPr="0048465B">
        <w:rPr>
          <w:lang w:val="en-GB"/>
        </w:rPr>
        <w:t>Amer’s anxiety is reversed</w:t>
      </w:r>
      <w:r w:rsidR="008B30BA">
        <w:rPr>
          <w:lang w:val="en-GB"/>
        </w:rPr>
        <w:t>, however,</w:t>
      </w:r>
      <w:r w:rsidRPr="0048465B">
        <w:rPr>
          <w:lang w:val="en-GB"/>
        </w:rPr>
        <w:t xml:space="preserve"> when it comes to the question of whether Israel is a safe place for him and Varda to live, with the histories of their </w:t>
      </w:r>
      <w:r w:rsidR="002E63BA">
        <w:rPr>
          <w:lang w:val="en-GB"/>
        </w:rPr>
        <w:t>respective</w:t>
      </w:r>
      <w:r w:rsidR="002E63BA" w:rsidRPr="0048465B">
        <w:rPr>
          <w:lang w:val="en-GB"/>
        </w:rPr>
        <w:t xml:space="preserve"> </w:t>
      </w:r>
      <w:r w:rsidRPr="0048465B">
        <w:rPr>
          <w:lang w:val="en-GB"/>
        </w:rPr>
        <w:t xml:space="preserve">peoples yet again at play in their approaches to Israel’s safety. Varda states ‘“I’m seeing that we’re becoming a fascist, undemocratic society and human rights are already being violated and ours are next”’. She sees Israel as being on the road ‘towards totalitarianism’ and believes that ‘the family should move </w:t>
      </w:r>
      <w:r w:rsidRPr="0048465B">
        <w:rPr>
          <w:lang w:val="en-GB"/>
        </w:rPr>
        <w:lastRenderedPageBreak/>
        <w:t xml:space="preserve">abroad’. Ironically, Amer upends the traditional Holocaust-centred argument regarding the importance of the Israeli state </w:t>
      </w:r>
      <w:r w:rsidR="00470243">
        <w:rPr>
          <w:lang w:val="en-GB"/>
        </w:rPr>
        <w:t>–</w:t>
      </w:r>
      <w:r w:rsidRPr="0048465B">
        <w:rPr>
          <w:lang w:val="en-GB"/>
        </w:rPr>
        <w:t xml:space="preserve"> that Israel exists in order to stop a second Holocaust from occurring </w:t>
      </w:r>
      <w:r w:rsidR="00470243">
        <w:rPr>
          <w:lang w:val="en-GB"/>
        </w:rPr>
        <w:t>–</w:t>
      </w:r>
      <w:r w:rsidRPr="0048465B">
        <w:rPr>
          <w:lang w:val="en-GB"/>
        </w:rPr>
        <w:t xml:space="preserve"> by arguing that this ‘Israeli habit of seeing the world through the prism of the Holocaust’ is actually the very reason that his wife wishes to leave Israel, that is, that she sees totalitarianism in Israel because she is looking for it. Amer instead embodies the position of the exiled Palestinian in an increasingly Islamophobic world when he states ‘“Why should we be forced out?</w:t>
      </w:r>
      <w:r w:rsidR="000C3FB4">
        <w:rPr>
          <w:lang w:val="en-GB"/>
        </w:rPr>
        <w:t xml:space="preserve"> […] </w:t>
      </w:r>
      <w:r w:rsidRPr="0048465B">
        <w:rPr>
          <w:lang w:val="en-GB"/>
        </w:rPr>
        <w:t>Nobody can promise me much better in Europe or anywhere else.”’ Here, in a family defined by two very different forms of exile, Varda sees Israel as a country that is in the process of becoming fascist and undemocratic, and, if we are to believe Amer, takes the lesson from the Holocaust that it is better to abandon one’s home for safety than stand by it and ignore the signs, thus passing the lesson on to her children that there is nothing of higher value than democracy</w:t>
      </w:r>
      <w:r w:rsidR="008B30BA">
        <w:rPr>
          <w:lang w:val="en-GB"/>
        </w:rPr>
        <w:t>.</w:t>
      </w:r>
      <w:r w:rsidRPr="0048465B">
        <w:rPr>
          <w:lang w:val="en-GB"/>
        </w:rPr>
        <w:t xml:space="preserve"> </w:t>
      </w:r>
      <w:r w:rsidR="008B30BA">
        <w:rPr>
          <w:lang w:val="en-GB"/>
        </w:rPr>
        <w:t>In stark contrast</w:t>
      </w:r>
      <w:r w:rsidRPr="0048465B">
        <w:rPr>
          <w:lang w:val="en-GB"/>
        </w:rPr>
        <w:t xml:space="preserve">, the geographical and historical proximity of Amer’s exile means that the lesson he teaches his children is to refuse to be ‘forced out’, regardless of the difficulties of being a full </w:t>
      </w:r>
      <w:r w:rsidR="00470243">
        <w:rPr>
          <w:lang w:val="en-GB"/>
        </w:rPr>
        <w:t>–</w:t>
      </w:r>
      <w:r w:rsidRPr="0048465B">
        <w:rPr>
          <w:lang w:val="en-GB"/>
        </w:rPr>
        <w:t xml:space="preserve"> or half </w:t>
      </w:r>
      <w:r w:rsidR="00470243">
        <w:rPr>
          <w:lang w:val="en-GB"/>
        </w:rPr>
        <w:t>–</w:t>
      </w:r>
      <w:r w:rsidRPr="0048465B">
        <w:rPr>
          <w:lang w:val="en-GB"/>
        </w:rPr>
        <w:t xml:space="preserve"> Palestinian citizen </w:t>
      </w:r>
      <w:r w:rsidR="008B30BA">
        <w:rPr>
          <w:lang w:val="en-GB"/>
        </w:rPr>
        <w:t>living in</w:t>
      </w:r>
      <w:r w:rsidRPr="0048465B">
        <w:rPr>
          <w:lang w:val="en-GB"/>
        </w:rPr>
        <w:t xml:space="preserve"> Israel. Here, we see that despite each individual contradicting social norms through both their relationship and through their approaches to Israel (the Jew seeing it as totalitarian and the Arab seeing it as still having ‘“balance”’), even these controversial views revolve around their respective national narratives.</w:t>
      </w:r>
      <w:r w:rsidR="008B30BA" w:rsidRPr="0048465B">
        <w:rPr>
          <w:vertAlign w:val="superscript"/>
          <w:lang w:val="en-GB"/>
        </w:rPr>
        <w:footnoteReference w:id="510"/>
      </w:r>
      <w:r w:rsidRPr="0048465B">
        <w:rPr>
          <w:lang w:val="en-GB"/>
        </w:rPr>
        <w:t xml:space="preserve"> Even when one is acting in contradiction of the community</w:t>
      </w:r>
      <w:r w:rsidR="008B30BA">
        <w:rPr>
          <w:lang w:val="en-GB"/>
        </w:rPr>
        <w:t>’</w:t>
      </w:r>
      <w:r w:rsidRPr="0048465B">
        <w:rPr>
          <w:lang w:val="en-GB"/>
        </w:rPr>
        <w:t>s wishes, the sense of duty to one’s cultural and historical origins remains.</w:t>
      </w:r>
    </w:p>
    <w:p w14:paraId="4B9AFE7B" w14:textId="77777777" w:rsidR="00FC331F" w:rsidRPr="0048465B" w:rsidRDefault="00FC331F" w:rsidP="00FC331F">
      <w:pPr>
        <w:rPr>
          <w:lang w:val="en-GB"/>
        </w:rPr>
      </w:pPr>
    </w:p>
    <w:p w14:paraId="14219C76" w14:textId="6EF1637C" w:rsidR="00FC331F" w:rsidRPr="0048465B" w:rsidRDefault="0039637F" w:rsidP="00FC331F">
      <w:pPr>
        <w:rPr>
          <w:lang w:val="en-GB"/>
        </w:rPr>
      </w:pPr>
      <w:r w:rsidRPr="0048465B">
        <w:rPr>
          <w:lang w:val="en-GB"/>
        </w:rPr>
        <w:t>This friction between the opposing pulls of following one’s individual desire and adhering to the national narrative is at the core of the novel</w:t>
      </w:r>
      <w:r w:rsidRPr="0048465B">
        <w:rPr>
          <w:i/>
          <w:lang w:val="en-GB"/>
        </w:rPr>
        <w:t xml:space="preserve"> Ishmael’s Oranges</w:t>
      </w:r>
      <w:r w:rsidRPr="0048465B">
        <w:rPr>
          <w:lang w:val="en-GB"/>
        </w:rPr>
        <w:t>.</w:t>
      </w:r>
      <w:r w:rsidRPr="0048465B">
        <w:rPr>
          <w:vertAlign w:val="superscript"/>
          <w:lang w:val="en-GB"/>
        </w:rPr>
        <w:footnoteReference w:id="511"/>
      </w:r>
      <w:r w:rsidRPr="0048465B">
        <w:rPr>
          <w:lang w:val="en-GB"/>
        </w:rPr>
        <w:t xml:space="preserve"> Written by Claire Hajaj, an </w:t>
      </w:r>
      <w:r w:rsidRPr="0048465B">
        <w:rPr>
          <w:lang w:val="en-GB"/>
        </w:rPr>
        <w:lastRenderedPageBreak/>
        <w:t>author of ‘shared Zionist-Palestinian heritage’,</w:t>
      </w:r>
      <w:r w:rsidRPr="0048465B">
        <w:rPr>
          <w:vertAlign w:val="superscript"/>
          <w:lang w:val="en-GB"/>
        </w:rPr>
        <w:footnoteReference w:id="512"/>
      </w:r>
      <w:r w:rsidRPr="0048465B">
        <w:rPr>
          <w:lang w:val="en-GB"/>
        </w:rPr>
        <w:t xml:space="preserve"> </w:t>
      </w:r>
      <w:r w:rsidRPr="0048465B">
        <w:rPr>
          <w:i/>
          <w:lang w:val="en-GB"/>
        </w:rPr>
        <w:t>Ishmael’s Oranges</w:t>
      </w:r>
      <w:r w:rsidRPr="0048465B">
        <w:rPr>
          <w:lang w:val="en-GB"/>
        </w:rPr>
        <w:t xml:space="preserve"> is a ‘fictionalized version of [Hajaj’s] parent’s parallel upbringings on either side of the Israeli-Palestinian conf</w:t>
      </w:r>
      <w:r>
        <w:rPr>
          <w:lang w:val="en-GB"/>
        </w:rPr>
        <w:t>l</w:t>
      </w:r>
      <w:r w:rsidRPr="0048465B">
        <w:rPr>
          <w:lang w:val="en-GB"/>
        </w:rPr>
        <w:t>ict’.</w:t>
      </w:r>
      <w:r w:rsidRPr="0048465B">
        <w:rPr>
          <w:vertAlign w:val="superscript"/>
          <w:lang w:val="en-GB"/>
        </w:rPr>
        <w:footnoteReference w:id="513"/>
      </w:r>
      <w:r w:rsidRPr="0048465B">
        <w:rPr>
          <w:lang w:val="en-GB"/>
        </w:rPr>
        <w:t xml:space="preserve"> The novel follows the lives of Palestinian child Salim and Jewish child Judith as they grow up in Palestine and Sunderland respectively, showing the ways in which their notions of Arab and Jewish identity are shaped as children, tested when they meet one another, and complicated even further by both the birth of their children and the contingent feeling of needing to impart a sense of tradition and legacy onto them.</w:t>
      </w:r>
    </w:p>
    <w:p w14:paraId="687C244B" w14:textId="77777777" w:rsidR="00FC331F" w:rsidRPr="0048465B" w:rsidRDefault="00FC331F" w:rsidP="00FC331F">
      <w:pPr>
        <w:rPr>
          <w:lang w:val="en-GB"/>
        </w:rPr>
      </w:pPr>
    </w:p>
    <w:p w14:paraId="7D8951BF" w14:textId="42BCB97E" w:rsidR="00FC331F" w:rsidRPr="0048465B" w:rsidRDefault="00FC331F" w:rsidP="00FC331F">
      <w:pPr>
        <w:rPr>
          <w:lang w:val="en-GB"/>
        </w:rPr>
      </w:pPr>
      <w:r w:rsidRPr="0048465B">
        <w:rPr>
          <w:lang w:val="en-GB"/>
        </w:rPr>
        <w:t xml:space="preserve">Hajaj’s own experience as a mixed Jewish-Palestinian individual serves as a useful illustration of this unique position, whilst also providing her writing </w:t>
      </w:r>
      <w:r w:rsidR="00C14E08">
        <w:rPr>
          <w:lang w:val="en-GB"/>
        </w:rPr>
        <w:t>–</w:t>
      </w:r>
      <w:r w:rsidRPr="0048465B">
        <w:rPr>
          <w:lang w:val="en-GB"/>
        </w:rPr>
        <w:t xml:space="preserve"> </w:t>
      </w:r>
      <w:r w:rsidR="00C14E08">
        <w:rPr>
          <w:lang w:val="en-GB"/>
        </w:rPr>
        <w:t>l</w:t>
      </w:r>
      <w:r w:rsidRPr="0048465B">
        <w:rPr>
          <w:lang w:val="en-GB"/>
        </w:rPr>
        <w:t xml:space="preserve">ike Rabinyan’s in </w:t>
      </w:r>
      <w:r w:rsidRPr="0048465B">
        <w:rPr>
          <w:i/>
          <w:lang w:val="en-GB"/>
        </w:rPr>
        <w:t>All the Rivers</w:t>
      </w:r>
      <w:r w:rsidRPr="0048465B">
        <w:rPr>
          <w:lang w:val="en-GB"/>
        </w:rPr>
        <w:t xml:space="preserve"> </w:t>
      </w:r>
      <w:r w:rsidR="00C14E08">
        <w:rPr>
          <w:lang w:val="en-GB"/>
        </w:rPr>
        <w:t>–</w:t>
      </w:r>
      <w:r w:rsidRPr="0048465B">
        <w:rPr>
          <w:lang w:val="en-GB"/>
        </w:rPr>
        <w:t xml:space="preserve"> with an experiential </w:t>
      </w:r>
      <w:r w:rsidR="006C6AD2">
        <w:rPr>
          <w:lang w:val="en-GB"/>
        </w:rPr>
        <w:t>authenticity</w:t>
      </w:r>
      <w:r w:rsidRPr="0048465B">
        <w:rPr>
          <w:lang w:val="en-GB"/>
        </w:rPr>
        <w:t xml:space="preserve"> that </w:t>
      </w:r>
      <w:r w:rsidR="00C14E08">
        <w:rPr>
          <w:lang w:val="en-GB"/>
        </w:rPr>
        <w:t xml:space="preserve">works </w:t>
      </w:r>
      <w:r w:rsidRPr="0048465B">
        <w:rPr>
          <w:lang w:val="en-GB"/>
        </w:rPr>
        <w:t xml:space="preserve">centred </w:t>
      </w:r>
      <w:r w:rsidR="00C14E08">
        <w:rPr>
          <w:lang w:val="en-GB"/>
        </w:rPr>
        <w:t>on</w:t>
      </w:r>
      <w:r w:rsidR="00CA0C1C">
        <w:rPr>
          <w:lang w:val="en-GB"/>
        </w:rPr>
        <w:t xml:space="preserve"> </w:t>
      </w:r>
      <w:r w:rsidRPr="0048465B">
        <w:rPr>
          <w:lang w:val="en-GB"/>
        </w:rPr>
        <w:t>imagination alone</w:t>
      </w:r>
      <w:r w:rsidR="00C14E08">
        <w:rPr>
          <w:lang w:val="en-GB"/>
        </w:rPr>
        <w:t xml:space="preserve"> often fall short of</w:t>
      </w:r>
      <w:r w:rsidRPr="0048465B">
        <w:rPr>
          <w:lang w:val="en-GB"/>
        </w:rPr>
        <w:t xml:space="preserve">. Writing in </w:t>
      </w:r>
      <w:r w:rsidR="008B30BA">
        <w:rPr>
          <w:i/>
          <w:iCs/>
          <w:lang w:val="en-GB"/>
        </w:rPr>
        <w:t xml:space="preserve">The </w:t>
      </w:r>
      <w:r w:rsidRPr="0048465B">
        <w:rPr>
          <w:i/>
          <w:lang w:val="en-GB"/>
        </w:rPr>
        <w:t>Telegraph,</w:t>
      </w:r>
      <w:r w:rsidRPr="0048465B">
        <w:rPr>
          <w:lang w:val="en-GB"/>
        </w:rPr>
        <w:t xml:space="preserve"> Hajaj speaks of how she chose to occupy the ‘lonely no-man’s land’ of the ‘middle ground between the two sides’ whilst at the same time ‘long[</w:t>
      </w:r>
      <w:proofErr w:type="spellStart"/>
      <w:r w:rsidRPr="0048465B">
        <w:rPr>
          <w:lang w:val="en-GB"/>
        </w:rPr>
        <w:t>ing</w:t>
      </w:r>
      <w:proofErr w:type="spellEnd"/>
      <w:r w:rsidRPr="0048465B">
        <w:rPr>
          <w:lang w:val="en-GB"/>
        </w:rPr>
        <w:t>] for the certainty of the trenches’. Her accounts of her parents, especially of her father, clearly demonstrate these two positions, wherein loyalty to one side, to one community, is seen to mean little without the dispossession of the other. Hajaj recalls how her Palestinian father ‘blamed [her] for seeing the grey zones in a war of blacks and whites’, telling her that if she refused to choose a side she would ‘be alone’, that ‘A child who doesn’t share her family’s values has no family’. Similarly, albeit in a less direct manner, upon discovering that her Palestinian surname</w:t>
      </w:r>
      <w:r w:rsidR="00876076">
        <w:rPr>
          <w:lang w:val="en-GB"/>
        </w:rPr>
        <w:t xml:space="preserve"> </w:t>
      </w:r>
      <w:r w:rsidRPr="0048465B">
        <w:rPr>
          <w:lang w:val="en-GB"/>
        </w:rPr>
        <w:t xml:space="preserve">had been hidden and replaced with one she did not </w:t>
      </w:r>
      <w:r w:rsidRPr="0048465B">
        <w:rPr>
          <w:lang w:val="en-GB"/>
        </w:rPr>
        <w:lastRenderedPageBreak/>
        <w:t>recognise when attending a Jewish</w:t>
      </w:r>
      <w:r w:rsidR="00C14E08">
        <w:rPr>
          <w:lang w:val="en-GB"/>
        </w:rPr>
        <w:t>-</w:t>
      </w:r>
      <w:r w:rsidRPr="0048465B">
        <w:rPr>
          <w:lang w:val="en-GB"/>
        </w:rPr>
        <w:t xml:space="preserve">family event, Hajaj’s mother, ‘sad and scolding’, told her </w:t>
      </w:r>
      <w:r w:rsidR="00AE6D44">
        <w:rPr>
          <w:lang w:val="en-GB"/>
        </w:rPr>
        <w:t>eleven</w:t>
      </w:r>
      <w:r w:rsidR="0039637F" w:rsidRPr="0048465B">
        <w:rPr>
          <w:lang w:val="en-GB"/>
        </w:rPr>
        <w:t>-year-old</w:t>
      </w:r>
      <w:r w:rsidRPr="0048465B">
        <w:rPr>
          <w:lang w:val="en-GB"/>
        </w:rPr>
        <w:t xml:space="preserve"> daughter, ‘“You can’t possibly think anyone would [use] your real name here”’.</w:t>
      </w:r>
      <w:r w:rsidRPr="0048465B">
        <w:rPr>
          <w:vertAlign w:val="superscript"/>
          <w:lang w:val="en-GB"/>
        </w:rPr>
        <w:footnoteReference w:id="514"/>
      </w:r>
    </w:p>
    <w:p w14:paraId="1811F9EF" w14:textId="77777777" w:rsidR="00FC331F" w:rsidRPr="0048465B" w:rsidRDefault="00FC331F" w:rsidP="00FC331F">
      <w:pPr>
        <w:rPr>
          <w:lang w:val="en-GB"/>
        </w:rPr>
      </w:pPr>
    </w:p>
    <w:p w14:paraId="04AE0EE2" w14:textId="31D0798D" w:rsidR="00FC331F" w:rsidRPr="0048465B" w:rsidRDefault="00FC331F" w:rsidP="00FC331F">
      <w:pPr>
        <w:rPr>
          <w:lang w:val="en-GB"/>
        </w:rPr>
      </w:pPr>
      <w:r w:rsidRPr="0048465B">
        <w:rPr>
          <w:lang w:val="en-GB"/>
        </w:rPr>
        <w:t>Such childhood experiences are indicative of the fragility and borderline non-existence of a middle ground when the two poles in question are opposing sides in a conflict of seeming certainties. Hajaj bemoans the single mindedness of her parents, arguing in an interview with fellow author and journalist Matthew Kalman that the narratives of the two countries ‘are incredibly similar’, that they ‘run on these parallel tracks… [with the] same stories with the same degree of emotion’. Yet despite these similarities, she continues, with Israel and Palestine, ‘“it’s not enough that you be right… [but] Everybody else has to be so irredeemably wrong”’. Yet whilst Hajaj</w:t>
      </w:r>
      <w:r w:rsidR="009475BA">
        <w:rPr>
          <w:lang w:val="en-GB"/>
        </w:rPr>
        <w:t xml:space="preserve"> </w:t>
      </w:r>
      <w:r w:rsidRPr="0048465B">
        <w:rPr>
          <w:lang w:val="en-GB"/>
        </w:rPr>
        <w:t>condemn</w:t>
      </w:r>
      <w:r w:rsidR="009475BA">
        <w:rPr>
          <w:lang w:val="en-GB"/>
        </w:rPr>
        <w:t>s</w:t>
      </w:r>
      <w:r w:rsidRPr="0048465B">
        <w:rPr>
          <w:lang w:val="en-GB"/>
        </w:rPr>
        <w:t xml:space="preserve"> the actions and thought processes of her parents, </w:t>
      </w:r>
      <w:r w:rsidR="009475BA">
        <w:rPr>
          <w:lang w:val="en-GB"/>
        </w:rPr>
        <w:t>she</w:t>
      </w:r>
      <w:r w:rsidRPr="0048465B">
        <w:rPr>
          <w:lang w:val="en-GB"/>
        </w:rPr>
        <w:t xml:space="preserve"> also demonstrate</w:t>
      </w:r>
      <w:r w:rsidR="009475BA">
        <w:rPr>
          <w:lang w:val="en-GB"/>
        </w:rPr>
        <w:t>s</w:t>
      </w:r>
      <w:r w:rsidRPr="0048465B">
        <w:rPr>
          <w:lang w:val="en-GB"/>
        </w:rPr>
        <w:t xml:space="preserve"> that when the integrity of one’s country and one’s heritage is threatened, the instinct to react in defence of one’s country is not only immensely powerful, but also often intertwined with the urge to act offensively towards the </w:t>
      </w:r>
      <w:r w:rsidR="009475BA">
        <w:rPr>
          <w:lang w:val="en-GB"/>
        </w:rPr>
        <w:t xml:space="preserve">perceived </w:t>
      </w:r>
      <w:r w:rsidRPr="0048465B">
        <w:rPr>
          <w:lang w:val="en-GB"/>
        </w:rPr>
        <w:t>aggressor. She reveals, ‘When my cousins cursed the Zionists I never felt more Jewish. But when my mother’s family defended Israel, I felt those same curses come surging into my chest’.</w:t>
      </w:r>
      <w:r w:rsidRPr="0048465B">
        <w:rPr>
          <w:vertAlign w:val="superscript"/>
          <w:lang w:val="en-GB"/>
        </w:rPr>
        <w:footnoteReference w:id="515"/>
      </w:r>
      <w:r w:rsidRPr="0048465B">
        <w:rPr>
          <w:lang w:val="en-GB"/>
        </w:rPr>
        <w:t xml:space="preserve"> Whilst inhabiting both positions at all times, Hajaj’s primary national affiliation fluctuates depending upon which element of her identity she perceives as being at greatest risk. Here, Hajaj’s personal experience is representative of the conflict as a whole, </w:t>
      </w:r>
      <w:r w:rsidR="009475BA">
        <w:rPr>
          <w:lang w:val="en-GB"/>
        </w:rPr>
        <w:t xml:space="preserve">wherein </w:t>
      </w:r>
      <w:r w:rsidRPr="0048465B">
        <w:rPr>
          <w:lang w:val="en-GB"/>
        </w:rPr>
        <w:t xml:space="preserve">the perceived peril of the one nation </w:t>
      </w:r>
      <w:r w:rsidR="009475BA">
        <w:rPr>
          <w:lang w:val="en-GB"/>
        </w:rPr>
        <w:t>i</w:t>
      </w:r>
      <w:r w:rsidRPr="0048465B">
        <w:rPr>
          <w:lang w:val="en-GB"/>
        </w:rPr>
        <w:t>s</w:t>
      </w:r>
      <w:r w:rsidR="009475BA">
        <w:rPr>
          <w:lang w:val="en-GB"/>
        </w:rPr>
        <w:t xml:space="preserve"> most commonly</w:t>
      </w:r>
      <w:r w:rsidRPr="0048465B">
        <w:rPr>
          <w:lang w:val="en-GB"/>
        </w:rPr>
        <w:t xml:space="preserve"> tied to the actions of the other. In a return to the zero-sum discussions of Chapter One, the resulting ideology is that the </w:t>
      </w:r>
      <w:r w:rsidR="0039637F" w:rsidRPr="0048465B">
        <w:rPr>
          <w:lang w:val="en-GB"/>
        </w:rPr>
        <w:t>defence</w:t>
      </w:r>
      <w:r w:rsidRPr="0048465B">
        <w:rPr>
          <w:lang w:val="en-GB"/>
        </w:rPr>
        <w:t xml:space="preserve"> of one</w:t>
      </w:r>
      <w:r w:rsidR="009475BA">
        <w:rPr>
          <w:lang w:val="en-GB"/>
        </w:rPr>
        <w:t>’s own</w:t>
      </w:r>
      <w:r w:rsidRPr="0048465B">
        <w:rPr>
          <w:lang w:val="en-GB"/>
        </w:rPr>
        <w:t xml:space="preserve"> </w:t>
      </w:r>
      <w:r w:rsidRPr="0048465B">
        <w:rPr>
          <w:lang w:val="en-GB"/>
        </w:rPr>
        <w:lastRenderedPageBreak/>
        <w:t xml:space="preserve">nation justifies aggression towards the other, and, conversely, that the criticism of </w:t>
      </w:r>
      <w:r w:rsidR="009475BA">
        <w:rPr>
          <w:lang w:val="en-GB"/>
        </w:rPr>
        <w:t>the other</w:t>
      </w:r>
      <w:r w:rsidRPr="0048465B">
        <w:rPr>
          <w:lang w:val="en-GB"/>
        </w:rPr>
        <w:t xml:space="preserve"> people is the absolution of </w:t>
      </w:r>
      <w:r w:rsidR="009475BA">
        <w:rPr>
          <w:lang w:val="en-GB"/>
        </w:rPr>
        <w:t>one’s own</w:t>
      </w:r>
      <w:r w:rsidRPr="0048465B">
        <w:rPr>
          <w:lang w:val="en-GB"/>
        </w:rPr>
        <w:t>.</w:t>
      </w:r>
    </w:p>
    <w:p w14:paraId="247DAB67" w14:textId="77777777" w:rsidR="00FC331F" w:rsidRPr="0048465B" w:rsidRDefault="00FC331F" w:rsidP="00FC331F">
      <w:pPr>
        <w:rPr>
          <w:lang w:val="en-GB"/>
        </w:rPr>
      </w:pPr>
    </w:p>
    <w:p w14:paraId="042543D9" w14:textId="4BD17CC9" w:rsidR="00FC331F" w:rsidRPr="0048465B" w:rsidRDefault="00FC331F" w:rsidP="00FC331F">
      <w:pPr>
        <w:rPr>
          <w:lang w:val="en-GB"/>
        </w:rPr>
      </w:pPr>
      <w:r w:rsidRPr="0048465B">
        <w:rPr>
          <w:lang w:val="en-GB"/>
        </w:rPr>
        <w:t xml:space="preserve">Much of Hajaj’s own experience as a child of equal parts Palestinian and Jewish heritage makes its way into </w:t>
      </w:r>
      <w:r w:rsidRPr="0048465B">
        <w:rPr>
          <w:i/>
          <w:lang w:val="en-GB"/>
        </w:rPr>
        <w:t>Ishmael’s Oranges</w:t>
      </w:r>
      <w:r w:rsidRPr="0048465B">
        <w:rPr>
          <w:lang w:val="en-GB"/>
        </w:rPr>
        <w:t xml:space="preserve">, her unique position shaping not only her vision of what it is to be a mixed Jewish-Palestinian child, but also influencing the characterisation of the parents of these fictional children. Through </w:t>
      </w:r>
      <w:r w:rsidR="009F016C">
        <w:rPr>
          <w:lang w:val="en-GB"/>
        </w:rPr>
        <w:t>embodying</w:t>
      </w:r>
      <w:r w:rsidRPr="0048465B">
        <w:rPr>
          <w:lang w:val="en-GB"/>
        </w:rPr>
        <w:t xml:space="preserve"> her own experience within these characters, Hajaj is able to explore the possibility of overcoming both the pressures of these respective collective communities and the demand for individuals to remain within their own group, whilst also demonstrating the delicate balance that surrounds</w:t>
      </w:r>
      <w:r w:rsidR="00C14E08">
        <w:rPr>
          <w:lang w:val="en-GB"/>
        </w:rPr>
        <w:t xml:space="preserve"> such</w:t>
      </w:r>
      <w:r w:rsidRPr="0048465B">
        <w:rPr>
          <w:lang w:val="en-GB"/>
        </w:rPr>
        <w:t xml:space="preserve"> renunciations of the cultural norms.</w:t>
      </w:r>
    </w:p>
    <w:p w14:paraId="24A87C81" w14:textId="77777777" w:rsidR="00FC331F" w:rsidRPr="0048465B" w:rsidRDefault="00FC331F" w:rsidP="00FC331F">
      <w:pPr>
        <w:rPr>
          <w:lang w:val="en-GB"/>
        </w:rPr>
      </w:pPr>
    </w:p>
    <w:p w14:paraId="6EBD1BD4" w14:textId="543416DB" w:rsidR="00FC331F" w:rsidRPr="0048465B" w:rsidRDefault="00FC331F" w:rsidP="00FC331F">
      <w:pPr>
        <w:rPr>
          <w:lang w:val="en-GB"/>
        </w:rPr>
      </w:pPr>
      <w:r w:rsidRPr="0048465B">
        <w:rPr>
          <w:lang w:val="en-GB"/>
        </w:rPr>
        <w:t xml:space="preserve">From the very beginning of the novel, Hajaj refuses to engage in binary understandings of Israel, Palestine, Jews and Palestinians. After a brief preface that foreshadows the novel’s end, </w:t>
      </w:r>
      <w:r w:rsidR="00DE5245">
        <w:rPr>
          <w:lang w:val="en-GB"/>
        </w:rPr>
        <w:t xml:space="preserve">the first chapter </w:t>
      </w:r>
      <w:r w:rsidRPr="0048465B">
        <w:rPr>
          <w:lang w:val="en-GB"/>
        </w:rPr>
        <w:t>begins with two quotations</w:t>
      </w:r>
      <w:r w:rsidR="00C462F3">
        <w:rPr>
          <w:lang w:val="en-GB"/>
        </w:rPr>
        <w:t>.</w:t>
      </w:r>
      <w:r w:rsidRPr="0048465B">
        <w:rPr>
          <w:lang w:val="en-GB"/>
        </w:rPr>
        <w:t xml:space="preserve"> </w:t>
      </w:r>
      <w:r w:rsidR="00C462F3">
        <w:rPr>
          <w:lang w:val="en-GB"/>
        </w:rPr>
        <w:t>The first</w:t>
      </w:r>
      <w:r w:rsidRPr="0048465B">
        <w:rPr>
          <w:lang w:val="en-GB"/>
        </w:rPr>
        <w:t xml:space="preserve"> detail</w:t>
      </w:r>
      <w:r w:rsidR="00C462F3">
        <w:rPr>
          <w:lang w:val="en-GB"/>
        </w:rPr>
        <w:t>s</w:t>
      </w:r>
      <w:r w:rsidRPr="0048465B">
        <w:rPr>
          <w:lang w:val="en-GB"/>
        </w:rPr>
        <w:t xml:space="preserve"> the Israeli Absentee Property Law, a law created to allow Israel to claim the land of exiled Palestinians</w:t>
      </w:r>
      <w:r w:rsidR="00DE5245">
        <w:rPr>
          <w:lang w:val="en-GB"/>
        </w:rPr>
        <w:t xml:space="preserve"> who have no way to return to properties deemed by the Israeli government as abandoned</w:t>
      </w:r>
      <w:r w:rsidR="00C462F3">
        <w:rPr>
          <w:lang w:val="en-GB"/>
        </w:rPr>
        <w:t>. The second is a quotation</w:t>
      </w:r>
      <w:r w:rsidRPr="0048465B">
        <w:rPr>
          <w:lang w:val="en-GB"/>
        </w:rPr>
        <w:t xml:space="preserve"> from former Prime Minister of the United Kingdom Neville Chamberlain, in which he state</w:t>
      </w:r>
      <w:r w:rsidR="00C462F3">
        <w:rPr>
          <w:lang w:val="en-GB"/>
        </w:rPr>
        <w:t>s</w:t>
      </w:r>
      <w:r w:rsidRPr="0048465B">
        <w:rPr>
          <w:lang w:val="en-GB"/>
        </w:rPr>
        <w:t xml:space="preserve"> that Jews </w:t>
      </w:r>
      <w:r w:rsidR="00C462F3">
        <w:rPr>
          <w:lang w:val="en-GB"/>
        </w:rPr>
        <w:t>are</w:t>
      </w:r>
      <w:r w:rsidRPr="0048465B">
        <w:rPr>
          <w:lang w:val="en-GB"/>
        </w:rPr>
        <w:t xml:space="preserve"> not a ‘lovable people’ or a people about whom he ‘care[</w:t>
      </w:r>
      <w:r w:rsidR="00C462F3">
        <w:rPr>
          <w:lang w:val="en-GB"/>
        </w:rPr>
        <w:t>s</w:t>
      </w:r>
      <w:r w:rsidRPr="0048465B">
        <w:rPr>
          <w:lang w:val="en-GB"/>
        </w:rPr>
        <w:t>]’, but that this was ‘not sufficient to explain the pogrom’.</w:t>
      </w:r>
      <w:r w:rsidRPr="0048465B">
        <w:rPr>
          <w:vertAlign w:val="superscript"/>
          <w:lang w:val="en-GB"/>
        </w:rPr>
        <w:footnoteReference w:id="516"/>
      </w:r>
      <w:r w:rsidRPr="0048465B">
        <w:rPr>
          <w:lang w:val="en-GB"/>
        </w:rPr>
        <w:t xml:space="preserve"> Here, before any individual Palestinian or Jewish life has been introduced, Hajaj displays the victimhood of both, Palestinians the victims of exile and Israeli legal strategy, and Jews the victims of both general antisemitism and organised massacres. Whilst we know already that these two peoples and events are historically connected,</w:t>
      </w:r>
      <w:r w:rsidRPr="0048465B">
        <w:rPr>
          <w:vertAlign w:val="superscript"/>
          <w:lang w:val="en-GB"/>
        </w:rPr>
        <w:footnoteReference w:id="517"/>
      </w:r>
      <w:r w:rsidRPr="0048465B">
        <w:rPr>
          <w:lang w:val="en-GB"/>
        </w:rPr>
        <w:t xml:space="preserve"> Hajaj delays this coming together </w:t>
      </w:r>
      <w:r w:rsidRPr="0048465B">
        <w:rPr>
          <w:lang w:val="en-GB"/>
        </w:rPr>
        <w:lastRenderedPageBreak/>
        <w:t>by noting the maltreatment that both groups have been subject to. Moreover, whilst Hajaj draws attention to the legal manoeuvres of Israel, she also draws clear distinctions between Israel and the plight of Jews more generally, a distinction that elsewhere in both the novel’s characters, and in reality, is often neglected.</w:t>
      </w:r>
    </w:p>
    <w:p w14:paraId="67E19258" w14:textId="77777777" w:rsidR="00FC331F" w:rsidRPr="0048465B" w:rsidRDefault="00FC331F" w:rsidP="00FC331F">
      <w:pPr>
        <w:rPr>
          <w:lang w:val="en-GB"/>
        </w:rPr>
      </w:pPr>
    </w:p>
    <w:p w14:paraId="53B81D66" w14:textId="3D2EE06E" w:rsidR="00FC331F" w:rsidRPr="0048465B" w:rsidRDefault="00FC331F" w:rsidP="00FC331F">
      <w:pPr>
        <w:rPr>
          <w:lang w:val="en-GB"/>
        </w:rPr>
      </w:pPr>
      <w:r w:rsidRPr="0048465B">
        <w:rPr>
          <w:lang w:val="en-GB"/>
        </w:rPr>
        <w:t>This appreciation for the nuance of the Israeli-Palestinian conflict, and the distance between the two parties that seemingly allows such nuance to exist, continues with the manner in which Hajaj introduces her two main protagonists, Palestinian Salim and British Jew Judith. Introduced first is Salim, a child living in Jaffa in 1948 in the weeks preceding Israeli Independence. Yet whilst Salim has been told that ‘the Jews’ are coming to split Palestine ‘in two forever’,</w:t>
      </w:r>
      <w:r w:rsidRPr="0048465B">
        <w:rPr>
          <w:vertAlign w:val="superscript"/>
          <w:lang w:val="en-GB"/>
        </w:rPr>
        <w:footnoteReference w:id="518"/>
      </w:r>
      <w:r w:rsidRPr="0048465B">
        <w:rPr>
          <w:lang w:val="en-GB"/>
        </w:rPr>
        <w:t xml:space="preserve"> hears school bully Mazen talking about how he ‘can’t wait to shoot a Jew’,</w:t>
      </w:r>
      <w:r w:rsidRPr="0048465B">
        <w:rPr>
          <w:vertAlign w:val="superscript"/>
          <w:lang w:val="en-GB"/>
        </w:rPr>
        <w:footnoteReference w:id="519"/>
      </w:r>
      <w:r w:rsidRPr="0048465B">
        <w:rPr>
          <w:lang w:val="en-GB"/>
        </w:rPr>
        <w:t xml:space="preserve"> witnesses the aftermath of the bombing of Jaffa’s Clock Tower Square, and knows that it is ‘heresy to think that the Jews [are] not devils’,</w:t>
      </w:r>
      <w:r w:rsidRPr="0048465B">
        <w:rPr>
          <w:vertAlign w:val="superscript"/>
          <w:lang w:val="en-GB"/>
        </w:rPr>
        <w:footnoteReference w:id="520"/>
      </w:r>
      <w:r w:rsidRPr="0048465B">
        <w:rPr>
          <w:lang w:val="en-GB"/>
        </w:rPr>
        <w:t xml:space="preserve"> he nonetheless finds himself unable to draw such clear distinctions. Initially, this reluctance to </w:t>
      </w:r>
      <w:r w:rsidR="005959AA">
        <w:rPr>
          <w:lang w:val="en-GB"/>
        </w:rPr>
        <w:t>identify</w:t>
      </w:r>
      <w:r w:rsidRPr="0048465B">
        <w:rPr>
          <w:lang w:val="en-GB"/>
        </w:rPr>
        <w:t xml:space="preserve"> Jews as unequivocally evil seems selfish, as Salim wants the Jews to ‘get Mazen’ when they come, so that he will no longer be subjected to </w:t>
      </w:r>
      <w:proofErr w:type="spellStart"/>
      <w:r w:rsidR="00DE5245">
        <w:rPr>
          <w:lang w:val="en-GB"/>
        </w:rPr>
        <w:t>Mazen’s</w:t>
      </w:r>
      <w:proofErr w:type="spellEnd"/>
      <w:r w:rsidRPr="0048465B">
        <w:rPr>
          <w:lang w:val="en-GB"/>
        </w:rPr>
        <w:t xml:space="preserve"> bullying. Yet it is the existence of Salim’s mixed Mizrahi-Ashkenazi Jewish friend Elia, with a father who you ‘could never tell apart</w:t>
      </w:r>
      <w:r w:rsidR="000C3FB4">
        <w:rPr>
          <w:lang w:val="en-GB"/>
        </w:rPr>
        <w:t xml:space="preserve"> […] </w:t>
      </w:r>
      <w:r w:rsidRPr="0048465B">
        <w:rPr>
          <w:lang w:val="en-GB"/>
        </w:rPr>
        <w:t>from any other Palestinian’ and a mother who ‘came from outside Palestine, with the white Jews’, that stops Salim from engaging with such hatred</w:t>
      </w:r>
      <w:r w:rsidR="003E0CD4">
        <w:rPr>
          <w:lang w:val="en-GB"/>
        </w:rPr>
        <w:t>.</w:t>
      </w:r>
      <w:r w:rsidR="003E0CD4" w:rsidRPr="0048465B">
        <w:rPr>
          <w:vertAlign w:val="superscript"/>
          <w:lang w:val="en-GB"/>
        </w:rPr>
        <w:footnoteReference w:id="521"/>
      </w:r>
      <w:r w:rsidRPr="0048465B">
        <w:rPr>
          <w:lang w:val="en-GB"/>
        </w:rPr>
        <w:t xml:space="preserve"> Despite Salim’s father’s assertion that Jews are ‘all bastards who came here for nothing but to rob us’</w:t>
      </w:r>
      <w:r w:rsidR="0063009E">
        <w:rPr>
          <w:lang w:val="en-GB"/>
        </w:rPr>
        <w:t>,</w:t>
      </w:r>
      <w:r w:rsidRPr="0048465B">
        <w:rPr>
          <w:vertAlign w:val="superscript"/>
          <w:lang w:val="en-GB"/>
        </w:rPr>
        <w:footnoteReference w:id="522"/>
      </w:r>
      <w:r w:rsidRPr="0048465B">
        <w:rPr>
          <w:lang w:val="en-GB"/>
        </w:rPr>
        <w:t xml:space="preserve"> and Salim’s own heated declaration ‘[t]his is Palestine, where the Arabs live</w:t>
      </w:r>
      <w:r w:rsidR="000C3FB4">
        <w:rPr>
          <w:lang w:val="en-GB"/>
        </w:rPr>
        <w:t xml:space="preserve"> […] </w:t>
      </w:r>
      <w:r w:rsidRPr="0048465B">
        <w:rPr>
          <w:lang w:val="en-GB"/>
        </w:rPr>
        <w:t xml:space="preserve">[telling Elia] Go back to your own </w:t>
      </w:r>
      <w:r w:rsidRPr="0048465B">
        <w:rPr>
          <w:lang w:val="en-GB"/>
        </w:rPr>
        <w:lastRenderedPageBreak/>
        <w:t>place’,</w:t>
      </w:r>
      <w:r w:rsidRPr="0048465B">
        <w:rPr>
          <w:vertAlign w:val="superscript"/>
          <w:lang w:val="en-GB"/>
        </w:rPr>
        <w:footnoteReference w:id="523"/>
      </w:r>
      <w:r w:rsidRPr="0048465B">
        <w:rPr>
          <w:lang w:val="en-GB"/>
        </w:rPr>
        <w:t xml:space="preserve"> Salim is able to recognise the difference between the Jews who will eventually go on to cause his exile and those who not only have nothing to do with this exile, but also do not support it. At this young age, where the Israeli-Palestinian conflict revolves around the removal of a local bully and the fragile continuation of a friendship, Salim is able to remain resolute in his belief that ‘the world of Jews must surely be divided into the bad and the good’.</w:t>
      </w:r>
      <w:r w:rsidRPr="0048465B">
        <w:rPr>
          <w:vertAlign w:val="superscript"/>
          <w:lang w:val="en-GB"/>
        </w:rPr>
        <w:footnoteReference w:id="524"/>
      </w:r>
    </w:p>
    <w:p w14:paraId="594CAD51" w14:textId="77777777" w:rsidR="00FC331F" w:rsidRPr="0048465B" w:rsidRDefault="00FC331F" w:rsidP="00FC331F">
      <w:pPr>
        <w:rPr>
          <w:lang w:val="en-GB"/>
        </w:rPr>
      </w:pPr>
    </w:p>
    <w:p w14:paraId="6DA1DF67" w14:textId="33F49DFA" w:rsidR="00FC331F" w:rsidRPr="0048465B" w:rsidRDefault="00FC331F" w:rsidP="00FC331F">
      <w:pPr>
        <w:rPr>
          <w:lang w:val="en-GB"/>
        </w:rPr>
      </w:pPr>
      <w:r w:rsidRPr="0048465B">
        <w:rPr>
          <w:lang w:val="en-GB"/>
        </w:rPr>
        <w:t xml:space="preserve">Whilst Salim’s recognition of Jewish multiplicity </w:t>
      </w:r>
      <w:r w:rsidR="005959AA">
        <w:rPr>
          <w:lang w:val="en-GB"/>
        </w:rPr>
        <w:t>–</w:t>
      </w:r>
      <w:r w:rsidRPr="0048465B">
        <w:rPr>
          <w:lang w:val="en-GB"/>
        </w:rPr>
        <w:t xml:space="preserve"> and his subversion of the Palestinian collective therein </w:t>
      </w:r>
      <w:r w:rsidR="005959AA">
        <w:rPr>
          <w:lang w:val="en-GB"/>
        </w:rPr>
        <w:t>–</w:t>
      </w:r>
      <w:r w:rsidRPr="0048465B">
        <w:rPr>
          <w:lang w:val="en-GB"/>
        </w:rPr>
        <w:t xml:space="preserve"> has direct connotations for his understanding of the Israeli-Palestinian conflict altogether, Judith remains more (albeit not entirely) distanced from the crisis until it enters her life through Salim. Judith’s rejection of the Jewish collective, therefore, takes a much more literal shape. When her mother complains to her about not having received an invitation to a dinner attended by ‘“every Jew that matters”’, Judith is ‘queasy</w:t>
      </w:r>
      <w:r w:rsidR="000C3FB4">
        <w:rPr>
          <w:lang w:val="en-GB"/>
        </w:rPr>
        <w:t xml:space="preserve"> [… at …]</w:t>
      </w:r>
      <w:r w:rsidRPr="0048465B">
        <w:rPr>
          <w:lang w:val="en-GB"/>
        </w:rPr>
        <w:t xml:space="preserve"> the idea of people sticking together </w:t>
      </w:r>
      <w:r w:rsidR="00ED7125">
        <w:rPr>
          <w:lang w:val="en-GB"/>
        </w:rPr>
        <w:t>–</w:t>
      </w:r>
      <w:r w:rsidRPr="0048465B">
        <w:rPr>
          <w:lang w:val="en-GB"/>
        </w:rPr>
        <w:t xml:space="preserve"> the Jewish people as a great stuck-together mass’.</w:t>
      </w:r>
      <w:r w:rsidRPr="0048465B">
        <w:rPr>
          <w:vertAlign w:val="superscript"/>
          <w:lang w:val="en-GB"/>
        </w:rPr>
        <w:footnoteReference w:id="525"/>
      </w:r>
      <w:r w:rsidRPr="0048465B">
        <w:rPr>
          <w:lang w:val="en-GB"/>
        </w:rPr>
        <w:t xml:space="preserve"> Reinforcing Salim’s understanding of Jewish diversity, Judith sees ‘no similarity’</w:t>
      </w:r>
      <w:r w:rsidRPr="0048465B">
        <w:rPr>
          <w:vertAlign w:val="superscript"/>
          <w:lang w:val="en-GB"/>
        </w:rPr>
        <w:footnoteReference w:id="526"/>
      </w:r>
      <w:r w:rsidRPr="0048465B">
        <w:rPr>
          <w:lang w:val="en-GB"/>
        </w:rPr>
        <w:t xml:space="preserve"> between the various members of her family, and as a result sees greater honour in the secular achievement of being chosen for swimming competitions than</w:t>
      </w:r>
      <w:r w:rsidR="005959AA">
        <w:rPr>
          <w:lang w:val="en-GB"/>
        </w:rPr>
        <w:t xml:space="preserve"> she does</w:t>
      </w:r>
      <w:r w:rsidRPr="0048465B">
        <w:rPr>
          <w:lang w:val="en-GB"/>
        </w:rPr>
        <w:t xml:space="preserve"> in being ‘chosen by God’.</w:t>
      </w:r>
      <w:r w:rsidRPr="0048465B">
        <w:rPr>
          <w:vertAlign w:val="superscript"/>
          <w:lang w:val="en-GB"/>
        </w:rPr>
        <w:footnoteReference w:id="527"/>
      </w:r>
      <w:r w:rsidRPr="0048465B">
        <w:rPr>
          <w:lang w:val="en-GB"/>
        </w:rPr>
        <w:t xml:space="preserve"> Hajaj demonstrates this reluctance to allow Jewishness to shape her life through Judith’s </w:t>
      </w:r>
      <w:r w:rsidR="003E0CD4">
        <w:rPr>
          <w:lang w:val="en-GB"/>
        </w:rPr>
        <w:t>willing</w:t>
      </w:r>
      <w:r w:rsidRPr="0048465B">
        <w:rPr>
          <w:lang w:val="en-GB"/>
        </w:rPr>
        <w:t xml:space="preserve"> adoption of the nickname given to her by her friends, ‘Jude’. Judith’s acceptance of this nickname represents simultaneously a confirmation of Judith’s Jewishness through its </w:t>
      </w:r>
      <w:r w:rsidR="0039637F" w:rsidRPr="0048465B">
        <w:rPr>
          <w:lang w:val="en-GB"/>
        </w:rPr>
        <w:t>etymological</w:t>
      </w:r>
      <w:r w:rsidRPr="0048465B">
        <w:rPr>
          <w:lang w:val="en-GB"/>
        </w:rPr>
        <w:t xml:space="preserve"> roots in the Hebrew ‘</w:t>
      </w:r>
      <w:proofErr w:type="spellStart"/>
      <w:r w:rsidRPr="0048465B">
        <w:rPr>
          <w:lang w:val="en-GB"/>
        </w:rPr>
        <w:t>Yehudah</w:t>
      </w:r>
      <w:proofErr w:type="spellEnd"/>
      <w:r w:rsidRPr="0048465B">
        <w:rPr>
          <w:lang w:val="en-GB"/>
        </w:rPr>
        <w:t xml:space="preserve">’ and an ironic marker of her cultural ties to the Holocaust through being the German word for ‘Jew’, as well as a rejection of </w:t>
      </w:r>
      <w:r w:rsidRPr="0048465B">
        <w:rPr>
          <w:lang w:val="en-GB"/>
        </w:rPr>
        <w:lastRenderedPageBreak/>
        <w:t>this same Jewishness through Judith’s assertion that she doesn’t care if ‘That’s what they called us in the ghettos and the Camps’.</w:t>
      </w:r>
      <w:r w:rsidRPr="0048465B">
        <w:rPr>
          <w:vertAlign w:val="superscript"/>
          <w:lang w:val="en-GB"/>
        </w:rPr>
        <w:footnoteReference w:id="528"/>
      </w:r>
      <w:r w:rsidRPr="0048465B">
        <w:rPr>
          <w:lang w:val="en-GB"/>
        </w:rPr>
        <w:t xml:space="preserve"> When Judith’s family question her friends’ nickname for her, Judith perceives this attempt to shield her from potential antisemitism as evidence of them not ‘understand[</w:t>
      </w:r>
      <w:proofErr w:type="spellStart"/>
      <w:r w:rsidRPr="0048465B">
        <w:rPr>
          <w:lang w:val="en-GB"/>
        </w:rPr>
        <w:t>ing</w:t>
      </w:r>
      <w:proofErr w:type="spellEnd"/>
      <w:r w:rsidRPr="0048465B">
        <w:rPr>
          <w:lang w:val="en-GB"/>
        </w:rPr>
        <w:t>] anything’ and always ‘telling [her] what to do and how to be’.</w:t>
      </w:r>
      <w:r w:rsidRPr="0048465B">
        <w:rPr>
          <w:vertAlign w:val="superscript"/>
          <w:lang w:val="en-GB"/>
        </w:rPr>
        <w:footnoteReference w:id="529"/>
      </w:r>
      <w:r w:rsidRPr="0048465B">
        <w:rPr>
          <w:lang w:val="en-GB"/>
        </w:rPr>
        <w:t xml:space="preserve"> Whilst Salim refuses to believe that all Jews are the same, Judith feels that to be Jewish is to be limited in one’s existence, defined first and foremost by one’s belonging to the group, and only thereafter by individual traits.</w:t>
      </w:r>
    </w:p>
    <w:p w14:paraId="76047098" w14:textId="77777777" w:rsidR="00FC331F" w:rsidRPr="0048465B" w:rsidRDefault="00FC331F" w:rsidP="00FC331F">
      <w:pPr>
        <w:rPr>
          <w:lang w:val="en-GB"/>
        </w:rPr>
      </w:pPr>
    </w:p>
    <w:p w14:paraId="236072ED" w14:textId="3558BC50" w:rsidR="00FC331F" w:rsidRPr="0048465B" w:rsidRDefault="0039637F" w:rsidP="00FC331F">
      <w:pPr>
        <w:rPr>
          <w:lang w:val="en-GB"/>
        </w:rPr>
      </w:pPr>
      <w:r w:rsidRPr="0048465B">
        <w:rPr>
          <w:lang w:val="en-GB"/>
        </w:rPr>
        <w:t xml:space="preserve">Yet just as Hajaj shows that it is possible to reject the concerns of the community, she also shows the manner in which external events seem to prove the community right, and in doing so make it even harder to depart from that generally accepted standpoint. </w:t>
      </w:r>
      <w:r w:rsidR="00FC331F" w:rsidRPr="0048465B">
        <w:rPr>
          <w:lang w:val="en-GB"/>
        </w:rPr>
        <w:t xml:space="preserve">For Salim, this event is the Deir Yassin massacre, in which over one hundred Palestinians in a village of six hundred were killed, despite having a ‘nonaggression agreement with the Haganah, </w:t>
      </w:r>
      <w:r w:rsidRPr="0048465B">
        <w:rPr>
          <w:lang w:val="en-GB"/>
        </w:rPr>
        <w:t>signalling</w:t>
      </w:r>
      <w:r w:rsidR="000530A3">
        <w:rPr>
          <w:lang w:val="en-GB"/>
        </w:rPr>
        <w:t xml:space="preserve"> that</w:t>
      </w:r>
      <w:r w:rsidR="00FC331F" w:rsidRPr="0048465B">
        <w:rPr>
          <w:lang w:val="en-GB"/>
        </w:rPr>
        <w:t xml:space="preserve"> they had no capacity to be a threat’.</w:t>
      </w:r>
      <w:r w:rsidR="00FC331F" w:rsidRPr="0048465B">
        <w:rPr>
          <w:vertAlign w:val="superscript"/>
          <w:lang w:val="en-GB"/>
        </w:rPr>
        <w:footnoteReference w:id="530"/>
      </w:r>
      <w:r w:rsidR="00FC331F" w:rsidRPr="0048465B">
        <w:rPr>
          <w:lang w:val="en-GB"/>
        </w:rPr>
        <w:t xml:space="preserve"> When Salim listens to his father talking to other Palestinian adults, the threat of ‘another Deir Yassin’ permeates discussion, the images of the bodies at Deir Yassin and the news of the massacre make Salim ‘go cold’,</w:t>
      </w:r>
      <w:r w:rsidR="00FC331F" w:rsidRPr="0048465B">
        <w:rPr>
          <w:vertAlign w:val="superscript"/>
          <w:lang w:val="en-GB"/>
        </w:rPr>
        <w:footnoteReference w:id="531"/>
      </w:r>
      <w:r w:rsidR="00FC331F" w:rsidRPr="0048465B">
        <w:rPr>
          <w:lang w:val="en-GB"/>
        </w:rPr>
        <w:t xml:space="preserve"> and whilst he initially believes with childish disregard that ‘“The Arabs will win”’ any war unequivocally, the news of Deir Yassin transforms this confidence, leading him to ask his mother whether it will, in fact, ‘“be like Deir Yassin”’ when the Jews come.</w:t>
      </w:r>
      <w:r w:rsidR="00FC331F" w:rsidRPr="0048465B">
        <w:rPr>
          <w:vertAlign w:val="superscript"/>
          <w:lang w:val="en-GB"/>
        </w:rPr>
        <w:footnoteReference w:id="532"/>
      </w:r>
      <w:r w:rsidR="00FC331F" w:rsidRPr="0048465B">
        <w:rPr>
          <w:lang w:val="en-GB"/>
        </w:rPr>
        <w:t xml:space="preserve"> Here, Hajaj not only concentrates Salim’s transformation around a centrepiece of Palestinian Nakba memory, but replicates the ways in which Deir Yassin was manipulated by </w:t>
      </w:r>
      <w:r w:rsidR="00FC331F" w:rsidRPr="0048465B">
        <w:rPr>
          <w:lang w:val="en-GB"/>
        </w:rPr>
        <w:lastRenderedPageBreak/>
        <w:t>‘Zionist leaders’ as a ‘“whispering campaign”’</w:t>
      </w:r>
      <w:r w:rsidR="005959AA">
        <w:rPr>
          <w:lang w:val="en-GB"/>
        </w:rPr>
        <w:t>,</w:t>
      </w:r>
      <w:r w:rsidR="00FC331F" w:rsidRPr="0048465B">
        <w:rPr>
          <w:lang w:val="en-GB"/>
        </w:rPr>
        <w:t xml:space="preserve"> intended to encourage the fleeing of Palestinians ‘from other localities in order to escape a similar fate’.</w:t>
      </w:r>
      <w:r w:rsidR="00FC331F" w:rsidRPr="0048465B">
        <w:rPr>
          <w:vertAlign w:val="superscript"/>
          <w:lang w:val="en-GB"/>
        </w:rPr>
        <w:footnoteReference w:id="533"/>
      </w:r>
      <w:r w:rsidR="00FC331F" w:rsidRPr="0048465B">
        <w:rPr>
          <w:lang w:val="en-GB"/>
        </w:rPr>
        <w:t xml:space="preserve"> Deir Yassin challenges Salim’s certainty that the Arabs will win and that there are good as well as evil Jews, a challenge that is only made seemingly stronger through the eventual coming of the nonspecific ‘Jews’ </w:t>
      </w:r>
      <w:r w:rsidR="005959AA">
        <w:rPr>
          <w:lang w:val="en-GB"/>
        </w:rPr>
        <w:t>–</w:t>
      </w:r>
      <w:r w:rsidR="00FC331F" w:rsidRPr="0048465B">
        <w:rPr>
          <w:lang w:val="en-GB"/>
        </w:rPr>
        <w:t xml:space="preserve"> not the Zionists, the Irgun, the Haganah, or the Lehi </w:t>
      </w:r>
      <w:r w:rsidR="005959AA">
        <w:rPr>
          <w:lang w:val="en-GB"/>
        </w:rPr>
        <w:t>–</w:t>
      </w:r>
      <w:r w:rsidR="00FC331F" w:rsidRPr="0048465B">
        <w:rPr>
          <w:lang w:val="en-GB"/>
        </w:rPr>
        <w:t xml:space="preserve"> and the consequent fleeing of Salim’s family from their home.</w:t>
      </w:r>
    </w:p>
    <w:p w14:paraId="4625C3BE" w14:textId="77777777" w:rsidR="00FC331F" w:rsidRPr="0048465B" w:rsidRDefault="00FC331F" w:rsidP="00FC331F">
      <w:pPr>
        <w:rPr>
          <w:lang w:val="en-GB"/>
        </w:rPr>
      </w:pPr>
    </w:p>
    <w:p w14:paraId="31D31B1A" w14:textId="16B82F28" w:rsidR="00FC331F" w:rsidRPr="0048465B" w:rsidRDefault="00FC331F" w:rsidP="00FC331F">
      <w:pPr>
        <w:rPr>
          <w:lang w:val="en-GB"/>
        </w:rPr>
      </w:pPr>
      <w:r w:rsidRPr="0048465B">
        <w:rPr>
          <w:lang w:val="en-GB"/>
        </w:rPr>
        <w:t xml:space="preserve">Similarly, Judith’s rejection of the Jewish community is challenged not so much by the members of this community, but by the realisation that there is, in fact, antisemitism in the world, and that her family’s desire for her to be proud of her Jewishness and feel </w:t>
      </w:r>
      <w:r w:rsidR="00844C22">
        <w:rPr>
          <w:lang w:val="en-GB"/>
        </w:rPr>
        <w:t>part</w:t>
      </w:r>
      <w:r w:rsidRPr="0048465B">
        <w:rPr>
          <w:lang w:val="en-GB"/>
        </w:rPr>
        <w:t xml:space="preserve"> of the Jewish community is in response to the immense suffering that Jewish people have been subjected to across time, a </w:t>
      </w:r>
      <w:r w:rsidR="003E0CD4">
        <w:rPr>
          <w:lang w:val="en-GB"/>
        </w:rPr>
        <w:t>history of suffering</w:t>
      </w:r>
      <w:r w:rsidRPr="0048465B">
        <w:rPr>
          <w:lang w:val="en-GB"/>
        </w:rPr>
        <w:t xml:space="preserve"> to which she is unavoidably connected. Hajaj emphasises this realisation through positioning it immediately after Judith’s rejection of Judaism, </w:t>
      </w:r>
      <w:r w:rsidR="0039637F" w:rsidRPr="0048465B">
        <w:rPr>
          <w:lang w:val="en-GB"/>
        </w:rPr>
        <w:t>wherein</w:t>
      </w:r>
      <w:r w:rsidRPr="0048465B">
        <w:rPr>
          <w:lang w:val="en-GB"/>
        </w:rPr>
        <w:t xml:space="preserve"> she embraces her problematic identity as ‘Jude’ and tells her adopted sister Gertie, a Holocaust survivor, that she ‘“hate[s] being Jewish”’.</w:t>
      </w:r>
      <w:r w:rsidRPr="0048465B">
        <w:rPr>
          <w:vertAlign w:val="superscript"/>
          <w:lang w:val="en-GB"/>
        </w:rPr>
        <w:footnoteReference w:id="534"/>
      </w:r>
      <w:r w:rsidRPr="0048465B">
        <w:rPr>
          <w:lang w:val="en-GB"/>
        </w:rPr>
        <w:t xml:space="preserve"> Judith runs away from Gertie and her family, away from the pressures of being Jewish to a friend’s party, only to find, upon arrival, a banner above the front door reading ‘</w:t>
      </w:r>
      <w:r w:rsidRPr="003C28AB">
        <w:rPr>
          <w:sz w:val="19"/>
          <w:szCs w:val="19"/>
          <w:lang w:val="en-GB"/>
        </w:rPr>
        <w:t>NO JEWDES ALLOWED</w:t>
      </w:r>
      <w:r w:rsidRPr="0048465B">
        <w:rPr>
          <w:lang w:val="en-GB"/>
        </w:rPr>
        <w:t>’.</w:t>
      </w:r>
      <w:r w:rsidRPr="0048465B">
        <w:rPr>
          <w:vertAlign w:val="superscript"/>
          <w:lang w:val="en-GB"/>
        </w:rPr>
        <w:footnoteReference w:id="535"/>
      </w:r>
      <w:r w:rsidRPr="0048465B">
        <w:rPr>
          <w:lang w:val="en-GB"/>
        </w:rPr>
        <w:t xml:space="preserve"> Rejected by her gentile friends, Judith returns home to find her entire family overcome with grief. Judith discovers that her uncle Max, who lives in Israel, has been shot whilst on a bus. As Judith realises that ‘While she was mocking Gertie and running away from home, people who hated Jews were trying to hurt her family’,</w:t>
      </w:r>
      <w:r w:rsidRPr="0048465B">
        <w:rPr>
          <w:vertAlign w:val="superscript"/>
          <w:lang w:val="en-GB"/>
        </w:rPr>
        <w:footnoteReference w:id="536"/>
      </w:r>
      <w:r w:rsidRPr="0048465B">
        <w:rPr>
          <w:lang w:val="en-GB"/>
        </w:rPr>
        <w:t xml:space="preserve"> her grandmother, Rebecca, laments ‘“Are we never finished with all of this? The Russians come and then the Germans and </w:t>
      </w:r>
      <w:r w:rsidRPr="0048465B">
        <w:rPr>
          <w:lang w:val="en-GB"/>
        </w:rPr>
        <w:lastRenderedPageBreak/>
        <w:t>now my son gets shot on a bus. When will it stop?”’</w:t>
      </w:r>
      <w:r w:rsidRPr="0048465B">
        <w:rPr>
          <w:vertAlign w:val="superscript"/>
          <w:lang w:val="en-GB"/>
        </w:rPr>
        <w:footnoteReference w:id="537"/>
      </w:r>
      <w:r w:rsidRPr="0048465B">
        <w:rPr>
          <w:lang w:val="en-GB"/>
        </w:rPr>
        <w:t xml:space="preserve"> Shortly afterwards, Rebecca recounts how Gertie came to the family on the Kindertransport, and how at the time ‘“The Nazis had plenty of friends here [in Sunderland] who thought they had the right way with us”’.</w:t>
      </w:r>
      <w:r w:rsidRPr="0048465B">
        <w:rPr>
          <w:vertAlign w:val="superscript"/>
          <w:lang w:val="en-GB"/>
        </w:rPr>
        <w:footnoteReference w:id="538"/>
      </w:r>
      <w:r w:rsidRPr="0048465B">
        <w:rPr>
          <w:lang w:val="en-GB"/>
        </w:rPr>
        <w:t xml:space="preserve"> </w:t>
      </w:r>
    </w:p>
    <w:p w14:paraId="0AC38E70" w14:textId="77777777" w:rsidR="00FC331F" w:rsidRPr="0048465B" w:rsidRDefault="00FC331F" w:rsidP="00FC331F">
      <w:pPr>
        <w:rPr>
          <w:lang w:val="en-GB"/>
        </w:rPr>
      </w:pPr>
    </w:p>
    <w:p w14:paraId="0B3C17F0" w14:textId="54DA9769" w:rsidR="00FC331F" w:rsidRPr="0048465B" w:rsidRDefault="00FC331F" w:rsidP="00FC331F">
      <w:pPr>
        <w:rPr>
          <w:lang w:val="en-GB"/>
        </w:rPr>
      </w:pPr>
      <w:r w:rsidRPr="0048465B">
        <w:rPr>
          <w:lang w:val="en-GB"/>
        </w:rPr>
        <w:t xml:space="preserve">Here, through the proximity of Judith’s first experience of antisemitism to the shooting of her uncle Max, the discovery of the detail of Gertie’s loss in the Holocaust, the references to Russian pogroms and persecution in Germany, and even to antisemitism in 1940s Sunderland, Hajaj places Judith’s own experience within the </w:t>
      </w:r>
      <w:r w:rsidRPr="00365A61">
        <w:rPr>
          <w:i/>
          <w:iCs/>
          <w:lang w:val="en-GB"/>
        </w:rPr>
        <w:t>long</w:t>
      </w:r>
      <w:r w:rsidR="008F554C" w:rsidRPr="00365A61">
        <w:rPr>
          <w:i/>
          <w:iCs/>
          <w:lang w:val="en-GB"/>
        </w:rPr>
        <w:t>ue</w:t>
      </w:r>
      <w:r w:rsidRPr="00365A61">
        <w:rPr>
          <w:i/>
          <w:iCs/>
          <w:lang w:val="en-GB"/>
        </w:rPr>
        <w:t xml:space="preserve"> dur</w:t>
      </w:r>
      <w:r w:rsidRPr="00365A61">
        <w:rPr>
          <w:i/>
          <w:iCs/>
          <w:color w:val="222222"/>
          <w:highlight w:val="white"/>
          <w:lang w:val="en-GB"/>
        </w:rPr>
        <w:t>é</w:t>
      </w:r>
      <w:r w:rsidRPr="00365A61">
        <w:rPr>
          <w:i/>
          <w:iCs/>
          <w:lang w:val="en-GB"/>
        </w:rPr>
        <w:t>e</w:t>
      </w:r>
      <w:r w:rsidRPr="0048465B">
        <w:rPr>
          <w:lang w:val="en-GB"/>
        </w:rPr>
        <w:t xml:space="preserve"> of both historical and contemporary antisemitism. In doing so, Hajaj transforms Judith’s association of Jewishness from being a circumstantial personal burden into a fundamental collective element of her existence, a process which sees her literally push her secular joys deep down</w:t>
      </w:r>
      <w:r w:rsidR="00844C22" w:rsidRPr="0048465B">
        <w:rPr>
          <w:vertAlign w:val="superscript"/>
          <w:lang w:val="en-GB"/>
        </w:rPr>
        <w:footnoteReference w:id="539"/>
      </w:r>
      <w:r w:rsidRPr="0048465B">
        <w:rPr>
          <w:lang w:val="en-GB"/>
        </w:rPr>
        <w:t xml:space="preserve"> until they are ‘buried, until she could pretend [they] had never existed’.</w:t>
      </w:r>
      <w:r w:rsidRPr="0048465B">
        <w:rPr>
          <w:vertAlign w:val="superscript"/>
          <w:lang w:val="en-GB"/>
        </w:rPr>
        <w:footnoteReference w:id="540"/>
      </w:r>
      <w:r w:rsidRPr="0048465B">
        <w:rPr>
          <w:lang w:val="en-GB"/>
        </w:rPr>
        <w:t xml:space="preserve"> In alignment with Hajaj’s own desire to belong to ‘the certainty of the trenches’,</w:t>
      </w:r>
      <w:r w:rsidRPr="0048465B">
        <w:rPr>
          <w:vertAlign w:val="superscript"/>
          <w:lang w:val="en-GB"/>
        </w:rPr>
        <w:footnoteReference w:id="541"/>
      </w:r>
      <w:r w:rsidRPr="0048465B">
        <w:rPr>
          <w:lang w:val="en-GB"/>
        </w:rPr>
        <w:t xml:space="preserve"> Judith is ashamed of the ‘hole inside her where certainty should live’, feeling that she will never be a ‘</w:t>
      </w:r>
      <w:r w:rsidRPr="0048465B">
        <w:rPr>
          <w:i/>
          <w:lang w:val="en-GB"/>
        </w:rPr>
        <w:t>mensch</w:t>
      </w:r>
      <w:r w:rsidRPr="0048465B">
        <w:rPr>
          <w:lang w:val="en-GB"/>
        </w:rPr>
        <w:t>’ and, therefore,</w:t>
      </w:r>
      <w:r w:rsidR="00AF4B6A">
        <w:rPr>
          <w:lang w:val="en-GB"/>
        </w:rPr>
        <w:t xml:space="preserve"> </w:t>
      </w:r>
      <w:r w:rsidRPr="0048465B">
        <w:rPr>
          <w:lang w:val="en-GB"/>
        </w:rPr>
        <w:t>never live up to her grandmother’s request, ‘</w:t>
      </w:r>
      <w:r w:rsidRPr="0048465B">
        <w:rPr>
          <w:i/>
          <w:lang w:val="en-GB"/>
        </w:rPr>
        <w:t>Make us proud</w:t>
      </w:r>
      <w:r w:rsidRPr="0048465B">
        <w:rPr>
          <w:lang w:val="en-GB"/>
        </w:rPr>
        <w:t>’.</w:t>
      </w:r>
      <w:r w:rsidRPr="0048465B">
        <w:rPr>
          <w:vertAlign w:val="superscript"/>
          <w:lang w:val="en-GB"/>
        </w:rPr>
        <w:footnoteReference w:id="542"/>
      </w:r>
      <w:r w:rsidRPr="0048465B">
        <w:rPr>
          <w:lang w:val="en-GB"/>
        </w:rPr>
        <w:t xml:space="preserve"> Just as Salim’s certainties about the strength of the Arabs and the individuality of Jews become </w:t>
      </w:r>
      <w:r w:rsidR="00AF4B6A">
        <w:rPr>
          <w:lang w:val="en-GB"/>
        </w:rPr>
        <w:t>less stable</w:t>
      </w:r>
      <w:r w:rsidRPr="0048465B">
        <w:rPr>
          <w:lang w:val="en-GB"/>
        </w:rPr>
        <w:t xml:space="preserve"> the closer that the Jewish paramilitary get and the more tangible Jewish </w:t>
      </w:r>
      <w:r w:rsidR="000E038A">
        <w:rPr>
          <w:lang w:val="en-GB"/>
        </w:rPr>
        <w:t>violence</w:t>
      </w:r>
      <w:r w:rsidRPr="0048465B">
        <w:rPr>
          <w:lang w:val="en-GB"/>
        </w:rPr>
        <w:t xml:space="preserve"> becomes, Judith’s certainty that she does not care for Jewish unity is rocked by the presence of an antisemitism that she initially saw as more passive than active. In each case, the proximity, and reality, of that which previously seemed theoretical drives the child into the open arms of the </w:t>
      </w:r>
      <w:r w:rsidRPr="0048465B">
        <w:rPr>
          <w:lang w:val="en-GB"/>
        </w:rPr>
        <w:lastRenderedPageBreak/>
        <w:t>community, a process through which the truth of genuine persecution becomes entwined with generalisations about the ‘other’ side, where ‘the Jews’ as an entirety become responsible for Salim’s loss, and where the shooting of Uncle Max, and therefore Palestinian armed resistance more generally, is placed alongside Russian-led pogroms and German genocide.</w:t>
      </w:r>
    </w:p>
    <w:p w14:paraId="1B6EFCF9" w14:textId="77777777" w:rsidR="00FC331F" w:rsidRPr="0048465B" w:rsidRDefault="00FC331F" w:rsidP="00FC331F">
      <w:pPr>
        <w:rPr>
          <w:lang w:val="en-GB"/>
        </w:rPr>
      </w:pPr>
    </w:p>
    <w:p w14:paraId="0BEBAB6F" w14:textId="2F336D88" w:rsidR="00FC331F" w:rsidRPr="0048465B" w:rsidRDefault="00FC331F" w:rsidP="00FC331F">
      <w:pPr>
        <w:rPr>
          <w:lang w:val="en-GB"/>
        </w:rPr>
      </w:pPr>
      <w:r w:rsidRPr="0048465B">
        <w:rPr>
          <w:lang w:val="en-GB"/>
        </w:rPr>
        <w:t xml:space="preserve">Through exploring the Israeli </w:t>
      </w:r>
      <w:r w:rsidR="00876076">
        <w:rPr>
          <w:lang w:val="en-GB"/>
        </w:rPr>
        <w:t>dispossession</w:t>
      </w:r>
      <w:r w:rsidRPr="0048465B">
        <w:rPr>
          <w:lang w:val="en-GB"/>
        </w:rPr>
        <w:t xml:space="preserve"> of Palestinians and the historical oppression of Jews independently of one another, without focusing on links between </w:t>
      </w:r>
      <w:r w:rsidR="00876076">
        <w:rPr>
          <w:lang w:val="en-GB"/>
        </w:rPr>
        <w:t>the two</w:t>
      </w:r>
      <w:r w:rsidRPr="0048465B">
        <w:rPr>
          <w:lang w:val="en-GB"/>
        </w:rPr>
        <w:t>, Hajaj allows both to exist independently of one another. Through doing so, Hajaj not only reinforces the legitimacy of each of these claims to historic and contemporary suffering, but also, through the coming together of Salim and Judith, exposes the way in which the affirmation of these two independent legitimacies is destabilised when they come together.</w:t>
      </w:r>
    </w:p>
    <w:p w14:paraId="6B1C8608" w14:textId="77777777" w:rsidR="00FC331F" w:rsidRPr="0048465B" w:rsidRDefault="00FC331F" w:rsidP="00FC331F">
      <w:pPr>
        <w:rPr>
          <w:lang w:val="en-GB"/>
        </w:rPr>
      </w:pPr>
    </w:p>
    <w:p w14:paraId="404ED066" w14:textId="60EF8BCE" w:rsidR="00FC331F" w:rsidRPr="0048465B" w:rsidRDefault="00FC331F" w:rsidP="00FC331F">
      <w:pPr>
        <w:rPr>
          <w:lang w:val="en-GB"/>
        </w:rPr>
      </w:pPr>
      <w:r w:rsidRPr="0048465B">
        <w:rPr>
          <w:lang w:val="en-GB"/>
        </w:rPr>
        <w:t>The tension between the Palestinian Salim and the Jewish Judith is evident in almost all of their early meetings. The first time they meet, Salim awkwardly skirts around Judith’s Star of David necklace and refuses to say where exactly he is from, whilst Judith mentions an uncle who lives ambiguously ‘“abroad”’.</w:t>
      </w:r>
      <w:r w:rsidRPr="0048465B">
        <w:rPr>
          <w:vertAlign w:val="superscript"/>
          <w:lang w:val="en-GB"/>
        </w:rPr>
        <w:footnoteReference w:id="543"/>
      </w:r>
      <w:r w:rsidRPr="0048465B">
        <w:rPr>
          <w:lang w:val="en-GB"/>
        </w:rPr>
        <w:t xml:space="preserve"> The second time they meet, the legacy of the Holocaust hangs over their meeting when, upon wondering why Salim chose not to bring an umbrella on a rainy day, Judith evokes Primo Levi’s </w:t>
      </w:r>
      <w:r w:rsidRPr="0048465B">
        <w:rPr>
          <w:i/>
          <w:lang w:val="en-GB"/>
        </w:rPr>
        <w:t>If This is a Man</w:t>
      </w:r>
      <w:r w:rsidRPr="0048465B">
        <w:rPr>
          <w:lang w:val="en-GB"/>
        </w:rPr>
        <w:t xml:space="preserve"> and the darkly iconic ‘</w:t>
      </w:r>
      <w:proofErr w:type="spellStart"/>
      <w:r w:rsidRPr="0048465B">
        <w:rPr>
          <w:lang w:val="en-GB"/>
        </w:rPr>
        <w:t>Hier</w:t>
      </w:r>
      <w:proofErr w:type="spellEnd"/>
      <w:r w:rsidRPr="0048465B">
        <w:rPr>
          <w:lang w:val="en-GB"/>
        </w:rPr>
        <w:t xml:space="preserve"> </w:t>
      </w:r>
      <w:proofErr w:type="spellStart"/>
      <w:r w:rsidRPr="0048465B">
        <w:rPr>
          <w:lang w:val="en-GB"/>
        </w:rPr>
        <w:t>is</w:t>
      </w:r>
      <w:r w:rsidR="008F554C">
        <w:rPr>
          <w:lang w:val="en-GB"/>
        </w:rPr>
        <w:t>t</w:t>
      </w:r>
      <w:proofErr w:type="spellEnd"/>
      <w:r w:rsidRPr="0048465B">
        <w:rPr>
          <w:lang w:val="en-GB"/>
        </w:rPr>
        <w:t xml:space="preserve"> </w:t>
      </w:r>
      <w:proofErr w:type="spellStart"/>
      <w:r w:rsidRPr="0048465B">
        <w:rPr>
          <w:lang w:val="en-GB"/>
        </w:rPr>
        <w:t>kein</w:t>
      </w:r>
      <w:proofErr w:type="spellEnd"/>
      <w:r w:rsidRPr="0048465B">
        <w:rPr>
          <w:lang w:val="en-GB"/>
        </w:rPr>
        <w:t xml:space="preserve"> </w:t>
      </w:r>
      <w:proofErr w:type="spellStart"/>
      <w:r w:rsidRPr="0048465B">
        <w:rPr>
          <w:lang w:val="en-GB"/>
        </w:rPr>
        <w:t>warum</w:t>
      </w:r>
      <w:proofErr w:type="spellEnd"/>
      <w:r w:rsidRPr="0048465B">
        <w:rPr>
          <w:lang w:val="en-GB"/>
        </w:rPr>
        <w:t>’ as she represses her instinct to ask why, as ‘Why was a habit Jude had trained herself out of, along with all the other Jews of the world’.</w:t>
      </w:r>
      <w:r w:rsidRPr="0048465B">
        <w:rPr>
          <w:vertAlign w:val="superscript"/>
          <w:lang w:val="en-GB"/>
        </w:rPr>
        <w:footnoteReference w:id="544"/>
      </w:r>
      <w:r w:rsidRPr="0048465B">
        <w:rPr>
          <w:lang w:val="en-GB"/>
        </w:rPr>
        <w:t xml:space="preserve"> Salim, on the other hand, despite revealing his Palestinian identity and reassuring Judith that they can get along, leaves without arranging a further meeting, thinking ‘</w:t>
      </w:r>
      <w:r w:rsidRPr="0048465B">
        <w:rPr>
          <w:i/>
          <w:lang w:val="en-GB"/>
        </w:rPr>
        <w:t>Abadan! Never!</w:t>
      </w:r>
      <w:r w:rsidRPr="0048465B">
        <w:rPr>
          <w:lang w:val="en-GB"/>
        </w:rPr>
        <w:t xml:space="preserve"> The hand she’d placed on his was a lie. He knew that, even if she didn’t’, </w:t>
      </w:r>
      <w:r w:rsidRPr="0048465B">
        <w:rPr>
          <w:lang w:val="en-GB"/>
        </w:rPr>
        <w:lastRenderedPageBreak/>
        <w:t>as he recalls his father’s rejection of Elia and the other Palestinian Jews.</w:t>
      </w:r>
      <w:r w:rsidR="00F510E0" w:rsidRPr="0048465B">
        <w:rPr>
          <w:vertAlign w:val="superscript"/>
          <w:lang w:val="en-GB"/>
        </w:rPr>
        <w:footnoteReference w:id="545"/>
      </w:r>
      <w:r w:rsidRPr="0048465B">
        <w:rPr>
          <w:lang w:val="en-GB"/>
        </w:rPr>
        <w:t xml:space="preserve"> Here, the power of the community remains immutable, and the individual remains subordinate to that immutability.</w:t>
      </w:r>
    </w:p>
    <w:p w14:paraId="2A9DBDAF" w14:textId="77777777" w:rsidR="00FC331F" w:rsidRPr="0048465B" w:rsidRDefault="00FC331F" w:rsidP="00FC331F">
      <w:pPr>
        <w:rPr>
          <w:lang w:val="en-GB"/>
        </w:rPr>
      </w:pPr>
    </w:p>
    <w:p w14:paraId="0082BA3F" w14:textId="47B12BF1" w:rsidR="00FC331F" w:rsidRPr="0048465B" w:rsidRDefault="00FC331F" w:rsidP="00FC331F">
      <w:pPr>
        <w:rPr>
          <w:lang w:val="en-GB"/>
        </w:rPr>
      </w:pPr>
      <w:r w:rsidRPr="0048465B">
        <w:rPr>
          <w:lang w:val="en-GB"/>
        </w:rPr>
        <w:t xml:space="preserve">Yet whilst such initial anxieties are </w:t>
      </w:r>
      <w:r w:rsidR="001142F0">
        <w:rPr>
          <w:lang w:val="en-GB"/>
        </w:rPr>
        <w:t xml:space="preserve">partially </w:t>
      </w:r>
      <w:r w:rsidRPr="0048465B">
        <w:rPr>
          <w:lang w:val="en-GB"/>
        </w:rPr>
        <w:t>satiated through continued meetings that allow them to share their stories with one another and exist in a world independent of their origins, Hajaj undermines this brief success through demonstrating the inescapability of both their respective communities and external events in the Middle</w:t>
      </w:r>
      <w:r w:rsidR="00F510E0">
        <w:rPr>
          <w:lang w:val="en-GB"/>
        </w:rPr>
        <w:t xml:space="preserve"> </w:t>
      </w:r>
      <w:r w:rsidRPr="0048465B">
        <w:rPr>
          <w:lang w:val="en-GB"/>
        </w:rPr>
        <w:t>East. When Salim goes to visit his brother Hassan, his attempts to defend Judith, to prove that she is ‘different</w:t>
      </w:r>
      <w:r w:rsidR="000C3FB4">
        <w:rPr>
          <w:lang w:val="en-GB"/>
        </w:rPr>
        <w:t xml:space="preserve"> […] </w:t>
      </w:r>
      <w:r w:rsidRPr="0048465B">
        <w:rPr>
          <w:lang w:val="en-GB"/>
        </w:rPr>
        <w:t>not a Zionist’,</w:t>
      </w:r>
      <w:r w:rsidRPr="0048465B">
        <w:rPr>
          <w:vertAlign w:val="superscript"/>
          <w:lang w:val="en-GB"/>
        </w:rPr>
        <w:footnoteReference w:id="546"/>
      </w:r>
      <w:r w:rsidRPr="0048465B">
        <w:rPr>
          <w:lang w:val="en-GB"/>
        </w:rPr>
        <w:t xml:space="preserve"> ultimately end with him passively agreeing that it is not a good idea for him to ‘“bring[] home a Jew”’.</w:t>
      </w:r>
      <w:r w:rsidRPr="0048465B">
        <w:rPr>
          <w:vertAlign w:val="superscript"/>
          <w:lang w:val="en-GB"/>
        </w:rPr>
        <w:footnoteReference w:id="547"/>
      </w:r>
      <w:r w:rsidRPr="0048465B">
        <w:rPr>
          <w:lang w:val="en-GB"/>
        </w:rPr>
        <w:t xml:space="preserve"> Similarly, at Judith’s birthday party attended by family and family friends, the conversation draws a bleak line between Arabs and Jews. One man states ‘“I’m very sorry for the poor bloody Arabs but they brought it upon themselves. They had every chance for peace, again and again. Half the country, their own government </w:t>
      </w:r>
      <w:r w:rsidR="003C28AB">
        <w:rPr>
          <w:lang w:val="en-GB"/>
        </w:rPr>
        <w:t>–</w:t>
      </w:r>
      <w:r w:rsidRPr="0048465B">
        <w:rPr>
          <w:lang w:val="en-GB"/>
        </w:rPr>
        <w:t xml:space="preserve"> they could have had it all”’ before continuing to recite the old myth, ‘“We turned that desert into a garden, gave them proper water, hospitals, schools, roads! In return they</w:t>
      </w:r>
      <w:r w:rsidR="000C3FB4">
        <w:rPr>
          <w:lang w:val="en-GB"/>
        </w:rPr>
        <w:t xml:space="preserve"> […] </w:t>
      </w:r>
      <w:r w:rsidRPr="0048465B">
        <w:rPr>
          <w:lang w:val="en-GB"/>
        </w:rPr>
        <w:t>threaten to annihilate us, to finish what the Nazis started”’.</w:t>
      </w:r>
      <w:r w:rsidRPr="0048465B">
        <w:rPr>
          <w:vertAlign w:val="superscript"/>
          <w:lang w:val="en-GB"/>
        </w:rPr>
        <w:footnoteReference w:id="548"/>
      </w:r>
      <w:r w:rsidRPr="0048465B">
        <w:rPr>
          <w:lang w:val="en-GB"/>
        </w:rPr>
        <w:t xml:space="preserve"> Another recalls how it’s all ‘“the same old story. They couldn’t kill us in ’forty-eight. They tried again in ’fifty-six</w:t>
      </w:r>
      <w:r w:rsidR="000C3FB4">
        <w:rPr>
          <w:lang w:val="en-GB"/>
        </w:rPr>
        <w:t xml:space="preserve"> […] </w:t>
      </w:r>
      <w:r w:rsidRPr="0048465B">
        <w:rPr>
          <w:lang w:val="en-GB"/>
        </w:rPr>
        <w:t>when does it end?”’.</w:t>
      </w:r>
      <w:r w:rsidRPr="0048465B">
        <w:rPr>
          <w:vertAlign w:val="superscript"/>
          <w:lang w:val="en-GB"/>
        </w:rPr>
        <w:footnoteReference w:id="549"/>
      </w:r>
      <w:r w:rsidRPr="0048465B">
        <w:rPr>
          <w:lang w:val="en-GB"/>
        </w:rPr>
        <w:t xml:space="preserve"> Yet whilst Judith tries to make a case for Arab justice, she finds herself at the end of a barrage that results in her knowing ‘they were wrong in her heart’, but realising that she was unable to ‘find the words to tell them exactly </w:t>
      </w:r>
      <w:r w:rsidRPr="0048465B">
        <w:rPr>
          <w:i/>
          <w:lang w:val="en-GB"/>
        </w:rPr>
        <w:t>how</w:t>
      </w:r>
      <w:r w:rsidRPr="0048465B">
        <w:rPr>
          <w:lang w:val="en-GB"/>
        </w:rPr>
        <w:t xml:space="preserve"> they were wrong, and what the truth might be’.</w:t>
      </w:r>
      <w:r w:rsidRPr="0048465B">
        <w:rPr>
          <w:vertAlign w:val="superscript"/>
          <w:lang w:val="en-GB"/>
        </w:rPr>
        <w:footnoteReference w:id="550"/>
      </w:r>
      <w:r w:rsidRPr="0048465B">
        <w:rPr>
          <w:lang w:val="en-GB"/>
        </w:rPr>
        <w:t xml:space="preserve"> </w:t>
      </w:r>
    </w:p>
    <w:p w14:paraId="322FA3EE" w14:textId="77777777" w:rsidR="00FC331F" w:rsidRPr="0048465B" w:rsidRDefault="00FC331F" w:rsidP="00FC331F">
      <w:pPr>
        <w:rPr>
          <w:lang w:val="en-GB"/>
        </w:rPr>
      </w:pPr>
    </w:p>
    <w:p w14:paraId="68B0BF45" w14:textId="72EFA4EC" w:rsidR="00FC331F" w:rsidRPr="0048465B" w:rsidRDefault="00FC331F" w:rsidP="00FC331F">
      <w:pPr>
        <w:rPr>
          <w:lang w:val="en-GB"/>
        </w:rPr>
      </w:pPr>
      <w:r w:rsidRPr="0048465B">
        <w:rPr>
          <w:lang w:val="en-GB"/>
        </w:rPr>
        <w:t>This impossibility of keeping these aspects of Salim and Judith’s identities separate becomes even more clear when, shortly after these familial interactions, the Israeli air force launches a series of airstrikes on Egypt in what was the beginning of the Six-Day war. In the days after, Salim distances himself from Judith, choosing not to fraternise and questioning whether this is ‘“really possible?”’</w:t>
      </w:r>
      <w:r w:rsidRPr="0048465B">
        <w:rPr>
          <w:vertAlign w:val="superscript"/>
          <w:lang w:val="en-GB"/>
        </w:rPr>
        <w:footnoteReference w:id="551"/>
      </w:r>
      <w:r w:rsidRPr="0048465B">
        <w:rPr>
          <w:lang w:val="en-GB"/>
        </w:rPr>
        <w:t xml:space="preserve"> In a similar vein, and redolent of Liat’s defensive instincts in </w:t>
      </w:r>
      <w:r w:rsidRPr="0048465B">
        <w:rPr>
          <w:i/>
          <w:lang w:val="en-GB"/>
        </w:rPr>
        <w:t>All the Rivers</w:t>
      </w:r>
      <w:r w:rsidRPr="0048465B">
        <w:rPr>
          <w:lang w:val="en-GB"/>
        </w:rPr>
        <w:t>, Judith waits for Salim to come, ready for him to ‘rage and shout</w:t>
      </w:r>
      <w:r w:rsidR="000C3FB4">
        <w:rPr>
          <w:lang w:val="en-GB"/>
        </w:rPr>
        <w:t xml:space="preserve"> […] </w:t>
      </w:r>
      <w:r w:rsidRPr="0048465B">
        <w:rPr>
          <w:lang w:val="en-GB"/>
        </w:rPr>
        <w:t>about the blood-hungry Jews and their murderous guns’ and ‘</w:t>
      </w:r>
      <w:proofErr w:type="spellStart"/>
      <w:r w:rsidRPr="0048465B">
        <w:rPr>
          <w:lang w:val="en-GB"/>
        </w:rPr>
        <w:t>trie</w:t>
      </w:r>
      <w:proofErr w:type="spellEnd"/>
      <w:r w:rsidRPr="0048465B">
        <w:rPr>
          <w:lang w:val="en-GB"/>
        </w:rPr>
        <w:t>[s] to remember what they’d said at the party about having no choice, having tried for peace again and again, about Arabs bringing it on themselves’.</w:t>
      </w:r>
      <w:r w:rsidRPr="0048465B">
        <w:rPr>
          <w:vertAlign w:val="superscript"/>
          <w:lang w:val="en-GB"/>
        </w:rPr>
        <w:footnoteReference w:id="552"/>
      </w:r>
      <w:r w:rsidRPr="0048465B">
        <w:rPr>
          <w:lang w:val="en-GB"/>
        </w:rPr>
        <w:t xml:space="preserve"> Here, </w:t>
      </w:r>
      <w:r w:rsidR="008F554C">
        <w:rPr>
          <w:lang w:val="en-GB"/>
        </w:rPr>
        <w:t xml:space="preserve">the two sides of </w:t>
      </w:r>
      <w:r w:rsidRPr="0048465B">
        <w:rPr>
          <w:lang w:val="en-GB"/>
        </w:rPr>
        <w:t>Hajaj’s dual</w:t>
      </w:r>
      <w:r w:rsidR="00F510E0">
        <w:rPr>
          <w:lang w:val="en-GB"/>
        </w:rPr>
        <w:t xml:space="preserve">-heritage </w:t>
      </w:r>
      <w:r w:rsidR="004E00A4">
        <w:rPr>
          <w:lang w:val="en-GB"/>
        </w:rPr>
        <w:t>–</w:t>
      </w:r>
      <w:r w:rsidRPr="0048465B">
        <w:rPr>
          <w:lang w:val="en-GB"/>
        </w:rPr>
        <w:t xml:space="preserve"> and the twin instincts to defend both of one</w:t>
      </w:r>
      <w:r w:rsidR="004E00A4">
        <w:rPr>
          <w:lang w:val="en-GB"/>
        </w:rPr>
        <w:t>’</w:t>
      </w:r>
      <w:r w:rsidRPr="0048465B">
        <w:rPr>
          <w:lang w:val="en-GB"/>
        </w:rPr>
        <w:t xml:space="preserve">s communities </w:t>
      </w:r>
      <w:r w:rsidR="004E00A4">
        <w:rPr>
          <w:lang w:val="en-GB"/>
        </w:rPr>
        <w:t>–</w:t>
      </w:r>
      <w:r w:rsidRPr="0048465B">
        <w:rPr>
          <w:lang w:val="en-GB"/>
        </w:rPr>
        <w:t xml:space="preserve"> are fractured and reaffirmed independently of one another. Just as she ‘never felt more Jewish’ than when Zionists were cursed, Judith finds herself intuitively reaching for ideological support from the Jewish elders she previously discredited. Similarly, whilst the young Hajaj felt those ‘same curses come surging into [her] chest’ upon hearing defences of Israel, Salim finds himself questioning the possibility of the relationship altogether because of the implicit support he feels Judith gives to Israel’s actions, simply through her being Jewish.</w:t>
      </w:r>
      <w:r w:rsidR="00C05E10" w:rsidRPr="0048465B">
        <w:rPr>
          <w:vertAlign w:val="superscript"/>
          <w:lang w:val="en-GB"/>
        </w:rPr>
        <w:footnoteReference w:id="553"/>
      </w:r>
      <w:r w:rsidRPr="0048465B">
        <w:rPr>
          <w:lang w:val="en-GB"/>
        </w:rPr>
        <w:t xml:space="preserve"> In each of these examples, Hajaj demonstrates the difficulty of cultivating mixed Jewish-</w:t>
      </w:r>
      <w:r w:rsidR="0039637F" w:rsidRPr="0048465B">
        <w:rPr>
          <w:lang w:val="en-GB"/>
        </w:rPr>
        <w:t>Palestinian</w:t>
      </w:r>
      <w:r w:rsidRPr="0048465B">
        <w:rPr>
          <w:lang w:val="en-GB"/>
        </w:rPr>
        <w:t xml:space="preserve"> relationships, showing that whilst Salim and Judith’s relationship is able to function independently of their respective communities, </w:t>
      </w:r>
      <w:r w:rsidR="004E00A4">
        <w:rPr>
          <w:lang w:val="en-GB"/>
        </w:rPr>
        <w:t xml:space="preserve">both </w:t>
      </w:r>
      <w:r w:rsidRPr="0048465B">
        <w:rPr>
          <w:lang w:val="en-GB"/>
        </w:rPr>
        <w:t>the community</w:t>
      </w:r>
      <w:r w:rsidR="004E00A4">
        <w:rPr>
          <w:lang w:val="en-GB"/>
        </w:rPr>
        <w:t xml:space="preserve"> and the reality of the conflict itself</w:t>
      </w:r>
      <w:r w:rsidRPr="0048465B">
        <w:rPr>
          <w:lang w:val="en-GB"/>
        </w:rPr>
        <w:t xml:space="preserve"> </w:t>
      </w:r>
      <w:r w:rsidR="004E00A4">
        <w:rPr>
          <w:lang w:val="en-GB"/>
        </w:rPr>
        <w:t>are</w:t>
      </w:r>
      <w:r w:rsidRPr="0048465B">
        <w:rPr>
          <w:lang w:val="en-GB"/>
        </w:rPr>
        <w:t xml:space="preserve"> inescapable</w:t>
      </w:r>
      <w:r w:rsidR="00C05E10">
        <w:rPr>
          <w:lang w:val="en-GB"/>
        </w:rPr>
        <w:t>. Moreover, whilst to attempt</w:t>
      </w:r>
      <w:r w:rsidRPr="0048465B">
        <w:rPr>
          <w:lang w:val="en-GB"/>
        </w:rPr>
        <w:t xml:space="preserve"> to argue against </w:t>
      </w:r>
      <w:r w:rsidR="00C05E10">
        <w:rPr>
          <w:lang w:val="en-GB"/>
        </w:rPr>
        <w:t>the community</w:t>
      </w:r>
      <w:r w:rsidRPr="0048465B">
        <w:rPr>
          <w:lang w:val="en-GB"/>
        </w:rPr>
        <w:t xml:space="preserve"> is to come up against the same simplistic and </w:t>
      </w:r>
      <w:r w:rsidR="004E00A4">
        <w:rPr>
          <w:lang w:val="en-GB"/>
        </w:rPr>
        <w:t>oppositional</w:t>
      </w:r>
      <w:r w:rsidRPr="0048465B">
        <w:rPr>
          <w:lang w:val="en-GB"/>
        </w:rPr>
        <w:t xml:space="preserve"> rhetoric that has defined much of the conflict for more than seventy years</w:t>
      </w:r>
      <w:r w:rsidR="00C05E10">
        <w:rPr>
          <w:lang w:val="en-GB"/>
        </w:rPr>
        <w:t xml:space="preserve">, it is this </w:t>
      </w:r>
      <w:r w:rsidR="00C05E10">
        <w:rPr>
          <w:lang w:val="en-GB"/>
        </w:rPr>
        <w:lastRenderedPageBreak/>
        <w:t>very same rhetoric</w:t>
      </w:r>
      <w:r w:rsidR="00600558">
        <w:rPr>
          <w:lang w:val="en-GB"/>
        </w:rPr>
        <w:t xml:space="preserve"> </w:t>
      </w:r>
      <w:r w:rsidR="00C05E10">
        <w:rPr>
          <w:lang w:val="en-GB"/>
        </w:rPr>
        <w:t xml:space="preserve">that Salim, Judith, and Hajaj </w:t>
      </w:r>
      <w:r w:rsidR="004E00A4">
        <w:rPr>
          <w:lang w:val="en-GB"/>
        </w:rPr>
        <w:t xml:space="preserve">herself </w:t>
      </w:r>
      <w:r w:rsidR="00C05E10">
        <w:rPr>
          <w:lang w:val="en-GB"/>
        </w:rPr>
        <w:t>find themselves invoking</w:t>
      </w:r>
      <w:r w:rsidR="004E00A4">
        <w:rPr>
          <w:lang w:val="en-GB"/>
        </w:rPr>
        <w:t xml:space="preserve"> when the community is perceived as being at risk</w:t>
      </w:r>
      <w:r w:rsidR="00C05E10">
        <w:rPr>
          <w:lang w:val="en-GB"/>
        </w:rPr>
        <w:t>.</w:t>
      </w:r>
    </w:p>
    <w:p w14:paraId="5FA6AF4A" w14:textId="77777777" w:rsidR="00FC331F" w:rsidRPr="0048465B" w:rsidRDefault="00FC331F" w:rsidP="00FC331F">
      <w:pPr>
        <w:rPr>
          <w:lang w:val="en-GB"/>
        </w:rPr>
      </w:pPr>
    </w:p>
    <w:p w14:paraId="189F9DBA" w14:textId="6E96F2E9" w:rsidR="00FC331F" w:rsidRPr="0048465B" w:rsidRDefault="00FC331F" w:rsidP="00FC331F">
      <w:pPr>
        <w:rPr>
          <w:lang w:val="en-GB"/>
        </w:rPr>
      </w:pPr>
      <w:r w:rsidRPr="0048465B">
        <w:rPr>
          <w:lang w:val="en-GB"/>
        </w:rPr>
        <w:t>The complexity of mixed Jewish-Palestinian identity is further reinforced through the introduction of the children of Salim and Judith, those who occupy the same position as Hajaj. When Hajaj introduces these twins, dark-haired Sophie is described as ‘her mother reprised in olive tones</w:t>
      </w:r>
      <w:r w:rsidR="000C3FB4">
        <w:rPr>
          <w:lang w:val="en-GB"/>
        </w:rPr>
        <w:t xml:space="preserve"> […] </w:t>
      </w:r>
      <w:r w:rsidRPr="0048465B">
        <w:rPr>
          <w:lang w:val="en-GB"/>
        </w:rPr>
        <w:t>a quiet, meticulous child’, whereas the white-haired Marc is de</w:t>
      </w:r>
      <w:r w:rsidR="00876076">
        <w:rPr>
          <w:lang w:val="en-GB"/>
        </w:rPr>
        <w:t xml:space="preserve">fined by </w:t>
      </w:r>
      <w:r w:rsidRPr="0048465B">
        <w:rPr>
          <w:lang w:val="en-GB"/>
        </w:rPr>
        <w:t>a ‘stubborn paleness’ that Salim takes as almost ‘a deliberate affront’.</w:t>
      </w:r>
      <w:r w:rsidRPr="0048465B">
        <w:rPr>
          <w:vertAlign w:val="superscript"/>
          <w:lang w:val="en-GB"/>
        </w:rPr>
        <w:footnoteReference w:id="554"/>
      </w:r>
      <w:r w:rsidRPr="0048465B">
        <w:rPr>
          <w:lang w:val="en-GB"/>
        </w:rPr>
        <w:t xml:space="preserve"> These initial representations of Sophie and Marc are indicative of how the narrative paths of these children continue to develop. Sophie is passive, content, tranquil, Marc is fiery, troubled, detached. In contrast, whilst Judith has retained her calm and benevolent constitution, Salim has become selfish and irritable, </w:t>
      </w:r>
      <w:r w:rsidR="007D35B0">
        <w:rPr>
          <w:lang w:val="en-GB"/>
        </w:rPr>
        <w:t>instigating</w:t>
      </w:r>
      <w:r w:rsidRPr="0048465B">
        <w:rPr>
          <w:lang w:val="en-GB"/>
        </w:rPr>
        <w:t xml:space="preserve"> a move to Kuwait to be once more part of an Arab world that Judith feels that she must hide her Jewishness within,</w:t>
      </w:r>
      <w:r w:rsidRPr="0048465B">
        <w:rPr>
          <w:vertAlign w:val="superscript"/>
          <w:lang w:val="en-GB"/>
        </w:rPr>
        <w:footnoteReference w:id="555"/>
      </w:r>
      <w:r w:rsidRPr="0048465B">
        <w:rPr>
          <w:lang w:val="en-GB"/>
        </w:rPr>
        <w:t xml:space="preserve"> and even forcing Judith to ensure that their children learn Arabic rather than organising it himself, thus making Judith complicit in the </w:t>
      </w:r>
      <w:r w:rsidR="00866DCB">
        <w:rPr>
          <w:lang w:val="en-GB"/>
        </w:rPr>
        <w:t>promotion of his</w:t>
      </w:r>
      <w:r w:rsidRPr="0048465B">
        <w:rPr>
          <w:lang w:val="en-GB"/>
        </w:rPr>
        <w:t xml:space="preserve"> culture</w:t>
      </w:r>
      <w:r w:rsidR="00866DCB">
        <w:rPr>
          <w:lang w:val="en-GB"/>
        </w:rPr>
        <w:t xml:space="preserve"> over her own</w:t>
      </w:r>
      <w:r w:rsidRPr="0048465B">
        <w:rPr>
          <w:lang w:val="en-GB"/>
        </w:rPr>
        <w:t>.</w:t>
      </w:r>
      <w:r w:rsidRPr="0048465B">
        <w:rPr>
          <w:vertAlign w:val="superscript"/>
          <w:lang w:val="en-GB"/>
        </w:rPr>
        <w:footnoteReference w:id="556"/>
      </w:r>
      <w:r w:rsidRPr="0048465B">
        <w:rPr>
          <w:lang w:val="en-GB"/>
        </w:rPr>
        <w:t xml:space="preserve"> </w:t>
      </w:r>
    </w:p>
    <w:p w14:paraId="3E729501" w14:textId="77777777" w:rsidR="00FC331F" w:rsidRPr="0048465B" w:rsidRDefault="00FC331F" w:rsidP="00FC331F">
      <w:pPr>
        <w:rPr>
          <w:lang w:val="en-GB"/>
        </w:rPr>
      </w:pPr>
    </w:p>
    <w:p w14:paraId="261F0C93" w14:textId="669A12F6" w:rsidR="00FC331F" w:rsidRDefault="00FC331F" w:rsidP="00FC331F">
      <w:pPr>
        <w:rPr>
          <w:lang w:val="en-GB"/>
        </w:rPr>
      </w:pPr>
      <w:r w:rsidRPr="0048465B">
        <w:rPr>
          <w:lang w:val="en-GB"/>
        </w:rPr>
        <w:t xml:space="preserve">Yet whilst Hajaj seems to be taking the stereotypes of each parent </w:t>
      </w:r>
      <w:r w:rsidR="00866DCB">
        <w:rPr>
          <w:lang w:val="en-GB"/>
        </w:rPr>
        <w:t>–</w:t>
      </w:r>
      <w:r w:rsidRPr="0048465B">
        <w:rPr>
          <w:lang w:val="en-GB"/>
        </w:rPr>
        <w:t xml:space="preserve"> the white rational Westernised Jew and the brown impetuous Oriental Arab </w:t>
      </w:r>
      <w:r w:rsidR="00866DCB">
        <w:rPr>
          <w:lang w:val="en-GB"/>
        </w:rPr>
        <w:t>–</w:t>
      </w:r>
      <w:r w:rsidRPr="0048465B">
        <w:rPr>
          <w:lang w:val="en-GB"/>
        </w:rPr>
        <w:t xml:space="preserve"> and reversing them within the children, there is no fusion of these identities in the children at all, only a switching of colours. In fact, the authorial choice to represent mixed Jewish-Palestinian identity in a set of twins gestures towards the seeming immiscibility of these two subject positions. </w:t>
      </w:r>
      <w:r w:rsidR="00E174BA">
        <w:rPr>
          <w:lang w:val="en-GB"/>
        </w:rPr>
        <w:t xml:space="preserve">Here, </w:t>
      </w:r>
      <w:r w:rsidRPr="0048465B">
        <w:rPr>
          <w:lang w:val="en-GB"/>
        </w:rPr>
        <w:t xml:space="preserve">Hajaj implies that whilst colours may change, one body cannot hold at the same time whiteness and brownness, pride in Israel and rage </w:t>
      </w:r>
      <w:r w:rsidRPr="0048465B">
        <w:rPr>
          <w:lang w:val="en-GB"/>
        </w:rPr>
        <w:lastRenderedPageBreak/>
        <w:t>at its actions, a longing for the Arab world and a discomfort at existing within it. This inability to hold both identities at the same time is further emphasised through one of the few amicable conversations that Salim and Marc have, where Marc expresses a preference for disengagement over commitment to a single side. ‘“I don’t want to be a Palestinian or a Jew</w:t>
      </w:r>
      <w:r w:rsidR="000C3FB4">
        <w:rPr>
          <w:lang w:val="en-GB"/>
        </w:rPr>
        <w:t xml:space="preserve"> […] </w:t>
      </w:r>
      <w:r w:rsidRPr="0048465B">
        <w:rPr>
          <w:lang w:val="en-GB"/>
        </w:rPr>
        <w:t xml:space="preserve">Sophie and me, we’re not like that. We don’t want to get involved in all that fighting. You never ask us what we want, who we want to be”’. When </w:t>
      </w:r>
      <w:r w:rsidR="00E174BA">
        <w:rPr>
          <w:lang w:val="en-GB"/>
        </w:rPr>
        <w:t>Salim acquiesces, and asks Marc who he wants to be</w:t>
      </w:r>
      <w:r w:rsidRPr="0048465B">
        <w:rPr>
          <w:lang w:val="en-GB"/>
        </w:rPr>
        <w:t>, Marc responds ‘“a dancer”’.</w:t>
      </w:r>
      <w:r w:rsidRPr="0048465B">
        <w:rPr>
          <w:vertAlign w:val="superscript"/>
          <w:lang w:val="en-GB"/>
        </w:rPr>
        <w:footnoteReference w:id="557"/>
      </w:r>
      <w:r w:rsidRPr="0048465B">
        <w:rPr>
          <w:lang w:val="en-GB"/>
        </w:rPr>
        <w:t xml:space="preserve"> In a novel that is otherwise consumed by the testing of ethno-religious boundaries, Marc’s desire to be a dancer rather than a member of a particular nationality or religion is</w:t>
      </w:r>
      <w:r w:rsidR="00E174BA">
        <w:rPr>
          <w:lang w:val="en-GB"/>
        </w:rPr>
        <w:t xml:space="preserve"> both humorous and</w:t>
      </w:r>
      <w:r w:rsidRPr="0048465B">
        <w:rPr>
          <w:lang w:val="en-GB"/>
        </w:rPr>
        <w:t xml:space="preserve"> jarring, yet indicates an emotional distance from the </w:t>
      </w:r>
      <w:r w:rsidR="008F554C">
        <w:rPr>
          <w:lang w:val="en-GB"/>
        </w:rPr>
        <w:t>conflict</w:t>
      </w:r>
      <w:r w:rsidR="008F554C" w:rsidRPr="0048465B">
        <w:rPr>
          <w:lang w:val="en-GB"/>
        </w:rPr>
        <w:t xml:space="preserve"> </w:t>
      </w:r>
      <w:r w:rsidRPr="0048465B">
        <w:rPr>
          <w:lang w:val="en-GB"/>
        </w:rPr>
        <w:t xml:space="preserve">that </w:t>
      </w:r>
      <w:r w:rsidR="00124BA0">
        <w:rPr>
          <w:lang w:val="en-GB"/>
        </w:rPr>
        <w:t>evades</w:t>
      </w:r>
      <w:r w:rsidRPr="0048465B">
        <w:rPr>
          <w:lang w:val="en-GB"/>
        </w:rPr>
        <w:t xml:space="preserve"> those brought up with just one narrative, those whom Hajaj describes as having an ‘</w:t>
      </w:r>
      <w:r w:rsidR="00F75D64">
        <w:rPr>
          <w:lang w:val="en-GB"/>
        </w:rPr>
        <w:t>“</w:t>
      </w:r>
      <w:r w:rsidRPr="0048465B">
        <w:rPr>
          <w:lang w:val="en-GB"/>
        </w:rPr>
        <w:t>arbitrary starting-point for their story</w:t>
      </w:r>
      <w:r w:rsidR="00F75D64">
        <w:rPr>
          <w:lang w:val="en-GB"/>
        </w:rPr>
        <w:t>”</w:t>
      </w:r>
      <w:r w:rsidRPr="0048465B">
        <w:rPr>
          <w:lang w:val="en-GB"/>
        </w:rPr>
        <w:t>’ that is devoted to just one culture, one community, one country.</w:t>
      </w:r>
    </w:p>
    <w:p w14:paraId="4AF2070F" w14:textId="77777777" w:rsidR="00E76BC7" w:rsidRPr="0048465B" w:rsidRDefault="00E76BC7" w:rsidP="00FC331F">
      <w:pPr>
        <w:rPr>
          <w:lang w:val="en-GB"/>
        </w:rPr>
      </w:pPr>
    </w:p>
    <w:p w14:paraId="103234C7" w14:textId="09C9E800" w:rsidR="00FC331F" w:rsidRPr="0048465B" w:rsidRDefault="00FC331F" w:rsidP="00FC331F">
      <w:pPr>
        <w:rPr>
          <w:lang w:val="en-GB"/>
        </w:rPr>
      </w:pPr>
      <w:r w:rsidRPr="0048465B">
        <w:rPr>
          <w:lang w:val="en-GB"/>
        </w:rPr>
        <w:t xml:space="preserve">Salim’s discomfort at the duality of his children </w:t>
      </w:r>
      <w:r w:rsidR="00192AE2">
        <w:rPr>
          <w:lang w:val="en-GB"/>
        </w:rPr>
        <w:t>–</w:t>
      </w:r>
      <w:r w:rsidRPr="0048465B">
        <w:rPr>
          <w:lang w:val="en-GB"/>
        </w:rPr>
        <w:t xml:space="preserve"> with the fact that they have multiple heritages and multiple potential starting</w:t>
      </w:r>
      <w:r w:rsidR="00F75D64">
        <w:rPr>
          <w:lang w:val="en-GB"/>
        </w:rPr>
        <w:t xml:space="preserve"> </w:t>
      </w:r>
      <w:r w:rsidRPr="0048465B">
        <w:rPr>
          <w:lang w:val="en-GB"/>
        </w:rPr>
        <w:t xml:space="preserve">points for their stories </w:t>
      </w:r>
      <w:r w:rsidR="00192AE2">
        <w:rPr>
          <w:lang w:val="en-GB"/>
        </w:rPr>
        <w:t>–</w:t>
      </w:r>
      <w:r w:rsidRPr="0048465B">
        <w:rPr>
          <w:lang w:val="en-GB"/>
        </w:rPr>
        <w:t xml:space="preserve"> causes him to turn on Judith, transforming his anxiety about his own heritage being lost into hostility at the individual who most proximally represents the alternative heritage. In quick succession, the reader sees a series of passive aggressive accusations that trigger a transformation in Salim’s mind where Judith becomes deindividualised, no-longer ‘different’ like he once claimed to his brother, but now representative of not only all Jews, but seemingly many of the world’s evils. Salim blames Judith for ‘“letting the flames of the enemy burn in their children’s eyes”’.</w:t>
      </w:r>
      <w:r w:rsidRPr="0048465B">
        <w:rPr>
          <w:vertAlign w:val="superscript"/>
          <w:lang w:val="en-GB"/>
        </w:rPr>
        <w:footnoteReference w:id="558"/>
      </w:r>
      <w:r w:rsidRPr="0048465B">
        <w:rPr>
          <w:lang w:val="en-GB"/>
        </w:rPr>
        <w:t xml:space="preserve"> When he is betrayed and deprived of a job because of his ethnicity, he associates this betrayal with how ‘his true home was being leached </w:t>
      </w:r>
      <w:r w:rsidRPr="0048465B">
        <w:rPr>
          <w:lang w:val="en-GB"/>
        </w:rPr>
        <w:lastRenderedPageBreak/>
        <w:t>away by men like Meyer [his boss], women like Jude’.</w:t>
      </w:r>
      <w:r w:rsidRPr="0048465B">
        <w:rPr>
          <w:vertAlign w:val="superscript"/>
          <w:lang w:val="en-GB"/>
        </w:rPr>
        <w:footnoteReference w:id="559"/>
      </w:r>
      <w:r w:rsidRPr="0048465B">
        <w:rPr>
          <w:lang w:val="en-GB"/>
        </w:rPr>
        <w:t xml:space="preserve"> When Judith tries to make Salim feel better about his being misled by Meyer, telling him he has a family to be proud of, Salim responds ‘“The twins can watch your tanks crushing my people on the news and wonder who to cheer on”’, here literally attributing ownership of the Israeli tanks to a Jewish woman who</w:t>
      </w:r>
      <w:r w:rsidR="00E422C8">
        <w:rPr>
          <w:lang w:val="en-GB"/>
        </w:rPr>
        <w:t xml:space="preserve"> has</w:t>
      </w:r>
      <w:r w:rsidRPr="0048465B">
        <w:rPr>
          <w:lang w:val="en-GB"/>
        </w:rPr>
        <w:t xml:space="preserve"> at no point expresse</w:t>
      </w:r>
      <w:r w:rsidR="00E422C8">
        <w:rPr>
          <w:lang w:val="en-GB"/>
        </w:rPr>
        <w:t>d</w:t>
      </w:r>
      <w:r w:rsidR="00600558">
        <w:rPr>
          <w:lang w:val="en-GB"/>
        </w:rPr>
        <w:t xml:space="preserve"> any form of</w:t>
      </w:r>
      <w:r w:rsidRPr="0048465B">
        <w:rPr>
          <w:lang w:val="en-GB"/>
        </w:rPr>
        <w:t xml:space="preserve"> support for the Israeli occupation.</w:t>
      </w:r>
      <w:r w:rsidR="00600558" w:rsidRPr="0048465B">
        <w:rPr>
          <w:vertAlign w:val="superscript"/>
          <w:lang w:val="en-GB"/>
        </w:rPr>
        <w:footnoteReference w:id="560"/>
      </w:r>
    </w:p>
    <w:p w14:paraId="711F73CE" w14:textId="77777777" w:rsidR="00FC331F" w:rsidRPr="0048465B" w:rsidRDefault="00FC331F" w:rsidP="00FC331F">
      <w:pPr>
        <w:rPr>
          <w:lang w:val="en-GB"/>
        </w:rPr>
      </w:pPr>
    </w:p>
    <w:p w14:paraId="5EAAAAE8" w14:textId="3FD667CB" w:rsidR="00FC331F" w:rsidRPr="0048465B" w:rsidRDefault="00FC331F" w:rsidP="00FC331F">
      <w:pPr>
        <w:rPr>
          <w:lang w:val="en-GB"/>
        </w:rPr>
      </w:pPr>
      <w:r w:rsidRPr="0048465B">
        <w:rPr>
          <w:lang w:val="en-GB"/>
        </w:rPr>
        <w:t xml:space="preserve">Hajaj refuses to excuse Salim’s behaviour towards Judith. She does, however, contextualise it in a way that demonstrates a kind of symbiotic shift, wherein Salim’s vision of Judith as representative of all Jewish wrongdoing is twinned with his own descent into viewing himself as an inferior Arab in the eyes of others. His equation of Judith with Jewish crimes begins with his realisation that, despite owning a British passport, his boss regards him as an unacceptable representative of the company due to his being an Arab, Salim telling Judith that ‘“these Americans have shown [him] that [he is] just as stupid”’ as his father, whose orange groves were stolen from him due to the ‘present absentee law’, and whose house was sold to the Israeli government by another opportunistic </w:t>
      </w:r>
      <w:r w:rsidR="00600558">
        <w:rPr>
          <w:lang w:val="en-GB"/>
        </w:rPr>
        <w:t>Palestinian</w:t>
      </w:r>
      <w:r w:rsidRPr="0048465B">
        <w:rPr>
          <w:lang w:val="en-GB"/>
        </w:rPr>
        <w:t>.</w:t>
      </w:r>
      <w:r w:rsidR="00600558" w:rsidRPr="0048465B">
        <w:rPr>
          <w:vertAlign w:val="superscript"/>
          <w:lang w:val="en-GB"/>
        </w:rPr>
        <w:footnoteReference w:id="561"/>
      </w:r>
      <w:r w:rsidRPr="0048465B">
        <w:rPr>
          <w:lang w:val="en-GB"/>
        </w:rPr>
        <w:t xml:space="preserve"> Similarly, when Judith suggests they go back to England, Salim sees this option as being akin to ‘“crawling back</w:t>
      </w:r>
      <w:r w:rsidR="000C3FB4">
        <w:rPr>
          <w:lang w:val="en-GB"/>
        </w:rPr>
        <w:t xml:space="preserve"> […] </w:t>
      </w:r>
      <w:r w:rsidRPr="0048465B">
        <w:rPr>
          <w:lang w:val="en-GB"/>
        </w:rPr>
        <w:t>for some other white man to fuck me over”’.</w:t>
      </w:r>
      <w:r w:rsidRPr="0048465B">
        <w:rPr>
          <w:vertAlign w:val="superscript"/>
          <w:lang w:val="en-GB"/>
        </w:rPr>
        <w:footnoteReference w:id="562"/>
      </w:r>
      <w:r w:rsidRPr="0048465B">
        <w:rPr>
          <w:lang w:val="en-GB"/>
        </w:rPr>
        <w:t xml:space="preserve"> Judith observes how Salim turns his ‘“betrayal” at work into something more destructive </w:t>
      </w:r>
      <w:r w:rsidR="00FA6191">
        <w:rPr>
          <w:lang w:val="en-GB"/>
        </w:rPr>
        <w:t>–</w:t>
      </w:r>
      <w:r w:rsidRPr="0048465B">
        <w:rPr>
          <w:lang w:val="en-GB"/>
        </w:rPr>
        <w:t xml:space="preserve"> a reliving of all the betrayals of his past, a fear that he himself was a traitor </w:t>
      </w:r>
      <w:r w:rsidR="00FA6191">
        <w:rPr>
          <w:lang w:val="en-GB"/>
        </w:rPr>
        <w:t>–</w:t>
      </w:r>
      <w:r w:rsidRPr="0048465B">
        <w:rPr>
          <w:lang w:val="en-GB"/>
        </w:rPr>
        <w:t xml:space="preserve"> to his own heritage’, a betrayal reinforced through Salim’s existence as an Arab amongst Americans at work, and through his wife’s conspicuous presence as a white Jew amongst brown Arabs in Kuwait.</w:t>
      </w:r>
      <w:r w:rsidR="00600558" w:rsidRPr="0048465B">
        <w:rPr>
          <w:vertAlign w:val="superscript"/>
          <w:lang w:val="en-GB"/>
        </w:rPr>
        <w:footnoteReference w:id="563"/>
      </w:r>
    </w:p>
    <w:p w14:paraId="546B76E6" w14:textId="77777777" w:rsidR="00FC331F" w:rsidRPr="0048465B" w:rsidRDefault="00FC331F" w:rsidP="00FC331F">
      <w:pPr>
        <w:rPr>
          <w:lang w:val="en-GB"/>
        </w:rPr>
      </w:pPr>
    </w:p>
    <w:p w14:paraId="39BD2F9F" w14:textId="2A63E62E" w:rsidR="00FC331F" w:rsidRPr="0048465B" w:rsidRDefault="00FC331F" w:rsidP="00FC331F">
      <w:pPr>
        <w:rPr>
          <w:lang w:val="en-GB"/>
        </w:rPr>
      </w:pPr>
      <w:r w:rsidRPr="0048465B">
        <w:rPr>
          <w:lang w:val="en-GB"/>
        </w:rPr>
        <w:t xml:space="preserve">Here, Salim’s legitimate concern that his own success as an Arab is contingent upon the actions of white people from Western nations, and his consequent unfounded reduction of Judith to an embodiment of white Jewish crimes, is evocative of Hajaj’s aforementioned claim that, in the context of the Israeli-Palestinian conflict, to be right is only half of the victory, with the other half </w:t>
      </w:r>
      <w:r w:rsidR="00600558">
        <w:rPr>
          <w:lang w:val="en-GB"/>
        </w:rPr>
        <w:t>located</w:t>
      </w:r>
      <w:r w:rsidRPr="0048465B">
        <w:rPr>
          <w:lang w:val="en-GB"/>
        </w:rPr>
        <w:t xml:space="preserve"> in the wrongness of the opposition. This presumption of an inverse relationship between Israel and Palestine even permeates Judith’s tireless attempts to maintain a sense of fairness and </w:t>
      </w:r>
      <w:r w:rsidR="008F554C">
        <w:rPr>
          <w:lang w:val="en-GB"/>
        </w:rPr>
        <w:t>balance</w:t>
      </w:r>
      <w:r w:rsidR="008F554C" w:rsidRPr="0048465B">
        <w:rPr>
          <w:lang w:val="en-GB"/>
        </w:rPr>
        <w:t xml:space="preserve"> </w:t>
      </w:r>
      <w:r w:rsidRPr="0048465B">
        <w:rPr>
          <w:lang w:val="en-GB"/>
        </w:rPr>
        <w:t xml:space="preserve">between the two peoples. When the family hears of the </w:t>
      </w:r>
      <w:r w:rsidR="00EE497D">
        <w:rPr>
          <w:lang w:val="en-GB"/>
        </w:rPr>
        <w:t>Sabra and Shatila massacre</w:t>
      </w:r>
      <w:r w:rsidRPr="0048465B">
        <w:rPr>
          <w:lang w:val="en-GB"/>
        </w:rPr>
        <w:t>, Judith first blames herself for teaching her children about ‘both sides’, for telling them ‘not to judge’.</w:t>
      </w:r>
      <w:r w:rsidRPr="0048465B">
        <w:rPr>
          <w:vertAlign w:val="superscript"/>
          <w:lang w:val="en-GB"/>
        </w:rPr>
        <w:footnoteReference w:id="564"/>
      </w:r>
      <w:r w:rsidRPr="0048465B">
        <w:rPr>
          <w:lang w:val="en-GB"/>
        </w:rPr>
        <w:t xml:space="preserve"> Initially, Judith’s self-blame has some kind of basis in logic, originating in the guilt she feels for having encouraged her children ‘not to judge’, despite the fact that the Israeli crimes in question demand judgement. Yet shortly afterwards, due to Salim’s brother’s presence, Judith is overcome by a sense of guilt, Hajaj stylising th</w:t>
      </w:r>
      <w:r w:rsidR="00381F7A">
        <w:rPr>
          <w:lang w:val="en-GB"/>
        </w:rPr>
        <w:t xml:space="preserve">is feeling of culpability </w:t>
      </w:r>
      <w:r w:rsidRPr="0048465B">
        <w:rPr>
          <w:lang w:val="en-GB"/>
        </w:rPr>
        <w:t xml:space="preserve">as Lebanon being ‘in her kitchen, pointing a bloody finger at her and at Dora, Max and Rebecca </w:t>
      </w:r>
      <w:r w:rsidR="003C28AB">
        <w:rPr>
          <w:lang w:val="en-GB"/>
        </w:rPr>
        <w:t>–</w:t>
      </w:r>
      <w:r w:rsidRPr="0048465B">
        <w:rPr>
          <w:lang w:val="en-GB"/>
        </w:rPr>
        <w:t xml:space="preserve"> all those she loved. And if it was true, they were all bloodstained, every single one of them’.</w:t>
      </w:r>
      <w:r w:rsidRPr="0048465B">
        <w:rPr>
          <w:vertAlign w:val="superscript"/>
          <w:lang w:val="en-GB"/>
        </w:rPr>
        <w:footnoteReference w:id="565"/>
      </w:r>
      <w:r w:rsidRPr="0048465B">
        <w:rPr>
          <w:lang w:val="en-GB"/>
        </w:rPr>
        <w:t xml:space="preserve"> Here, Judith’s guilt transforms from being rooted in reality and logic </w:t>
      </w:r>
      <w:r w:rsidR="00D26E82">
        <w:rPr>
          <w:lang w:val="en-GB"/>
        </w:rPr>
        <w:t>–</w:t>
      </w:r>
      <w:r w:rsidRPr="0048465B">
        <w:rPr>
          <w:lang w:val="en-GB"/>
        </w:rPr>
        <w:t xml:space="preserve"> regarding the questionable lesson to withhold judgement, regardless of</w:t>
      </w:r>
      <w:r w:rsidR="00D26E82">
        <w:rPr>
          <w:lang w:val="en-GB"/>
        </w:rPr>
        <w:t xml:space="preserve"> the</w:t>
      </w:r>
      <w:r w:rsidRPr="0048465B">
        <w:rPr>
          <w:lang w:val="en-GB"/>
        </w:rPr>
        <w:t xml:space="preserve"> evidence one way or another </w:t>
      </w:r>
      <w:r w:rsidR="00D26E82">
        <w:rPr>
          <w:lang w:val="en-GB"/>
        </w:rPr>
        <w:t>–</w:t>
      </w:r>
      <w:r w:rsidRPr="0048465B">
        <w:rPr>
          <w:lang w:val="en-GB"/>
        </w:rPr>
        <w:t xml:space="preserve"> to an essentialist guilt that places blame upon all Jews </w:t>
      </w:r>
      <w:r w:rsidR="00D26E82">
        <w:rPr>
          <w:lang w:val="en-GB"/>
        </w:rPr>
        <w:t>–</w:t>
      </w:r>
      <w:r w:rsidRPr="0048465B">
        <w:rPr>
          <w:lang w:val="en-GB"/>
        </w:rPr>
        <w:t xml:space="preserve"> including those who barely lived to see the creation of Israel </w:t>
      </w:r>
      <w:r w:rsidR="00D26E82">
        <w:rPr>
          <w:lang w:val="en-GB"/>
        </w:rPr>
        <w:t>–</w:t>
      </w:r>
      <w:r w:rsidRPr="0048465B">
        <w:rPr>
          <w:lang w:val="en-GB"/>
        </w:rPr>
        <w:t xml:space="preserve"> for crimes that occurred decades after their death. Through showing the swift and spontaneous evolution of guilt here, Hajaj demonstrates the complexity of not only mixed Palestinian-Jewish relationships, where individuals must attempt to exist on both sides, but the complexity of any and all attempts to see both sides of the conflict when intrinsically tied to one more than the other.</w:t>
      </w:r>
    </w:p>
    <w:p w14:paraId="29D8A6FA" w14:textId="77777777" w:rsidR="00FC331F" w:rsidRPr="0048465B" w:rsidRDefault="00FC331F" w:rsidP="00FC331F">
      <w:pPr>
        <w:rPr>
          <w:lang w:val="en-GB"/>
        </w:rPr>
      </w:pPr>
    </w:p>
    <w:p w14:paraId="778A91D8" w14:textId="6D240678" w:rsidR="00FC331F" w:rsidRPr="0048465B" w:rsidRDefault="00FC331F" w:rsidP="00FC331F">
      <w:pPr>
        <w:rPr>
          <w:lang w:val="en-GB"/>
        </w:rPr>
      </w:pPr>
      <w:r w:rsidRPr="0048465B">
        <w:rPr>
          <w:lang w:val="en-GB"/>
        </w:rPr>
        <w:t xml:space="preserve">This struggle to establish a sense of balance when analysing personal histories is further challenged by the fact that for each group there is, ultimately, only one defining event. As explored in </w:t>
      </w:r>
      <w:r w:rsidR="00CA0C64">
        <w:rPr>
          <w:lang w:val="en-GB"/>
        </w:rPr>
        <w:t>C</w:t>
      </w:r>
      <w:r w:rsidRPr="0048465B">
        <w:rPr>
          <w:lang w:val="en-GB"/>
        </w:rPr>
        <w:t xml:space="preserve">hapter </w:t>
      </w:r>
      <w:r w:rsidR="00CA0C64">
        <w:rPr>
          <w:lang w:val="en-GB"/>
        </w:rPr>
        <w:t>T</w:t>
      </w:r>
      <w:r w:rsidRPr="0048465B">
        <w:rPr>
          <w:lang w:val="en-GB"/>
        </w:rPr>
        <w:t>wo, Palestinian works of literature are often imbued with the idea of the eternal 1948, whilst Jewish and Israeli works of literature regarding the conflict often look t</w:t>
      </w:r>
      <w:r w:rsidR="00C167B4">
        <w:rPr>
          <w:lang w:val="en-GB"/>
        </w:rPr>
        <w:t>o</w:t>
      </w:r>
      <w:r w:rsidRPr="0048465B">
        <w:rPr>
          <w:lang w:val="en-GB"/>
        </w:rPr>
        <w:t xml:space="preserve"> the legacy of the Holocaust. Hajaj demonstrates this through Salim’s visit as an adult to his childhood home in Jaffa, now part of Tel-Aviv Yafo. The Hungarian woman who now inhabits Salim’s family home tells him that she came to be near her parents who ‘“moved here after the war”’, Salim realising in that moment that when she says ‘the war’ she means the Holocaust, not the Nakba, and that for each people ‘there would only ever be one war’.</w:t>
      </w:r>
      <w:r w:rsidRPr="0048465B">
        <w:rPr>
          <w:vertAlign w:val="superscript"/>
          <w:lang w:val="en-GB"/>
        </w:rPr>
        <w:footnoteReference w:id="566"/>
      </w:r>
      <w:r w:rsidRPr="0048465B">
        <w:rPr>
          <w:lang w:val="en-GB"/>
        </w:rPr>
        <w:t xml:space="preserve"> Again we return to Hajaj’s notion of the ‘“arbitrary starting-point”’, the lens through which all stories are understood, the foundation to which both </w:t>
      </w:r>
      <w:r w:rsidR="000E50CC">
        <w:rPr>
          <w:lang w:val="en-GB"/>
        </w:rPr>
        <w:t>groups</w:t>
      </w:r>
      <w:r w:rsidRPr="0048465B">
        <w:rPr>
          <w:lang w:val="en-GB"/>
        </w:rPr>
        <w:t xml:space="preserve"> stick ‘“like glue and refuse to move, because it’s part of what their core identity is built out of”’.</w:t>
      </w:r>
      <w:r w:rsidRPr="0048465B">
        <w:rPr>
          <w:vertAlign w:val="superscript"/>
          <w:lang w:val="en-GB"/>
        </w:rPr>
        <w:footnoteReference w:id="567"/>
      </w:r>
      <w:r w:rsidRPr="0048465B">
        <w:rPr>
          <w:lang w:val="en-GB"/>
        </w:rPr>
        <w:t xml:space="preserve"> Hajaj, both through her novel and through her very existence, challenges such lenses, exposing their insularity and forcing two seemingly incompatible histories into a single space that, by definition, affirms the validity of both.</w:t>
      </w:r>
    </w:p>
    <w:p w14:paraId="1A0A012F" w14:textId="77777777" w:rsidR="00FC331F" w:rsidRPr="0048465B" w:rsidRDefault="00FC331F" w:rsidP="00FC331F">
      <w:pPr>
        <w:rPr>
          <w:lang w:val="en-GB"/>
        </w:rPr>
      </w:pPr>
    </w:p>
    <w:p w14:paraId="0CDC2957" w14:textId="1D450536" w:rsidR="00FC331F" w:rsidRPr="0048465B" w:rsidRDefault="00FC331F" w:rsidP="00FC331F">
      <w:pPr>
        <w:rPr>
          <w:lang w:val="en-GB"/>
        </w:rPr>
      </w:pPr>
      <w:r w:rsidRPr="0048465B">
        <w:rPr>
          <w:lang w:val="en-GB"/>
        </w:rPr>
        <w:t>Intersections of Israeli</w:t>
      </w:r>
      <w:r w:rsidR="000E50CC">
        <w:rPr>
          <w:lang w:val="en-GB"/>
        </w:rPr>
        <w:t>, Israeli</w:t>
      </w:r>
      <w:r w:rsidR="001C47C6">
        <w:rPr>
          <w:lang w:val="en-GB"/>
        </w:rPr>
        <w:t xml:space="preserve"> </w:t>
      </w:r>
      <w:r w:rsidR="000E50CC">
        <w:rPr>
          <w:lang w:val="en-GB"/>
        </w:rPr>
        <w:t xml:space="preserve">Arab, and </w:t>
      </w:r>
      <w:r w:rsidRPr="0048465B">
        <w:rPr>
          <w:lang w:val="en-GB"/>
        </w:rPr>
        <w:t>Palestinian</w:t>
      </w:r>
      <w:r w:rsidR="000E50CC">
        <w:rPr>
          <w:lang w:val="en-GB"/>
        </w:rPr>
        <w:t xml:space="preserve"> identities</w:t>
      </w:r>
      <w:r w:rsidRPr="0048465B">
        <w:rPr>
          <w:lang w:val="en-GB"/>
        </w:rPr>
        <w:t xml:space="preserve"> exist in spite of the social, political, and religious prohibitions that attempt to discourage this existence. In each of the intersections in this chapter, there exist examples of the ways in which Israeli hegemony can be challenged. The Mizrahim demonstrate as much through their </w:t>
      </w:r>
      <w:r w:rsidR="00C167B4">
        <w:rPr>
          <w:lang w:val="en-GB"/>
        </w:rPr>
        <w:t>subversion</w:t>
      </w:r>
      <w:r w:rsidRPr="0048465B">
        <w:rPr>
          <w:lang w:val="en-GB"/>
        </w:rPr>
        <w:t xml:space="preserve"> of dominant understandings of Jewish identity, Malka and Mansour d</w:t>
      </w:r>
      <w:r w:rsidR="00C167B4">
        <w:rPr>
          <w:lang w:val="en-GB"/>
        </w:rPr>
        <w:t>id</w:t>
      </w:r>
      <w:r w:rsidRPr="0048465B">
        <w:rPr>
          <w:lang w:val="en-GB"/>
        </w:rPr>
        <w:t xml:space="preserve"> so through their refusal to allow public and political pressure to prevent their marriage, </w:t>
      </w:r>
      <w:proofErr w:type="spellStart"/>
      <w:r w:rsidRPr="0048465B">
        <w:rPr>
          <w:lang w:val="en-GB"/>
        </w:rPr>
        <w:t>Rabinyan</w:t>
      </w:r>
      <w:proofErr w:type="spellEnd"/>
      <w:r w:rsidRPr="0048465B">
        <w:rPr>
          <w:lang w:val="en-GB"/>
        </w:rPr>
        <w:t xml:space="preserve"> did so through unintentionally exposing the racism that exists </w:t>
      </w:r>
      <w:r w:rsidRPr="0048465B">
        <w:rPr>
          <w:lang w:val="en-GB"/>
        </w:rPr>
        <w:lastRenderedPageBreak/>
        <w:t>within the Israeli education system, and Hajaj does so through demonstrating the destructive tendencies that exist within Israeli-Palestinian discourse, where one’s own propriety is rooted as much in the affirmation of the other’s wrongdoing as it is in objective morality.</w:t>
      </w:r>
    </w:p>
    <w:p w14:paraId="752AAA18" w14:textId="77777777" w:rsidR="00FC331F" w:rsidRPr="0048465B" w:rsidRDefault="00FC331F" w:rsidP="00FC331F">
      <w:pPr>
        <w:rPr>
          <w:lang w:val="en-GB"/>
        </w:rPr>
      </w:pPr>
    </w:p>
    <w:p w14:paraId="62FEC970" w14:textId="012D2101" w:rsidR="00CA0C64" w:rsidRDefault="00FC331F" w:rsidP="00FC331F">
      <w:pPr>
        <w:rPr>
          <w:lang w:val="en-GB"/>
        </w:rPr>
        <w:sectPr w:rsidR="00CA0C64" w:rsidSect="009953FE">
          <w:footnotePr>
            <w:numRestart w:val="eachSect"/>
          </w:footnotePr>
          <w:pgSz w:w="12240" w:h="15840"/>
          <w:pgMar w:top="1440" w:right="1440" w:bottom="1440" w:left="1440" w:header="720" w:footer="720" w:gutter="0"/>
          <w:cols w:space="720"/>
        </w:sectPr>
      </w:pPr>
      <w:r w:rsidRPr="0048465B">
        <w:rPr>
          <w:lang w:val="en-GB"/>
        </w:rPr>
        <w:t xml:space="preserve">As we witness in each of these cases, the mere allocation of attention to the narratives of the dispossessed by no means guarantees peace and reconciliation. Whilst the challenges of the Israeli-Palestinian conflict may be condensed, and even resolved, within </w:t>
      </w:r>
      <w:r w:rsidR="008F554C">
        <w:rPr>
          <w:lang w:val="en-GB"/>
        </w:rPr>
        <w:t>relationships</w:t>
      </w:r>
      <w:r w:rsidRPr="0048465B">
        <w:rPr>
          <w:lang w:val="en-GB"/>
        </w:rPr>
        <w:t xml:space="preserve">, families, and </w:t>
      </w:r>
      <w:r w:rsidR="008F554C">
        <w:rPr>
          <w:lang w:val="en-GB"/>
        </w:rPr>
        <w:t>humans</w:t>
      </w:r>
      <w:r w:rsidR="008F554C" w:rsidRPr="0048465B">
        <w:rPr>
          <w:lang w:val="en-GB"/>
        </w:rPr>
        <w:t xml:space="preserve"> </w:t>
      </w:r>
      <w:r w:rsidRPr="0048465B">
        <w:rPr>
          <w:lang w:val="en-GB"/>
        </w:rPr>
        <w:t xml:space="preserve">of </w:t>
      </w:r>
      <w:r w:rsidR="000E50CC">
        <w:rPr>
          <w:lang w:val="en-GB"/>
        </w:rPr>
        <w:t>dual-</w:t>
      </w:r>
      <w:r w:rsidRPr="0048465B">
        <w:rPr>
          <w:lang w:val="en-GB"/>
        </w:rPr>
        <w:t xml:space="preserve">heritage, the possibilities for such transformations are so limited, both within Israel and without, that they offer little hope in the wider context of the conflict in terms of demographic shift or ideological revolution. The lessons that such intersections teach, however, provide us with an insight into the ways in which the accepted narratives that surround the Israeli-Palestinian conflict might be disputed, </w:t>
      </w:r>
      <w:r w:rsidR="0057765E">
        <w:rPr>
          <w:lang w:val="en-GB"/>
        </w:rPr>
        <w:t xml:space="preserve">through </w:t>
      </w:r>
      <w:r w:rsidRPr="0048465B">
        <w:rPr>
          <w:lang w:val="en-GB"/>
        </w:rPr>
        <w:t xml:space="preserve">allowing the specificities of individual religious and ethnic identities to exist in their own right, </w:t>
      </w:r>
      <w:r w:rsidR="0057765E">
        <w:rPr>
          <w:lang w:val="en-GB"/>
        </w:rPr>
        <w:t xml:space="preserve">through </w:t>
      </w:r>
      <w:r w:rsidRPr="0048465B">
        <w:rPr>
          <w:lang w:val="en-GB"/>
        </w:rPr>
        <w:t>refusing to suppress the unions that choose to bring these identities together, and</w:t>
      </w:r>
      <w:r w:rsidR="00CA2D09">
        <w:rPr>
          <w:lang w:val="en-GB"/>
        </w:rPr>
        <w:t xml:space="preserve"> </w:t>
      </w:r>
      <w:r w:rsidR="0057765E">
        <w:rPr>
          <w:lang w:val="en-GB"/>
        </w:rPr>
        <w:t xml:space="preserve">through </w:t>
      </w:r>
      <w:r w:rsidRPr="0048465B">
        <w:rPr>
          <w:lang w:val="en-GB"/>
        </w:rPr>
        <w:t>challenging the arbitrary starting points that so often keep them apart.</w:t>
      </w:r>
    </w:p>
    <w:p w14:paraId="551524AA" w14:textId="5D5A2E75" w:rsidR="00FC331F" w:rsidRPr="00CA0C64" w:rsidRDefault="00FC331F" w:rsidP="00FC331F">
      <w:pPr>
        <w:jc w:val="center"/>
        <w:rPr>
          <w:b/>
          <w:sz w:val="28"/>
          <w:szCs w:val="28"/>
          <w:lang w:val="en-GB"/>
        </w:rPr>
      </w:pPr>
      <w:r w:rsidRPr="00CA0C64">
        <w:rPr>
          <w:b/>
          <w:sz w:val="28"/>
          <w:szCs w:val="28"/>
          <w:lang w:val="en-GB"/>
        </w:rPr>
        <w:lastRenderedPageBreak/>
        <w:t>Chapter Four</w:t>
      </w:r>
    </w:p>
    <w:p w14:paraId="272C698C" w14:textId="77777777" w:rsidR="00FC331F" w:rsidRPr="00CA0C64" w:rsidRDefault="00FC331F" w:rsidP="00FC331F">
      <w:pPr>
        <w:jc w:val="center"/>
        <w:rPr>
          <w:sz w:val="28"/>
          <w:szCs w:val="28"/>
          <w:lang w:val="en-GB"/>
        </w:rPr>
      </w:pPr>
    </w:p>
    <w:p w14:paraId="6DD9E6E4" w14:textId="77777777" w:rsidR="00FC331F" w:rsidRPr="00CA0C64" w:rsidRDefault="00FC331F" w:rsidP="00FC331F">
      <w:pPr>
        <w:jc w:val="center"/>
        <w:rPr>
          <w:b/>
          <w:sz w:val="28"/>
          <w:szCs w:val="28"/>
          <w:lang w:val="en-GB"/>
        </w:rPr>
      </w:pPr>
      <w:r w:rsidRPr="00CA0C64">
        <w:rPr>
          <w:b/>
          <w:sz w:val="28"/>
          <w:szCs w:val="28"/>
          <w:lang w:val="en-GB"/>
        </w:rPr>
        <w:t>Where Do We Go From Here?</w:t>
      </w:r>
    </w:p>
    <w:p w14:paraId="5B7B9A29" w14:textId="77777777" w:rsidR="00FC331F" w:rsidRPr="0048465B" w:rsidRDefault="00FC331F" w:rsidP="00FC331F">
      <w:pPr>
        <w:jc w:val="center"/>
        <w:rPr>
          <w:b/>
          <w:lang w:val="en-GB"/>
        </w:rPr>
      </w:pPr>
    </w:p>
    <w:p w14:paraId="2FD5EEF0" w14:textId="3B57D7E3" w:rsidR="00FC331F" w:rsidRPr="0048465B" w:rsidRDefault="00FC331F" w:rsidP="00FC331F">
      <w:pPr>
        <w:ind w:left="720"/>
        <w:rPr>
          <w:lang w:val="en-GB"/>
        </w:rPr>
      </w:pPr>
      <w:r w:rsidRPr="0048465B">
        <w:rPr>
          <w:lang w:val="en-GB"/>
        </w:rPr>
        <w:t>‘If, and as long as between the Jordan and the sea, there is only one political entity, named Israel, it will end up being either non-Jewish or non-democratic</w:t>
      </w:r>
      <w:r w:rsidR="000C3FB4">
        <w:rPr>
          <w:lang w:val="en-GB"/>
        </w:rPr>
        <w:t xml:space="preserve"> […] </w:t>
      </w:r>
      <w:r w:rsidRPr="0048465B">
        <w:rPr>
          <w:lang w:val="en-GB"/>
        </w:rPr>
        <w:t>If the Palestinians vote in elections, it is a binational state, and if they don</w:t>
      </w:r>
      <w:r w:rsidR="00364870">
        <w:rPr>
          <w:lang w:val="en-GB"/>
        </w:rPr>
        <w:t>’</w:t>
      </w:r>
      <w:r w:rsidRPr="0048465B">
        <w:rPr>
          <w:lang w:val="en-GB"/>
        </w:rPr>
        <w:t>t, it is an apartheid state’</w:t>
      </w:r>
    </w:p>
    <w:p w14:paraId="3D3C3113" w14:textId="15BB97DF" w:rsidR="00FC331F" w:rsidRPr="0048465B" w:rsidRDefault="00FC331F" w:rsidP="009F016C">
      <w:pPr>
        <w:ind w:left="4320" w:firstLine="720"/>
        <w:rPr>
          <w:lang w:val="en-GB"/>
        </w:rPr>
      </w:pPr>
      <w:r w:rsidRPr="0048465B">
        <w:rPr>
          <w:lang w:val="en-GB"/>
        </w:rPr>
        <w:t>Former Prime Minister of Israel, Ehud Barak</w:t>
      </w:r>
    </w:p>
    <w:p w14:paraId="49336F1B" w14:textId="77777777" w:rsidR="00FC331F" w:rsidRPr="0048465B" w:rsidRDefault="00FC331F" w:rsidP="00FC331F">
      <w:pPr>
        <w:rPr>
          <w:lang w:val="en-GB"/>
        </w:rPr>
      </w:pPr>
    </w:p>
    <w:p w14:paraId="553A4A68" w14:textId="7A45D6C9" w:rsidR="00FC331F" w:rsidRPr="0048465B" w:rsidRDefault="00FC331F" w:rsidP="00FC331F">
      <w:pPr>
        <w:rPr>
          <w:lang w:val="en-GB"/>
        </w:rPr>
      </w:pPr>
      <w:r w:rsidRPr="0048465B">
        <w:rPr>
          <w:lang w:val="en-GB"/>
        </w:rPr>
        <w:t xml:space="preserve">As foreshadowed in the introduction to this thesis, this final chapter marks a transition. Whilst previous chapters have focused primarily on representations of the conflict from </w:t>
      </w:r>
      <w:r w:rsidR="00571EB9">
        <w:rPr>
          <w:lang w:val="en-GB"/>
        </w:rPr>
        <w:t xml:space="preserve">literary, </w:t>
      </w:r>
      <w:r w:rsidRPr="0048465B">
        <w:rPr>
          <w:lang w:val="en-GB"/>
        </w:rPr>
        <w:t>historical</w:t>
      </w:r>
      <w:r w:rsidR="00571EB9">
        <w:rPr>
          <w:lang w:val="en-GB"/>
        </w:rPr>
        <w:t>,</w:t>
      </w:r>
      <w:r w:rsidRPr="0048465B">
        <w:rPr>
          <w:lang w:val="en-GB"/>
        </w:rPr>
        <w:t xml:space="preserve"> and cultural standpoints, this chapter turns towards more general understandings of the conflict within a political context, and relies instead on legal discourse, political analysis, and </w:t>
      </w:r>
      <w:r w:rsidR="00256FD4">
        <w:rPr>
          <w:lang w:val="en-GB"/>
        </w:rPr>
        <w:t>critical inquiry</w:t>
      </w:r>
      <w:r w:rsidRPr="0048465B">
        <w:rPr>
          <w:lang w:val="en-GB"/>
        </w:rPr>
        <w:t xml:space="preserve"> to inform its insights. Such explorations of the current status quo are more typically introductory, situated at the beginning of a work and contextualising the analysis thereafter. Yet the emotional, cultural, and historical intersections of the Israeli-Palestinian conflict demand a less conventional approach. Whilst the political history of Israel-Palestine is hugely complex in its own right, the intricacies of the conflict as a whole are most comprehensively understood and appreciated when placed within the context provided by the first three chapters of this thesis.</w:t>
      </w:r>
    </w:p>
    <w:p w14:paraId="38454B54" w14:textId="77777777" w:rsidR="00FC331F" w:rsidRPr="0048465B" w:rsidRDefault="00FC331F" w:rsidP="00FC331F">
      <w:pPr>
        <w:rPr>
          <w:lang w:val="en-GB"/>
        </w:rPr>
      </w:pPr>
    </w:p>
    <w:p w14:paraId="55679D4C" w14:textId="340205F8" w:rsidR="00FC331F" w:rsidRPr="0048465B" w:rsidRDefault="00FC331F" w:rsidP="00FC331F">
      <w:pPr>
        <w:rPr>
          <w:lang w:val="en-GB"/>
        </w:rPr>
      </w:pPr>
      <w:r w:rsidRPr="0048465B">
        <w:rPr>
          <w:lang w:val="en-GB"/>
        </w:rPr>
        <w:t xml:space="preserve">In Chapter One of this thesis, </w:t>
      </w:r>
      <w:r w:rsidR="00571EB9">
        <w:rPr>
          <w:lang w:val="en-GB"/>
        </w:rPr>
        <w:t xml:space="preserve">explorations of the issues with connective approaches between the Holocaust and the </w:t>
      </w:r>
      <w:r w:rsidRPr="0048465B">
        <w:rPr>
          <w:lang w:val="en-GB"/>
        </w:rPr>
        <w:t>Nakba demonstrat</w:t>
      </w:r>
      <w:r w:rsidR="00571EB9">
        <w:rPr>
          <w:lang w:val="en-GB"/>
        </w:rPr>
        <w:t>ed</w:t>
      </w:r>
      <w:r w:rsidRPr="0048465B">
        <w:rPr>
          <w:lang w:val="en-GB"/>
        </w:rPr>
        <w:t xml:space="preserve"> the manner in which recourse to the Holocaust can overshadow Palestinian suffering, impeding its independent existence within public discourse or </w:t>
      </w:r>
      <w:r w:rsidRPr="0048465B">
        <w:rPr>
          <w:lang w:val="en-GB"/>
        </w:rPr>
        <w:lastRenderedPageBreak/>
        <w:t xml:space="preserve">recognition within global politics. This initial exploration </w:t>
      </w:r>
      <w:r w:rsidR="00571EB9">
        <w:rPr>
          <w:lang w:val="en-GB"/>
        </w:rPr>
        <w:t>gives context to</w:t>
      </w:r>
      <w:r w:rsidRPr="0048465B">
        <w:rPr>
          <w:lang w:val="en-GB"/>
        </w:rPr>
        <w:t xml:space="preserve"> this final chapter’s reading of the manner in which this </w:t>
      </w:r>
      <w:r w:rsidR="00571EB9">
        <w:rPr>
          <w:lang w:val="en-GB"/>
        </w:rPr>
        <w:t>unbalanced</w:t>
      </w:r>
      <w:r w:rsidRPr="0048465B">
        <w:rPr>
          <w:lang w:val="en-GB"/>
        </w:rPr>
        <w:t xml:space="preserve"> focus during the creation of Israel enshrined Palestinian legal inferiority, as well as providing a </w:t>
      </w:r>
      <w:r w:rsidR="00571EB9">
        <w:rPr>
          <w:lang w:val="en-GB"/>
        </w:rPr>
        <w:t>framework within which</w:t>
      </w:r>
      <w:r w:rsidRPr="0048465B">
        <w:rPr>
          <w:lang w:val="en-GB"/>
        </w:rPr>
        <w:t xml:space="preserve"> the accusations of antisemitism lev</w:t>
      </w:r>
      <w:r w:rsidR="003C28AB">
        <w:rPr>
          <w:lang w:val="en-GB"/>
        </w:rPr>
        <w:t>elled</w:t>
      </w:r>
      <w:r w:rsidRPr="0048465B">
        <w:rPr>
          <w:lang w:val="en-GB"/>
        </w:rPr>
        <w:t xml:space="preserve"> against critics of Israel, explored in this chapter</w:t>
      </w:r>
      <w:r w:rsidR="003C28AB">
        <w:rPr>
          <w:lang w:val="en-GB"/>
        </w:rPr>
        <w:t>’</w:t>
      </w:r>
      <w:r w:rsidRPr="0048465B">
        <w:rPr>
          <w:lang w:val="en-GB"/>
        </w:rPr>
        <w:t>s forthcoming analysis of the BDS movement</w:t>
      </w:r>
      <w:r w:rsidR="00571EB9">
        <w:rPr>
          <w:lang w:val="en-GB"/>
        </w:rPr>
        <w:t>, can sit</w:t>
      </w:r>
      <w:r w:rsidRPr="0048465B">
        <w:rPr>
          <w:lang w:val="en-GB"/>
        </w:rPr>
        <w:t xml:space="preserve">. </w:t>
      </w:r>
    </w:p>
    <w:p w14:paraId="030A46E7" w14:textId="77777777" w:rsidR="00FC331F" w:rsidRPr="0048465B" w:rsidRDefault="00FC331F" w:rsidP="00FC331F">
      <w:pPr>
        <w:rPr>
          <w:lang w:val="en-GB"/>
        </w:rPr>
      </w:pPr>
    </w:p>
    <w:p w14:paraId="3C4EBAAC" w14:textId="514E8AA2" w:rsidR="00FC331F" w:rsidRPr="0048465B" w:rsidRDefault="00FC331F" w:rsidP="00FC331F">
      <w:pPr>
        <w:rPr>
          <w:lang w:val="en-GB"/>
        </w:rPr>
      </w:pPr>
      <w:r w:rsidRPr="0048465B">
        <w:rPr>
          <w:lang w:val="en-GB"/>
        </w:rPr>
        <w:t>The second chapter provided detail of the Palestinian experience of exile, as well as demonstrating the varying degrees to which a selection of Israeli authors were able to recognise and accept complicity in Palestinian suffering. Such analyses provide an understanding of the emotional aspect of this conflict often overshadowed in impersonal debates surrounding political proposals, as well as presenting the need for a more holistic understanding of the necessity of Palestinian voices when shaping potential peace agreements.</w:t>
      </w:r>
    </w:p>
    <w:p w14:paraId="335C3F84" w14:textId="77777777" w:rsidR="00FC331F" w:rsidRPr="0048465B" w:rsidRDefault="00FC331F" w:rsidP="00FC331F">
      <w:pPr>
        <w:rPr>
          <w:lang w:val="en-GB"/>
        </w:rPr>
      </w:pPr>
    </w:p>
    <w:p w14:paraId="74FD6C10" w14:textId="75D594D9" w:rsidR="00FC331F" w:rsidRPr="0048465B" w:rsidRDefault="00FC331F" w:rsidP="00FC331F">
      <w:pPr>
        <w:rPr>
          <w:lang w:val="en-GB"/>
        </w:rPr>
      </w:pPr>
      <w:r w:rsidRPr="0048465B">
        <w:rPr>
          <w:lang w:val="en-GB"/>
        </w:rPr>
        <w:t xml:space="preserve">Finally, Chapter Three </w:t>
      </w:r>
      <w:r w:rsidR="00571EB9">
        <w:rPr>
          <w:lang w:val="en-GB"/>
        </w:rPr>
        <w:t>offered</w:t>
      </w:r>
      <w:r w:rsidRPr="0048465B">
        <w:rPr>
          <w:lang w:val="en-GB"/>
        </w:rPr>
        <w:t xml:space="preserve"> both an analysis of the extensive and systemic approaches aimed at preventing </w:t>
      </w:r>
      <w:r w:rsidR="0023678C">
        <w:rPr>
          <w:lang w:val="en-GB"/>
        </w:rPr>
        <w:t>Jewish</w:t>
      </w:r>
      <w:r w:rsidR="00D852A5">
        <w:rPr>
          <w:lang w:val="en-GB"/>
        </w:rPr>
        <w:t xml:space="preserve"> </w:t>
      </w:r>
      <w:r w:rsidRPr="0048465B">
        <w:rPr>
          <w:lang w:val="en-GB"/>
        </w:rPr>
        <w:t>Israeli</w:t>
      </w:r>
      <w:r w:rsidR="0029114E">
        <w:rPr>
          <w:lang w:val="en-GB"/>
        </w:rPr>
        <w:t>-</w:t>
      </w:r>
      <w:r w:rsidR="0023678C">
        <w:rPr>
          <w:lang w:val="en-GB"/>
        </w:rPr>
        <w:t>Israeli</w:t>
      </w:r>
      <w:r w:rsidR="001C47C6">
        <w:rPr>
          <w:lang w:val="en-GB"/>
        </w:rPr>
        <w:t xml:space="preserve"> </w:t>
      </w:r>
      <w:r w:rsidRPr="0048465B">
        <w:rPr>
          <w:lang w:val="en-GB"/>
        </w:rPr>
        <w:t>Arab</w:t>
      </w:r>
      <w:r w:rsidR="0023678C">
        <w:rPr>
          <w:lang w:val="en-GB"/>
        </w:rPr>
        <w:t>/Palestinian</w:t>
      </w:r>
      <w:r w:rsidRPr="0048465B">
        <w:rPr>
          <w:lang w:val="en-GB"/>
        </w:rPr>
        <w:t xml:space="preserve"> intersections and unity within Israel proper, as well as exploring the </w:t>
      </w:r>
      <w:r w:rsidR="00E232D1">
        <w:rPr>
          <w:lang w:val="en-GB"/>
        </w:rPr>
        <w:t xml:space="preserve">ways in which </w:t>
      </w:r>
      <w:r w:rsidRPr="0048465B">
        <w:rPr>
          <w:lang w:val="en-GB"/>
        </w:rPr>
        <w:t xml:space="preserve">arbitrary ‘starting points’ can place limitations on one’s understanding of the other. When applied to this final chapter, these analyses provide context for Israeli attitudes towards a prospective one-state solution, but are also indicative of the ways in which potential solutions must be </w:t>
      </w:r>
      <w:r w:rsidR="00E232D1">
        <w:rPr>
          <w:lang w:val="en-GB"/>
        </w:rPr>
        <w:t>conscious</w:t>
      </w:r>
      <w:r w:rsidR="00D852A5">
        <w:rPr>
          <w:lang w:val="en-GB"/>
        </w:rPr>
        <w:t xml:space="preserve"> of,</w:t>
      </w:r>
      <w:r w:rsidR="00E232D1">
        <w:rPr>
          <w:lang w:val="en-GB"/>
        </w:rPr>
        <w:t xml:space="preserve"> and attentive to</w:t>
      </w:r>
      <w:r w:rsidR="00D852A5">
        <w:rPr>
          <w:lang w:val="en-GB"/>
        </w:rPr>
        <w:t>,</w:t>
      </w:r>
      <w:r w:rsidRPr="0048465B">
        <w:rPr>
          <w:lang w:val="en-GB"/>
        </w:rPr>
        <w:t xml:space="preserve"> the narratives that surround the conflict, as well as the political reality itself.</w:t>
      </w:r>
    </w:p>
    <w:p w14:paraId="39279C19" w14:textId="77777777" w:rsidR="00FC331F" w:rsidRPr="0048465B" w:rsidRDefault="00FC331F" w:rsidP="00FC331F">
      <w:pPr>
        <w:rPr>
          <w:lang w:val="en-GB"/>
        </w:rPr>
      </w:pPr>
    </w:p>
    <w:p w14:paraId="3F9C2F58" w14:textId="1B9CB060" w:rsidR="00FC331F" w:rsidRPr="0048465B" w:rsidRDefault="00FC331F" w:rsidP="00FC331F">
      <w:pPr>
        <w:rPr>
          <w:lang w:val="en-GB"/>
        </w:rPr>
      </w:pPr>
      <w:r w:rsidRPr="0048465B">
        <w:rPr>
          <w:lang w:val="en-GB"/>
        </w:rPr>
        <w:t xml:space="preserve">Throughout each of these chapters there has been a consistent and immutable recognition both of historical Jewish suffering, and of its enduring effects in the present. As many of the Palestinian </w:t>
      </w:r>
      <w:r w:rsidRPr="0048465B">
        <w:rPr>
          <w:lang w:val="en-GB"/>
        </w:rPr>
        <w:lastRenderedPageBreak/>
        <w:t xml:space="preserve">academics cited in this work have noted when commenting on the suffering of the Jewish people, such acknowledgements come entirely without precondition. In addition to affirming these experiences existentially </w:t>
      </w:r>
      <w:r w:rsidR="00D852A5">
        <w:rPr>
          <w:lang w:val="en-GB"/>
        </w:rPr>
        <w:t>–</w:t>
      </w:r>
      <w:r w:rsidRPr="0048465B">
        <w:rPr>
          <w:lang w:val="en-GB"/>
        </w:rPr>
        <w:t xml:space="preserve"> a necessary form of resistance to the ahistorical Holocaust denials that occasionally appear within discourse on Israel and Palestine </w:t>
      </w:r>
      <w:r w:rsidR="00D852A5">
        <w:rPr>
          <w:lang w:val="en-GB"/>
        </w:rPr>
        <w:t>–</w:t>
      </w:r>
      <w:r w:rsidRPr="0048465B">
        <w:rPr>
          <w:lang w:val="en-GB"/>
        </w:rPr>
        <w:t xml:space="preserve"> such affirmations also ensure that the forthcoming commentary on the practices of the Israeli state sits within a pre-existing context of understanding and recognition of Jewish suffering. It is only after having paid due consideration to the suffering of both sides emotionally, and having confirmed the validity of both experientially, that one can attempt to depict the situation in Israel</w:t>
      </w:r>
      <w:r w:rsidR="00E232D1">
        <w:rPr>
          <w:lang w:val="en-GB"/>
        </w:rPr>
        <w:t>-</w:t>
      </w:r>
      <w:r w:rsidRPr="0048465B">
        <w:rPr>
          <w:lang w:val="en-GB"/>
        </w:rPr>
        <w:t xml:space="preserve">Palestine from a position of neutrality without being drawn back into conversations about historical or contemporary pain that lose focus on the present. Each side has indisputable claims to </w:t>
      </w:r>
      <w:r w:rsidR="00E232D1">
        <w:rPr>
          <w:lang w:val="en-GB"/>
        </w:rPr>
        <w:t xml:space="preserve">historical </w:t>
      </w:r>
      <w:r w:rsidRPr="0048465B">
        <w:rPr>
          <w:lang w:val="en-GB"/>
        </w:rPr>
        <w:t xml:space="preserve">suffering, and such claims should not be silenced. </w:t>
      </w:r>
      <w:r w:rsidR="00E232D1">
        <w:rPr>
          <w:lang w:val="en-GB"/>
        </w:rPr>
        <w:t xml:space="preserve">To insert these claims into </w:t>
      </w:r>
      <w:r w:rsidRPr="0048465B">
        <w:rPr>
          <w:lang w:val="en-GB"/>
        </w:rPr>
        <w:t>conversations about the political reality of contemporary Israel-Palestine can, however, obscure clarity, complicating even the most ostensibly transparent of assertions.</w:t>
      </w:r>
    </w:p>
    <w:p w14:paraId="65D108A6" w14:textId="77777777" w:rsidR="00FC331F" w:rsidRPr="0048465B" w:rsidRDefault="00FC331F" w:rsidP="00FC331F">
      <w:pPr>
        <w:rPr>
          <w:lang w:val="en-GB"/>
        </w:rPr>
      </w:pPr>
    </w:p>
    <w:p w14:paraId="1F45C5A9" w14:textId="095F9F85" w:rsidR="00FC331F" w:rsidRPr="0048465B" w:rsidRDefault="00FC331F" w:rsidP="00FC331F">
      <w:pPr>
        <w:rPr>
          <w:lang w:val="en-GB"/>
        </w:rPr>
      </w:pPr>
      <w:r w:rsidRPr="0048465B">
        <w:rPr>
          <w:lang w:val="en-GB"/>
        </w:rPr>
        <w:t>This chapter asks a series of simple questions of the potential routes to peace that it explores. Broadly speaking, these questions are as follows: Can this approach lead to peace? If not, why not? If so, how so? And, finally, are there any lessons we can learn from otherwise ill-fated approaches</w:t>
      </w:r>
      <w:r w:rsidR="00E232D1">
        <w:rPr>
          <w:lang w:val="en-GB"/>
        </w:rPr>
        <w:t>?</w:t>
      </w:r>
      <w:r w:rsidRPr="0048465B">
        <w:rPr>
          <w:lang w:val="en-GB"/>
        </w:rPr>
        <w:t xml:space="preserve"> Whilst it is beyond the remit of this thesis to provide an actionable proposal for peace, through exploring a number of potential solutions and identifying the best features from each, the conclusion to this chapter provides a checklist of sorts, gesturing towards a number of features illuminated within the main body of the chapter that any prospective peace plan might take into account when wishing to proceed in an equitable manner. This checklist might be thought of as a signpost of where, in my own mind, we go from here.</w:t>
      </w:r>
    </w:p>
    <w:p w14:paraId="52BCB9D0" w14:textId="77777777" w:rsidR="00FC331F" w:rsidRPr="0048465B" w:rsidRDefault="00FC331F" w:rsidP="00FC331F">
      <w:pPr>
        <w:rPr>
          <w:lang w:val="en-GB"/>
        </w:rPr>
      </w:pPr>
    </w:p>
    <w:p w14:paraId="2D313D1A" w14:textId="78F1AC99" w:rsidR="00FC331F" w:rsidRPr="0048465B" w:rsidRDefault="00FC331F" w:rsidP="00FC331F">
      <w:pPr>
        <w:rPr>
          <w:lang w:val="en-GB"/>
        </w:rPr>
      </w:pPr>
      <w:r w:rsidRPr="0048465B">
        <w:rPr>
          <w:lang w:val="en-GB"/>
        </w:rPr>
        <w:t xml:space="preserve">The areas explored in order to make such deliberations are varied, centred not only in </w:t>
      </w:r>
      <w:proofErr w:type="spellStart"/>
      <w:r w:rsidR="008F554C" w:rsidRPr="0048465B">
        <w:rPr>
          <w:lang w:val="en-GB"/>
        </w:rPr>
        <w:t>historic</w:t>
      </w:r>
      <w:r w:rsidR="008F554C">
        <w:rPr>
          <w:lang w:val="en-GB"/>
        </w:rPr>
        <w:t>o</w:t>
      </w:r>
      <w:proofErr w:type="spellEnd"/>
      <w:r w:rsidR="008F554C">
        <w:rPr>
          <w:lang w:val="en-GB"/>
        </w:rPr>
        <w:t>-</w:t>
      </w:r>
      <w:r w:rsidRPr="0048465B">
        <w:rPr>
          <w:lang w:val="en-GB"/>
        </w:rPr>
        <w:t>political approaches to peace but in legal</w:t>
      </w:r>
      <w:r w:rsidR="008F554C">
        <w:rPr>
          <w:lang w:val="en-GB"/>
        </w:rPr>
        <w:t xml:space="preserve"> discourse</w:t>
      </w:r>
      <w:r w:rsidRPr="0048465B">
        <w:rPr>
          <w:lang w:val="en-GB"/>
        </w:rPr>
        <w:t xml:space="preserve"> and cultural </w:t>
      </w:r>
      <w:r w:rsidR="008F554C">
        <w:rPr>
          <w:lang w:val="en-GB"/>
        </w:rPr>
        <w:t>analysis</w:t>
      </w:r>
      <w:r w:rsidR="008F554C" w:rsidRPr="0048465B">
        <w:rPr>
          <w:lang w:val="en-GB"/>
        </w:rPr>
        <w:t xml:space="preserve"> </w:t>
      </w:r>
      <w:r w:rsidRPr="0048465B">
        <w:rPr>
          <w:lang w:val="en-GB"/>
        </w:rPr>
        <w:t>from across the history of the conflict. Focusing first on the contexts surrounding Israel’s creation</w:t>
      </w:r>
      <w:r w:rsidR="00D852A5">
        <w:rPr>
          <w:lang w:val="en-GB"/>
        </w:rPr>
        <w:t>,</w:t>
      </w:r>
      <w:r w:rsidRPr="0048465B">
        <w:rPr>
          <w:lang w:val="en-GB"/>
        </w:rPr>
        <w:t xml:space="preserve"> and</w:t>
      </w:r>
      <w:r w:rsidR="00D852A5">
        <w:rPr>
          <w:lang w:val="en-GB"/>
        </w:rPr>
        <w:t xml:space="preserve"> its</w:t>
      </w:r>
      <w:r w:rsidRPr="0048465B">
        <w:rPr>
          <w:lang w:val="en-GB"/>
        </w:rPr>
        <w:t xml:space="preserve"> control of Palestine thereafter, this work takes inspiration from Palestinian</w:t>
      </w:r>
      <w:r w:rsidR="00B45635">
        <w:rPr>
          <w:lang w:val="en-GB"/>
        </w:rPr>
        <w:t xml:space="preserve"> </w:t>
      </w:r>
      <w:r w:rsidRPr="0048465B">
        <w:rPr>
          <w:lang w:val="en-GB"/>
        </w:rPr>
        <w:t xml:space="preserve">American legal scholar and human rights attorney Noura Erakat, whose 2019 work </w:t>
      </w:r>
      <w:r w:rsidRPr="0048465B">
        <w:rPr>
          <w:i/>
          <w:lang w:val="en-GB"/>
        </w:rPr>
        <w:t>Justice for Some: Law and the Question of Palestine</w:t>
      </w:r>
      <w:r w:rsidRPr="0048465B">
        <w:rPr>
          <w:lang w:val="en-GB"/>
        </w:rPr>
        <w:t xml:space="preserve"> assesses the accepted dependency of the peace process upon UN governance, American diplomacy, and the two-state solution. Thereafter the chapter explores American influence in the Middle East, looking first at Donald Trump</w:t>
      </w:r>
      <w:r w:rsidR="00497D36">
        <w:rPr>
          <w:lang w:val="en-GB"/>
        </w:rPr>
        <w:t>’s</w:t>
      </w:r>
      <w:r w:rsidRPr="0048465B">
        <w:rPr>
          <w:lang w:val="en-GB"/>
        </w:rPr>
        <w:t xml:space="preserve"> ‘Peace to Prosperity’ deal and, in the aftermath of its failure, the normalisation of relations between Arab nations and Israel. In light of this analysis, the chapter then looks at the possibility of change under Joe Biden, and assesses the possibility of uniting American interests in Palestine and Iran, taking inspiration from the history of Namibia’s successful fight for independence from South Africa. Thereafter, we look towards the much maligned </w:t>
      </w:r>
      <w:r w:rsidR="00D852A5">
        <w:rPr>
          <w:lang w:val="en-GB"/>
        </w:rPr>
        <w:t>–</w:t>
      </w:r>
      <w:r w:rsidRPr="0048465B">
        <w:rPr>
          <w:lang w:val="en-GB"/>
        </w:rPr>
        <w:t xml:space="preserve"> yet also widely supported </w:t>
      </w:r>
      <w:r w:rsidR="00D852A5">
        <w:rPr>
          <w:lang w:val="en-GB"/>
        </w:rPr>
        <w:t>–</w:t>
      </w:r>
      <w:r w:rsidRPr="0048465B">
        <w:rPr>
          <w:lang w:val="en-GB"/>
        </w:rPr>
        <w:t xml:space="preserve"> BDS movement, assessing its strengths and its weaknesses. Finally, this chapter concludes by looking at the ways in which a unified and democratic Israeli-Palestinian state with equal rights for all might become possible, including analysis of the potential impact of recent events that have shaken the world order, such as the murder of George Floyd.</w:t>
      </w:r>
    </w:p>
    <w:p w14:paraId="5501CE6F" w14:textId="77777777" w:rsidR="00FC331F" w:rsidRPr="0048465B" w:rsidRDefault="00FC331F" w:rsidP="00FC331F">
      <w:pPr>
        <w:rPr>
          <w:lang w:val="en-GB"/>
        </w:rPr>
      </w:pPr>
    </w:p>
    <w:p w14:paraId="415956CF" w14:textId="77777777" w:rsidR="00FC331F" w:rsidRPr="0048465B" w:rsidRDefault="00FC331F" w:rsidP="00FC331F">
      <w:pPr>
        <w:jc w:val="center"/>
        <w:rPr>
          <w:lang w:val="en-GB"/>
        </w:rPr>
      </w:pPr>
      <w:r w:rsidRPr="0048465B">
        <w:rPr>
          <w:b/>
          <w:lang w:val="en-GB"/>
        </w:rPr>
        <w:t>Israel’s Creation, the Sovereign Exception, and the International Community</w:t>
      </w:r>
    </w:p>
    <w:p w14:paraId="1B641EEA" w14:textId="77777777" w:rsidR="00FC331F" w:rsidRPr="0048465B" w:rsidRDefault="00FC331F" w:rsidP="00FC331F">
      <w:pPr>
        <w:rPr>
          <w:lang w:val="en-GB"/>
        </w:rPr>
      </w:pPr>
    </w:p>
    <w:p w14:paraId="6B02B712" w14:textId="76B00AE7" w:rsidR="00FC331F" w:rsidRPr="0048465B" w:rsidRDefault="00FC331F" w:rsidP="00FC331F">
      <w:pPr>
        <w:rPr>
          <w:lang w:val="en-GB"/>
        </w:rPr>
      </w:pPr>
      <w:r w:rsidRPr="0048465B">
        <w:rPr>
          <w:lang w:val="en-GB"/>
        </w:rPr>
        <w:t xml:space="preserve">In order to better understand the origins of contemporary approaches to peace, this chapter first looks back at the legal and political contexts surrounding Israel’s creation, the legal inequity inscribed into the Israeli-Palestinian conflict, and the ways in which the law has consistently failed </w:t>
      </w:r>
      <w:r w:rsidRPr="0048465B">
        <w:rPr>
          <w:lang w:val="en-GB"/>
        </w:rPr>
        <w:lastRenderedPageBreak/>
        <w:t>to take Palestinian lives into consideration. Whilst the breaking down of conventional peace processes thus far might conventionally be attributed ‘to a failure of [</w:t>
      </w:r>
      <w:r w:rsidR="00E2665A">
        <w:rPr>
          <w:lang w:val="en-GB"/>
        </w:rPr>
        <w:t xml:space="preserve">the </w:t>
      </w:r>
      <w:r w:rsidRPr="0048465B">
        <w:rPr>
          <w:lang w:val="en-GB"/>
        </w:rPr>
        <w:t>requisite] law or to its nonexistence’, therefore calling for ‘more law, better law, and/or stricter adherence to law as the requisite corrective’, this perspective overlooks the reality that law itself is imperfect.</w:t>
      </w:r>
      <w:r w:rsidR="00E232D1" w:rsidRPr="0048465B">
        <w:rPr>
          <w:vertAlign w:val="superscript"/>
          <w:lang w:val="en-GB"/>
        </w:rPr>
        <w:footnoteReference w:id="568"/>
      </w:r>
      <w:r w:rsidRPr="0048465B">
        <w:rPr>
          <w:lang w:val="en-GB"/>
        </w:rPr>
        <w:t xml:space="preserve"> </w:t>
      </w:r>
      <w:r w:rsidR="002953F4">
        <w:rPr>
          <w:lang w:val="en-GB"/>
        </w:rPr>
        <w:t>Laws</w:t>
      </w:r>
      <w:r w:rsidRPr="0048465B">
        <w:rPr>
          <w:lang w:val="en-GB"/>
        </w:rPr>
        <w:t xml:space="preserve"> may be bent to one’s own interests through the exploitation of ambiguities, laws can be rejected outright due to the subjective perception of prejudice, laws can overlook systemic inequalities that those who create them are not conscious of, and even the most unequivocal of laws remain powerless without a framework that enforces adherence. The malleability of international law has proved a consistent obstacle for the Palestinian cause both since Israel’s creation and before, not</w:t>
      </w:r>
      <w:r w:rsidR="002953F4">
        <w:rPr>
          <w:lang w:val="en-GB"/>
        </w:rPr>
        <w:t xml:space="preserve"> only</w:t>
      </w:r>
      <w:r w:rsidRPr="0048465B">
        <w:rPr>
          <w:lang w:val="en-GB"/>
        </w:rPr>
        <w:t xml:space="preserve"> initially prioritising post-Holocaust Jewish demands in the shaping of Israel-Palestine, but enabling the continued deprivation of Palestinian sovereignty thereafter.</w:t>
      </w:r>
    </w:p>
    <w:p w14:paraId="623612FD" w14:textId="77777777" w:rsidR="00FC331F" w:rsidRPr="0048465B" w:rsidRDefault="00FC331F" w:rsidP="00FC331F">
      <w:pPr>
        <w:rPr>
          <w:lang w:val="en-GB"/>
        </w:rPr>
      </w:pPr>
    </w:p>
    <w:p w14:paraId="4F837204" w14:textId="6A776B6E" w:rsidR="00FC331F" w:rsidRPr="0048465B" w:rsidRDefault="0039637F" w:rsidP="00FC331F">
      <w:pPr>
        <w:rPr>
          <w:lang w:val="en-GB"/>
        </w:rPr>
      </w:pPr>
      <w:r w:rsidRPr="0048465B">
        <w:rPr>
          <w:lang w:val="en-GB"/>
        </w:rPr>
        <w:t>Whilst international law is presented as perceiving all its subjects equally, the history of Palestine demonstrates that systemic inequalities undermine this assertion.</w:t>
      </w:r>
      <w:r w:rsidRPr="0048465B">
        <w:rPr>
          <w:b/>
          <w:lang w:val="en-GB"/>
        </w:rPr>
        <w:t xml:space="preserve"> </w:t>
      </w:r>
      <w:r w:rsidR="00FC331F" w:rsidRPr="0048465B">
        <w:rPr>
          <w:lang w:val="en-GB"/>
        </w:rPr>
        <w:t>Erakat describes international law as ‘a derivative of a colonial order, and therefore structurally detrimental to former colonies, people still under colonial domination, and individuals who lack nationality or who</w:t>
      </w:r>
      <w:r w:rsidR="000C3FB4">
        <w:rPr>
          <w:lang w:val="en-GB"/>
        </w:rPr>
        <w:t xml:space="preserve"> […] </w:t>
      </w:r>
      <w:r w:rsidR="00FC331F" w:rsidRPr="0048465B">
        <w:rPr>
          <w:lang w:val="en-GB"/>
        </w:rPr>
        <w:t>have been forcibly removed from their state and can no longer invoke its protection’.</w:t>
      </w:r>
      <w:r w:rsidR="00FC331F" w:rsidRPr="0048465B">
        <w:rPr>
          <w:vertAlign w:val="superscript"/>
          <w:lang w:val="en-GB"/>
        </w:rPr>
        <w:footnoteReference w:id="569"/>
      </w:r>
      <w:r w:rsidR="00FC331F" w:rsidRPr="0048465B">
        <w:rPr>
          <w:lang w:val="en-GB"/>
        </w:rPr>
        <w:t xml:space="preserve"> Palestine and its people fit each and every one of these categories. They are a former colony of the British Mandate, and presently under the de facto colonial domination of the Israeli government, the denial of Palestinian sovereignty ensures that Palestinian nationality has no explicit or legal definition, Palestine continues to be denied full UN membership, and somewhere in the region of three quarters of a </w:t>
      </w:r>
      <w:r w:rsidR="00FC331F" w:rsidRPr="0048465B">
        <w:rPr>
          <w:lang w:val="en-GB"/>
        </w:rPr>
        <w:lastRenderedPageBreak/>
        <w:t>million Palestinians were exiled in 1948, along with a further three hundred thousand in 1967, and many more since. The instability of international law becomes particularly evident when one realises that whilst many of the above actions are deemed illegal under international law, it is also due to the technicalities of international law, specifically the concepts of the ‘sovereign exception’ and the ‘sui generis’ situation, that these same actions have been legally defensible.</w:t>
      </w:r>
    </w:p>
    <w:p w14:paraId="00B9D1D5" w14:textId="77777777" w:rsidR="00FC331F" w:rsidRPr="0048465B" w:rsidRDefault="00FC331F" w:rsidP="00FC331F">
      <w:pPr>
        <w:rPr>
          <w:lang w:val="en-GB"/>
        </w:rPr>
      </w:pPr>
    </w:p>
    <w:p w14:paraId="73B38BB4" w14:textId="7B6CE393" w:rsidR="00FC331F" w:rsidRPr="0048465B" w:rsidRDefault="00FC331F" w:rsidP="00FC331F">
      <w:pPr>
        <w:rPr>
          <w:lang w:val="en-GB"/>
        </w:rPr>
      </w:pPr>
      <w:r w:rsidRPr="0048465B">
        <w:rPr>
          <w:lang w:val="en-GB"/>
        </w:rPr>
        <w:t>The concept of the ‘sovereign exception’ highlights the legal power that is unavailable to the Palestinian cause. Such exceptions, legally available to sovereign states alone, are established purely in relation to that which the sovereign power perceives as imperative in order to protect its own interests. As a result of this highly subjective creative process</w:t>
      </w:r>
      <w:r w:rsidR="002953F4">
        <w:rPr>
          <w:lang w:val="en-GB"/>
        </w:rPr>
        <w:t>,</w:t>
      </w:r>
      <w:r w:rsidRPr="0048465B">
        <w:rPr>
          <w:lang w:val="en-GB"/>
        </w:rPr>
        <w:t xml:space="preserve"> sovereign exceptions are beyond dispute, identified as being ‘undecidable in fact and law’.</w:t>
      </w:r>
      <w:r w:rsidRPr="0048465B">
        <w:rPr>
          <w:vertAlign w:val="superscript"/>
          <w:lang w:val="en-GB"/>
        </w:rPr>
        <w:footnoteReference w:id="570"/>
      </w:r>
      <w:r w:rsidRPr="0048465B">
        <w:rPr>
          <w:lang w:val="en-GB"/>
        </w:rPr>
        <w:t xml:space="preserve"> Erakat describes such exceptions as follows:</w:t>
      </w:r>
    </w:p>
    <w:p w14:paraId="4A03627D" w14:textId="77777777" w:rsidR="00FC331F" w:rsidRPr="0048465B" w:rsidRDefault="00FC331F" w:rsidP="00FC331F">
      <w:pPr>
        <w:rPr>
          <w:lang w:val="en-GB"/>
        </w:rPr>
      </w:pPr>
    </w:p>
    <w:p w14:paraId="7EE64294" w14:textId="026152ED" w:rsidR="00FC331F" w:rsidRPr="0048465B" w:rsidRDefault="00FC331F" w:rsidP="00FC331F">
      <w:pPr>
        <w:ind w:left="720"/>
        <w:rPr>
          <w:lang w:val="en-GB"/>
        </w:rPr>
      </w:pPr>
      <w:r w:rsidRPr="0048465B">
        <w:rPr>
          <w:lang w:val="en-GB"/>
        </w:rPr>
        <w:t>While some would argue that an exception is a zone of lawlessness and therefore not law at all, legal doctrine views an exceptional fact pattern as sui generis</w:t>
      </w:r>
      <w:r w:rsidR="000C3FB4">
        <w:rPr>
          <w:lang w:val="en-GB"/>
        </w:rPr>
        <w:t xml:space="preserve"> […] </w:t>
      </w:r>
      <w:r w:rsidRPr="0048465B">
        <w:rPr>
          <w:lang w:val="en-GB"/>
        </w:rPr>
        <w:t xml:space="preserve">If a fact pattern is sui generis, or unlike anything else, then there is no applicable precedent or analogy, thus creating the need to establish new law. Declaring a sui generis fact pattern produces a </w:t>
      </w:r>
      <w:proofErr w:type="spellStart"/>
      <w:r w:rsidRPr="0048465B">
        <w:rPr>
          <w:lang w:val="en-GB"/>
        </w:rPr>
        <w:t>lawmaking</w:t>
      </w:r>
      <w:proofErr w:type="spellEnd"/>
      <w:r w:rsidRPr="0048465B">
        <w:rPr>
          <w:lang w:val="en-GB"/>
        </w:rPr>
        <w:t xml:space="preserve"> authority that empowers the sovereign to establish new law wherein its claims of exception are legally regulated and internally coherent.</w:t>
      </w:r>
      <w:r w:rsidRPr="0048465B">
        <w:rPr>
          <w:vertAlign w:val="superscript"/>
          <w:lang w:val="en-GB"/>
        </w:rPr>
        <w:footnoteReference w:id="571"/>
      </w:r>
      <w:r w:rsidRPr="0048465B">
        <w:rPr>
          <w:lang w:val="en-GB"/>
        </w:rPr>
        <w:t xml:space="preserve"> </w:t>
      </w:r>
    </w:p>
    <w:p w14:paraId="62951A8E" w14:textId="77777777" w:rsidR="00FC331F" w:rsidRPr="0048465B" w:rsidRDefault="00FC331F" w:rsidP="00FC331F">
      <w:pPr>
        <w:rPr>
          <w:lang w:val="en-GB"/>
        </w:rPr>
      </w:pPr>
    </w:p>
    <w:p w14:paraId="0D289DEB" w14:textId="2ACD5D64" w:rsidR="00FC331F" w:rsidRPr="0048465B" w:rsidRDefault="00FC331F" w:rsidP="00FC331F">
      <w:pPr>
        <w:rPr>
          <w:lang w:val="en-GB"/>
        </w:rPr>
      </w:pPr>
      <w:r w:rsidRPr="0048465B">
        <w:rPr>
          <w:lang w:val="en-GB"/>
        </w:rPr>
        <w:t xml:space="preserve">The use of the sovereign exception </w:t>
      </w:r>
      <w:r w:rsidR="00BB525D">
        <w:rPr>
          <w:lang w:val="en-GB"/>
        </w:rPr>
        <w:t>–</w:t>
      </w:r>
      <w:r w:rsidRPr="0048465B">
        <w:rPr>
          <w:lang w:val="en-GB"/>
        </w:rPr>
        <w:t xml:space="preserve"> in response to a perceived sui generis situation </w:t>
      </w:r>
      <w:r w:rsidR="00BB525D">
        <w:rPr>
          <w:lang w:val="en-GB"/>
        </w:rPr>
        <w:t>–</w:t>
      </w:r>
      <w:r w:rsidRPr="0048465B">
        <w:rPr>
          <w:lang w:val="en-GB"/>
        </w:rPr>
        <w:t xml:space="preserve"> is enshrined in the very method of Israel’s creation. The British Mandate of Palestine identified ‘the condition </w:t>
      </w:r>
      <w:r w:rsidRPr="0048465B">
        <w:rPr>
          <w:lang w:val="en-GB"/>
        </w:rPr>
        <w:lastRenderedPageBreak/>
        <w:t>of the global Jewry and the history of Palestine’ as ‘render[</w:t>
      </w:r>
      <w:proofErr w:type="spellStart"/>
      <w:r w:rsidRPr="0048465B">
        <w:rPr>
          <w:lang w:val="en-GB"/>
        </w:rPr>
        <w:t>ing</w:t>
      </w:r>
      <w:proofErr w:type="spellEnd"/>
      <w:r w:rsidRPr="0048465B">
        <w:rPr>
          <w:lang w:val="en-GB"/>
        </w:rPr>
        <w:t>] Palestine unique and distinct from all other former territories of the Ottoman Empire’,</w:t>
      </w:r>
      <w:r w:rsidRPr="0048465B">
        <w:rPr>
          <w:vertAlign w:val="superscript"/>
          <w:lang w:val="en-GB"/>
        </w:rPr>
        <w:footnoteReference w:id="572"/>
      </w:r>
      <w:r w:rsidRPr="0048465B">
        <w:rPr>
          <w:lang w:val="en-GB"/>
        </w:rPr>
        <w:t xml:space="preserve"> and subsequently used what Lord Balfour described as Palestine’s ‘“absolutely exceptional”’ status to justify its refusal to hand power to the Palestinian people, and to redistribute its colonial takings as it saw fit, rather than deferring to the legal ownership of the land at the time.</w:t>
      </w:r>
      <w:r w:rsidR="002953F4" w:rsidRPr="0048465B">
        <w:rPr>
          <w:vertAlign w:val="superscript"/>
          <w:lang w:val="en-GB"/>
        </w:rPr>
        <w:footnoteReference w:id="573"/>
      </w:r>
      <w:r w:rsidRPr="0048465B">
        <w:rPr>
          <w:lang w:val="en-GB"/>
        </w:rPr>
        <w:t xml:space="preserve"> In doing so, the struggle for an indigenous people to retain ownership of their land was recast as a ‘struggle against established international law and the international community seeking to uphold it’.</w:t>
      </w:r>
      <w:r w:rsidRPr="0048465B">
        <w:rPr>
          <w:vertAlign w:val="superscript"/>
          <w:lang w:val="en-GB"/>
        </w:rPr>
        <w:footnoteReference w:id="574"/>
      </w:r>
      <w:r w:rsidRPr="0048465B">
        <w:rPr>
          <w:lang w:val="en-GB"/>
        </w:rPr>
        <w:t xml:space="preserve"> Moreover, by accepting Israel’s application for UN membership, despite Israel’s failure to meet the demands initially placed on this membership, the UN not only validated the decisions of the British Mandate, but also relinquished the leverage that Israeli membership could have constituted for the UN.</w:t>
      </w:r>
      <w:r w:rsidR="002953F4" w:rsidRPr="0048465B">
        <w:rPr>
          <w:vertAlign w:val="superscript"/>
          <w:lang w:val="en-GB"/>
        </w:rPr>
        <w:footnoteReference w:id="575"/>
      </w:r>
      <w:r w:rsidRPr="0048465B">
        <w:rPr>
          <w:lang w:val="en-GB"/>
        </w:rPr>
        <w:t xml:space="preserve"> Such decisions are amongst the first, and most transformative, of the exceptions that have determined and continue to determine the existence, or non-existence, of Palestine and its people.</w:t>
      </w:r>
    </w:p>
    <w:p w14:paraId="6A3EFC29" w14:textId="77777777" w:rsidR="00FC331F" w:rsidRPr="0048465B" w:rsidRDefault="00FC331F" w:rsidP="00FC331F">
      <w:pPr>
        <w:rPr>
          <w:lang w:val="en-GB"/>
        </w:rPr>
      </w:pPr>
    </w:p>
    <w:p w14:paraId="0D5CAF27" w14:textId="2D6FBF67" w:rsidR="00FC331F" w:rsidRPr="0048465B" w:rsidRDefault="00FC331F" w:rsidP="00FC331F">
      <w:pPr>
        <w:rPr>
          <w:lang w:val="en-GB"/>
        </w:rPr>
      </w:pPr>
      <w:r w:rsidRPr="0048465B">
        <w:rPr>
          <w:lang w:val="en-GB"/>
        </w:rPr>
        <w:t xml:space="preserve">Turning to the present day, one such application of the sui generis argument is Israel’s creation of ‘the new category “armed conflict short of war”’, a device that has allowed Israel to ‘maintain an occupation in 82 percent of the </w:t>
      </w:r>
      <w:r w:rsidR="008A3ECC">
        <w:rPr>
          <w:lang w:val="en-GB"/>
        </w:rPr>
        <w:t>O</w:t>
      </w:r>
      <w:r w:rsidRPr="0048465B">
        <w:rPr>
          <w:lang w:val="en-GB"/>
        </w:rPr>
        <w:t xml:space="preserve">ccupied </w:t>
      </w:r>
      <w:r w:rsidR="008A3ECC">
        <w:rPr>
          <w:lang w:val="en-GB"/>
        </w:rPr>
        <w:t>T</w:t>
      </w:r>
      <w:r w:rsidRPr="0048465B">
        <w:rPr>
          <w:lang w:val="en-GB"/>
        </w:rPr>
        <w:t>erritories and simultaneously be in an armed conflict against its occupied population in the remaining 18 percent where its control has been diminished’.</w:t>
      </w:r>
      <w:r w:rsidRPr="0048465B">
        <w:rPr>
          <w:vertAlign w:val="superscript"/>
          <w:lang w:val="en-GB"/>
        </w:rPr>
        <w:footnoteReference w:id="576"/>
      </w:r>
      <w:r w:rsidRPr="0048465B">
        <w:rPr>
          <w:lang w:val="en-GB"/>
        </w:rPr>
        <w:t xml:space="preserve"> Here, Israel has benefited from the sui generis argument in order to inaccurately depict its military engagement with Palestine as exceptional, and to depict reactive Palestinian </w:t>
      </w:r>
      <w:r w:rsidRPr="0048465B">
        <w:rPr>
          <w:lang w:val="en-GB"/>
        </w:rPr>
        <w:lastRenderedPageBreak/>
        <w:t xml:space="preserve">violence as unlawful. This has contributed to the characterisation of all Palestinian armed resistance as ‘terrorism’, despite the fact that without Israel’s new category of armed conflict, Palestinian resistance would be considered either an International Armed Conflict or a Non-International Armed Conflict, both of which would render Palestinian armed resistance legitimate. In the case of an International Armed Conflict, international law would recognise Palestine’s ‘embryonic sovereignty’ and provide it with the legal wherewithal to defend itself. Similarly, were the combat defined as a Non-International Armed Conflict (or civil war), Israel’s control over both Israel proper and the Occupied Territories would be exposed, thereby legitimising Palestinian resistance in defence of its borders against conquest. In this sense, the sui generis framework has not only enabled Israel to wage war upon a nation that it continues to occupy, but transformed otherwise legal resistance to this war into terrorism, which </w:t>
      </w:r>
      <w:r w:rsidR="00433850">
        <w:rPr>
          <w:lang w:val="en-GB"/>
        </w:rPr>
        <w:t>–</w:t>
      </w:r>
      <w:r w:rsidRPr="0048465B">
        <w:rPr>
          <w:lang w:val="en-GB"/>
        </w:rPr>
        <w:t xml:space="preserve"> in turn </w:t>
      </w:r>
      <w:r w:rsidR="00433850">
        <w:rPr>
          <w:lang w:val="en-GB"/>
        </w:rPr>
        <w:t>–</w:t>
      </w:r>
      <w:r w:rsidRPr="0048465B">
        <w:rPr>
          <w:lang w:val="en-GB"/>
        </w:rPr>
        <w:t xml:space="preserve"> serves to legitimise Israel’s initial and </w:t>
      </w:r>
      <w:r w:rsidR="00433850">
        <w:rPr>
          <w:lang w:val="en-GB"/>
        </w:rPr>
        <w:t>ongoing</w:t>
      </w:r>
      <w:r w:rsidRPr="0048465B">
        <w:rPr>
          <w:lang w:val="en-GB"/>
        </w:rPr>
        <w:t xml:space="preserve"> violence by incorporating it into the so called ‘war on terror’.</w:t>
      </w:r>
    </w:p>
    <w:p w14:paraId="37B8211E" w14:textId="77777777" w:rsidR="00FC331F" w:rsidRPr="0048465B" w:rsidRDefault="00FC331F" w:rsidP="00FC331F">
      <w:pPr>
        <w:rPr>
          <w:lang w:val="en-GB"/>
        </w:rPr>
      </w:pPr>
    </w:p>
    <w:p w14:paraId="2DDB4D59" w14:textId="08A7A2E2" w:rsidR="00FC331F" w:rsidRPr="0048465B" w:rsidRDefault="00FC331F" w:rsidP="00FC331F">
      <w:pPr>
        <w:rPr>
          <w:lang w:val="en-GB"/>
        </w:rPr>
      </w:pPr>
      <w:r w:rsidRPr="0048465B">
        <w:rPr>
          <w:lang w:val="en-GB"/>
        </w:rPr>
        <w:t>Yet another way in which the historical oversights of international law continue to affect Palestine today is found in Israel’s claim that Palestine has no sovereign entity to restore power to. Whilst ‘occupation law requires maintaining the status quo ante until the establishment of peace enables the reversion of a displaced sovereign’s authority’, Israel has depicted the Occupied Territories as having no sovereign entity to restore, and therefore being sui generis, thus arguing that they could choose to ‘apply the humanitarian provisions of occupation law as a matter of discretion’, rather than legal duty.</w:t>
      </w:r>
      <w:r w:rsidRPr="0048465B">
        <w:rPr>
          <w:vertAlign w:val="superscript"/>
          <w:lang w:val="en-GB"/>
        </w:rPr>
        <w:footnoteReference w:id="577"/>
      </w:r>
      <w:r w:rsidRPr="0048465B">
        <w:rPr>
          <w:vertAlign w:val="superscript"/>
          <w:lang w:val="en-GB"/>
        </w:rPr>
        <w:t xml:space="preserve"> </w:t>
      </w:r>
      <w:r w:rsidRPr="0048465B">
        <w:rPr>
          <w:lang w:val="en-GB"/>
        </w:rPr>
        <w:t xml:space="preserve">As affirmed by Erakat, the legal justifiability of such claims depended on the precedent set by the British Mandate’s discounting of Palestinian existence prior to the Israeli </w:t>
      </w:r>
      <w:r w:rsidR="00F00ADD">
        <w:rPr>
          <w:lang w:val="en-GB"/>
        </w:rPr>
        <w:t>s</w:t>
      </w:r>
      <w:r w:rsidRPr="0048465B">
        <w:rPr>
          <w:lang w:val="en-GB"/>
        </w:rPr>
        <w:t xml:space="preserve">tate’s formation, as well as the UN’s validation of both the British Mandate and Israel’s actions </w:t>
      </w:r>
      <w:r w:rsidRPr="0048465B">
        <w:rPr>
          <w:lang w:val="en-GB"/>
        </w:rPr>
        <w:lastRenderedPageBreak/>
        <w:t xml:space="preserve">when they accepted Israel’s application for membership. The enduring effects of this sui generis claim </w:t>
      </w:r>
      <w:r w:rsidR="00094C98">
        <w:rPr>
          <w:lang w:val="en-GB"/>
        </w:rPr>
        <w:t>were</w:t>
      </w:r>
      <w:r w:rsidRPr="0048465B">
        <w:rPr>
          <w:lang w:val="en-GB"/>
        </w:rPr>
        <w:t xml:space="preserve"> seen</w:t>
      </w:r>
      <w:r w:rsidR="00094C98">
        <w:rPr>
          <w:lang w:val="en-GB"/>
        </w:rPr>
        <w:t xml:space="preserve"> in the opening weeks of 2021</w:t>
      </w:r>
      <w:r w:rsidRPr="0048465B">
        <w:rPr>
          <w:lang w:val="en-GB"/>
        </w:rPr>
        <w:t xml:space="preserve">, </w:t>
      </w:r>
      <w:r w:rsidR="00737313">
        <w:rPr>
          <w:lang w:val="en-GB"/>
        </w:rPr>
        <w:t>when</w:t>
      </w:r>
      <w:r w:rsidRPr="0048465B">
        <w:rPr>
          <w:lang w:val="en-GB"/>
        </w:rPr>
        <w:t xml:space="preserve"> Israel’s Health Minister, </w:t>
      </w:r>
      <w:proofErr w:type="spellStart"/>
      <w:r w:rsidRPr="0048465B">
        <w:rPr>
          <w:lang w:val="en-GB"/>
        </w:rPr>
        <w:t>Yuli</w:t>
      </w:r>
      <w:proofErr w:type="spellEnd"/>
      <w:r w:rsidRPr="0048465B">
        <w:rPr>
          <w:lang w:val="en-GB"/>
        </w:rPr>
        <w:t xml:space="preserve"> Edelstein, </w:t>
      </w:r>
      <w:r w:rsidR="00737313">
        <w:rPr>
          <w:lang w:val="en-GB"/>
        </w:rPr>
        <w:t>made</w:t>
      </w:r>
      <w:r w:rsidRPr="0048465B">
        <w:rPr>
          <w:lang w:val="en-GB"/>
        </w:rPr>
        <w:t xml:space="preserve"> a similar refutation in order to claim that Israel has ‘no legal obligation’ to provide coronavirus vaccines for the Palestinians of the Occupied Territories.</w:t>
      </w:r>
      <w:r w:rsidRPr="0048465B">
        <w:rPr>
          <w:vertAlign w:val="superscript"/>
          <w:lang w:val="en-GB"/>
        </w:rPr>
        <w:footnoteReference w:id="578"/>
      </w:r>
      <w:r w:rsidRPr="0048465B">
        <w:rPr>
          <w:lang w:val="en-GB"/>
        </w:rPr>
        <w:t xml:space="preserve"> Whilst Israel’s vaccination programme has been world-leading in some regards, Palestinians from the West Bank who legally live and work in Israel have been turned away from vaccination centres by government order, and only recently has pressure from human rights groups encouraged a limited reversal of this edict. Such deprivation </w:t>
      </w:r>
      <w:r w:rsidR="00737313">
        <w:rPr>
          <w:lang w:val="en-GB"/>
        </w:rPr>
        <w:t>enables</w:t>
      </w:r>
      <w:r w:rsidRPr="0048465B">
        <w:rPr>
          <w:lang w:val="en-GB"/>
        </w:rPr>
        <w:t xml:space="preserve"> the spread of coronavirus</w:t>
      </w:r>
      <w:r w:rsidR="00737313">
        <w:rPr>
          <w:lang w:val="en-GB"/>
        </w:rPr>
        <w:t xml:space="preserve"> </w:t>
      </w:r>
      <w:r w:rsidR="00094C98">
        <w:rPr>
          <w:lang w:val="en-GB"/>
        </w:rPr>
        <w:t>amongst</w:t>
      </w:r>
      <w:r w:rsidRPr="0048465B">
        <w:rPr>
          <w:lang w:val="en-GB"/>
        </w:rPr>
        <w:t xml:space="preserve"> Palestinian</w:t>
      </w:r>
      <w:r w:rsidR="00094C98">
        <w:rPr>
          <w:lang w:val="en-GB"/>
        </w:rPr>
        <w:t xml:space="preserve"> citizens of</w:t>
      </w:r>
      <w:r w:rsidRPr="0048465B">
        <w:rPr>
          <w:lang w:val="en-GB"/>
        </w:rPr>
        <w:t xml:space="preserve"> Israel</w:t>
      </w:r>
      <w:r w:rsidR="00737313" w:rsidRPr="00737313">
        <w:rPr>
          <w:lang w:val="en-GB"/>
        </w:rPr>
        <w:t xml:space="preserve"> </w:t>
      </w:r>
      <w:r w:rsidR="00737313">
        <w:rPr>
          <w:lang w:val="en-GB"/>
        </w:rPr>
        <w:t>exclusively</w:t>
      </w:r>
      <w:r w:rsidRPr="0048465B">
        <w:rPr>
          <w:lang w:val="en-GB"/>
        </w:rPr>
        <w:t>, possibly constituting a form of collective punishment, whilst Israel’s withholding of vaccines from the Occupied Territories is in contravention of Article Fifty-Six of the Fourth Geneva Convention, which states that ‘the Occupying Power has the duty of ensuring and maintaining</w:t>
      </w:r>
      <w:r w:rsidR="000C3FB4">
        <w:rPr>
          <w:lang w:val="en-GB"/>
        </w:rPr>
        <w:t xml:space="preserve"> […] </w:t>
      </w:r>
      <w:r w:rsidRPr="0048465B">
        <w:rPr>
          <w:lang w:val="en-GB"/>
        </w:rPr>
        <w:t>public health and hygiene in the occupied territory, with particular reference to</w:t>
      </w:r>
      <w:r w:rsidR="000C3FB4">
        <w:rPr>
          <w:lang w:val="en-GB"/>
        </w:rPr>
        <w:t xml:space="preserve"> […] </w:t>
      </w:r>
      <w:r w:rsidRPr="0048465B">
        <w:rPr>
          <w:lang w:val="en-GB"/>
        </w:rPr>
        <w:t>preventive measures necessary to combat the spread of contagious diseases and epidemics’.</w:t>
      </w:r>
      <w:r w:rsidRPr="0048465B">
        <w:rPr>
          <w:vertAlign w:val="superscript"/>
          <w:lang w:val="en-GB"/>
        </w:rPr>
        <w:footnoteReference w:id="579"/>
      </w:r>
      <w:r w:rsidRPr="0048465B">
        <w:rPr>
          <w:lang w:val="en-GB"/>
        </w:rPr>
        <w:t xml:space="preserve"> Whilst Edelstein claims that the Oslo Accords dictate that the vaccination of Palestinians is a Palestinian concern, Israel’s control of Palestinian airspace and four of its five borders ensures almost total Israeli control over the means by which the vaccine would be able to make its way into the Occupied Territories. The effects of this control have been seen in reports of Israeli checkpoints refusing to allow vaccines into the Gaza Strip, pending Israeli Governmental approval.</w:t>
      </w:r>
      <w:r w:rsidRPr="0048465B">
        <w:rPr>
          <w:vertAlign w:val="superscript"/>
          <w:lang w:val="en-GB"/>
        </w:rPr>
        <w:footnoteReference w:id="580"/>
      </w:r>
      <w:r w:rsidRPr="0048465B">
        <w:rPr>
          <w:lang w:val="en-GB"/>
        </w:rPr>
        <w:t xml:space="preserve"> Whilst the UN has explicitly stated </w:t>
      </w:r>
      <w:r w:rsidRPr="0048465B">
        <w:rPr>
          <w:lang w:val="en-GB"/>
        </w:rPr>
        <w:lastRenderedPageBreak/>
        <w:t>that the responsibility ‘“remains with the occupying power until the occupation has come to an end”’, it is also, ultimately, the sovereignty instilled within Israel by the UN, the unsuccessful peace processes of years gone by,</w:t>
      </w:r>
      <w:r w:rsidR="00964A76">
        <w:rPr>
          <w:lang w:val="en-GB"/>
        </w:rPr>
        <w:t xml:space="preserve"> and the absence of ramifications for Israeli misconduct,</w:t>
      </w:r>
      <w:r w:rsidRPr="0048465B">
        <w:rPr>
          <w:lang w:val="en-GB"/>
        </w:rPr>
        <w:t xml:space="preserve"> that allow Israel to claim that it has no legal responsibility to the Palestinian people whatsoever.</w:t>
      </w:r>
      <w:r w:rsidR="00964A76" w:rsidRPr="0048465B">
        <w:rPr>
          <w:vertAlign w:val="superscript"/>
          <w:lang w:val="en-GB"/>
        </w:rPr>
        <w:footnoteReference w:id="581"/>
      </w:r>
    </w:p>
    <w:p w14:paraId="513313D1" w14:textId="77777777" w:rsidR="00FC331F" w:rsidRPr="0048465B" w:rsidRDefault="00FC331F" w:rsidP="00FC331F">
      <w:pPr>
        <w:rPr>
          <w:lang w:val="en-GB"/>
        </w:rPr>
      </w:pPr>
    </w:p>
    <w:p w14:paraId="2F8C1384" w14:textId="2F838996" w:rsidR="00FC331F" w:rsidRPr="0048465B" w:rsidRDefault="00FC331F" w:rsidP="00FC331F">
      <w:pPr>
        <w:rPr>
          <w:lang w:val="en-GB"/>
        </w:rPr>
      </w:pPr>
      <w:r w:rsidRPr="0048465B">
        <w:rPr>
          <w:lang w:val="en-GB"/>
        </w:rPr>
        <w:t xml:space="preserve">As </w:t>
      </w:r>
      <w:r w:rsidR="00964A76">
        <w:rPr>
          <w:lang w:val="en-GB"/>
        </w:rPr>
        <w:t xml:space="preserve">S. </w:t>
      </w:r>
      <w:r w:rsidRPr="0048465B">
        <w:rPr>
          <w:lang w:val="en-GB"/>
        </w:rPr>
        <w:t>Michael Lynk, Special Rapporteur on the situation of human rights in the Palestinian territories, wrote in his 2019 report on the Occupied Territories, ‘[t]he enemies of accountability are impunity and exceptionalism’.</w:t>
      </w:r>
      <w:r w:rsidRPr="0048465B">
        <w:rPr>
          <w:vertAlign w:val="superscript"/>
          <w:lang w:val="en-GB"/>
        </w:rPr>
        <w:footnoteReference w:id="582"/>
      </w:r>
      <w:r w:rsidRPr="0048465B">
        <w:rPr>
          <w:lang w:val="en-GB"/>
        </w:rPr>
        <w:t xml:space="preserve"> Whilst technically legal, the initial exception that enabled Israel’s creation, and obviated Palestinian claims to sovereignty, has paved the way for continued Israeli exceptionalism regarding the control of Palestinian lands and people. It is this same exceptionalist approach that we see in acts such as Trump’s ‘reversal of Obama’s position on the legality of the settlements’, with Secretary of State Mike Pompeo describing the decision to identify them as legal as being based on ‘“unique facts, history, and circumstances”’.</w:t>
      </w:r>
      <w:r w:rsidRPr="0048465B">
        <w:rPr>
          <w:vertAlign w:val="superscript"/>
          <w:lang w:val="en-GB"/>
        </w:rPr>
        <w:footnoteReference w:id="583"/>
      </w:r>
      <w:r w:rsidRPr="0048465B">
        <w:rPr>
          <w:lang w:val="en-GB"/>
        </w:rPr>
        <w:t xml:space="preserve"> It is perhaps only now that we understand </w:t>
      </w:r>
      <w:r w:rsidR="00F2010D">
        <w:rPr>
          <w:lang w:val="en-GB"/>
        </w:rPr>
        <w:t>–</w:t>
      </w:r>
      <w:r w:rsidRPr="0048465B">
        <w:rPr>
          <w:lang w:val="en-GB"/>
        </w:rPr>
        <w:t xml:space="preserve"> when looking back to the first chapter and Michael Rothberg’s observation of the ‘popular’ understanding of the Holocaust as a ‘sui generis’ event </w:t>
      </w:r>
      <w:r w:rsidR="00F2010D">
        <w:rPr>
          <w:lang w:val="en-GB"/>
        </w:rPr>
        <w:t>–</w:t>
      </w:r>
      <w:r w:rsidRPr="0048465B">
        <w:rPr>
          <w:lang w:val="en-GB"/>
        </w:rPr>
        <w:t xml:space="preserve"> how such characterisations do more than simply assert the specificity of a given event. At worst, such understandings re-contextualis</w:t>
      </w:r>
      <w:r w:rsidR="00DD13DC">
        <w:rPr>
          <w:lang w:val="en-GB"/>
        </w:rPr>
        <w:t>e</w:t>
      </w:r>
      <w:r w:rsidRPr="0048465B">
        <w:rPr>
          <w:lang w:val="en-GB"/>
        </w:rPr>
        <w:t xml:space="preserve"> Israel’s actions even today, thereby reinforcing a form of exceptionalism that passively justifies otherwise indefensible acts.</w:t>
      </w:r>
    </w:p>
    <w:p w14:paraId="2BD57995" w14:textId="77777777" w:rsidR="00FC331F" w:rsidRPr="0048465B" w:rsidRDefault="00FC331F" w:rsidP="00FC331F">
      <w:pPr>
        <w:rPr>
          <w:lang w:val="en-GB"/>
        </w:rPr>
      </w:pPr>
    </w:p>
    <w:p w14:paraId="37A61FAC" w14:textId="70444285" w:rsidR="00FC331F" w:rsidRPr="0048465B" w:rsidRDefault="00FC331F" w:rsidP="00FC331F">
      <w:pPr>
        <w:rPr>
          <w:lang w:val="en-GB"/>
        </w:rPr>
      </w:pPr>
      <w:r w:rsidRPr="0048465B">
        <w:rPr>
          <w:lang w:val="en-GB"/>
        </w:rPr>
        <w:lastRenderedPageBreak/>
        <w:t xml:space="preserve">Yet, in spite of the ways in which the particularities of international law have enabled Palestinian oppression, the solution to these issues cannot exist without some form of dependence upon international law. Whilst Palestinian freedom may be what Palestinians and their supporters aspire to, it is the power instilled in the legal invention of sovereignty alone </w:t>
      </w:r>
      <w:r w:rsidR="00F2010D">
        <w:rPr>
          <w:lang w:val="en-GB"/>
        </w:rPr>
        <w:t>–</w:t>
      </w:r>
      <w:r w:rsidRPr="0048465B">
        <w:rPr>
          <w:lang w:val="en-GB"/>
        </w:rPr>
        <w:t xml:space="preserve"> the ability to have control over one’s environment both in practice and in the eyes of the international community </w:t>
      </w:r>
      <w:r w:rsidR="00F2010D">
        <w:rPr>
          <w:lang w:val="en-GB"/>
        </w:rPr>
        <w:t>–</w:t>
      </w:r>
      <w:r w:rsidRPr="0048465B">
        <w:rPr>
          <w:lang w:val="en-GB"/>
        </w:rPr>
        <w:t xml:space="preserve"> that will bring Palestine liberation. </w:t>
      </w:r>
    </w:p>
    <w:p w14:paraId="7B19DB74" w14:textId="77777777" w:rsidR="00FC331F" w:rsidRPr="0048465B" w:rsidRDefault="00FC331F" w:rsidP="00FC331F">
      <w:pPr>
        <w:rPr>
          <w:lang w:val="en-GB"/>
        </w:rPr>
      </w:pPr>
    </w:p>
    <w:p w14:paraId="2A04E668" w14:textId="077E7598" w:rsidR="00FC331F" w:rsidRPr="0048465B" w:rsidRDefault="00FC331F" w:rsidP="00FC331F">
      <w:pPr>
        <w:rPr>
          <w:lang w:val="en-GB"/>
        </w:rPr>
      </w:pPr>
      <w:r w:rsidRPr="0048465B">
        <w:rPr>
          <w:lang w:val="en-GB"/>
        </w:rPr>
        <w:t>Similarly, whilst international law, international institutions, and international intervention have facilitated the loss of Palestinian sovereignty, it is these same institutions and interventions that have the potential to hold Israel accountable for their actions, and enforce Palestinian liberation as a result. The essential step of other nations holding Israel accountable for its actions is one that is largely unheeded. This can be considered yet another failure of international law, since, ultimately, it is only due to powers outside of the law itself that law becomes enforceable, and thus effects change. Even in those scenarios that international law finds categorically inexcusable, such as ‘slavery, torture, and genocide’, the punishment for such crimes is ultimately ‘contingent on the political will of other states’.</w:t>
      </w:r>
      <w:r w:rsidRPr="0048465B">
        <w:rPr>
          <w:vertAlign w:val="superscript"/>
          <w:lang w:val="en-GB"/>
        </w:rPr>
        <w:footnoteReference w:id="584"/>
      </w:r>
      <w:r w:rsidRPr="0048465B">
        <w:rPr>
          <w:lang w:val="en-GB"/>
        </w:rPr>
        <w:t xml:space="preserve"> Here, previously explored notions such as European Holocaust guilt, as well as the identification of Israel as the Middle East’s ‘only democracy’, an apparent bastion of the White European ideal in the midst of Arab barbarism, inhibit the willingness of the UN’s most powerful states </w:t>
      </w:r>
      <w:r w:rsidR="00F2010D">
        <w:rPr>
          <w:lang w:val="en-GB"/>
        </w:rPr>
        <w:t>–</w:t>
      </w:r>
      <w:r w:rsidRPr="0048465B">
        <w:rPr>
          <w:lang w:val="en-GB"/>
        </w:rPr>
        <w:t xml:space="preserve"> specifically the United States and the United Kingdom, both of whom have ‘Veto power’, and to a lesser extent Germany </w:t>
      </w:r>
      <w:r w:rsidR="00F2010D">
        <w:rPr>
          <w:lang w:val="en-GB"/>
        </w:rPr>
        <w:t>–</w:t>
      </w:r>
      <w:r w:rsidRPr="0048465B">
        <w:rPr>
          <w:lang w:val="en-GB"/>
        </w:rPr>
        <w:t xml:space="preserve"> to enforce sanctions placed on Israel. There is no reasonable argument against imposing sanctions upon a nation that has for so long ignored the rulings of international law. Yet the cultivation of the image of Israel as a nation defending </w:t>
      </w:r>
      <w:r w:rsidRPr="0048465B">
        <w:rPr>
          <w:lang w:val="en-GB"/>
        </w:rPr>
        <w:lastRenderedPageBreak/>
        <w:t>itself against implacable enemies, where opposing the ethno-religious character of the Israeli state is seen as ‘put[ting] the Jewish people in existential danger’, means that many methods of enforcing such sanctions, by force, by the deprivation of aid, or by boycott, can be depicted as acts driven by antisemitism rather than ethical considerations.</w:t>
      </w:r>
      <w:r w:rsidR="008644FE" w:rsidRPr="0048465B">
        <w:rPr>
          <w:vertAlign w:val="superscript"/>
          <w:lang w:val="en-GB"/>
        </w:rPr>
        <w:footnoteReference w:id="585"/>
      </w:r>
      <w:r w:rsidRPr="0048465B">
        <w:rPr>
          <w:lang w:val="en-GB"/>
        </w:rPr>
        <w:t xml:space="preserve"> </w:t>
      </w:r>
      <w:r w:rsidR="0039637F" w:rsidRPr="0048465B">
        <w:rPr>
          <w:lang w:val="en-GB"/>
        </w:rPr>
        <w:t xml:space="preserve">Looking ahead to this chapter’s conclusive thoughts on the efficacy, or lack thereof, of certain approaches to peace, an early determination is that the means of enforcing action cannot function whilst being at the same time associated with antisemitism. </w:t>
      </w:r>
      <w:r w:rsidRPr="0048465B">
        <w:rPr>
          <w:lang w:val="en-GB"/>
        </w:rPr>
        <w:t>As explored later in this chapter, the suppressive power of the accusation of antisemitism means that either the accusation itself must be disproved unequivocally, or alternative forms of enforcing action must be entertained.</w:t>
      </w:r>
    </w:p>
    <w:p w14:paraId="1907E19A" w14:textId="77777777" w:rsidR="00FC331F" w:rsidRPr="0048465B" w:rsidRDefault="00FC331F" w:rsidP="00FC331F">
      <w:pPr>
        <w:rPr>
          <w:lang w:val="en-GB"/>
        </w:rPr>
      </w:pPr>
    </w:p>
    <w:p w14:paraId="5E667ECD" w14:textId="14CE3925" w:rsidR="00FC331F" w:rsidRPr="0048465B" w:rsidRDefault="00FC331F" w:rsidP="00FC331F">
      <w:pPr>
        <w:rPr>
          <w:lang w:val="en-GB"/>
        </w:rPr>
      </w:pPr>
      <w:r w:rsidRPr="0048465B">
        <w:rPr>
          <w:lang w:val="en-GB"/>
        </w:rPr>
        <w:t>The remaining alternatives in question are the ‘legitimacy war’ and the ‘rights-based approach’. The latter of these finds its parallel in the first chapter’s exploration of the ambiguity of moral guidelines, where the instability of the notion of rectitude means that the Holocaust-centric call for disobeying unjust laws has drastically different conclusions depending on who apprehends it. Here, as in the first chapter, the call to prioritise human rights can be perceived in highly contradictory, and often incompatible, ways, and there is no simple means of distinguishing such claims that avoids a return to simplistic and competitive expressions of suffering. Erakat provides the example of Israeli settlers who claim that their right to settle in Occupied Territories is tied to their right to self-determination, stating that without ‘a political framework, these rights lack context and can be framed as competing demands that should be resolved by compromise’.</w:t>
      </w:r>
      <w:r w:rsidRPr="0048465B">
        <w:rPr>
          <w:vertAlign w:val="superscript"/>
          <w:lang w:val="en-GB"/>
        </w:rPr>
        <w:footnoteReference w:id="586"/>
      </w:r>
      <w:r w:rsidRPr="0048465B">
        <w:rPr>
          <w:lang w:val="en-GB"/>
        </w:rPr>
        <w:t xml:space="preserve"> If one were to look at such a claim objectively, its centring in human rights would be undermined by </w:t>
      </w:r>
      <w:r w:rsidRPr="0048465B">
        <w:rPr>
          <w:lang w:val="en-GB"/>
        </w:rPr>
        <w:lastRenderedPageBreak/>
        <w:t>the fact that the very presence of such settlers constitutes population transfer into occupied land, which is considered conquest and thus unlawful under the Fourth Geneva Convention. Yet the initial ambiguity herein, as well as the fact that competing claims are not always as clear-cut as those of settlers, complicates the application of the rights-based approach. Whilst undeniably useful in highlighting the manner in which</w:t>
      </w:r>
      <w:r w:rsidR="008644FE">
        <w:rPr>
          <w:lang w:val="en-GB"/>
        </w:rPr>
        <w:t xml:space="preserve"> ostensibly</w:t>
      </w:r>
      <w:r w:rsidRPr="0048465B">
        <w:rPr>
          <w:lang w:val="en-GB"/>
        </w:rPr>
        <w:t xml:space="preserve"> incontrovertible human rights are being infringed upon, the effective application of the rights-based approach is preconditioned upon complex debate regarding opposing claims that often lead to the initial plea being lost. If we are looking for a means through which the inequalities within Israel-Palestine can be expressed </w:t>
      </w:r>
      <w:r w:rsidR="00687193">
        <w:rPr>
          <w:lang w:val="en-GB"/>
        </w:rPr>
        <w:t xml:space="preserve">largely </w:t>
      </w:r>
      <w:r w:rsidRPr="0048465B">
        <w:rPr>
          <w:lang w:val="en-GB"/>
        </w:rPr>
        <w:t>uncontested, then the rights-based approach appears frustratingly insufficient.</w:t>
      </w:r>
    </w:p>
    <w:p w14:paraId="1D1B5E9C" w14:textId="77777777" w:rsidR="00FC331F" w:rsidRPr="0048465B" w:rsidRDefault="00FC331F" w:rsidP="00FC331F">
      <w:pPr>
        <w:rPr>
          <w:lang w:val="en-GB"/>
        </w:rPr>
      </w:pPr>
    </w:p>
    <w:p w14:paraId="3E093BDF" w14:textId="688A270B" w:rsidR="00FC331F" w:rsidRPr="0048465B" w:rsidRDefault="00FC331F" w:rsidP="00FC331F">
      <w:pPr>
        <w:rPr>
          <w:lang w:val="en-GB"/>
        </w:rPr>
      </w:pPr>
      <w:r w:rsidRPr="0048465B">
        <w:rPr>
          <w:lang w:val="en-GB"/>
        </w:rPr>
        <w:t>The former option, that of the legitimacy war, is a more hopeful vision however, one wherein ‘the legitimacy of Israel’s policies (removal, dispossession, containment, exclusion, and war) and the assumptions on which they are based (security and sovereignty) [are challenged] in the court of public opinion’.</w:t>
      </w:r>
      <w:r w:rsidRPr="0048465B">
        <w:rPr>
          <w:vertAlign w:val="superscript"/>
          <w:lang w:val="en-GB"/>
        </w:rPr>
        <w:footnoteReference w:id="587"/>
      </w:r>
      <w:r w:rsidRPr="0048465B">
        <w:rPr>
          <w:lang w:val="en-GB"/>
        </w:rPr>
        <w:t xml:space="preserve"> With discourse surrounding the conflict so often dependent on competitive affirmations about one side versus the other, challenging the legitimacy of Israeli state practices </w:t>
      </w:r>
      <w:r w:rsidR="00687193">
        <w:rPr>
          <w:lang w:val="en-GB"/>
        </w:rPr>
        <w:t>–</w:t>
      </w:r>
      <w:r w:rsidRPr="0048465B">
        <w:rPr>
          <w:lang w:val="en-GB"/>
        </w:rPr>
        <w:t xml:space="preserve"> such as the ethnically selective provision of vaccinations </w:t>
      </w:r>
      <w:r w:rsidR="00687193">
        <w:rPr>
          <w:lang w:val="en-GB"/>
        </w:rPr>
        <w:t>–</w:t>
      </w:r>
      <w:r w:rsidRPr="0048465B">
        <w:rPr>
          <w:lang w:val="en-GB"/>
        </w:rPr>
        <w:t xml:space="preserve"> in isolation from Palestinians specifically, removes much of the antagonistic fervour that can obscure rational critique. </w:t>
      </w:r>
      <w:r w:rsidR="0039637F" w:rsidRPr="0048465B">
        <w:rPr>
          <w:lang w:val="en-GB"/>
        </w:rPr>
        <w:t xml:space="preserve">Moreover, in challenging the legitimacy of specific state practices, rather than the Israeli state more generally, it becomes easier to manage accusations of antisemitism intended to impede such confrontations, since the rebuttal </w:t>
      </w:r>
      <w:r w:rsidR="00687193">
        <w:rPr>
          <w:lang w:val="en-GB"/>
        </w:rPr>
        <w:t>–</w:t>
      </w:r>
      <w:r w:rsidR="0039637F" w:rsidRPr="0048465B">
        <w:rPr>
          <w:lang w:val="en-GB"/>
        </w:rPr>
        <w:t xml:space="preserve"> that the criticism is in no way contingent on the Jewish quality of the Israeli state </w:t>
      </w:r>
      <w:r w:rsidR="00687193">
        <w:rPr>
          <w:lang w:val="en-GB"/>
        </w:rPr>
        <w:t>–</w:t>
      </w:r>
      <w:r w:rsidR="0039637F" w:rsidRPr="0048465B">
        <w:rPr>
          <w:lang w:val="en-GB"/>
        </w:rPr>
        <w:t xml:space="preserve"> is built into the argument itself. </w:t>
      </w:r>
    </w:p>
    <w:p w14:paraId="034AB282" w14:textId="77777777" w:rsidR="00FC331F" w:rsidRPr="0048465B" w:rsidRDefault="00FC331F" w:rsidP="00FC331F">
      <w:pPr>
        <w:rPr>
          <w:lang w:val="en-GB"/>
        </w:rPr>
      </w:pPr>
    </w:p>
    <w:p w14:paraId="63AEC631" w14:textId="2220741F" w:rsidR="00FC331F" w:rsidRPr="0048465B" w:rsidRDefault="00FC331F" w:rsidP="00FC331F">
      <w:pPr>
        <w:rPr>
          <w:lang w:val="en-GB"/>
        </w:rPr>
      </w:pPr>
      <w:r w:rsidRPr="0048465B">
        <w:rPr>
          <w:lang w:val="en-GB"/>
        </w:rPr>
        <w:lastRenderedPageBreak/>
        <w:t xml:space="preserve">The complication with this approach to criticising Israel, however, is that its success depends upon the gradual piecemeal alteration of global perceptions of Israel, a dependency that </w:t>
      </w:r>
      <w:r w:rsidR="00687193">
        <w:rPr>
          <w:lang w:val="en-GB"/>
        </w:rPr>
        <w:t>–</w:t>
      </w:r>
      <w:r w:rsidRPr="0048465B">
        <w:rPr>
          <w:lang w:val="en-GB"/>
        </w:rPr>
        <w:t xml:space="preserve"> even after having transformed public discourse </w:t>
      </w:r>
      <w:r w:rsidR="00687193">
        <w:rPr>
          <w:lang w:val="en-GB"/>
        </w:rPr>
        <w:t>–</w:t>
      </w:r>
      <w:r w:rsidRPr="0048465B">
        <w:rPr>
          <w:lang w:val="en-GB"/>
        </w:rPr>
        <w:t xml:space="preserve"> would require those in power to heed public opinion. In spite of the absence of significant national censure of Israel, the nations of the world and their citizens are well aware of the abuses occurring in Palestine. Lynk, when concluding his report on the situation of human rights in the Occupied Territories, argues that:</w:t>
      </w:r>
    </w:p>
    <w:p w14:paraId="42F64302" w14:textId="77777777" w:rsidR="00FC331F" w:rsidRPr="0048465B" w:rsidRDefault="00FC331F" w:rsidP="00FC331F">
      <w:pPr>
        <w:rPr>
          <w:lang w:val="en-GB"/>
        </w:rPr>
      </w:pPr>
    </w:p>
    <w:p w14:paraId="7C758235" w14:textId="537C6F9D" w:rsidR="00FC331F" w:rsidRPr="0048465B" w:rsidRDefault="00FC331F" w:rsidP="00FC331F">
      <w:pPr>
        <w:ind w:left="720"/>
        <w:rPr>
          <w:lang w:val="en-GB"/>
        </w:rPr>
      </w:pPr>
      <w:r w:rsidRPr="0048465B">
        <w:rPr>
          <w:lang w:val="en-GB"/>
        </w:rPr>
        <w:t>No occupation in the modern world has been conducted with the international community so alert to its many grave breaches of international law</w:t>
      </w:r>
      <w:r w:rsidR="000C3FB4">
        <w:rPr>
          <w:lang w:val="en-GB"/>
        </w:rPr>
        <w:t xml:space="preserve"> […] </w:t>
      </w:r>
      <w:r w:rsidRPr="0048465B">
        <w:rPr>
          <w:lang w:val="en-GB"/>
        </w:rPr>
        <w:t>and yet so unwilling to act upon the overwhelming evidence before it to employ the tangible and plentiful legal and political tools at its disposal to end the injustice.</w:t>
      </w:r>
    </w:p>
    <w:p w14:paraId="43112D54" w14:textId="77777777" w:rsidR="00FC331F" w:rsidRPr="0048465B" w:rsidRDefault="00FC331F" w:rsidP="00FC331F">
      <w:pPr>
        <w:rPr>
          <w:lang w:val="en-GB"/>
        </w:rPr>
      </w:pPr>
    </w:p>
    <w:p w14:paraId="0504D5F2" w14:textId="67D2AC9B" w:rsidR="00FC331F" w:rsidRPr="0048465B" w:rsidRDefault="00FC331F" w:rsidP="00FC331F">
      <w:pPr>
        <w:rPr>
          <w:lang w:val="en-GB"/>
        </w:rPr>
      </w:pPr>
      <w:r w:rsidRPr="0048465B">
        <w:rPr>
          <w:lang w:val="en-GB"/>
        </w:rPr>
        <w:t>Lynk calls for ‘prudent and necessary steps’, ‘countermeasures’, and ‘the determination to enforce accountability’ as the necessary ingredients to stop Israel’s ‘“</w:t>
      </w:r>
      <w:proofErr w:type="spellStart"/>
      <w:r w:rsidRPr="0048465B">
        <w:rPr>
          <w:lang w:val="en-GB"/>
        </w:rPr>
        <w:t>occu”annexation</w:t>
      </w:r>
      <w:proofErr w:type="spellEnd"/>
      <w:r w:rsidRPr="0048465B">
        <w:rPr>
          <w:lang w:val="en-GB"/>
        </w:rPr>
        <w:t>’ of Palestinian lands.</w:t>
      </w:r>
      <w:r w:rsidRPr="0048465B">
        <w:rPr>
          <w:vertAlign w:val="superscript"/>
          <w:lang w:val="en-GB"/>
        </w:rPr>
        <w:footnoteReference w:id="588"/>
      </w:r>
      <w:r w:rsidRPr="0048465B">
        <w:rPr>
          <w:lang w:val="en-GB"/>
        </w:rPr>
        <w:t xml:space="preserve"> It is this last ingredient, the determination to enforce accountability, that is of imperative importance. Whilst Erakat perceives the status quo as ‘unsustainable’,</w:t>
      </w:r>
      <w:r w:rsidRPr="0048465B">
        <w:rPr>
          <w:vertAlign w:val="superscript"/>
          <w:lang w:val="en-GB"/>
        </w:rPr>
        <w:footnoteReference w:id="589"/>
      </w:r>
      <w:r w:rsidRPr="0048465B">
        <w:rPr>
          <w:lang w:val="en-GB"/>
        </w:rPr>
        <w:t xml:space="preserve"> a claim </w:t>
      </w:r>
      <w:r w:rsidR="001C2850">
        <w:rPr>
          <w:lang w:val="en-GB"/>
        </w:rPr>
        <w:t>mirrored</w:t>
      </w:r>
      <w:r w:rsidRPr="0048465B">
        <w:rPr>
          <w:lang w:val="en-GB"/>
        </w:rPr>
        <w:t xml:space="preserve"> by the Executive Director of the U.S. Campaign for Palestinian Rights, Yousef Munayyer, who declares that ‘the status quo will eventually prove unsustainable’,</w:t>
      </w:r>
      <w:r w:rsidRPr="0048465B">
        <w:rPr>
          <w:vertAlign w:val="superscript"/>
          <w:lang w:val="en-GB"/>
        </w:rPr>
        <w:footnoteReference w:id="590"/>
      </w:r>
      <w:r w:rsidRPr="0048465B">
        <w:rPr>
          <w:lang w:val="en-GB"/>
        </w:rPr>
        <w:t xml:space="preserve"> such statements seem to be based more in disbelief at the current state of affairs than any genuine indication that Israel’s domination of Palestinian lands is wavering. Lynk, however, concludes his report by arguing that the occupation </w:t>
      </w:r>
      <w:r w:rsidRPr="0048465B">
        <w:rPr>
          <w:lang w:val="en-GB"/>
        </w:rPr>
        <w:lastRenderedPageBreak/>
        <w:t>is ‘endlessly sustainable without decisive international intervention[,] because of the grossly asymmetrical balance of power on the ground’.</w:t>
      </w:r>
      <w:r w:rsidRPr="0048465B">
        <w:rPr>
          <w:vertAlign w:val="superscript"/>
          <w:lang w:val="en-GB"/>
        </w:rPr>
        <w:footnoteReference w:id="591"/>
      </w:r>
      <w:r w:rsidRPr="0048465B">
        <w:rPr>
          <w:lang w:val="en-GB"/>
        </w:rPr>
        <w:t xml:space="preserve"> Lynk’s view, albeit far more bleak, is rooted in realism rather than hope, and makes clear the fact that the current situation is not just sustainable, but has been actively sustained through </w:t>
      </w:r>
      <w:r w:rsidR="00F75D64">
        <w:rPr>
          <w:lang w:val="en-GB"/>
        </w:rPr>
        <w:t xml:space="preserve">both the consistent U.S. vetoing of UN resolutions critical of Israel, and the reluctance of </w:t>
      </w:r>
      <w:r w:rsidRPr="0048465B">
        <w:rPr>
          <w:lang w:val="en-GB"/>
        </w:rPr>
        <w:t xml:space="preserve">other nations </w:t>
      </w:r>
      <w:r w:rsidR="00F75D64">
        <w:rPr>
          <w:lang w:val="en-GB"/>
        </w:rPr>
        <w:t>to hold Israel accountable outside of this framework</w:t>
      </w:r>
      <w:r w:rsidRPr="0048465B">
        <w:rPr>
          <w:lang w:val="en-GB"/>
        </w:rPr>
        <w:t>. If there is one lesson to be taken from all of these combined approaches, it is that neither law nor public opinion are enough in isolation. In order to challenge the Israeli state’s continued occupation of Palestinian lands, there must be a framework that renders the Israeli state accountable.</w:t>
      </w:r>
    </w:p>
    <w:p w14:paraId="25906401" w14:textId="77777777" w:rsidR="00FC331F" w:rsidRPr="0048465B" w:rsidRDefault="00FC331F" w:rsidP="00FC331F">
      <w:pPr>
        <w:rPr>
          <w:lang w:val="en-GB"/>
        </w:rPr>
      </w:pPr>
    </w:p>
    <w:p w14:paraId="2F5951F5" w14:textId="28001106" w:rsidR="00FC331F" w:rsidRPr="0048465B" w:rsidRDefault="00FC331F" w:rsidP="00FC331F">
      <w:pPr>
        <w:jc w:val="center"/>
        <w:rPr>
          <w:b/>
          <w:lang w:val="en-GB"/>
        </w:rPr>
      </w:pPr>
      <w:r w:rsidRPr="0048465B">
        <w:rPr>
          <w:b/>
          <w:lang w:val="en-GB"/>
        </w:rPr>
        <w:t>America, Trump, Peace to Prosperity, and Normali</w:t>
      </w:r>
      <w:r w:rsidR="00EB441E">
        <w:rPr>
          <w:b/>
          <w:lang w:val="en-GB"/>
        </w:rPr>
        <w:t>s</w:t>
      </w:r>
      <w:r w:rsidRPr="0048465B">
        <w:rPr>
          <w:b/>
          <w:lang w:val="en-GB"/>
        </w:rPr>
        <w:t>ation</w:t>
      </w:r>
    </w:p>
    <w:p w14:paraId="10A9E472" w14:textId="77777777" w:rsidR="00FC331F" w:rsidRPr="0048465B" w:rsidRDefault="00FC331F" w:rsidP="00FC331F">
      <w:pPr>
        <w:jc w:val="center"/>
        <w:rPr>
          <w:b/>
          <w:lang w:val="en-GB"/>
        </w:rPr>
      </w:pPr>
    </w:p>
    <w:p w14:paraId="60ADA4FB" w14:textId="18349698" w:rsidR="00FC331F" w:rsidRPr="0048465B" w:rsidRDefault="00FC331F" w:rsidP="00FC331F">
      <w:pPr>
        <w:rPr>
          <w:lang w:val="en-GB"/>
        </w:rPr>
      </w:pPr>
      <w:r w:rsidRPr="0048465B">
        <w:rPr>
          <w:lang w:val="en-GB"/>
        </w:rPr>
        <w:t>One nation that could bring about change more directly than any other, with the exception of Israel itself, is the United States of America. As things currently stand, America’s influence in the Israeli-Palestinian peace process has been largely counterproductive, with many critics seeing the destabilisation of American support for Israel as a key component of engendering lasting peace. Such perspectives are reinforced by America’s UN voting record with regard to the conflict. Since its formation in 2006, the UN Human Rights Council has condemned the actions of Israel through resolutions targeted at modifying its behaviour more times than it has all the other nations of the world combined.</w:t>
      </w:r>
      <w:r w:rsidRPr="0048465B">
        <w:rPr>
          <w:vertAlign w:val="superscript"/>
          <w:lang w:val="en-GB"/>
        </w:rPr>
        <w:footnoteReference w:id="592"/>
      </w:r>
      <w:r w:rsidRPr="0048465B">
        <w:rPr>
          <w:lang w:val="en-GB"/>
        </w:rPr>
        <w:t xml:space="preserve"> However, on the 1st of June 2018, the United States used its veto power to block UN censure of Israel for the forty-fifth time in forty-six years, on that particular occasion blocking an official condemnation of Israel’s violence against Palestinian protestors during the </w:t>
      </w:r>
      <w:r w:rsidRPr="0048465B">
        <w:rPr>
          <w:lang w:val="en-GB"/>
        </w:rPr>
        <w:lastRenderedPageBreak/>
        <w:t>Great March of Return.</w:t>
      </w:r>
      <w:r w:rsidRPr="0048465B">
        <w:rPr>
          <w:vertAlign w:val="superscript"/>
          <w:lang w:val="en-GB"/>
        </w:rPr>
        <w:footnoteReference w:id="593"/>
      </w:r>
      <w:r w:rsidRPr="0048465B">
        <w:rPr>
          <w:lang w:val="en-GB"/>
        </w:rPr>
        <w:t xml:space="preserve"> Since its first veto regarding the call for an end to all military operations in the Middle East in 1972, the U.S. has vetoed condemnations of Israel’s practices in the Occupied Territories on five separate occasions, has blocked censure of settlement activities four times, and has chosen to </w:t>
      </w:r>
      <w:r w:rsidR="00AA1C23">
        <w:rPr>
          <w:lang w:val="en-GB"/>
        </w:rPr>
        <w:t>justify</w:t>
      </w:r>
      <w:r w:rsidRPr="0048465B">
        <w:rPr>
          <w:lang w:val="en-GB"/>
        </w:rPr>
        <w:t xml:space="preserve"> Israeli violence against Palestinians specifically eight different times. America’s interventionist stance has ensured the minimisation of the UN’s influence in Israel and therefore of the viability of peace in the Middle East, with the possibility of peace further minimised through U.S. commitment to a ‘land-for-peace’ framework, wherein the Occupied Territories are considered as a bargaining chip that Palestinians must earn through non-violence, as opposed to Palestinian lands, the occupation of which is arguably the cause for violence in the first place. Moreover, the U.S. dedication to sustaining Israel’s regional military edge, to the tune of 3.8 billion dollars a year, has ensured Israel’s immunity to the potential military pressures of Palestine’s traditional allies in the Middle East, whilst also allowing them to further ignore international condemnation more generally, since they do not require the support of other nations.</w:t>
      </w:r>
    </w:p>
    <w:p w14:paraId="009F1A89" w14:textId="77777777" w:rsidR="00FC331F" w:rsidRPr="0048465B" w:rsidRDefault="00FC331F" w:rsidP="00FC331F">
      <w:pPr>
        <w:rPr>
          <w:lang w:val="en-GB"/>
        </w:rPr>
      </w:pPr>
    </w:p>
    <w:p w14:paraId="72C9BC14" w14:textId="7B875B4E" w:rsidR="00FC331F" w:rsidRPr="0048465B" w:rsidRDefault="00FC331F" w:rsidP="00FC331F">
      <w:pPr>
        <w:rPr>
          <w:lang w:val="en-GB"/>
        </w:rPr>
      </w:pPr>
      <w:r w:rsidRPr="0048465B">
        <w:rPr>
          <w:lang w:val="en-GB"/>
        </w:rPr>
        <w:t>Crucially, the few times that the U.S. has chosen to withhold funds, there has been a direct impact on Israeli behaviour. The Bush Senior administration threatened to ‘withhold 10 billion USD in loan guarantees to support Israel’s absorption of Russian Jews if Israel did not initiate a settlement freeze’, an act which resulted in the Israeli Prime Minister at the time, Yitzhak Shamir, ‘signal[</w:t>
      </w:r>
      <w:proofErr w:type="spellStart"/>
      <w:r w:rsidRPr="0048465B">
        <w:rPr>
          <w:lang w:val="en-GB"/>
        </w:rPr>
        <w:t>ing</w:t>
      </w:r>
      <w:proofErr w:type="spellEnd"/>
      <w:r w:rsidRPr="0048465B">
        <w:rPr>
          <w:lang w:val="en-GB"/>
        </w:rPr>
        <w:t>] his willingness to participate in the peace process’.</w:t>
      </w:r>
      <w:r w:rsidRPr="0048465B">
        <w:rPr>
          <w:vertAlign w:val="superscript"/>
          <w:lang w:val="en-GB"/>
        </w:rPr>
        <w:footnoteReference w:id="594"/>
      </w:r>
      <w:r w:rsidRPr="0048465B">
        <w:rPr>
          <w:lang w:val="en-GB"/>
        </w:rPr>
        <w:t xml:space="preserve"> Even the abstention of the United States from voting on resolutions challenging Israel, as opposed to explicit endorsement or vetoing, can bring about change. Obama’s abstention in 2016 allowed UNSCR Resolution 2334, a resolution that </w:t>
      </w:r>
      <w:r w:rsidRPr="0048465B">
        <w:rPr>
          <w:lang w:val="en-GB"/>
        </w:rPr>
        <w:lastRenderedPageBreak/>
        <w:t xml:space="preserve">defines and confirms the illegality of the settlements, to pass. This abstention was, in turn, described by Netanyahu as ‘a shameful anti-Israel step’ that ‘undermine[d] justice and truth’, subsequently accusing the Obama administration </w:t>
      </w:r>
      <w:r w:rsidR="00CC1517">
        <w:rPr>
          <w:lang w:val="en-GB"/>
        </w:rPr>
        <w:t>of</w:t>
      </w:r>
      <w:r w:rsidRPr="0048465B">
        <w:rPr>
          <w:lang w:val="en-GB"/>
        </w:rPr>
        <w:t xml:space="preserve"> ‘pick[</w:t>
      </w:r>
      <w:proofErr w:type="spellStart"/>
      <w:r w:rsidRPr="0048465B">
        <w:rPr>
          <w:lang w:val="en-GB"/>
        </w:rPr>
        <w:t>ing</w:t>
      </w:r>
      <w:proofErr w:type="spellEnd"/>
      <w:r w:rsidRPr="0048465B">
        <w:rPr>
          <w:lang w:val="en-GB"/>
        </w:rPr>
        <w:t>] on the only democracy in the Middle East’, and immediately ‘order[</w:t>
      </w:r>
      <w:proofErr w:type="spellStart"/>
      <w:r w:rsidRPr="0048465B">
        <w:rPr>
          <w:lang w:val="en-GB"/>
        </w:rPr>
        <w:t>ing</w:t>
      </w:r>
      <w:proofErr w:type="spellEnd"/>
      <w:r w:rsidRPr="0048465B">
        <w:rPr>
          <w:lang w:val="en-GB"/>
        </w:rPr>
        <w:t>] the stoppage of $7.8 million in funding to five UN bodies</w:t>
      </w:r>
      <w:r w:rsidR="000C3FB4">
        <w:rPr>
          <w:lang w:val="en-GB"/>
        </w:rPr>
        <w:t xml:space="preserve"> [… </w:t>
      </w:r>
      <w:r w:rsidRPr="0048465B">
        <w:rPr>
          <w:lang w:val="en-GB"/>
        </w:rPr>
        <w:t>perceived as</w:t>
      </w:r>
      <w:r w:rsidR="000C3FB4">
        <w:rPr>
          <w:lang w:val="en-GB"/>
        </w:rPr>
        <w:t xml:space="preserve"> …</w:t>
      </w:r>
      <w:r w:rsidRPr="0048465B">
        <w:rPr>
          <w:lang w:val="en-GB"/>
        </w:rPr>
        <w:t>] especially hostile to Israel’.</w:t>
      </w:r>
      <w:r w:rsidRPr="0048465B">
        <w:rPr>
          <w:vertAlign w:val="superscript"/>
          <w:lang w:val="en-GB"/>
        </w:rPr>
        <w:footnoteReference w:id="595"/>
      </w:r>
      <w:r w:rsidRPr="0048465B">
        <w:rPr>
          <w:lang w:val="en-GB"/>
        </w:rPr>
        <w:t xml:space="preserve"> Were the U.S. willing to use its political might to encourage Israeli transformation </w:t>
      </w:r>
      <w:r w:rsidR="00CC1517">
        <w:rPr>
          <w:lang w:val="en-GB"/>
        </w:rPr>
        <w:t>–</w:t>
      </w:r>
      <w:r w:rsidRPr="0048465B">
        <w:rPr>
          <w:lang w:val="en-GB"/>
        </w:rPr>
        <w:t xml:space="preserve"> as opposed to enabling stasis</w:t>
      </w:r>
      <w:r w:rsidR="00817FA4">
        <w:rPr>
          <w:lang w:val="en-GB"/>
        </w:rPr>
        <w:t>, or degeneration</w:t>
      </w:r>
      <w:r w:rsidRPr="0048465B">
        <w:rPr>
          <w:lang w:val="en-GB"/>
        </w:rPr>
        <w:t xml:space="preserve"> </w:t>
      </w:r>
      <w:r w:rsidR="00CC1517">
        <w:rPr>
          <w:lang w:val="en-GB"/>
        </w:rPr>
        <w:t>–</w:t>
      </w:r>
      <w:r w:rsidRPr="0048465B">
        <w:rPr>
          <w:lang w:val="en-GB"/>
        </w:rPr>
        <w:t xml:space="preserve"> such a response could have had ramifications for the aforementioned $3.8 billion. In reality, however, the Obama administration’s small-scale stand was reversed when Trump’s administration decided that the settlements were ‘“not, per se, inconsistent with international law”’.</w:t>
      </w:r>
      <w:r w:rsidRPr="0048465B">
        <w:rPr>
          <w:vertAlign w:val="superscript"/>
          <w:lang w:val="en-GB"/>
        </w:rPr>
        <w:footnoteReference w:id="596"/>
      </w:r>
    </w:p>
    <w:p w14:paraId="404141F4" w14:textId="77777777" w:rsidR="00FC331F" w:rsidRPr="0048465B" w:rsidRDefault="00FC331F" w:rsidP="00FC331F">
      <w:pPr>
        <w:rPr>
          <w:lang w:val="en-GB"/>
        </w:rPr>
      </w:pPr>
    </w:p>
    <w:p w14:paraId="228C083B" w14:textId="12C6ADC9" w:rsidR="00FC331F" w:rsidRPr="0048465B" w:rsidRDefault="00FC331F" w:rsidP="00FC331F">
      <w:pPr>
        <w:rPr>
          <w:lang w:val="en-GB"/>
        </w:rPr>
      </w:pPr>
      <w:r w:rsidRPr="0048465B">
        <w:rPr>
          <w:lang w:val="en-GB"/>
        </w:rPr>
        <w:t xml:space="preserve">Whilst we should not classify Trump’s tenancy as indicative of American involvement in the Middle Eastern peace process more generally, American involvement has nonetheless </w:t>
      </w:r>
      <w:r w:rsidR="009A6F24">
        <w:rPr>
          <w:lang w:val="en-GB"/>
        </w:rPr>
        <w:t>historically</w:t>
      </w:r>
      <w:r w:rsidRPr="0048465B">
        <w:rPr>
          <w:lang w:val="en-GB"/>
        </w:rPr>
        <w:t xml:space="preserve"> been defined by pro-Israeli partisanship. Trump’s oversight of the Middle Eastern peace process, however, has been particularly catastrophic for Palestine. Despite Palestinian sovereignty being the only truly egalitarian outcome to the peace process, American negotiators in the ‘Peace to Prosperity’ plan defined ‘limitations of certain sovereign powers in the Palestinian areas’ as ‘</w:t>
      </w:r>
      <w:proofErr w:type="spellStart"/>
      <w:r w:rsidRPr="0048465B">
        <w:rPr>
          <w:lang w:val="en-GB"/>
        </w:rPr>
        <w:t>necessar</w:t>
      </w:r>
      <w:proofErr w:type="spellEnd"/>
      <w:r w:rsidRPr="0048465B">
        <w:rPr>
          <w:lang w:val="en-GB"/>
        </w:rPr>
        <w:t>[y]’, on account of the apparent threat that Palestinian sovereignty would pose to Israel.</w:t>
      </w:r>
      <w:r w:rsidRPr="0048465B">
        <w:rPr>
          <w:vertAlign w:val="superscript"/>
          <w:lang w:val="en-GB"/>
        </w:rPr>
        <w:footnoteReference w:id="597"/>
      </w:r>
      <w:r w:rsidRPr="0048465B">
        <w:rPr>
          <w:lang w:val="en-GB"/>
        </w:rPr>
        <w:t xml:space="preserve"> It is worth noting here that, since 2017 when Donald Trump became President, the United Nations </w:t>
      </w:r>
      <w:r w:rsidRPr="0048465B">
        <w:rPr>
          <w:lang w:val="en-GB"/>
        </w:rPr>
        <w:lastRenderedPageBreak/>
        <w:t xml:space="preserve">Office for the Coordination of Humanitarian Affairs puts Palestinian fatalities as outnumbering Israeli fatalities in the Occupied Territories and Israel proper by 538 to 36, whilst Palestinian injuries in that period number 57,530, compared to Israeli injuries, at 429. If the time period is extended back to 2008, Palestinian fatalities and injuries </w:t>
      </w:r>
      <w:r w:rsidR="0039637F" w:rsidRPr="0048465B">
        <w:rPr>
          <w:lang w:val="en-GB"/>
        </w:rPr>
        <w:t>rise to</w:t>
      </w:r>
      <w:r w:rsidRPr="0048465B">
        <w:rPr>
          <w:lang w:val="en-GB"/>
        </w:rPr>
        <w:t xml:space="preserve"> 5,588 and 114,276 respectively, whilst Israeli fatalities and injuries increase to 249 and 5,626.</w:t>
      </w:r>
      <w:r w:rsidRPr="0048465B">
        <w:rPr>
          <w:vertAlign w:val="superscript"/>
          <w:lang w:val="en-GB"/>
        </w:rPr>
        <w:footnoteReference w:id="598"/>
      </w:r>
      <w:r w:rsidRPr="0048465B">
        <w:rPr>
          <w:lang w:val="en-GB"/>
        </w:rPr>
        <w:t xml:space="preserve"> If the limitation of sovereignty is a technique that the U.S. is willing to implement on the grounds of reducing violent potential, then the evidence would suggest that its most effective application might be upon the nation that does the majority of the killing and injuring, rather </w:t>
      </w:r>
      <w:r w:rsidR="008F554C" w:rsidRPr="0048465B">
        <w:rPr>
          <w:lang w:val="en-GB"/>
        </w:rPr>
        <w:t>tha</w:t>
      </w:r>
      <w:r w:rsidR="008F554C">
        <w:rPr>
          <w:lang w:val="en-GB"/>
        </w:rPr>
        <w:t>n</w:t>
      </w:r>
      <w:r w:rsidR="008F554C" w:rsidRPr="0048465B">
        <w:rPr>
          <w:lang w:val="en-GB"/>
        </w:rPr>
        <w:t xml:space="preserve"> </w:t>
      </w:r>
      <w:r w:rsidRPr="0048465B">
        <w:rPr>
          <w:lang w:val="en-GB"/>
        </w:rPr>
        <w:t>the overwhelming victim of this violence.</w:t>
      </w:r>
    </w:p>
    <w:p w14:paraId="71248A0F" w14:textId="77777777" w:rsidR="00FC331F" w:rsidRPr="0048465B" w:rsidRDefault="00FC331F" w:rsidP="00FC331F">
      <w:pPr>
        <w:rPr>
          <w:lang w:val="en-GB"/>
        </w:rPr>
      </w:pPr>
    </w:p>
    <w:p w14:paraId="21D15E5B" w14:textId="1F575D2C" w:rsidR="00FC331F" w:rsidRPr="0048465B" w:rsidRDefault="00FC331F" w:rsidP="00FC331F">
      <w:pPr>
        <w:rPr>
          <w:lang w:val="en-GB"/>
        </w:rPr>
      </w:pPr>
      <w:r w:rsidRPr="0048465B">
        <w:rPr>
          <w:lang w:val="en-GB"/>
        </w:rPr>
        <w:t>The Peace to Prosperity plan also highlights a more fundamental complication in its declaration that the U.S. would ‘only ask Israel to make compromises that</w:t>
      </w:r>
      <w:r w:rsidR="000C3FB4">
        <w:rPr>
          <w:lang w:val="en-GB"/>
        </w:rPr>
        <w:t xml:space="preserve"> […] </w:t>
      </w:r>
      <w:r w:rsidRPr="0048465B">
        <w:rPr>
          <w:lang w:val="en-GB"/>
        </w:rPr>
        <w:t>will make the State of Israel and the people of Israel more secure in the short and long term’.</w:t>
      </w:r>
      <w:r w:rsidRPr="0048465B">
        <w:rPr>
          <w:vertAlign w:val="superscript"/>
          <w:lang w:val="en-GB"/>
        </w:rPr>
        <w:footnoteReference w:id="599"/>
      </w:r>
      <w:r w:rsidRPr="0048465B">
        <w:rPr>
          <w:lang w:val="en-GB"/>
        </w:rPr>
        <w:t xml:space="preserve"> Whilst this demand </w:t>
      </w:r>
      <w:r w:rsidR="00CC1517">
        <w:rPr>
          <w:lang w:val="en-GB"/>
        </w:rPr>
        <w:t>is</w:t>
      </w:r>
      <w:r w:rsidRPr="0048465B">
        <w:rPr>
          <w:lang w:val="en-GB"/>
        </w:rPr>
        <w:t xml:space="preserve"> justifiable at first glance, a second glance renders it as incompatible with Palestinian sovereignty. Regardless of its holder, newfound autonomy introduces uncontrollable variables. There is no way, rationally speaking, that an oppressed people under the dominion of a colonial power that exercises complete control over them can be freed from this position, provided with autonomy over their borders, airspace, military, and the movement of their people, and for the theoretical risk that they represent to that oppressor</w:t>
      </w:r>
      <w:r w:rsidR="009A6F24">
        <w:rPr>
          <w:lang w:val="en-GB"/>
        </w:rPr>
        <w:t>, or any other nation for that matter,</w:t>
      </w:r>
      <w:r w:rsidRPr="0048465B">
        <w:rPr>
          <w:lang w:val="en-GB"/>
        </w:rPr>
        <w:t xml:space="preserve"> to decrease as a result of this. Approaches to peace that centralise Israeli security, particularly in the short term, cannot help but place limitations upon Palestinian sovereignty, since a sovereign Palestine necessarily </w:t>
      </w:r>
      <w:r w:rsidR="008F554C">
        <w:rPr>
          <w:lang w:val="en-GB"/>
        </w:rPr>
        <w:t>has more agency</w:t>
      </w:r>
      <w:r w:rsidRPr="0048465B">
        <w:rPr>
          <w:lang w:val="en-GB"/>
        </w:rPr>
        <w:t xml:space="preserve"> than a </w:t>
      </w:r>
      <w:r w:rsidRPr="0048465B">
        <w:rPr>
          <w:lang w:val="en-GB"/>
        </w:rPr>
        <w:lastRenderedPageBreak/>
        <w:t>Palestine under colonial control</w:t>
      </w:r>
      <w:r w:rsidR="00AA1C23">
        <w:rPr>
          <w:lang w:val="en-GB"/>
        </w:rPr>
        <w:t>, and therefore, theoretically, provides a greater risk to Israel’s safety</w:t>
      </w:r>
      <w:r w:rsidRPr="0048465B">
        <w:rPr>
          <w:lang w:val="en-GB"/>
        </w:rPr>
        <w:t>.</w:t>
      </w:r>
    </w:p>
    <w:p w14:paraId="781D9B1A" w14:textId="77777777" w:rsidR="00FC331F" w:rsidRPr="0048465B" w:rsidRDefault="00FC331F" w:rsidP="00FC331F">
      <w:pPr>
        <w:rPr>
          <w:lang w:val="en-GB"/>
        </w:rPr>
      </w:pPr>
      <w:r w:rsidRPr="0048465B">
        <w:rPr>
          <w:lang w:val="en-GB"/>
        </w:rPr>
        <w:t xml:space="preserve"> </w:t>
      </w:r>
    </w:p>
    <w:p w14:paraId="2C62201F" w14:textId="42D135AE" w:rsidR="00CC1517" w:rsidRDefault="009A6F24" w:rsidP="00FC331F">
      <w:pPr>
        <w:rPr>
          <w:lang w:val="en-GB"/>
        </w:rPr>
      </w:pPr>
      <w:r>
        <w:rPr>
          <w:lang w:val="en-GB"/>
        </w:rPr>
        <w:t>The</w:t>
      </w:r>
      <w:r w:rsidR="00FC331F" w:rsidRPr="0048465B">
        <w:rPr>
          <w:lang w:val="en-GB"/>
        </w:rPr>
        <w:t xml:space="preserve"> </w:t>
      </w:r>
      <w:r w:rsidR="008F554C">
        <w:rPr>
          <w:lang w:val="en-GB"/>
        </w:rPr>
        <w:t>autonomy provided by</w:t>
      </w:r>
      <w:r>
        <w:rPr>
          <w:lang w:val="en-GB"/>
        </w:rPr>
        <w:t xml:space="preserve"> sovereignty</w:t>
      </w:r>
      <w:r w:rsidR="00FC331F" w:rsidRPr="0048465B">
        <w:rPr>
          <w:lang w:val="en-GB"/>
        </w:rPr>
        <w:t xml:space="preserve"> should not, however, be identified as dangerous due to any kind of threat that the Palestinian people represent inherently. Whilst the existence of Palestinian armed resistance constitutes a threat to Israeli life, this threat would likely diminish once the necessity for resistance is resolved. Moreover, whilst such resistance remains a possibility, even this can be balanced against recent events which indicate that, given the opportunity, many Palestinians given access to Israel simply want to enjoy the liberties</w:t>
      </w:r>
      <w:r w:rsidR="003C28AB">
        <w:rPr>
          <w:lang w:val="en-GB"/>
        </w:rPr>
        <w:t xml:space="preserve"> of which they are</w:t>
      </w:r>
      <w:r w:rsidR="00FC331F" w:rsidRPr="0048465B">
        <w:rPr>
          <w:lang w:val="en-GB"/>
        </w:rPr>
        <w:t xml:space="preserve"> deprived in their own lands.</w:t>
      </w:r>
      <w:r w:rsidR="00FC331F" w:rsidRPr="0048465B">
        <w:rPr>
          <w:vertAlign w:val="superscript"/>
          <w:lang w:val="en-GB"/>
        </w:rPr>
        <w:footnoteReference w:id="600"/>
      </w:r>
      <w:r w:rsidR="00FC331F" w:rsidRPr="0048465B">
        <w:rPr>
          <w:lang w:val="en-GB"/>
        </w:rPr>
        <w:t xml:space="preserve"> Indeed, rather than being based in the Palestinian people, it is in the Israeli </w:t>
      </w:r>
      <w:r w:rsidR="003C28AB">
        <w:rPr>
          <w:lang w:val="en-GB"/>
        </w:rPr>
        <w:t>curtailing</w:t>
      </w:r>
      <w:r w:rsidR="003C28AB" w:rsidRPr="0048465B">
        <w:rPr>
          <w:lang w:val="en-GB"/>
        </w:rPr>
        <w:t xml:space="preserve"> </w:t>
      </w:r>
      <w:r w:rsidR="00FC331F" w:rsidRPr="0048465B">
        <w:rPr>
          <w:lang w:val="en-GB"/>
        </w:rPr>
        <w:t>of Palestinian liberties that the potential for increased Israeli vulnerability lies, since Palestin</w:t>
      </w:r>
      <w:r>
        <w:rPr>
          <w:lang w:val="en-GB"/>
        </w:rPr>
        <w:t>ian</w:t>
      </w:r>
      <w:r w:rsidR="00FC331F" w:rsidRPr="0048465B">
        <w:rPr>
          <w:lang w:val="en-GB"/>
        </w:rPr>
        <w:t xml:space="preserve"> agency altogether is currently minimised by the totality with which Israel controls Palestin</w:t>
      </w:r>
      <w:r w:rsidR="00CC1517">
        <w:rPr>
          <w:lang w:val="en-GB"/>
        </w:rPr>
        <w:t>e</w:t>
      </w:r>
      <w:r w:rsidR="00FC331F" w:rsidRPr="0048465B">
        <w:rPr>
          <w:lang w:val="en-GB"/>
        </w:rPr>
        <w:t>. Israel currently has control of Gaza’s ‘airspace, ports, and border crossings’, as well as collecting tax on behalf of the Palestinian territories, controlling Palestine’s access to water, and controlling four of its five borders, thus largely controlling import and export.</w:t>
      </w:r>
      <w:r w:rsidR="00FC331F" w:rsidRPr="0048465B">
        <w:rPr>
          <w:vertAlign w:val="superscript"/>
          <w:lang w:val="en-GB"/>
        </w:rPr>
        <w:footnoteReference w:id="601"/>
      </w:r>
      <w:r w:rsidR="00FC331F" w:rsidRPr="0048465B">
        <w:rPr>
          <w:lang w:val="en-GB"/>
        </w:rPr>
        <w:t xml:space="preserve"> </w:t>
      </w:r>
    </w:p>
    <w:p w14:paraId="32250ECF" w14:textId="77777777" w:rsidR="00CC1517" w:rsidRDefault="00CC1517" w:rsidP="00FC331F">
      <w:pPr>
        <w:rPr>
          <w:lang w:val="en-GB"/>
        </w:rPr>
      </w:pPr>
    </w:p>
    <w:p w14:paraId="0A9C44C0" w14:textId="6F051A7E" w:rsidR="00FC331F" w:rsidRPr="0048465B" w:rsidRDefault="00FC331F" w:rsidP="00FC331F">
      <w:pPr>
        <w:rPr>
          <w:lang w:val="en-GB"/>
        </w:rPr>
      </w:pPr>
      <w:r w:rsidRPr="0048465B">
        <w:rPr>
          <w:lang w:val="en-GB"/>
        </w:rPr>
        <w:t xml:space="preserve">Moreover, as noted by Erakat, both Article </w:t>
      </w:r>
      <w:r w:rsidR="00AE6D44">
        <w:rPr>
          <w:lang w:val="en-GB"/>
        </w:rPr>
        <w:t>42</w:t>
      </w:r>
      <w:r w:rsidRPr="0048465B">
        <w:rPr>
          <w:lang w:val="en-GB"/>
        </w:rPr>
        <w:t xml:space="preserve"> of the Hague relations and other tribunals have found that ‘a territory remains occupied so long as an army could re</w:t>
      </w:r>
      <w:r w:rsidR="00CC1517">
        <w:rPr>
          <w:lang w:val="en-GB"/>
        </w:rPr>
        <w:t>-</w:t>
      </w:r>
      <w:r w:rsidRPr="0048465B">
        <w:rPr>
          <w:lang w:val="en-GB"/>
        </w:rPr>
        <w:t>establish physical control of that territory “at any time”’.</w:t>
      </w:r>
      <w:r w:rsidRPr="0048465B">
        <w:rPr>
          <w:vertAlign w:val="superscript"/>
          <w:lang w:val="en-GB"/>
        </w:rPr>
        <w:footnoteReference w:id="602"/>
      </w:r>
      <w:r w:rsidRPr="0048465B">
        <w:rPr>
          <w:lang w:val="en-GB"/>
        </w:rPr>
        <w:t xml:space="preserve"> If we accept, based on this evidence, that Israel remains in control </w:t>
      </w:r>
      <w:r w:rsidRPr="0048465B">
        <w:rPr>
          <w:lang w:val="en-GB"/>
        </w:rPr>
        <w:lastRenderedPageBreak/>
        <w:t>of all Palestinian lands and people, then it is illogical to suggest that relinquishing this control does not have the potential to increase the threat to Israel. It is essential to understand</w:t>
      </w:r>
      <w:r w:rsidR="00CC1517">
        <w:rPr>
          <w:lang w:val="en-GB"/>
        </w:rPr>
        <w:t>, however,</w:t>
      </w:r>
      <w:r w:rsidRPr="0048465B">
        <w:rPr>
          <w:lang w:val="en-GB"/>
        </w:rPr>
        <w:t xml:space="preserve"> that this increased threat is just one of a number of theoretical outcomes inherent </w:t>
      </w:r>
      <w:r w:rsidR="002278C1">
        <w:rPr>
          <w:lang w:val="en-GB"/>
        </w:rPr>
        <w:t>with</w:t>
      </w:r>
      <w:r w:rsidRPr="0048465B">
        <w:rPr>
          <w:lang w:val="en-GB"/>
        </w:rPr>
        <w:t xml:space="preserve">in any nascent sovereignty. It exists only in the same way that if one human were locked in a room alone, and an old adversary appeared and unlocked the door, the potential for danger would increase, just as the potential for reconciliation, </w:t>
      </w:r>
      <w:r w:rsidR="001B06E5">
        <w:rPr>
          <w:lang w:val="en-GB"/>
        </w:rPr>
        <w:t>good will</w:t>
      </w:r>
      <w:r w:rsidRPr="0048465B">
        <w:rPr>
          <w:lang w:val="en-GB"/>
        </w:rPr>
        <w:t xml:space="preserve">, and peace would. Palestinian sovereignty </w:t>
      </w:r>
      <w:r w:rsidR="006B3C9C">
        <w:rPr>
          <w:lang w:val="en-GB"/>
        </w:rPr>
        <w:t>–</w:t>
      </w:r>
      <w:r w:rsidRPr="0048465B">
        <w:rPr>
          <w:lang w:val="en-GB"/>
        </w:rPr>
        <w:t xml:space="preserve"> in addition to what it would mean for the Palestinian people </w:t>
      </w:r>
      <w:r w:rsidR="006B3C9C">
        <w:rPr>
          <w:lang w:val="en-GB"/>
        </w:rPr>
        <w:t>–</w:t>
      </w:r>
      <w:r w:rsidRPr="0048465B">
        <w:rPr>
          <w:lang w:val="en-GB"/>
        </w:rPr>
        <w:t xml:space="preserve"> could mean any number of things for</w:t>
      </w:r>
      <w:r w:rsidR="006B3C9C">
        <w:rPr>
          <w:lang w:val="en-GB"/>
        </w:rPr>
        <w:t xml:space="preserve"> the</w:t>
      </w:r>
      <w:r w:rsidRPr="0048465B">
        <w:rPr>
          <w:lang w:val="en-GB"/>
        </w:rPr>
        <w:t xml:space="preserve"> </w:t>
      </w:r>
      <w:r w:rsidR="001B06E5">
        <w:rPr>
          <w:lang w:val="en-GB"/>
        </w:rPr>
        <w:t>Israeli</w:t>
      </w:r>
      <w:r w:rsidRPr="0048465B">
        <w:rPr>
          <w:lang w:val="en-GB"/>
        </w:rPr>
        <w:t xml:space="preserve"> people, none of which can be affirmed with certainty. Israel’s sovereignty over all lands between Jordan and the sea, however, ensures with absolute certainty that both Israelis and Palestinians live in a non-democratic land</w:t>
      </w:r>
      <w:r w:rsidR="006B3C9C">
        <w:rPr>
          <w:lang w:val="en-GB"/>
        </w:rPr>
        <w:t xml:space="preserve"> where maintaining the status quo</w:t>
      </w:r>
      <w:r w:rsidRPr="0048465B">
        <w:rPr>
          <w:lang w:val="en-GB"/>
        </w:rPr>
        <w:t xml:space="preserve"> necessitates the oppression and non</w:t>
      </w:r>
      <w:r w:rsidR="00AA1C23">
        <w:rPr>
          <w:lang w:val="en-GB"/>
        </w:rPr>
        <w:t>-</w:t>
      </w:r>
      <w:r w:rsidRPr="0048465B">
        <w:rPr>
          <w:lang w:val="en-GB"/>
        </w:rPr>
        <w:t>existence of Palestinians. Whilst clearly partisan in its inclinations, the oversights of the Trump plan nonetheless highlight a fundamental truth about the peace process more generally, that no approach can preclude uncertainty. International relations between the closest of allies are far from immutable, and whilst we can prepare in excruciating detail, at the end of such deliberations there will always come a leap of faith. Whilst ambiguity should be condemned, preconditioning a peace plan upon certainty overlooks the necessity of this final leap, and in doing so condemns such plans to either inequity, or failure.</w:t>
      </w:r>
    </w:p>
    <w:p w14:paraId="28062BE1" w14:textId="77777777" w:rsidR="00FC331F" w:rsidRPr="0048465B" w:rsidRDefault="00FC331F" w:rsidP="00FC331F">
      <w:pPr>
        <w:rPr>
          <w:lang w:val="en-GB"/>
        </w:rPr>
      </w:pPr>
    </w:p>
    <w:p w14:paraId="0FCE1E13" w14:textId="12AED18A" w:rsidR="00FC331F" w:rsidRPr="0048465B" w:rsidRDefault="00FC331F" w:rsidP="00FC331F">
      <w:pPr>
        <w:rPr>
          <w:lang w:val="en-GB"/>
        </w:rPr>
      </w:pPr>
      <w:r w:rsidRPr="0048465B">
        <w:rPr>
          <w:lang w:val="en-GB"/>
        </w:rPr>
        <w:t>Yet another lesson we can learn from the Trump plan is that of the involvement of Palestinian voices and perspectives. The Peace to Prosperity plan declares that ‘“it is Israelis and Palestinians themselves, who must be satisfied with the benefits and compromises that a peace agreement entails”’, yet</w:t>
      </w:r>
      <w:r w:rsidR="00AA1C23">
        <w:rPr>
          <w:lang w:val="en-GB"/>
        </w:rPr>
        <w:t>, just as with the original Mandate for Palestine in 1922,</w:t>
      </w:r>
      <w:r w:rsidRPr="0048465B">
        <w:rPr>
          <w:lang w:val="en-GB"/>
        </w:rPr>
        <w:t xml:space="preserve"> ‘neither the Palestinian Authority nor Palestinian academics and civil society were consulted’. Moreover, whilst the plan </w:t>
      </w:r>
      <w:r w:rsidRPr="0048465B">
        <w:rPr>
          <w:lang w:val="en-GB"/>
        </w:rPr>
        <w:lastRenderedPageBreak/>
        <w:t>‘“takes into account the State of Israel’s valid legal and historical claims” to the “ancestral homeland of the Jewish people”’, it entirely overlooks ‘Palestinian ties to the territory or their historical experience of living there’. Here, the lesson is simple. If one seeks peace between two nations, representatives of both nations must be involved. As we see with the Trump plan, however, a predisposition towards Israeli interests has led not only to significant concessions to previously clearly defined positions, but has also potentially led to these concessions</w:t>
      </w:r>
      <w:r w:rsidR="001B06E5">
        <w:rPr>
          <w:lang w:val="en-GB"/>
        </w:rPr>
        <w:t xml:space="preserve"> </w:t>
      </w:r>
      <w:r w:rsidRPr="0048465B">
        <w:rPr>
          <w:lang w:val="en-GB"/>
        </w:rPr>
        <w:t>representing the ‘new normal’ from which Israel will choose to negotiate, rather than from positions defined through ‘previous direct talks between Israelis and Palestinians’.</w:t>
      </w:r>
      <w:r w:rsidRPr="0048465B">
        <w:rPr>
          <w:vertAlign w:val="superscript"/>
          <w:lang w:val="en-GB"/>
        </w:rPr>
        <w:footnoteReference w:id="603"/>
      </w:r>
      <w:r w:rsidRPr="0048465B">
        <w:rPr>
          <w:lang w:val="en-GB"/>
        </w:rPr>
        <w:t xml:space="preserve"> Whilst Trump’s plan represented a departure from conventional U.S. diplomacy and policy, it may yet have an enduring legacy on the Israeli-Palestinian peace process.</w:t>
      </w:r>
    </w:p>
    <w:p w14:paraId="71646F61" w14:textId="77777777" w:rsidR="00FC331F" w:rsidRPr="0048465B" w:rsidRDefault="00FC331F" w:rsidP="00FC331F">
      <w:pPr>
        <w:rPr>
          <w:lang w:val="en-GB"/>
        </w:rPr>
      </w:pPr>
    </w:p>
    <w:p w14:paraId="3511CA16" w14:textId="03ECB31D" w:rsidR="00FC331F" w:rsidRPr="0048465B" w:rsidRDefault="00FC331F" w:rsidP="00FC331F">
      <w:pPr>
        <w:rPr>
          <w:lang w:val="en-GB"/>
        </w:rPr>
      </w:pPr>
      <w:r w:rsidRPr="0048465B">
        <w:rPr>
          <w:lang w:val="en-GB"/>
        </w:rPr>
        <w:t>One legacy of the Trump presidency that is certain, however, is that of normalisation. Whilst Arab nations initially seemed to support Palestine in their rejection of the Peace to Prosperity Plan, the subsequent U.S.-brokered normalisation of ties between Israel and the United Arab Emirates, Bahrain, and Sudan, and soft-normalisation with Saudi-Arabia</w:t>
      </w:r>
      <w:r w:rsidRPr="0048465B">
        <w:rPr>
          <w:vertAlign w:val="superscript"/>
          <w:lang w:val="en-GB"/>
        </w:rPr>
        <w:footnoteReference w:id="604"/>
      </w:r>
      <w:r w:rsidRPr="0048465B">
        <w:rPr>
          <w:lang w:val="en-GB"/>
        </w:rPr>
        <w:t xml:space="preserve"> </w:t>
      </w:r>
      <w:r w:rsidR="0022211B">
        <w:rPr>
          <w:lang w:val="en-GB"/>
        </w:rPr>
        <w:t>– w</w:t>
      </w:r>
      <w:r w:rsidRPr="0048465B">
        <w:rPr>
          <w:lang w:val="en-GB"/>
        </w:rPr>
        <w:t xml:space="preserve">hilst </w:t>
      </w:r>
      <w:r w:rsidR="00643585">
        <w:rPr>
          <w:lang w:val="en-GB"/>
        </w:rPr>
        <w:t>welcome</w:t>
      </w:r>
      <w:r w:rsidRPr="0048465B">
        <w:rPr>
          <w:lang w:val="en-GB"/>
        </w:rPr>
        <w:t xml:space="preserve"> for Israel in terms of its feeling of safety and belonging in the region </w:t>
      </w:r>
      <w:r w:rsidR="00BD76F1">
        <w:rPr>
          <w:lang w:val="en-GB"/>
        </w:rPr>
        <w:t>–</w:t>
      </w:r>
      <w:r w:rsidRPr="0048465B">
        <w:rPr>
          <w:lang w:val="en-GB"/>
        </w:rPr>
        <w:t xml:space="preserve"> completely undermines pre-existing solidarity amongst Arab states that had hitherto predicated recognition of Israel upon the end of the occupation and the creation of a sovereign Palestinian State. A similar deal was offered to Israel in the 2002 Beirut Declaration, offering not only normalisation of ties with all of the nations within the Arab league, but peace agreements with these nations as well, in exchange for ‘an </w:t>
      </w:r>
      <w:r w:rsidRPr="0048465B">
        <w:rPr>
          <w:lang w:val="en-GB"/>
        </w:rPr>
        <w:lastRenderedPageBreak/>
        <w:t>independent and sovereign Palestinian state on the Palestinian territories occupied since 4 June 1967 in the West Bank and Gaza Strip with East Jerusalem as its capital’.</w:t>
      </w:r>
      <w:r w:rsidRPr="0048465B">
        <w:rPr>
          <w:vertAlign w:val="superscript"/>
          <w:lang w:val="en-GB"/>
        </w:rPr>
        <w:footnoteReference w:id="605"/>
      </w:r>
      <w:r w:rsidRPr="0048465B">
        <w:rPr>
          <w:lang w:val="en-GB"/>
        </w:rPr>
        <w:t xml:space="preserve"> Israel rejected the proposal, both in 2002 and 2007, with Foreign Minister Avigdor Lieberman describing it as ‘“a dangerous proposal, a recipe for the destruction of Israel”’, due to its insistence on the right of return for exiled Palestinians.</w:t>
      </w:r>
      <w:r w:rsidR="00643585" w:rsidRPr="0048465B">
        <w:rPr>
          <w:vertAlign w:val="superscript"/>
          <w:lang w:val="en-GB"/>
        </w:rPr>
        <w:footnoteReference w:id="606"/>
      </w:r>
    </w:p>
    <w:p w14:paraId="06826C90" w14:textId="77777777" w:rsidR="00FC331F" w:rsidRPr="0048465B" w:rsidRDefault="00FC331F" w:rsidP="00FC331F">
      <w:pPr>
        <w:rPr>
          <w:lang w:val="en-GB"/>
        </w:rPr>
      </w:pPr>
    </w:p>
    <w:p w14:paraId="548B7720" w14:textId="02CE58B2" w:rsidR="00FC331F" w:rsidRPr="0048465B" w:rsidRDefault="00FC331F" w:rsidP="00FC331F">
      <w:pPr>
        <w:rPr>
          <w:lang w:val="en-GB"/>
        </w:rPr>
      </w:pPr>
      <w:r w:rsidRPr="0048465B">
        <w:rPr>
          <w:lang w:val="en-GB"/>
        </w:rPr>
        <w:t>Whilst the UAE claims to have ‘saved Palestinians from the potentially catastrophic threat of Israeli annexation, which the country agreed to “suspend” as part of the [normalisation] deal’,</w:t>
      </w:r>
      <w:r w:rsidRPr="0048465B">
        <w:rPr>
          <w:vertAlign w:val="superscript"/>
          <w:lang w:val="en-GB"/>
        </w:rPr>
        <w:footnoteReference w:id="607"/>
      </w:r>
      <w:r w:rsidRPr="0048465B">
        <w:rPr>
          <w:lang w:val="en-GB"/>
        </w:rPr>
        <w:t xml:space="preserve"> the indeterminacy of this suspension is redolent of Israeli legal work over the decades.</w:t>
      </w:r>
      <w:r w:rsidRPr="0048465B">
        <w:rPr>
          <w:vertAlign w:val="superscript"/>
          <w:lang w:val="en-GB"/>
        </w:rPr>
        <w:footnoteReference w:id="608"/>
      </w:r>
      <w:r w:rsidRPr="0048465B">
        <w:rPr>
          <w:lang w:val="en-GB"/>
        </w:rPr>
        <w:t xml:space="preserve"> </w:t>
      </w:r>
      <w:r w:rsidR="00643585">
        <w:rPr>
          <w:lang w:val="en-GB"/>
        </w:rPr>
        <w:t>S</w:t>
      </w:r>
      <w:r w:rsidRPr="0048465B">
        <w:rPr>
          <w:lang w:val="en-GB"/>
        </w:rPr>
        <w:t xml:space="preserve">uspension, rather than termination, suggests that whilst these annexations may not occur today, they remain very much on the table. </w:t>
      </w:r>
      <w:proofErr w:type="spellStart"/>
      <w:r w:rsidRPr="0048465B">
        <w:rPr>
          <w:lang w:val="en-GB"/>
        </w:rPr>
        <w:t>Tareq</w:t>
      </w:r>
      <w:proofErr w:type="spellEnd"/>
      <w:r w:rsidRPr="0048465B">
        <w:rPr>
          <w:lang w:val="en-GB"/>
        </w:rPr>
        <w:t xml:space="preserve"> </w:t>
      </w:r>
      <w:proofErr w:type="spellStart"/>
      <w:r w:rsidRPr="0048465B">
        <w:rPr>
          <w:lang w:val="en-GB"/>
        </w:rPr>
        <w:t>Baconi</w:t>
      </w:r>
      <w:proofErr w:type="spellEnd"/>
      <w:r w:rsidRPr="0048465B">
        <w:rPr>
          <w:lang w:val="en-GB"/>
        </w:rPr>
        <w:t>, an ‘Israel-Palestine analyst for the International Crisis Group thinktank’, has suggested that the actions of the UAE set a ‘“dangerous precedent</w:t>
      </w:r>
      <w:r w:rsidR="000C3FB4">
        <w:rPr>
          <w:lang w:val="en-GB"/>
        </w:rPr>
        <w:t xml:space="preserve"> […] </w:t>
      </w:r>
      <w:r w:rsidRPr="0048465B">
        <w:rPr>
          <w:lang w:val="en-GB"/>
        </w:rPr>
        <w:t>where official normalisation has become possible despite continued Palestinian subjugation”’,</w:t>
      </w:r>
      <w:r w:rsidRPr="0048465B">
        <w:rPr>
          <w:vertAlign w:val="superscript"/>
          <w:lang w:val="en-GB"/>
        </w:rPr>
        <w:footnoteReference w:id="609"/>
      </w:r>
      <w:r w:rsidRPr="0048465B">
        <w:rPr>
          <w:lang w:val="en-GB"/>
        </w:rPr>
        <w:t xml:space="preserve"> with another analyst arguing in 2015 that the central duty of the Palestinian leadership </w:t>
      </w:r>
      <w:r w:rsidR="0057002F">
        <w:rPr>
          <w:lang w:val="en-GB"/>
        </w:rPr>
        <w:t>is</w:t>
      </w:r>
      <w:r w:rsidRPr="0048465B">
        <w:rPr>
          <w:lang w:val="en-GB"/>
        </w:rPr>
        <w:t xml:space="preserve"> to ‘ensure that the Palestinian cause is a sacrosanct one that rises above the region’s differences and unites its rivals</w:t>
      </w:r>
      <w:r w:rsidR="000C3FB4">
        <w:rPr>
          <w:lang w:val="en-GB"/>
        </w:rPr>
        <w:t xml:space="preserve"> […] </w:t>
      </w:r>
      <w:r w:rsidRPr="0048465B">
        <w:rPr>
          <w:lang w:val="en-GB"/>
        </w:rPr>
        <w:t xml:space="preserve">in its support’, an essential appeal that the deals between Israel </w:t>
      </w:r>
      <w:r w:rsidRPr="0048465B">
        <w:rPr>
          <w:lang w:val="en-GB"/>
        </w:rPr>
        <w:lastRenderedPageBreak/>
        <w:t>and Arab nations fundamentally undermine.</w:t>
      </w:r>
      <w:r w:rsidR="00643585" w:rsidRPr="0048465B">
        <w:rPr>
          <w:vertAlign w:val="superscript"/>
          <w:lang w:val="en-GB"/>
        </w:rPr>
        <w:footnoteReference w:id="610"/>
      </w:r>
      <w:r w:rsidRPr="0048465B">
        <w:rPr>
          <w:lang w:val="en-GB"/>
        </w:rPr>
        <w:t xml:space="preserve"> These deals further reinforce Lynk’s view that Israel’s rejection of international law, continuing occupation of Palestinian territories, and abuse of Palestinian rights is not only known by the nations of the world, but accepted and, through normalisation deals such as those seen in the latter half of 2020, passively encouraged. </w:t>
      </w:r>
    </w:p>
    <w:p w14:paraId="0565E3EA" w14:textId="77777777" w:rsidR="00FC331F" w:rsidRPr="0048465B" w:rsidRDefault="00FC331F" w:rsidP="00FC331F">
      <w:pPr>
        <w:rPr>
          <w:lang w:val="en-GB"/>
        </w:rPr>
      </w:pPr>
    </w:p>
    <w:p w14:paraId="30E540F4" w14:textId="2BEFCF33" w:rsidR="00FC331F" w:rsidRPr="0048465B" w:rsidRDefault="00FC331F" w:rsidP="00FC331F">
      <w:pPr>
        <w:rPr>
          <w:lang w:val="en-GB"/>
        </w:rPr>
      </w:pPr>
      <w:r w:rsidRPr="0048465B">
        <w:rPr>
          <w:lang w:val="en-GB"/>
        </w:rPr>
        <w:t>As the normalisation deals were reported</w:t>
      </w:r>
      <w:r w:rsidR="00913B5D">
        <w:rPr>
          <w:lang w:val="en-GB"/>
        </w:rPr>
        <w:t>,</w:t>
      </w:r>
      <w:r w:rsidRPr="0048465B">
        <w:rPr>
          <w:lang w:val="en-GB"/>
        </w:rPr>
        <w:t xml:space="preserve"> a cartoon began to circulate on Palestinian social media. The cartoon featured a man with ‘a Star of David on his kippah’ and a man in ‘Gulf-style clothing’, first hugging beneath a table, then in the second panel, hugging on top of it, out in the open.</w:t>
      </w:r>
      <w:r w:rsidRPr="0048465B">
        <w:rPr>
          <w:vertAlign w:val="superscript"/>
          <w:lang w:val="en-GB"/>
        </w:rPr>
        <w:footnoteReference w:id="611"/>
      </w:r>
      <w:r w:rsidRPr="0048465B">
        <w:rPr>
          <w:lang w:val="en-GB"/>
        </w:rPr>
        <w:t xml:space="preserve"> For a people whose dispossession has been maintained and substantiated by the silence of the non-Arab world for most of the last century, the deterioration of Arab solidarity is indicative of the growing disbelief in the possibility of a just resolution in the near future. However, the normalisation deals undeniably stabilise an otherwise tumultuous region, and whilst the normalisation of relations</w:t>
      </w:r>
      <w:r w:rsidR="0023678C">
        <w:rPr>
          <w:lang w:val="en-GB"/>
        </w:rPr>
        <w:t xml:space="preserve"> between Israel and Arab nations</w:t>
      </w:r>
      <w:r w:rsidRPr="0048465B">
        <w:rPr>
          <w:lang w:val="en-GB"/>
        </w:rPr>
        <w:t xml:space="preserve"> is detrimental to the Palestinian cause, such deals do not change the balance of global power. Unified Arab leverage may have diminished, but the true power to effect change in the Middle East remains not with those Arab nations who held out for decades with little effect, but with those who continue to use their veto power to maintain the status quo.</w:t>
      </w:r>
    </w:p>
    <w:p w14:paraId="65F9AC47" w14:textId="77777777" w:rsidR="00FC331F" w:rsidRPr="0048465B" w:rsidRDefault="00FC331F" w:rsidP="00FC331F">
      <w:pPr>
        <w:rPr>
          <w:lang w:val="en-GB"/>
        </w:rPr>
      </w:pPr>
    </w:p>
    <w:p w14:paraId="59123532" w14:textId="77777777" w:rsidR="00EB441E" w:rsidRDefault="00EB441E" w:rsidP="00FC331F">
      <w:pPr>
        <w:jc w:val="center"/>
        <w:rPr>
          <w:b/>
          <w:lang w:val="en-GB"/>
        </w:rPr>
      </w:pPr>
    </w:p>
    <w:p w14:paraId="612CF5B3" w14:textId="77777777" w:rsidR="00EB441E" w:rsidRDefault="00EB441E" w:rsidP="00FC331F">
      <w:pPr>
        <w:jc w:val="center"/>
        <w:rPr>
          <w:b/>
          <w:lang w:val="en-GB"/>
        </w:rPr>
      </w:pPr>
    </w:p>
    <w:p w14:paraId="255E0309" w14:textId="77777777" w:rsidR="00EB441E" w:rsidRDefault="00EB441E" w:rsidP="00FC331F">
      <w:pPr>
        <w:jc w:val="center"/>
        <w:rPr>
          <w:b/>
          <w:lang w:val="en-GB"/>
        </w:rPr>
      </w:pPr>
    </w:p>
    <w:p w14:paraId="3652FF41" w14:textId="14DAB4FD" w:rsidR="00FC331F" w:rsidRPr="0048465B" w:rsidRDefault="00FC331F" w:rsidP="00FC331F">
      <w:pPr>
        <w:jc w:val="center"/>
        <w:rPr>
          <w:b/>
          <w:lang w:val="en-GB"/>
        </w:rPr>
      </w:pPr>
      <w:r w:rsidRPr="0048465B">
        <w:rPr>
          <w:b/>
          <w:lang w:val="en-GB"/>
        </w:rPr>
        <w:lastRenderedPageBreak/>
        <w:t>Biden: More of the Same, or a New Hope?</w:t>
      </w:r>
    </w:p>
    <w:p w14:paraId="291723D3" w14:textId="77777777" w:rsidR="00FC331F" w:rsidRPr="0048465B" w:rsidRDefault="00FC331F" w:rsidP="00FC331F">
      <w:pPr>
        <w:jc w:val="center"/>
        <w:rPr>
          <w:lang w:val="en-GB"/>
        </w:rPr>
      </w:pPr>
      <w:r w:rsidRPr="0048465B">
        <w:rPr>
          <w:b/>
          <w:lang w:val="en-GB"/>
        </w:rPr>
        <w:t>The Future of American Intervention, Lessons from Namibia, and the Question of Iran</w:t>
      </w:r>
    </w:p>
    <w:p w14:paraId="77C62CDE" w14:textId="77777777" w:rsidR="00FC331F" w:rsidRPr="0048465B" w:rsidRDefault="00FC331F" w:rsidP="00FC331F">
      <w:pPr>
        <w:rPr>
          <w:lang w:val="en-GB"/>
        </w:rPr>
      </w:pPr>
    </w:p>
    <w:p w14:paraId="08B42AFA" w14:textId="42577DBA" w:rsidR="00FC331F" w:rsidRPr="0048465B" w:rsidRDefault="00FC331F" w:rsidP="00FC331F">
      <w:pPr>
        <w:rPr>
          <w:lang w:val="en-GB"/>
        </w:rPr>
      </w:pPr>
      <w:r w:rsidRPr="0048465B">
        <w:rPr>
          <w:lang w:val="en-GB"/>
        </w:rPr>
        <w:t>With Trump’s loss in the 2020 U.S. Presidential Election, Palestine can hope that such attempts to erode Palestinian leverage might end. The prospect of a Biden/Harris presidency, however, must be assessed within its own right, rather than identified as ‘good’ simply because Trump was ‘bad’. In terms of Biden’s pre-election comments on Israel, the outlook is not particularly promising. Whilst Biden has described Netanyahu as a ‘“counterproductive” and “extreme right” leader’, he also stated in late 2019 that he would not entertain ‘“withdraw[</w:t>
      </w:r>
      <w:proofErr w:type="spellStart"/>
      <w:r w:rsidRPr="0048465B">
        <w:rPr>
          <w:lang w:val="en-GB"/>
        </w:rPr>
        <w:t>ing</w:t>
      </w:r>
      <w:proofErr w:type="spellEnd"/>
      <w:r w:rsidRPr="0048465B">
        <w:rPr>
          <w:lang w:val="en-GB"/>
        </w:rPr>
        <w:t>] military aid” from Israel, and described Bernie Sanders’ suggestion that the U.S. ‘“leverage” its billions of dollars in annual Israeli aid’ in order to ‘“fundamentally change [their] relationships to the people of Gaza”’ as ‘“bizarre”’,</w:t>
      </w:r>
      <w:r w:rsidRPr="0048465B">
        <w:rPr>
          <w:vertAlign w:val="superscript"/>
          <w:lang w:val="en-GB"/>
        </w:rPr>
        <w:footnoteReference w:id="612"/>
      </w:r>
      <w:r w:rsidRPr="0048465B">
        <w:rPr>
          <w:lang w:val="en-GB"/>
        </w:rPr>
        <w:t xml:space="preserve"> and, in another interview, ‘“absolutely preposterous”’. In 1986, Biden told lawmakers ‘“[</w:t>
      </w:r>
      <w:proofErr w:type="spellStart"/>
      <w:r w:rsidRPr="0048465B">
        <w:rPr>
          <w:lang w:val="en-GB"/>
        </w:rPr>
        <w:t>i</w:t>
      </w:r>
      <w:proofErr w:type="spellEnd"/>
      <w:r w:rsidRPr="0048465B">
        <w:rPr>
          <w:lang w:val="en-GB"/>
        </w:rPr>
        <w:t>]f there weren’t an Israel, the United States of America would have to invent an Israel to protect her interests in the region”’,</w:t>
      </w:r>
      <w:r w:rsidRPr="0048465B">
        <w:rPr>
          <w:vertAlign w:val="superscript"/>
          <w:lang w:val="en-GB"/>
        </w:rPr>
        <w:footnoteReference w:id="613"/>
      </w:r>
      <w:r w:rsidRPr="0048465B">
        <w:rPr>
          <w:lang w:val="en-GB"/>
        </w:rPr>
        <w:t xml:space="preserve"> and, more recently, after describing Trump’s relocation of the U.S. Embassy in Israel from Tel Aviv to Jerusalem as ‘“short-sighted and frivolous”’, he stated ‘“now that it’s done, I would not move the embassy back to Tel Aviv”’.</w:t>
      </w:r>
      <w:r w:rsidRPr="0048465B">
        <w:rPr>
          <w:vertAlign w:val="superscript"/>
          <w:lang w:val="en-GB"/>
        </w:rPr>
        <w:footnoteReference w:id="614"/>
      </w:r>
      <w:r w:rsidRPr="0048465B">
        <w:rPr>
          <w:lang w:val="en-GB"/>
        </w:rPr>
        <w:t xml:space="preserve"> Singing to a similar tune, Kamala Harris has pledged her ‘“unwavering support”’ to Israel, as well as stating that the U.S. will ensure that Israel ‘“always maintain its qualitative military edge”’.</w:t>
      </w:r>
      <w:r w:rsidRPr="0048465B">
        <w:rPr>
          <w:vertAlign w:val="superscript"/>
          <w:lang w:val="en-GB"/>
        </w:rPr>
        <w:footnoteReference w:id="615"/>
      </w:r>
      <w:r w:rsidRPr="0048465B">
        <w:rPr>
          <w:lang w:val="en-GB"/>
        </w:rPr>
        <w:t xml:space="preserve"> </w:t>
      </w:r>
      <w:r w:rsidRPr="0048465B">
        <w:rPr>
          <w:lang w:val="en-GB"/>
        </w:rPr>
        <w:lastRenderedPageBreak/>
        <w:t xml:space="preserve">Moreover, whilst Biden’s presidency may appear to be a step towards peace through its reopening of the lines of communication between Palestine, the U.S., and Israel, the Palestinian Authority’s decision to ‘return to security coordination with Israel’ </w:t>
      </w:r>
      <w:r w:rsidR="00880724">
        <w:rPr>
          <w:lang w:val="en-GB"/>
        </w:rPr>
        <w:t>–</w:t>
      </w:r>
      <w:r w:rsidRPr="0048465B">
        <w:rPr>
          <w:lang w:val="en-GB"/>
        </w:rPr>
        <w:t xml:space="preserve"> and thus to a position of submission to American and Israeli interests </w:t>
      </w:r>
      <w:r w:rsidR="00880724">
        <w:rPr>
          <w:lang w:val="en-GB"/>
        </w:rPr>
        <w:t>–</w:t>
      </w:r>
      <w:r w:rsidRPr="0048465B">
        <w:rPr>
          <w:lang w:val="en-GB"/>
        </w:rPr>
        <w:t xml:space="preserve"> has already undermined the growing ‘efforts for Palestinian reconciliation between the Hamas government in the Gaza strip and the PA in the West Bank’,</w:t>
      </w:r>
      <w:r w:rsidRPr="0048465B">
        <w:rPr>
          <w:vertAlign w:val="superscript"/>
          <w:lang w:val="en-GB"/>
        </w:rPr>
        <w:footnoteReference w:id="616"/>
      </w:r>
      <w:r w:rsidRPr="0048465B">
        <w:rPr>
          <w:lang w:val="en-GB"/>
        </w:rPr>
        <w:t xml:space="preserve"> and for potential moderation of Hamas’ position on Israel</w:t>
      </w:r>
      <w:r w:rsidR="00880724">
        <w:rPr>
          <w:lang w:val="en-GB"/>
        </w:rPr>
        <w:t xml:space="preserve"> as a result</w:t>
      </w:r>
      <w:r w:rsidRPr="0048465B">
        <w:rPr>
          <w:lang w:val="en-GB"/>
        </w:rPr>
        <w:t>. Such developments risk a return to the same Israel-centric ‘peace’ that America has proposed since its involvement in the conflict.</w:t>
      </w:r>
    </w:p>
    <w:p w14:paraId="02E162B6" w14:textId="77777777" w:rsidR="00FC331F" w:rsidRPr="0048465B" w:rsidRDefault="00FC331F" w:rsidP="00FC331F">
      <w:pPr>
        <w:rPr>
          <w:lang w:val="en-GB"/>
        </w:rPr>
      </w:pPr>
    </w:p>
    <w:p w14:paraId="1B9481D6" w14:textId="0580F8E6" w:rsidR="00FC331F" w:rsidRPr="0048465B" w:rsidRDefault="00FC331F" w:rsidP="00FC331F">
      <w:pPr>
        <w:rPr>
          <w:lang w:val="en-GB"/>
        </w:rPr>
      </w:pPr>
      <w:r w:rsidRPr="0048465B">
        <w:rPr>
          <w:lang w:val="en-GB"/>
        </w:rPr>
        <w:t xml:space="preserve">That being said, in Biden’s first </w:t>
      </w:r>
      <w:r w:rsidR="00880724">
        <w:rPr>
          <w:lang w:val="en-GB"/>
        </w:rPr>
        <w:t>opening months</w:t>
      </w:r>
      <w:r w:rsidRPr="0048465B">
        <w:rPr>
          <w:lang w:val="en-GB"/>
        </w:rPr>
        <w:t xml:space="preserve"> of power there have already been indications that this may not be the case. Netanyahu’s open and consistent support for Trump, someone who Biden himself is meant to represent the antithesis of, may have altered Biden’s perspective on Netanyahu himself, if not the Israeli state, a potentiality supported by the </w:t>
      </w:r>
      <w:r w:rsidR="0078788B">
        <w:rPr>
          <w:lang w:val="en-GB"/>
        </w:rPr>
        <w:t>delaying</w:t>
      </w:r>
      <w:r w:rsidRPr="0048465B">
        <w:rPr>
          <w:lang w:val="en-GB"/>
        </w:rPr>
        <w:t xml:space="preserve"> of any contact between Biden and Netanyahu </w:t>
      </w:r>
      <w:r w:rsidR="0078788B">
        <w:rPr>
          <w:lang w:val="en-GB"/>
        </w:rPr>
        <w:t>until late February 2021</w:t>
      </w:r>
      <w:r w:rsidRPr="0048465B">
        <w:rPr>
          <w:lang w:val="en-GB"/>
        </w:rPr>
        <w:t>. Such a</w:t>
      </w:r>
      <w:r w:rsidR="0078788B">
        <w:rPr>
          <w:lang w:val="en-GB"/>
        </w:rPr>
        <w:t xml:space="preserve"> delay </w:t>
      </w:r>
      <w:r w:rsidRPr="0048465B">
        <w:rPr>
          <w:lang w:val="en-GB"/>
        </w:rPr>
        <w:t>is likely indicative of, at the very least, a reluctance to return to the fraternisation of the Trump administration, and whilst Biden’s omission of Israel from</w:t>
      </w:r>
      <w:r w:rsidR="00792CB2">
        <w:rPr>
          <w:lang w:val="en-GB"/>
        </w:rPr>
        <w:t xml:space="preserve"> his</w:t>
      </w:r>
      <w:r w:rsidRPr="0048465B">
        <w:rPr>
          <w:lang w:val="en-GB"/>
        </w:rPr>
        <w:t xml:space="preserve"> list of America’s ‘“closest friends”’ may seem insignificant in isolation, it could be indicative of a ‘shift in priorities’ in terms of international relations.</w:t>
      </w:r>
      <w:r w:rsidRPr="0048465B">
        <w:rPr>
          <w:vertAlign w:val="superscript"/>
          <w:lang w:val="en-GB"/>
        </w:rPr>
        <w:footnoteReference w:id="617"/>
      </w:r>
      <w:r w:rsidRPr="0048465B">
        <w:rPr>
          <w:lang w:val="en-GB"/>
        </w:rPr>
        <w:t xml:space="preserve"> The Biden administration has already indicated a significant shift from the Trump approach through seeking ‘consultation with both sides’, as well as requesting actions deemed necessary to sustain peace </w:t>
      </w:r>
      <w:r w:rsidRPr="0048465B">
        <w:rPr>
          <w:lang w:val="en-GB"/>
        </w:rPr>
        <w:lastRenderedPageBreak/>
        <w:t>from both Israeli and Palestinian leadership.</w:t>
      </w:r>
      <w:r w:rsidRPr="0048465B">
        <w:rPr>
          <w:vertAlign w:val="superscript"/>
          <w:lang w:val="en-GB"/>
        </w:rPr>
        <w:footnoteReference w:id="618"/>
      </w:r>
      <w:r w:rsidRPr="0048465B">
        <w:rPr>
          <w:lang w:val="en-GB"/>
        </w:rPr>
        <w:t xml:space="preserve"> Moreover, Biden’s desire to return to the Iran Nuclear Deal he oversaw under the Obama administration distances him yet further from Israeli camaraderie, with Israel rejecting the deal, favouring instead ‘“crippling sanctions</w:t>
      </w:r>
      <w:r w:rsidR="000C3FB4">
        <w:rPr>
          <w:lang w:val="en-GB"/>
        </w:rPr>
        <w:t xml:space="preserve"> [… and …]</w:t>
      </w:r>
      <w:r w:rsidRPr="0048465B">
        <w:rPr>
          <w:lang w:val="en-GB"/>
        </w:rPr>
        <w:t xml:space="preserve"> a credible military threat”’ as a means of tempering Iran’s potential nuclear potential.</w:t>
      </w:r>
      <w:r w:rsidRPr="0048465B">
        <w:rPr>
          <w:vertAlign w:val="superscript"/>
          <w:lang w:val="en-GB"/>
        </w:rPr>
        <w:footnoteReference w:id="619"/>
      </w:r>
    </w:p>
    <w:p w14:paraId="2B45BE8B" w14:textId="77777777" w:rsidR="00FC331F" w:rsidRPr="0048465B" w:rsidRDefault="00FC331F" w:rsidP="00FC331F">
      <w:pPr>
        <w:rPr>
          <w:lang w:val="en-GB"/>
        </w:rPr>
      </w:pPr>
    </w:p>
    <w:p w14:paraId="2DABB623" w14:textId="77777777" w:rsidR="00FC331F" w:rsidRPr="0048465B" w:rsidRDefault="00FC331F" w:rsidP="00FC331F">
      <w:pPr>
        <w:rPr>
          <w:lang w:val="en-GB"/>
        </w:rPr>
      </w:pPr>
      <w:r w:rsidRPr="0048465B">
        <w:rPr>
          <w:lang w:val="en-GB"/>
        </w:rPr>
        <w:t xml:space="preserve">It is too early to discern what Biden’s legacy might be in the Middle East, yet this last point of contention between Israel and the U.S., that of the Iran Nuclear Deal, is one that has unique, if remote, potential to influence events in the region. In order to better understand the potential influence of Iran, we look back to the history of post-mandate era colonial conquest, and to the event that holds the most parallels with the Israeli-Palestinian conflict, that of South Africa and Namibia. </w:t>
      </w:r>
    </w:p>
    <w:p w14:paraId="2F7715D0" w14:textId="77777777" w:rsidR="00FC331F" w:rsidRPr="0048465B" w:rsidRDefault="00FC331F" w:rsidP="00FC331F">
      <w:pPr>
        <w:rPr>
          <w:lang w:val="en-GB"/>
        </w:rPr>
      </w:pPr>
    </w:p>
    <w:p w14:paraId="068C8FC7" w14:textId="70A956C0" w:rsidR="00FC331F" w:rsidRPr="0048465B" w:rsidRDefault="00FC331F" w:rsidP="00FC331F">
      <w:pPr>
        <w:rPr>
          <w:lang w:val="en-GB"/>
        </w:rPr>
      </w:pPr>
      <w:r w:rsidRPr="0048465B">
        <w:rPr>
          <w:lang w:val="en-GB"/>
        </w:rPr>
        <w:t xml:space="preserve">Whilst the creation of the Israeli </w:t>
      </w:r>
      <w:r w:rsidR="00F00ADD">
        <w:rPr>
          <w:lang w:val="en-GB"/>
        </w:rPr>
        <w:t>s</w:t>
      </w:r>
      <w:r w:rsidRPr="0048465B">
        <w:rPr>
          <w:lang w:val="en-GB"/>
        </w:rPr>
        <w:t xml:space="preserve">tate on Palestinian lands was seen as legitimate due to it not being a continuation of British colonialism </w:t>
      </w:r>
      <w:r w:rsidR="00AE2FAD">
        <w:rPr>
          <w:lang w:val="en-GB"/>
        </w:rPr>
        <w:t>–</w:t>
      </w:r>
      <w:r w:rsidRPr="0048465B">
        <w:rPr>
          <w:lang w:val="en-GB"/>
        </w:rPr>
        <w:t xml:space="preserve"> Britain transferred control of the land to Israel rather than retaining control itself </w:t>
      </w:r>
      <w:r w:rsidR="00AE2FAD">
        <w:rPr>
          <w:lang w:val="en-GB"/>
        </w:rPr>
        <w:t>–</w:t>
      </w:r>
      <w:r w:rsidRPr="0048465B">
        <w:rPr>
          <w:lang w:val="en-GB"/>
        </w:rPr>
        <w:t xml:space="preserve"> South Africa, upon being requested to surrender its mandate over South West Africa (modern Namibia), chose instead to annex the lands, imposing its rule of apartheid upon the lands from the 1940s onwards. In the years after 1967, Israel and South Africa occupied Palestinian and Namibian lands respectively, imposed systems of apartheid or quasi-apartheid upon their civilians,</w:t>
      </w:r>
      <w:r w:rsidRPr="0048465B">
        <w:rPr>
          <w:vertAlign w:val="superscript"/>
          <w:lang w:val="en-GB"/>
        </w:rPr>
        <w:footnoteReference w:id="620"/>
      </w:r>
      <w:r w:rsidRPr="0048465B">
        <w:rPr>
          <w:lang w:val="en-GB"/>
        </w:rPr>
        <w:t xml:space="preserve"> and denied these people national identity and sovereignty over </w:t>
      </w:r>
      <w:r w:rsidRPr="0048465B">
        <w:rPr>
          <w:lang w:val="en-GB"/>
        </w:rPr>
        <w:lastRenderedPageBreak/>
        <w:t>their lands. In the same way that Israel withdrew from Gaza in 2005 yet retained control of the land through monopolisation of water, electricity, and movement, South Africa attempted to assuage international pressure by ‘</w:t>
      </w:r>
      <w:proofErr w:type="spellStart"/>
      <w:r w:rsidRPr="0048465B">
        <w:rPr>
          <w:lang w:val="en-GB"/>
        </w:rPr>
        <w:t>propos</w:t>
      </w:r>
      <w:proofErr w:type="spellEnd"/>
      <w:r w:rsidRPr="0048465B">
        <w:rPr>
          <w:lang w:val="en-GB"/>
        </w:rPr>
        <w:t>[</w:t>
      </w:r>
      <w:proofErr w:type="spellStart"/>
      <w:r w:rsidRPr="0048465B">
        <w:rPr>
          <w:lang w:val="en-GB"/>
        </w:rPr>
        <w:t>ing</w:t>
      </w:r>
      <w:proofErr w:type="spellEnd"/>
      <w:r w:rsidRPr="0048465B">
        <w:rPr>
          <w:lang w:val="en-GB"/>
        </w:rPr>
        <w:t>] a limited political and economic autonomy in black homelands that would not lead to statehood’.</w:t>
      </w:r>
      <w:r w:rsidRPr="0048465B">
        <w:rPr>
          <w:vertAlign w:val="superscript"/>
          <w:lang w:val="en-GB"/>
        </w:rPr>
        <w:footnoteReference w:id="621"/>
      </w:r>
      <w:r w:rsidRPr="0048465B">
        <w:rPr>
          <w:lang w:val="en-GB"/>
        </w:rPr>
        <w:t xml:space="preserve"> The similarities between the South-African attempt to retain control of Namibia, and Israel’s enduring control over Palestine, in addition to helping define and contextualise Israel’s transgressions, also provides potential precedents for change.</w:t>
      </w:r>
    </w:p>
    <w:p w14:paraId="59747625" w14:textId="77777777" w:rsidR="00FC331F" w:rsidRPr="0048465B" w:rsidRDefault="00FC331F" w:rsidP="00FC331F">
      <w:pPr>
        <w:rPr>
          <w:lang w:val="en-GB"/>
        </w:rPr>
      </w:pPr>
    </w:p>
    <w:p w14:paraId="63E553C3" w14:textId="0C6DF137" w:rsidR="00FC331F" w:rsidRPr="0048465B" w:rsidRDefault="00FC331F" w:rsidP="00FC331F">
      <w:pPr>
        <w:rPr>
          <w:vertAlign w:val="superscript"/>
          <w:lang w:val="en-GB"/>
        </w:rPr>
      </w:pPr>
      <w:r w:rsidRPr="0048465B">
        <w:rPr>
          <w:lang w:val="en-GB"/>
        </w:rPr>
        <w:t>Prior to</w:t>
      </w:r>
      <w:r w:rsidR="00CA2059">
        <w:rPr>
          <w:lang w:val="en-GB"/>
        </w:rPr>
        <w:t xml:space="preserve"> addressing</w:t>
      </w:r>
      <w:r w:rsidRPr="0048465B">
        <w:rPr>
          <w:lang w:val="en-GB"/>
        </w:rPr>
        <w:t xml:space="preserve"> the </w:t>
      </w:r>
      <w:r w:rsidR="00CA2059">
        <w:rPr>
          <w:lang w:val="en-GB"/>
        </w:rPr>
        <w:t>relevance</w:t>
      </w:r>
      <w:r w:rsidRPr="0048465B">
        <w:rPr>
          <w:lang w:val="en-GB"/>
        </w:rPr>
        <w:t xml:space="preserve"> of contemporary Iran to this history, it is pertinent to give a brief overview of the other lessons we might learn from the situation in Namibia. Firstly, as observed by Erakat, we learn that not only were there numerous countries, liberation movements, and political bodies campaigning for Namibia and seeking action from the ICJ and the UN Security Council to help ‘pass a string of binding resolutions addressing the illegality of South Africa’s presence’, but this action all occurred within an ‘international context in the late eighties [that] was much more sympathetic to the cause of anticolonial liberation and to the struggle against apartheid than it is today’.</w:t>
      </w:r>
      <w:r w:rsidRPr="0048465B">
        <w:rPr>
          <w:vertAlign w:val="superscript"/>
          <w:lang w:val="en-GB"/>
        </w:rPr>
        <w:footnoteReference w:id="622"/>
      </w:r>
      <w:r w:rsidRPr="0048465B">
        <w:rPr>
          <w:lang w:val="en-GB"/>
        </w:rPr>
        <w:t xml:space="preserve"> This ensured that the plight of the Namibian people was always being voiced within the UN, despite there being no representative from Namibia itself. Moreover, Namibia’s refusal to engage with South Africa’s proposed peace process ensured that they were able to ‘directly challenge[] the geopolitical structure denying [their] self-determination’, thus putting </w:t>
      </w:r>
      <w:r w:rsidRPr="0048465B">
        <w:rPr>
          <w:lang w:val="en-GB"/>
        </w:rPr>
        <w:lastRenderedPageBreak/>
        <w:t>pressure on the occupier to change, rather than the occupied.</w:t>
      </w:r>
      <w:r w:rsidR="00792CB2" w:rsidRPr="0048465B">
        <w:rPr>
          <w:vertAlign w:val="superscript"/>
          <w:lang w:val="en-GB"/>
        </w:rPr>
        <w:footnoteReference w:id="623"/>
      </w:r>
      <w:r w:rsidRPr="0048465B">
        <w:rPr>
          <w:lang w:val="en-GB"/>
        </w:rPr>
        <w:t xml:space="preserve"> When transposed onto the contemporary political landscape, Palestinian submission to a historically unequal American-influenced peace process has relieved much of the pressure on Israel, and even if the majority of the international community were ardent and unashamed supporters of Palestinian sovereignty, there would remain a significant chance that the U.S. would use its power to block resolutions demanding Israeli change.</w:t>
      </w:r>
      <w:r w:rsidRPr="0048465B">
        <w:rPr>
          <w:vertAlign w:val="superscript"/>
          <w:lang w:val="en-GB"/>
        </w:rPr>
        <w:footnoteReference w:id="624"/>
      </w:r>
    </w:p>
    <w:p w14:paraId="6FCB5660" w14:textId="77777777" w:rsidR="00FC331F" w:rsidRPr="0048465B" w:rsidRDefault="00FC331F" w:rsidP="00FC331F">
      <w:pPr>
        <w:rPr>
          <w:vertAlign w:val="superscript"/>
          <w:lang w:val="en-GB"/>
        </w:rPr>
      </w:pPr>
    </w:p>
    <w:p w14:paraId="66BD8859" w14:textId="22910494" w:rsidR="00FC331F" w:rsidRPr="0048465B" w:rsidRDefault="00FC331F" w:rsidP="00FC331F">
      <w:pPr>
        <w:rPr>
          <w:lang w:val="en-GB"/>
        </w:rPr>
      </w:pPr>
      <w:r w:rsidRPr="0048465B">
        <w:rPr>
          <w:lang w:val="en-GB"/>
        </w:rPr>
        <w:t>Secondly, Namibia, unlike Palestine, ‘never relinquished its right to use of force or ceased its armed struggle until [it] achieved independence’. Erakat argues that the presence of this armed resistance ‘created the requisite negotiating leverage to compel U.S. and South African compromise’, whilst, in the case of Palestine, the ‘PLO relinquished its right to arms as a condition for entering the Oslo Accords’</w:t>
      </w:r>
      <w:r w:rsidR="003D5075">
        <w:rPr>
          <w:lang w:val="en-GB"/>
        </w:rPr>
        <w:t>, and Palestinian armed resistance has</w:t>
      </w:r>
      <w:r w:rsidR="00B03705">
        <w:rPr>
          <w:lang w:val="en-GB"/>
        </w:rPr>
        <w:t xml:space="preserve"> since</w:t>
      </w:r>
      <w:r w:rsidR="003D5075">
        <w:rPr>
          <w:lang w:val="en-GB"/>
        </w:rPr>
        <w:t xml:space="preserve"> been reframed as terroristic</w:t>
      </w:r>
      <w:r w:rsidRPr="0048465B">
        <w:rPr>
          <w:lang w:val="en-GB"/>
        </w:rPr>
        <w:t>. Moreover, whilst Namibian armed resistance was strengthened by the presence of sympathetic ‘Cuban troops stationed in Angola’</w:t>
      </w:r>
      <w:r w:rsidRPr="0048465B">
        <w:rPr>
          <w:vertAlign w:val="superscript"/>
          <w:lang w:val="en-GB"/>
        </w:rPr>
        <w:t xml:space="preserve"> </w:t>
      </w:r>
      <w:r w:rsidRPr="0048465B">
        <w:rPr>
          <w:lang w:val="en-GB"/>
        </w:rPr>
        <w:t>that amplified their military power and political leverage, recent normalisation deals have nullified the potential military leverage of Palestine’s traditional allies.</w:t>
      </w:r>
      <w:r w:rsidR="00EF0991" w:rsidRPr="0048465B">
        <w:rPr>
          <w:vertAlign w:val="superscript"/>
          <w:lang w:val="en-GB"/>
        </w:rPr>
        <w:footnoteReference w:id="625"/>
      </w:r>
      <w:r w:rsidRPr="0048465B">
        <w:rPr>
          <w:lang w:val="en-GB"/>
        </w:rPr>
        <w:t xml:space="preserve"> Yet whilst Palestinian armed resistance would be unlikely to be able to effect change through military means due to both the might of the potential </w:t>
      </w:r>
      <w:r w:rsidR="00B03705">
        <w:rPr>
          <w:lang w:val="en-GB"/>
        </w:rPr>
        <w:t xml:space="preserve">united </w:t>
      </w:r>
      <w:r w:rsidRPr="0048465B">
        <w:rPr>
          <w:lang w:val="en-GB"/>
        </w:rPr>
        <w:t xml:space="preserve">Israeli </w:t>
      </w:r>
      <w:r w:rsidR="00B03705">
        <w:rPr>
          <w:lang w:val="en-GB"/>
        </w:rPr>
        <w:t xml:space="preserve">and American </w:t>
      </w:r>
      <w:r w:rsidRPr="0048465B">
        <w:rPr>
          <w:lang w:val="en-GB"/>
        </w:rPr>
        <w:t>armies, and the fact that Israel controls the borders and therefore the import of weapons, Palestine’s renunciation of the right to arms nonetheless reframes its revolutionary struggle, identifying that which would otherwise be seen as legitimate armed resistance as terrorism.</w:t>
      </w:r>
    </w:p>
    <w:p w14:paraId="1024B8B1" w14:textId="77777777" w:rsidR="00FC331F" w:rsidRPr="0048465B" w:rsidRDefault="00FC331F" w:rsidP="00FC331F">
      <w:pPr>
        <w:rPr>
          <w:lang w:val="en-GB"/>
        </w:rPr>
      </w:pPr>
    </w:p>
    <w:p w14:paraId="6BCE2987" w14:textId="1355B76C" w:rsidR="00FC331F" w:rsidRPr="0048465B" w:rsidRDefault="00FC331F" w:rsidP="00FC331F">
      <w:pPr>
        <w:rPr>
          <w:lang w:val="en-GB"/>
        </w:rPr>
      </w:pPr>
      <w:r w:rsidRPr="0048465B">
        <w:rPr>
          <w:lang w:val="en-GB"/>
        </w:rPr>
        <w:lastRenderedPageBreak/>
        <w:t xml:space="preserve">Returning to the relevance of Iran, however, perhaps the most important lesson that can be learned from the case of Namibia is that it had become the ‘site of a proxy civil war with regional implications’. The aforementioned Cuban forces in Angola, there to ‘support its transition to independence and resist U.S. </w:t>
      </w:r>
      <w:r w:rsidR="00B03705">
        <w:rPr>
          <w:lang w:val="en-GB"/>
        </w:rPr>
        <w:t>–</w:t>
      </w:r>
      <w:r w:rsidRPr="0048465B">
        <w:rPr>
          <w:lang w:val="en-GB"/>
        </w:rPr>
        <w:t xml:space="preserve"> and South African </w:t>
      </w:r>
      <w:r w:rsidR="00B03705">
        <w:rPr>
          <w:lang w:val="en-GB"/>
        </w:rPr>
        <w:t>–</w:t>
      </w:r>
      <w:r w:rsidRPr="0048465B">
        <w:rPr>
          <w:lang w:val="en-GB"/>
        </w:rPr>
        <w:t xml:space="preserve"> backed takeovers by right-wing political adversaries’, meant that the U.S. government saw the status of the two neighbouring countries as potentially linked, and thus used Namibian independence to encourage Cuban withdrawal from Angola.</w:t>
      </w:r>
      <w:r w:rsidRPr="0048465B">
        <w:rPr>
          <w:vertAlign w:val="superscript"/>
          <w:lang w:val="en-GB"/>
        </w:rPr>
        <w:footnoteReference w:id="626"/>
      </w:r>
      <w:r w:rsidRPr="0048465B">
        <w:rPr>
          <w:lang w:val="en-GB"/>
        </w:rPr>
        <w:t xml:space="preserve"> If we look for potentially profitable situations in relation to both the U.S. and Israel, as well as for the Palestinians and the majority of Middle Eastern countries, then one potential area of thought is the denuclearisation of Iran. </w:t>
      </w:r>
    </w:p>
    <w:p w14:paraId="5F1C07F8" w14:textId="77777777" w:rsidR="00FC331F" w:rsidRPr="0048465B" w:rsidRDefault="00FC331F" w:rsidP="00FC331F">
      <w:pPr>
        <w:rPr>
          <w:lang w:val="en-GB"/>
        </w:rPr>
      </w:pPr>
    </w:p>
    <w:p w14:paraId="516A8C89" w14:textId="3FD953AA" w:rsidR="00FC331F" w:rsidRPr="0048465B" w:rsidRDefault="00FC331F" w:rsidP="00FD03EE">
      <w:pPr>
        <w:rPr>
          <w:lang w:val="en-GB"/>
        </w:rPr>
      </w:pPr>
      <w:r w:rsidRPr="0048465B">
        <w:rPr>
          <w:lang w:val="en-GB"/>
        </w:rPr>
        <w:t>As previously noted, Israel has expressed a reluctance to be involved with the nuclear deal that Trump chose to abandon. The intimidatory approach that Trump took of ‘</w:t>
      </w:r>
      <w:proofErr w:type="spellStart"/>
      <w:r w:rsidRPr="0048465B">
        <w:rPr>
          <w:lang w:val="en-GB"/>
        </w:rPr>
        <w:t>reinstat</w:t>
      </w:r>
      <w:proofErr w:type="spellEnd"/>
      <w:r w:rsidRPr="0048465B">
        <w:rPr>
          <w:lang w:val="en-GB"/>
        </w:rPr>
        <w:t>[</w:t>
      </w:r>
      <w:proofErr w:type="spellStart"/>
      <w:r w:rsidRPr="0048465B">
        <w:rPr>
          <w:lang w:val="en-GB"/>
        </w:rPr>
        <w:t>ing</w:t>
      </w:r>
      <w:proofErr w:type="spellEnd"/>
      <w:r w:rsidRPr="0048465B">
        <w:rPr>
          <w:lang w:val="en-GB"/>
        </w:rPr>
        <w:t xml:space="preserve">] US sanctions in an attempt to force Iran’s leaders to negotiate a replacement’ deal </w:t>
      </w:r>
      <w:r w:rsidR="00B81846">
        <w:rPr>
          <w:lang w:val="en-GB"/>
        </w:rPr>
        <w:t>–</w:t>
      </w:r>
      <w:r w:rsidRPr="0048465B">
        <w:rPr>
          <w:lang w:val="en-GB"/>
        </w:rPr>
        <w:t xml:space="preserve"> a</w:t>
      </w:r>
      <w:r w:rsidR="00B81846">
        <w:rPr>
          <w:lang w:val="en-GB"/>
        </w:rPr>
        <w:t xml:space="preserve"> </w:t>
      </w:r>
      <w:r w:rsidRPr="0048465B">
        <w:rPr>
          <w:lang w:val="en-GB"/>
        </w:rPr>
        <w:t>forceful yet still more diplomatic approach than that seemingly taken by Israel</w:t>
      </w:r>
      <w:r w:rsidRPr="0048465B">
        <w:rPr>
          <w:vertAlign w:val="superscript"/>
          <w:lang w:val="en-GB"/>
        </w:rPr>
        <w:footnoteReference w:id="627"/>
      </w:r>
      <w:r w:rsidR="00B81846">
        <w:rPr>
          <w:lang w:val="en-GB"/>
        </w:rPr>
        <w:t xml:space="preserve"> – h</w:t>
      </w:r>
      <w:r w:rsidRPr="0048465B">
        <w:rPr>
          <w:lang w:val="en-GB"/>
        </w:rPr>
        <w:t>as failed to moderate Iranian nuclear investment, with Iran reversing their position on ‘a number of key commitments’ in response, and building a ‘uranium stockpile</w:t>
      </w:r>
      <w:r w:rsidR="000C3FB4">
        <w:rPr>
          <w:lang w:val="en-GB"/>
        </w:rPr>
        <w:t xml:space="preserve"> […] </w:t>
      </w:r>
      <w:r w:rsidRPr="0048465B">
        <w:rPr>
          <w:lang w:val="en-GB"/>
        </w:rPr>
        <w:t>12 times what was permitted under a 2015 nuclear deal’.</w:t>
      </w:r>
      <w:r w:rsidRPr="0048465B">
        <w:rPr>
          <w:vertAlign w:val="superscript"/>
          <w:lang w:val="en-GB"/>
        </w:rPr>
        <w:footnoteReference w:id="628"/>
      </w:r>
      <w:r w:rsidRPr="0048465B">
        <w:rPr>
          <w:lang w:val="en-GB"/>
        </w:rPr>
        <w:t xml:space="preserve"> Trump’s parting moments saw the situation complicated even further through his </w:t>
      </w:r>
      <w:r w:rsidRPr="0048465B">
        <w:rPr>
          <w:lang w:val="en-GB"/>
        </w:rPr>
        <w:lastRenderedPageBreak/>
        <w:t>introduction of a ‘“flood” of sanctions’ in order to hinder a prospective Biden attempt to revive the previous Iran Nuclear Deal,</w:t>
      </w:r>
      <w:r w:rsidRPr="0048465B">
        <w:rPr>
          <w:vertAlign w:val="superscript"/>
          <w:lang w:val="en-GB"/>
        </w:rPr>
        <w:footnoteReference w:id="629"/>
      </w:r>
      <w:r w:rsidRPr="0048465B">
        <w:rPr>
          <w:lang w:val="en-GB"/>
        </w:rPr>
        <w:t xml:space="preserve"> and through publicly exploring the possibility of ‘attacking Iran’s main nuclear site’,</w:t>
      </w:r>
      <w:r w:rsidRPr="0048465B">
        <w:rPr>
          <w:vertAlign w:val="superscript"/>
          <w:lang w:val="en-GB"/>
        </w:rPr>
        <w:footnoteReference w:id="630"/>
      </w:r>
      <w:r w:rsidRPr="0048465B">
        <w:rPr>
          <w:lang w:val="en-GB"/>
        </w:rPr>
        <w:t xml:space="preserve"> a prospect that prompted Israeli military troops to ready themselves for a retaliatory response from Iran.</w:t>
      </w:r>
      <w:r w:rsidRPr="0048465B">
        <w:rPr>
          <w:vertAlign w:val="superscript"/>
          <w:lang w:val="en-GB"/>
        </w:rPr>
        <w:footnoteReference w:id="631"/>
      </w:r>
      <w:r w:rsidRPr="0048465B">
        <w:rPr>
          <w:vertAlign w:val="superscript"/>
          <w:lang w:val="en-GB"/>
        </w:rPr>
        <w:t xml:space="preserve"> </w:t>
      </w:r>
      <w:r w:rsidRPr="0048465B">
        <w:rPr>
          <w:lang w:val="en-GB"/>
        </w:rPr>
        <w:t>Whilst Israel’s encouragement of Trump’s actions was not actively defiant of Biden</w:t>
      </w:r>
      <w:r w:rsidR="00E9191E">
        <w:rPr>
          <w:lang w:val="en-GB"/>
        </w:rPr>
        <w:t xml:space="preserve"> as an individual</w:t>
      </w:r>
      <w:r w:rsidRPr="0048465B">
        <w:rPr>
          <w:lang w:val="en-GB"/>
        </w:rPr>
        <w:t>, analysts of the first deal</w:t>
      </w:r>
      <w:r w:rsidR="00E9191E">
        <w:rPr>
          <w:lang w:val="en-GB"/>
        </w:rPr>
        <w:t>, overseen by Biden himself,</w:t>
      </w:r>
      <w:r w:rsidRPr="0048465B">
        <w:rPr>
          <w:lang w:val="en-GB"/>
        </w:rPr>
        <w:t xml:space="preserve"> have suggested that Biden will not look kindly upon Netanyahu’s support of Trump in this area. With Biden seeking to re-engage with Iran diplomatically, Israel’s refusal to support such a deal, encouragement of its breakdown under Trump, imposition of crippling sanctions, and potential involvement in assassination may be enough to encourage Biden’s to attempt to link diplomacy in Iran with a rebuttal of Israeli interference.</w:t>
      </w:r>
    </w:p>
    <w:p w14:paraId="7F9E3CA2" w14:textId="77777777" w:rsidR="00FC331F" w:rsidRPr="0048465B" w:rsidRDefault="00FC331F" w:rsidP="00FC331F">
      <w:pPr>
        <w:rPr>
          <w:lang w:val="en-GB"/>
        </w:rPr>
      </w:pPr>
    </w:p>
    <w:p w14:paraId="7488FD06" w14:textId="29EEE9E2" w:rsidR="00FC331F" w:rsidRPr="0048465B" w:rsidRDefault="00FC331F" w:rsidP="00FC331F">
      <w:pPr>
        <w:rPr>
          <w:lang w:val="en-GB"/>
        </w:rPr>
      </w:pPr>
      <w:r w:rsidRPr="0048465B">
        <w:rPr>
          <w:lang w:val="en-GB"/>
        </w:rPr>
        <w:t xml:space="preserve">Whilst it is unlikely that such an approach will be taken, Biden’s deal with Iran could have positive ramifications for the Palestinian cause. </w:t>
      </w:r>
      <w:r w:rsidR="0039637F" w:rsidRPr="0048465B">
        <w:rPr>
          <w:lang w:val="en-GB"/>
        </w:rPr>
        <w:t>Just as the U.S. government at the time saw the fates of Angola and Namibia as intertwined, the necessity for the reduction of Iranian nuclear investment and the necessity for the resolution of Palestin</w:t>
      </w:r>
      <w:r w:rsidR="00E9191E">
        <w:rPr>
          <w:lang w:val="en-GB"/>
        </w:rPr>
        <w:t>e’s</w:t>
      </w:r>
      <w:r w:rsidR="0039637F" w:rsidRPr="0048465B">
        <w:rPr>
          <w:lang w:val="en-GB"/>
        </w:rPr>
        <w:t xml:space="preserve"> </w:t>
      </w:r>
      <w:r w:rsidR="00E9191E">
        <w:rPr>
          <w:lang w:val="en-GB"/>
        </w:rPr>
        <w:t>occupation and dispossession</w:t>
      </w:r>
      <w:r w:rsidR="0039637F" w:rsidRPr="0048465B">
        <w:rPr>
          <w:lang w:val="en-GB"/>
        </w:rPr>
        <w:t xml:space="preserve"> could</w:t>
      </w:r>
      <w:r w:rsidR="00AA1C23">
        <w:rPr>
          <w:lang w:val="en-GB"/>
        </w:rPr>
        <w:t>, in theory,</w:t>
      </w:r>
      <w:r w:rsidR="0039637F" w:rsidRPr="0048465B">
        <w:rPr>
          <w:lang w:val="en-GB"/>
        </w:rPr>
        <w:t xml:space="preserve"> be similarly linked. </w:t>
      </w:r>
      <w:r w:rsidRPr="0048465B">
        <w:rPr>
          <w:lang w:val="en-GB"/>
        </w:rPr>
        <w:t>Moreover, U.S. intervention could seek to tie support for Palestine to the termination of Iranian support for groups deemed terroristic by the U.S. and Israel, but which Iran itself sees as National Liberation Movements tied to the creation of a Palestinian state.</w:t>
      </w:r>
      <w:r w:rsidRPr="0048465B">
        <w:rPr>
          <w:vertAlign w:val="superscript"/>
          <w:lang w:val="en-GB"/>
        </w:rPr>
        <w:footnoteReference w:id="632"/>
      </w:r>
      <w:r w:rsidRPr="0048465B">
        <w:rPr>
          <w:vertAlign w:val="superscript"/>
          <w:lang w:val="en-GB"/>
        </w:rPr>
        <w:t xml:space="preserve"> </w:t>
      </w:r>
      <w:proofErr w:type="spellStart"/>
      <w:r w:rsidRPr="0048465B">
        <w:rPr>
          <w:lang w:val="en-GB"/>
        </w:rPr>
        <w:t>Mouin</w:t>
      </w:r>
      <w:proofErr w:type="spellEnd"/>
      <w:r w:rsidRPr="0048465B">
        <w:rPr>
          <w:lang w:val="en-GB"/>
        </w:rPr>
        <w:t xml:space="preserve"> </w:t>
      </w:r>
      <w:r w:rsidRPr="0048465B">
        <w:rPr>
          <w:lang w:val="en-GB"/>
        </w:rPr>
        <w:lastRenderedPageBreak/>
        <w:t>Rabbani, Policy Advisor to Al-</w:t>
      </w:r>
      <w:proofErr w:type="spellStart"/>
      <w:r w:rsidRPr="0048465B">
        <w:rPr>
          <w:lang w:val="en-GB"/>
        </w:rPr>
        <w:t>Shabaka</w:t>
      </w:r>
      <w:proofErr w:type="spellEnd"/>
      <w:r w:rsidRPr="0048465B">
        <w:rPr>
          <w:lang w:val="en-GB"/>
        </w:rPr>
        <w:t>: The Palestinian Policy Network, directly ties ‘Iran’s influence on the Israeli-Palestinian conflict</w:t>
      </w:r>
      <w:r w:rsidR="000C3FB4">
        <w:rPr>
          <w:lang w:val="en-GB"/>
        </w:rPr>
        <w:t xml:space="preserve"> [… to …]</w:t>
      </w:r>
      <w:r w:rsidRPr="0048465B">
        <w:rPr>
          <w:lang w:val="en-GB"/>
        </w:rPr>
        <w:t xml:space="preserve"> its support for Palestinian and Arab militant movements’, arguing that it is because of these ties that it is able to ‘play a significant role [in the conflict] and, for example, promote a political settlement’.</w:t>
      </w:r>
      <w:r w:rsidRPr="0048465B">
        <w:rPr>
          <w:vertAlign w:val="superscript"/>
          <w:lang w:val="en-GB"/>
        </w:rPr>
        <w:footnoteReference w:id="633"/>
      </w:r>
      <w:r w:rsidRPr="0048465B">
        <w:rPr>
          <w:lang w:val="en-GB"/>
        </w:rPr>
        <w:t xml:space="preserve"> Whilst not mentioning the Palestinian question specifically, </w:t>
      </w:r>
      <w:proofErr w:type="spellStart"/>
      <w:r w:rsidRPr="0048465B">
        <w:rPr>
          <w:lang w:val="en-GB"/>
        </w:rPr>
        <w:t>Trita</w:t>
      </w:r>
      <w:proofErr w:type="spellEnd"/>
      <w:r w:rsidRPr="0048465B">
        <w:rPr>
          <w:lang w:val="en-GB"/>
        </w:rPr>
        <w:t xml:space="preserve"> Parsi, co-founder of the Quincy Institute for Responsible Statecraft, suggests that if America seeks ‘direct diplomatic ties with Iran’ then it would be more likely to be able to ‘effectively influence Iranian policies it finds problematic’.</w:t>
      </w:r>
      <w:r w:rsidRPr="0048465B">
        <w:rPr>
          <w:vertAlign w:val="superscript"/>
          <w:lang w:val="en-GB"/>
        </w:rPr>
        <w:footnoteReference w:id="634"/>
      </w:r>
      <w:r w:rsidRPr="0048465B">
        <w:rPr>
          <w:lang w:val="en-GB"/>
        </w:rPr>
        <w:t xml:space="preserve"> Such influence would be of significant value if America were to link Iran’s return to a denuclearisation deal or the end of its support for controversial groups, to Palestinian sovereignty, or </w:t>
      </w:r>
      <w:r w:rsidR="00B81846">
        <w:rPr>
          <w:lang w:val="en-GB"/>
        </w:rPr>
        <w:t>–</w:t>
      </w:r>
      <w:r w:rsidRPr="0048465B">
        <w:rPr>
          <w:lang w:val="en-GB"/>
        </w:rPr>
        <w:t xml:space="preserve"> perhaps more imminently achievable </w:t>
      </w:r>
      <w:r w:rsidR="00B81846">
        <w:rPr>
          <w:lang w:val="en-GB"/>
        </w:rPr>
        <w:t>–</w:t>
      </w:r>
      <w:r w:rsidRPr="0048465B">
        <w:rPr>
          <w:lang w:val="en-GB"/>
        </w:rPr>
        <w:t xml:space="preserve"> to a reduction in military aid to Israel, which is</w:t>
      </w:r>
      <w:r w:rsidR="00B81846">
        <w:rPr>
          <w:lang w:val="en-GB"/>
        </w:rPr>
        <w:t xml:space="preserve"> already</w:t>
      </w:r>
      <w:r w:rsidRPr="0048465B">
        <w:rPr>
          <w:lang w:val="en-GB"/>
        </w:rPr>
        <w:t xml:space="preserve"> the most significant nuclear power in the Middle East by </w:t>
      </w:r>
      <w:r w:rsidR="00E9191E">
        <w:rPr>
          <w:lang w:val="en-GB"/>
        </w:rPr>
        <w:t xml:space="preserve">some </w:t>
      </w:r>
      <w:r w:rsidRPr="0048465B">
        <w:rPr>
          <w:lang w:val="en-GB"/>
        </w:rPr>
        <w:t>margin.</w:t>
      </w:r>
      <w:r w:rsidRPr="0048465B">
        <w:rPr>
          <w:vertAlign w:val="superscript"/>
          <w:lang w:val="en-GB"/>
        </w:rPr>
        <w:footnoteReference w:id="635"/>
      </w:r>
    </w:p>
    <w:p w14:paraId="465FB7DB" w14:textId="77777777" w:rsidR="00FC331F" w:rsidRPr="0048465B" w:rsidRDefault="00FC331F" w:rsidP="00FC331F">
      <w:pPr>
        <w:rPr>
          <w:lang w:val="en-GB"/>
        </w:rPr>
      </w:pPr>
    </w:p>
    <w:p w14:paraId="611D1CF4" w14:textId="2188B36B" w:rsidR="00FC331F" w:rsidRPr="0048465B" w:rsidRDefault="00FC331F" w:rsidP="00FC331F">
      <w:pPr>
        <w:rPr>
          <w:lang w:val="en-GB"/>
        </w:rPr>
      </w:pPr>
      <w:r w:rsidRPr="0048465B">
        <w:rPr>
          <w:lang w:val="en-GB"/>
        </w:rPr>
        <w:t>It is worth noting at this point that such a deal would</w:t>
      </w:r>
      <w:r w:rsidR="003C27CA">
        <w:rPr>
          <w:lang w:val="en-GB"/>
        </w:rPr>
        <w:t xml:space="preserve"> be preconditioned first and foremost upon genuine and sufficient Iranian interest in the Palestinian cause, and would further</w:t>
      </w:r>
      <w:r w:rsidRPr="0048465B">
        <w:rPr>
          <w:lang w:val="en-GB"/>
        </w:rPr>
        <w:t xml:space="preserve"> have to come from the Biden administration directly, as a similar deal proposed by Iran would likely be perceived as blackmail by American and Israeli parties. Moreover, there are numerous other issues regarding any kind of deal involving Israeli-Palestinian negotiations and Iran, namely America’s history of ‘deference to its Middle Eastern allies’,</w:t>
      </w:r>
      <w:r w:rsidRPr="0048465B">
        <w:rPr>
          <w:vertAlign w:val="superscript"/>
          <w:lang w:val="en-GB"/>
        </w:rPr>
        <w:footnoteReference w:id="636"/>
      </w:r>
      <w:r w:rsidRPr="0048465B">
        <w:rPr>
          <w:lang w:val="en-GB"/>
        </w:rPr>
        <w:t xml:space="preserve"> Israel’s custom of rejecting agreements with </w:t>
      </w:r>
      <w:r w:rsidRPr="0048465B">
        <w:rPr>
          <w:lang w:val="en-GB"/>
        </w:rPr>
        <w:lastRenderedPageBreak/>
        <w:t>Iran ‘as a matter of principle’,</w:t>
      </w:r>
      <w:r w:rsidRPr="0048465B">
        <w:rPr>
          <w:vertAlign w:val="superscript"/>
          <w:lang w:val="en-GB"/>
        </w:rPr>
        <w:footnoteReference w:id="637"/>
      </w:r>
      <w:r w:rsidRPr="0048465B">
        <w:rPr>
          <w:lang w:val="en-GB"/>
        </w:rPr>
        <w:t xml:space="preserve"> and the similarly prevalent history of Iranian leaders and officials calling for Israel’s destruction.</w:t>
      </w:r>
      <w:r w:rsidRPr="0048465B">
        <w:rPr>
          <w:vertAlign w:val="superscript"/>
          <w:lang w:val="en-GB"/>
        </w:rPr>
        <w:footnoteReference w:id="638"/>
      </w:r>
      <w:r w:rsidRPr="0048465B">
        <w:rPr>
          <w:lang w:val="en-GB"/>
        </w:rPr>
        <w:t xml:space="preserve"> The latter rhetoric has no place in any form of discourse, regardless of the context, and the potential cessation of such calls is just one of the potential incentives that the U.S. might find in seeking to unite Palestinian and Iranian affairs.</w:t>
      </w:r>
    </w:p>
    <w:p w14:paraId="34ECB906" w14:textId="77777777" w:rsidR="00FC331F" w:rsidRPr="0048465B" w:rsidRDefault="00FC331F" w:rsidP="00FC331F">
      <w:pPr>
        <w:rPr>
          <w:lang w:val="en-GB"/>
        </w:rPr>
      </w:pPr>
    </w:p>
    <w:p w14:paraId="7882E2BC" w14:textId="4D8F57C5" w:rsidR="00FC331F" w:rsidRPr="0048465B" w:rsidRDefault="00FC331F" w:rsidP="00FC331F">
      <w:pPr>
        <w:rPr>
          <w:lang w:val="en-GB"/>
        </w:rPr>
      </w:pPr>
      <w:r w:rsidRPr="0048465B">
        <w:rPr>
          <w:lang w:val="en-GB"/>
        </w:rPr>
        <w:t>In 2008, the German chancellor Angela Merkel travelled to Israel and asked the Knesset, ‘“how do we react when surveys show that a clear majority of European respondents say that Israel is a bigger threat to the world than Iran?”’. Whilst her answer, dishearteningly, was to refuse to ‘“bow to public opinion”’,</w:t>
      </w:r>
      <w:r w:rsidRPr="0048465B">
        <w:rPr>
          <w:vertAlign w:val="superscript"/>
          <w:lang w:val="en-GB"/>
        </w:rPr>
        <w:footnoteReference w:id="639"/>
      </w:r>
      <w:r w:rsidRPr="0048465B">
        <w:rPr>
          <w:lang w:val="en-GB"/>
        </w:rPr>
        <w:t xml:space="preserve"> the fact that such perspectives are known amongst the world’s major powers at the very least indicates that with the right leader, at the right time, change is possible. As Rami G. </w:t>
      </w:r>
      <w:proofErr w:type="spellStart"/>
      <w:r w:rsidRPr="0048465B">
        <w:rPr>
          <w:lang w:val="en-GB"/>
        </w:rPr>
        <w:t>Kouri</w:t>
      </w:r>
      <w:proofErr w:type="spellEnd"/>
      <w:r w:rsidRPr="0048465B">
        <w:rPr>
          <w:lang w:val="en-GB"/>
        </w:rPr>
        <w:t xml:space="preserve"> </w:t>
      </w:r>
      <w:r w:rsidR="00B81846">
        <w:rPr>
          <w:lang w:val="en-GB"/>
        </w:rPr>
        <w:t>–</w:t>
      </w:r>
      <w:r w:rsidRPr="0048465B">
        <w:rPr>
          <w:lang w:val="en-GB"/>
        </w:rPr>
        <w:t xml:space="preserve"> Public Policy Fellow at the American University of Beirut </w:t>
      </w:r>
      <w:r w:rsidR="00B81846">
        <w:rPr>
          <w:lang w:val="en-GB"/>
        </w:rPr>
        <w:t>–</w:t>
      </w:r>
      <w:r w:rsidRPr="0048465B">
        <w:rPr>
          <w:lang w:val="en-GB"/>
        </w:rPr>
        <w:t xml:space="preserve"> argued in relation to the original Iran deal, ‘the manner in which antagonists who were on the verge of war shifted to a diplomatic negotiation and resolved their tensions peacefully’ represents a compelling example not only ‘for Israel-Palestine’, but for America itself, as it demonstrates the extent to which America can, a</w:t>
      </w:r>
      <w:r w:rsidR="003C28AB">
        <w:rPr>
          <w:lang w:val="en-GB"/>
        </w:rPr>
        <w:t>t</w:t>
      </w:r>
      <w:r w:rsidRPr="0048465B">
        <w:rPr>
          <w:lang w:val="en-GB"/>
        </w:rPr>
        <w:t xml:space="preserve"> its best, be a productive intermediary.</w:t>
      </w:r>
      <w:r w:rsidRPr="0048465B">
        <w:rPr>
          <w:vertAlign w:val="superscript"/>
          <w:lang w:val="en-GB"/>
        </w:rPr>
        <w:footnoteReference w:id="640"/>
      </w:r>
      <w:r w:rsidRPr="0048465B">
        <w:rPr>
          <w:vertAlign w:val="superscript"/>
          <w:lang w:val="en-GB"/>
        </w:rPr>
        <w:t xml:space="preserve"> </w:t>
      </w:r>
      <w:r w:rsidRPr="0048465B">
        <w:rPr>
          <w:lang w:val="en-GB"/>
        </w:rPr>
        <w:t xml:space="preserve">There are many barriers for Biden to overcome if he is to effect lasting positive change in the Middle East, yet the denuclearisation of Iran represents a compelling point of influence similar to Angola’s involvement in the Namibian search for independence. In Namibia, audacious politics led to extraordinary results and lasting peace. Were the U.S. to capitalise on the potential connections between interests in Iran and </w:t>
      </w:r>
      <w:r w:rsidRPr="0048465B">
        <w:rPr>
          <w:lang w:val="en-GB"/>
        </w:rPr>
        <w:lastRenderedPageBreak/>
        <w:t>Palestine, similar results could be achieved, with benefits for American interests in the Middle East, for the safety of Israel, and for the Palestinian pursuit of sovereignty.</w:t>
      </w:r>
    </w:p>
    <w:p w14:paraId="5041320B" w14:textId="25AE0AC0" w:rsidR="00FC331F" w:rsidRDefault="00FC331F" w:rsidP="00FC331F">
      <w:pPr>
        <w:rPr>
          <w:lang w:val="en-GB"/>
        </w:rPr>
      </w:pPr>
    </w:p>
    <w:p w14:paraId="4A73A308" w14:textId="77777777" w:rsidR="00C0567A" w:rsidRPr="00C0567A" w:rsidRDefault="00C0567A" w:rsidP="00856E35">
      <w:pPr>
        <w:jc w:val="center"/>
        <w:rPr>
          <w:lang w:val="en-GB"/>
        </w:rPr>
      </w:pPr>
      <w:r w:rsidRPr="00C0567A">
        <w:rPr>
          <w:b/>
          <w:bCs/>
          <w:lang w:val="en-GB"/>
        </w:rPr>
        <w:t>A Note on Hamas</w:t>
      </w:r>
    </w:p>
    <w:p w14:paraId="51424E29" w14:textId="77777777" w:rsidR="00C0567A" w:rsidRPr="00C0567A" w:rsidRDefault="00C0567A" w:rsidP="00C0567A">
      <w:pPr>
        <w:rPr>
          <w:lang w:val="en-GB"/>
        </w:rPr>
      </w:pPr>
    </w:p>
    <w:p w14:paraId="77BD5614" w14:textId="38A8256D" w:rsidR="00C0567A" w:rsidRPr="00C0567A" w:rsidRDefault="00C0567A" w:rsidP="00C0567A">
      <w:pPr>
        <w:rPr>
          <w:lang w:val="en-GB"/>
        </w:rPr>
      </w:pPr>
      <w:r w:rsidRPr="00C0567A">
        <w:rPr>
          <w:lang w:val="en-GB"/>
        </w:rPr>
        <w:t xml:space="preserve">Just as foreign actors such as the U.S. and Iran are able to influence the reality on the ground in Israel-Palestine, another group commonly thought of as having significant political leverage in the Israeli-Palestinian conflict is the Palestinian </w:t>
      </w:r>
      <w:r>
        <w:rPr>
          <w:lang w:val="en-GB"/>
        </w:rPr>
        <w:t>group</w:t>
      </w:r>
      <w:r w:rsidRPr="00C0567A">
        <w:rPr>
          <w:lang w:val="en-GB"/>
        </w:rPr>
        <w:t xml:space="preserve"> Hamas. </w:t>
      </w:r>
    </w:p>
    <w:p w14:paraId="359C3FA4" w14:textId="77777777" w:rsidR="00C0567A" w:rsidRPr="00C0567A" w:rsidRDefault="00C0567A" w:rsidP="00C0567A">
      <w:pPr>
        <w:rPr>
          <w:lang w:val="en-GB"/>
        </w:rPr>
      </w:pPr>
    </w:p>
    <w:p w14:paraId="46425284" w14:textId="3BD6AD22" w:rsidR="00C0567A" w:rsidRPr="00C0567A" w:rsidRDefault="00C0567A" w:rsidP="00C0567A">
      <w:pPr>
        <w:rPr>
          <w:lang w:val="en-GB"/>
        </w:rPr>
      </w:pPr>
      <w:r w:rsidRPr="00C0567A">
        <w:rPr>
          <w:lang w:val="en-GB"/>
        </w:rPr>
        <w:t>Hamas was founded in 1987 after it split from the Muslim Brotherhood, an organisation that opposed violence against Israel, in order to be able to partake in the first Palestinian Intifada. At this time, Hamas was solely a militant group, one that, in its founding charter written in 1988, deemed necessary the destruction of Israel in order to found a Palestinian state, and one that saw the battle for Palestine as one between Muslims and Jews, rather than one between</w:t>
      </w:r>
      <w:r>
        <w:rPr>
          <w:lang w:val="en-GB"/>
        </w:rPr>
        <w:t xml:space="preserve"> the de jure State of Palestine and the de facto </w:t>
      </w:r>
      <w:r w:rsidR="00856E35">
        <w:rPr>
          <w:lang w:val="en-GB"/>
        </w:rPr>
        <w:t xml:space="preserve">State of </w:t>
      </w:r>
      <w:r>
        <w:rPr>
          <w:lang w:val="en-GB"/>
        </w:rPr>
        <w:t>Israel</w:t>
      </w:r>
      <w:r w:rsidRPr="00C0567A">
        <w:rPr>
          <w:lang w:val="en-GB"/>
        </w:rPr>
        <w:t>.</w:t>
      </w:r>
      <w:r w:rsidR="00856E35">
        <w:rPr>
          <w:rStyle w:val="FootnoteReference"/>
          <w:lang w:val="en-GB"/>
        </w:rPr>
        <w:footnoteReference w:id="641"/>
      </w:r>
      <w:r w:rsidRPr="00C0567A">
        <w:rPr>
          <w:lang w:val="en-GB"/>
        </w:rPr>
        <w:t xml:space="preserve"> In 2006, Hamas entered into the world of legitimate politics and won a clear, and</w:t>
      </w:r>
      <w:r w:rsidR="00924736">
        <w:rPr>
          <w:lang w:val="en-GB"/>
        </w:rPr>
        <w:t xml:space="preserve"> </w:t>
      </w:r>
      <w:r w:rsidRPr="00C0567A">
        <w:rPr>
          <w:lang w:val="en-GB"/>
        </w:rPr>
        <w:t>democratic, majority in the Palestinian Legislative Election.</w:t>
      </w:r>
      <w:r w:rsidR="00063791">
        <w:rPr>
          <w:rStyle w:val="FootnoteReference"/>
          <w:lang w:val="en-GB"/>
        </w:rPr>
        <w:footnoteReference w:id="642"/>
      </w:r>
      <w:r w:rsidRPr="00C0567A">
        <w:rPr>
          <w:lang w:val="en-GB"/>
        </w:rPr>
        <w:t xml:space="preserve"> When Hamas and Fatah were unable to agree upon a share of government power, a clash broke out between the two parties, resulting in Hamas taking over Gaza but losing seats in the West Bank. Hamas has governed Gaza ever since, and has endured an economic blockade from both Israel and Egypt throughout that time. Hamas is in control of all public services in Gaza, a fact that has </w:t>
      </w:r>
      <w:r w:rsidRPr="00C0567A">
        <w:rPr>
          <w:lang w:val="en-GB"/>
        </w:rPr>
        <w:lastRenderedPageBreak/>
        <w:t xml:space="preserve">contributed to the division of global opinions on the status of Hamas. Whilst nations such as Norway, Egypt and Brazil do not consider Hamas to be a terrorist organisation at all, other nations such as the United Kingdom identify only the military wing of Hamas as a terrorist organisation, whilst Israel and the United States perceive Hamas in its entirety to be terroristic. In the case of Israel, this view has led to the bombing of public services within Gaza, including the destruction of government offices and police stations during Operation Cast Lead, as well as the killing of police cadets at their graduation ceremony, due to the belief that these people were, by virtue of being public service employees in a Hamas led region, </w:t>
      </w:r>
      <w:r w:rsidR="00924736">
        <w:rPr>
          <w:lang w:val="en-GB"/>
        </w:rPr>
        <w:t>associated with terrorism</w:t>
      </w:r>
      <w:r w:rsidRPr="00C0567A">
        <w:rPr>
          <w:lang w:val="en-GB"/>
        </w:rPr>
        <w:t>.</w:t>
      </w:r>
      <w:r w:rsidR="00842CBF">
        <w:rPr>
          <w:rStyle w:val="FootnoteReference"/>
          <w:lang w:val="en-GB"/>
        </w:rPr>
        <w:footnoteReference w:id="643"/>
      </w:r>
    </w:p>
    <w:p w14:paraId="796466EB" w14:textId="77777777" w:rsidR="00C0567A" w:rsidRPr="00C0567A" w:rsidRDefault="00C0567A" w:rsidP="00C0567A">
      <w:pPr>
        <w:rPr>
          <w:lang w:val="en-GB"/>
        </w:rPr>
      </w:pPr>
    </w:p>
    <w:p w14:paraId="2F4D7142" w14:textId="64A1186C" w:rsidR="00C0567A" w:rsidRDefault="00C0567A" w:rsidP="00C0567A">
      <w:pPr>
        <w:rPr>
          <w:lang w:val="en-GB"/>
        </w:rPr>
      </w:pPr>
      <w:r w:rsidRPr="00C0567A">
        <w:rPr>
          <w:lang w:val="en-GB"/>
        </w:rPr>
        <w:t>Whilst Hamas ha</w:t>
      </w:r>
      <w:r w:rsidR="00924736">
        <w:rPr>
          <w:lang w:val="en-GB"/>
        </w:rPr>
        <w:t>ve</w:t>
      </w:r>
      <w:r w:rsidRPr="00C0567A">
        <w:rPr>
          <w:lang w:val="en-GB"/>
        </w:rPr>
        <w:t xml:space="preserve"> proclaimed the irrelevance of their original charter and presented a new one that both accepts the idea of a Palestinian state within the 1967 borders and draws clear</w:t>
      </w:r>
      <w:r w:rsidR="00842CBF">
        <w:rPr>
          <w:lang w:val="en-GB"/>
        </w:rPr>
        <w:t xml:space="preserve"> distinction</w:t>
      </w:r>
      <w:r w:rsidRPr="00C0567A">
        <w:rPr>
          <w:lang w:val="en-GB"/>
        </w:rPr>
        <w:t xml:space="preserve"> </w:t>
      </w:r>
      <w:r w:rsidR="00842CBF">
        <w:rPr>
          <w:lang w:val="en-GB"/>
        </w:rPr>
        <w:t>between Israel as an occupying power and Israel’s Jewish inhabitants</w:t>
      </w:r>
      <w:r w:rsidRPr="00C0567A">
        <w:rPr>
          <w:lang w:val="en-GB"/>
        </w:rPr>
        <w:t xml:space="preserve">, the original call for the destruction of Israel and the antisemitic rhetoric of the 1988 </w:t>
      </w:r>
      <w:r w:rsidR="00842CBF">
        <w:rPr>
          <w:lang w:val="en-GB"/>
        </w:rPr>
        <w:t>covenant</w:t>
      </w:r>
      <w:r w:rsidRPr="00C0567A">
        <w:rPr>
          <w:lang w:val="en-GB"/>
        </w:rPr>
        <w:t xml:space="preserve"> is hard to forget. These origins, in addition to contemporary rocket and fire balloon attacks launched from Gaza towards Israel mean that it is unlikely that Hamas will ever have any role in diplomatic </w:t>
      </w:r>
      <w:r w:rsidR="00924736" w:rsidRPr="00C0567A">
        <w:rPr>
          <w:lang w:val="en-GB"/>
        </w:rPr>
        <w:t>peace-making</w:t>
      </w:r>
      <w:r w:rsidRPr="00C0567A">
        <w:rPr>
          <w:lang w:val="en-GB"/>
        </w:rPr>
        <w:t xml:space="preserve">. Moreover, despite Hamas’ stated aim of fighting for the liberation of the Palestinian people, Hamas </w:t>
      </w:r>
      <w:r w:rsidR="00F80488">
        <w:rPr>
          <w:lang w:val="en-GB"/>
        </w:rPr>
        <w:t xml:space="preserve">consistently </w:t>
      </w:r>
      <w:r w:rsidRPr="00C0567A">
        <w:rPr>
          <w:lang w:val="en-GB"/>
        </w:rPr>
        <w:t>treats its own Palestinian citizens with cruelty. Civilians in Gaza are tried in military courts which use the death penalty, Gazan authorities abuse their power to stifle free speech that opposes Hamas rule, Gazan security forces have been found to use torture as well as ‘excessive force during law enforcement activi</w:t>
      </w:r>
      <w:r w:rsidR="00261487">
        <w:rPr>
          <w:lang w:val="en-GB"/>
        </w:rPr>
        <w:t>ti</w:t>
      </w:r>
      <w:r w:rsidRPr="00C0567A">
        <w:rPr>
          <w:lang w:val="en-GB"/>
        </w:rPr>
        <w:t>es’, and Hamas have also been behind a number of gender-based attacks on women, including ‘so-called honour killings’.</w:t>
      </w:r>
      <w:r w:rsidR="00BD503F">
        <w:rPr>
          <w:rStyle w:val="FootnoteReference"/>
          <w:lang w:val="en-GB"/>
        </w:rPr>
        <w:footnoteReference w:id="644"/>
      </w:r>
    </w:p>
    <w:p w14:paraId="1B4757C4" w14:textId="77777777" w:rsidR="00BD503F" w:rsidRPr="00C0567A" w:rsidRDefault="00BD503F" w:rsidP="00C0567A">
      <w:pPr>
        <w:rPr>
          <w:lang w:val="en-GB"/>
        </w:rPr>
      </w:pPr>
    </w:p>
    <w:p w14:paraId="6ECC2738" w14:textId="66E06CA5" w:rsidR="00C0567A" w:rsidRPr="00C0567A" w:rsidRDefault="00F80488" w:rsidP="00160BF6">
      <w:pPr>
        <w:rPr>
          <w:lang w:val="en-GB"/>
        </w:rPr>
      </w:pPr>
      <w:r>
        <w:rPr>
          <w:lang w:val="en-GB"/>
        </w:rPr>
        <w:t>It</w:t>
      </w:r>
      <w:r w:rsidR="00C0567A" w:rsidRPr="00C0567A">
        <w:rPr>
          <w:lang w:val="en-GB"/>
        </w:rPr>
        <w:t xml:space="preserve"> is of imperative importance that we condemn Hamas’ violence against the citizens of both Gaza and Israel</w:t>
      </w:r>
      <w:r>
        <w:rPr>
          <w:lang w:val="en-GB"/>
        </w:rPr>
        <w:t>. However,</w:t>
      </w:r>
      <w:r w:rsidR="00C0567A" w:rsidRPr="00C0567A">
        <w:rPr>
          <w:lang w:val="en-GB"/>
        </w:rPr>
        <w:t xml:space="preserve"> it is of equal importance that we understand that this violence is a product of Israel</w:t>
      </w:r>
      <w:r>
        <w:rPr>
          <w:lang w:val="en-GB"/>
        </w:rPr>
        <w:t>’s</w:t>
      </w:r>
      <w:r w:rsidR="00C0567A" w:rsidRPr="00C0567A">
        <w:rPr>
          <w:lang w:val="en-GB"/>
        </w:rPr>
        <w:t xml:space="preserve"> occupation</w:t>
      </w:r>
      <w:r>
        <w:rPr>
          <w:lang w:val="en-GB"/>
        </w:rPr>
        <w:t xml:space="preserve"> of Palestinian land</w:t>
      </w:r>
      <w:r w:rsidR="00C0567A" w:rsidRPr="00C0567A">
        <w:rPr>
          <w:lang w:val="en-GB"/>
        </w:rPr>
        <w:t>, not, as many suggest, a justification for it. By the time that Hamas was established in 1987, Israel had already been an occupying power in Palestinian territories for twenty years. Moreover, arguments that Israel’s violence within the Gaza Strip is in retaliation to Hamas violence overlooks the extraordinary imbalance in power and violent potential between the two parties. Israel</w:t>
      </w:r>
      <w:r w:rsidR="00160BF6">
        <w:rPr>
          <w:lang w:val="en-GB"/>
        </w:rPr>
        <w:t xml:space="preserve">’s leaders recently agreed upon </w:t>
      </w:r>
      <w:r w:rsidR="00C0567A" w:rsidRPr="00C0567A">
        <w:rPr>
          <w:lang w:val="en-GB"/>
        </w:rPr>
        <w:t xml:space="preserve">a military budget of </w:t>
      </w:r>
      <w:r w:rsidR="00160BF6">
        <w:rPr>
          <w:lang w:val="en-GB"/>
        </w:rPr>
        <w:t>17.8</w:t>
      </w:r>
      <w:r w:rsidR="00C0567A" w:rsidRPr="00C0567A">
        <w:rPr>
          <w:lang w:val="en-GB"/>
        </w:rPr>
        <w:t xml:space="preserve"> billion dollars</w:t>
      </w:r>
      <w:r w:rsidR="00160BF6">
        <w:rPr>
          <w:lang w:val="en-GB"/>
        </w:rPr>
        <w:t xml:space="preserve"> for 2022</w:t>
      </w:r>
      <w:r w:rsidR="00C0567A" w:rsidRPr="00C0567A">
        <w:rPr>
          <w:lang w:val="en-GB"/>
        </w:rPr>
        <w:t xml:space="preserve">, </w:t>
      </w:r>
      <w:r w:rsidR="00160BF6">
        <w:rPr>
          <w:lang w:val="en-GB"/>
        </w:rPr>
        <w:t>whilst the IDF have</w:t>
      </w:r>
      <w:r w:rsidR="00C0567A" w:rsidRPr="00C0567A">
        <w:rPr>
          <w:lang w:val="en-GB"/>
        </w:rPr>
        <w:t xml:space="preserve"> the means and capacity to deliver one hundred airstrikes simultaneously and with extreme accuracy, as they did during Operation Cast Lead in 2008. Hamas militants in Gaza, by contrast, attack Israel with rockets known as ‘</w:t>
      </w:r>
      <w:proofErr w:type="spellStart"/>
      <w:r w:rsidR="00C0567A" w:rsidRPr="00C0567A">
        <w:rPr>
          <w:lang w:val="en-GB"/>
        </w:rPr>
        <w:t>Qassams</w:t>
      </w:r>
      <w:proofErr w:type="spellEnd"/>
      <w:r w:rsidR="00C0567A" w:rsidRPr="00C0567A">
        <w:rPr>
          <w:lang w:val="en-GB"/>
        </w:rPr>
        <w:t xml:space="preserve">’ which have no guidance system and a severely limited range, </w:t>
      </w:r>
      <w:r>
        <w:rPr>
          <w:lang w:val="en-GB"/>
        </w:rPr>
        <w:t>and use</w:t>
      </w:r>
      <w:r w:rsidR="00C0567A" w:rsidRPr="00C0567A">
        <w:rPr>
          <w:lang w:val="en-GB"/>
        </w:rPr>
        <w:t xml:space="preserve"> the wind to float explosives into Israel by attaching them to helium filled balloons. According to UN statistics, Palestinian armed groups including Hamas have killed 113 Israelis in Gaza and Israel combined since 2008, or between eight and nine </w:t>
      </w:r>
      <w:r>
        <w:rPr>
          <w:lang w:val="en-GB"/>
        </w:rPr>
        <w:t>Israelis</w:t>
      </w:r>
      <w:r w:rsidR="00C0567A" w:rsidRPr="00C0567A">
        <w:rPr>
          <w:lang w:val="en-GB"/>
        </w:rPr>
        <w:t xml:space="preserve"> per year. During the same period, the Israeli forces have killed 5,245 Palestinians within Gaza alone, more than one person per day. When looking at injuries over the same thirteen year period and in the same places, Palestinian armed groups have injured 3,531 Israelis, whilst the Israeli forces have injured 62,334 Palestinians in the Gaza strip.</w:t>
      </w:r>
      <w:r w:rsidR="00160BF6">
        <w:rPr>
          <w:rStyle w:val="FootnoteReference"/>
          <w:lang w:val="en-GB"/>
        </w:rPr>
        <w:footnoteReference w:id="645"/>
      </w:r>
    </w:p>
    <w:p w14:paraId="29098C67" w14:textId="77777777" w:rsidR="00C0567A" w:rsidRPr="00C0567A" w:rsidRDefault="00C0567A" w:rsidP="00C0567A">
      <w:pPr>
        <w:rPr>
          <w:lang w:val="en-GB"/>
        </w:rPr>
      </w:pPr>
    </w:p>
    <w:p w14:paraId="20DF3168" w14:textId="56E9E381" w:rsidR="00C0567A" w:rsidRDefault="00C0567A" w:rsidP="00FC331F">
      <w:pPr>
        <w:rPr>
          <w:lang w:val="en-GB"/>
        </w:rPr>
      </w:pPr>
      <w:r w:rsidRPr="00C0567A">
        <w:rPr>
          <w:lang w:val="en-GB"/>
        </w:rPr>
        <w:t xml:space="preserve">None of these deaths or injuries are justifiable, and the comparative rarity of Israeli casualties makes them no less painful for the victims or those close to them. However, both the statistics above and the simple chronology of Israel’s occupation demonstrate that Hamas and their actions, </w:t>
      </w:r>
      <w:r w:rsidRPr="00C0567A">
        <w:rPr>
          <w:lang w:val="en-GB"/>
        </w:rPr>
        <w:lastRenderedPageBreak/>
        <w:t>no matter how odious, are not the root of the problem. Israel</w:t>
      </w:r>
      <w:r w:rsidR="001E70ED">
        <w:rPr>
          <w:lang w:val="en-GB"/>
        </w:rPr>
        <w:t>’s</w:t>
      </w:r>
      <w:r w:rsidRPr="00C0567A">
        <w:rPr>
          <w:lang w:val="en-GB"/>
        </w:rPr>
        <w:t xml:space="preserve"> occupation of Palestinian lands existed long before Hamas did, and were Hamas</w:t>
      </w:r>
      <w:r w:rsidR="001E70ED">
        <w:rPr>
          <w:lang w:val="en-GB"/>
        </w:rPr>
        <w:t xml:space="preserve"> either dissolved entirely or </w:t>
      </w:r>
      <w:r w:rsidRPr="00C0567A">
        <w:rPr>
          <w:lang w:val="en-GB"/>
        </w:rPr>
        <w:t xml:space="preserve">devoid of political power </w:t>
      </w:r>
      <w:r w:rsidR="001E70ED">
        <w:rPr>
          <w:lang w:val="en-GB"/>
        </w:rPr>
        <w:t>–</w:t>
      </w:r>
      <w:r w:rsidRPr="00C0567A">
        <w:rPr>
          <w:lang w:val="en-GB"/>
        </w:rPr>
        <w:t xml:space="preserve"> as they were for decades of Israeli occupation prior to 2006 </w:t>
      </w:r>
      <w:r w:rsidR="001E70ED">
        <w:rPr>
          <w:lang w:val="en-GB"/>
        </w:rPr>
        <w:t>–</w:t>
      </w:r>
      <w:r w:rsidRPr="00C0567A">
        <w:rPr>
          <w:lang w:val="en-GB"/>
        </w:rPr>
        <w:t xml:space="preserve"> then the occupation would likely continue just as it currently does.</w:t>
      </w:r>
    </w:p>
    <w:p w14:paraId="4FCB2F0C" w14:textId="77777777" w:rsidR="00C0567A" w:rsidRPr="0048465B" w:rsidRDefault="00C0567A" w:rsidP="00FC331F">
      <w:pPr>
        <w:rPr>
          <w:lang w:val="en-GB"/>
        </w:rPr>
      </w:pPr>
    </w:p>
    <w:p w14:paraId="7029B1A0" w14:textId="77777777" w:rsidR="00FC331F" w:rsidRPr="0048465B" w:rsidRDefault="00FC331F" w:rsidP="00FC331F">
      <w:pPr>
        <w:jc w:val="center"/>
        <w:rPr>
          <w:b/>
          <w:lang w:val="en-GB"/>
        </w:rPr>
      </w:pPr>
      <w:r w:rsidRPr="0048465B">
        <w:rPr>
          <w:b/>
          <w:lang w:val="en-GB"/>
        </w:rPr>
        <w:t>Boycott, Divestment, Sanctions, and the Accusation of Antisemitism</w:t>
      </w:r>
    </w:p>
    <w:p w14:paraId="0A903AF8" w14:textId="77777777" w:rsidR="00FC331F" w:rsidRPr="0048465B" w:rsidRDefault="00FC331F" w:rsidP="00FC331F">
      <w:pPr>
        <w:rPr>
          <w:lang w:val="en-GB"/>
        </w:rPr>
      </w:pPr>
    </w:p>
    <w:p w14:paraId="5A32E8AD" w14:textId="7522F041" w:rsidR="00FC331F" w:rsidRPr="0048465B" w:rsidRDefault="00FC331F" w:rsidP="00FC331F">
      <w:pPr>
        <w:rPr>
          <w:lang w:val="en-GB"/>
        </w:rPr>
      </w:pPr>
      <w:r w:rsidRPr="0048465B">
        <w:rPr>
          <w:lang w:val="en-GB"/>
        </w:rPr>
        <w:t xml:space="preserve">The necessity of transformative American support, the general indifference of the international community, and the absence of Palestinian control of its own lands all reveal a fundamental reality about the Palestinian predicament, that Palestine cannot </w:t>
      </w:r>
      <w:r w:rsidR="00A06C03">
        <w:rPr>
          <w:lang w:val="en-GB"/>
        </w:rPr>
        <w:t>–</w:t>
      </w:r>
      <w:r w:rsidRPr="0048465B">
        <w:rPr>
          <w:lang w:val="en-GB"/>
        </w:rPr>
        <w:t xml:space="preserve"> in the current circumstances </w:t>
      </w:r>
      <w:r w:rsidR="00A06C03">
        <w:rPr>
          <w:lang w:val="en-GB"/>
        </w:rPr>
        <w:t>–</w:t>
      </w:r>
      <w:r w:rsidRPr="0048465B">
        <w:rPr>
          <w:lang w:val="en-GB"/>
        </w:rPr>
        <w:t xml:space="preserve"> obtain sovereignty on its own. This is not to say, however, that the Palestinian people are entirely powerless. It is through Palestinian protest and authorship, such as the intifadas and the novels written about the Palestinian experience, that the Palestinian cause is made global, through Palestinian negotiation that Palestine obtained an observer seat at the UN table, and through Palestinian political nous that it was able to introduce the notion of apartheid to the conflict as a comparative analytical tool. This latter association of contemporary Israel with apartheid-era South Africa has led to one of the more </w:t>
      </w:r>
      <w:r w:rsidR="00BA2E40" w:rsidRPr="0048465B">
        <w:rPr>
          <w:lang w:val="en-GB"/>
        </w:rPr>
        <w:t>well</w:t>
      </w:r>
      <w:r w:rsidR="00BA2E40">
        <w:rPr>
          <w:lang w:val="en-GB"/>
        </w:rPr>
        <w:t>-</w:t>
      </w:r>
      <w:r w:rsidR="00BA2E40" w:rsidRPr="0048465B">
        <w:rPr>
          <w:lang w:val="en-GB"/>
        </w:rPr>
        <w:t>known</w:t>
      </w:r>
      <w:r w:rsidRPr="0048465B">
        <w:rPr>
          <w:lang w:val="en-GB"/>
        </w:rPr>
        <w:t xml:space="preserve"> and controversial means of expressing support for the Palestinian cause, the Boycott Divestment Sanctions movement, or BDS. In lieu of meaningful international intervention, many supporters of Palestine have rallied behind this boycott movement, and in doing so have made the fight against Israel’s control over Palestine global, tangible, and accessible. Yet at the same time, BDS faces charges of antisemitism, ‘discouraging </w:t>
      </w:r>
      <w:r w:rsidRPr="0048465B">
        <w:rPr>
          <w:lang w:val="en-GB"/>
        </w:rPr>
        <w:lastRenderedPageBreak/>
        <w:t>Palestinians from agreeing to any reasonable peace offer’,</w:t>
      </w:r>
      <w:r w:rsidRPr="0048465B">
        <w:rPr>
          <w:vertAlign w:val="superscript"/>
          <w:lang w:val="en-GB"/>
        </w:rPr>
        <w:footnoteReference w:id="646"/>
      </w:r>
      <w:r w:rsidRPr="0048465B">
        <w:rPr>
          <w:lang w:val="en-GB"/>
        </w:rPr>
        <w:t xml:space="preserve"> and derailing </w:t>
      </w:r>
      <w:r w:rsidR="00A06C03">
        <w:rPr>
          <w:lang w:val="en-GB"/>
        </w:rPr>
        <w:t>–</w:t>
      </w:r>
      <w:r w:rsidRPr="0048465B">
        <w:rPr>
          <w:lang w:val="en-GB"/>
        </w:rPr>
        <w:t xml:space="preserve"> or at least depicting a loss of faith in </w:t>
      </w:r>
      <w:r w:rsidR="00A06C03">
        <w:rPr>
          <w:lang w:val="en-GB"/>
        </w:rPr>
        <w:t>–</w:t>
      </w:r>
      <w:r w:rsidRPr="0048465B">
        <w:rPr>
          <w:lang w:val="en-GB"/>
        </w:rPr>
        <w:t xml:space="preserve"> direct engagement between Israel and Palestine altogether. As this section will demonstrate, the BDS movement is an overwhelmingly simple one. Yet whilst BDS’ simplicity ensures that it is accessible to all who choose to embrace it, it also means that its most ardent critics can, perhaps too easily, transform it into a victim of its own political restraint.</w:t>
      </w:r>
    </w:p>
    <w:p w14:paraId="6E15119B" w14:textId="77777777" w:rsidR="00FC331F" w:rsidRPr="0048465B" w:rsidRDefault="00FC331F" w:rsidP="00FC331F">
      <w:pPr>
        <w:rPr>
          <w:lang w:val="en-GB"/>
        </w:rPr>
      </w:pPr>
    </w:p>
    <w:p w14:paraId="39516291" w14:textId="0F270426" w:rsidR="00FC331F" w:rsidRPr="0048465B" w:rsidRDefault="0039637F" w:rsidP="00FC331F">
      <w:pPr>
        <w:rPr>
          <w:lang w:val="en-GB"/>
        </w:rPr>
      </w:pPr>
      <w:r w:rsidRPr="0048465B">
        <w:rPr>
          <w:lang w:val="en-GB"/>
        </w:rPr>
        <w:t xml:space="preserve">Before exploring the manner in which such criticisms are </w:t>
      </w:r>
      <w:r w:rsidR="003C28AB">
        <w:rPr>
          <w:lang w:val="en-GB"/>
        </w:rPr>
        <w:t>levelled</w:t>
      </w:r>
      <w:r w:rsidRPr="0048465B">
        <w:rPr>
          <w:lang w:val="en-GB"/>
        </w:rPr>
        <w:t>, however, it is pertinent to address briefly the aims and intentions of BDS as the movement states them, so that the ensuing charges against the movement can be balanced against the detail provided by the movement itself</w:t>
      </w:r>
      <w:r w:rsidR="008D33CD">
        <w:rPr>
          <w:lang w:val="en-GB"/>
        </w:rPr>
        <w:t xml:space="preserve"> and analysts of it</w:t>
      </w:r>
      <w:r w:rsidRPr="0048465B">
        <w:rPr>
          <w:lang w:val="en-GB"/>
        </w:rPr>
        <w:t xml:space="preserve">. </w:t>
      </w:r>
      <w:r w:rsidR="00FC331F" w:rsidRPr="0048465B">
        <w:rPr>
          <w:lang w:val="en-GB"/>
        </w:rPr>
        <w:t xml:space="preserve">The BDS website describes </w:t>
      </w:r>
      <w:r w:rsidR="008D33CD">
        <w:rPr>
          <w:lang w:val="en-GB"/>
        </w:rPr>
        <w:t>BDS</w:t>
      </w:r>
      <w:r w:rsidR="00FC331F" w:rsidRPr="0048465B">
        <w:rPr>
          <w:lang w:val="en-GB"/>
        </w:rPr>
        <w:t xml:space="preserve"> as a ‘Palestinian-led movement for freedom, justice and equality’, that believes that ‘Palestinians are entitled to the same rights as the rest of humanity’ and ‘urges action to pressure Israel to comply with international law’. Central to BDS are three demands of Israel, as follows:</w:t>
      </w:r>
    </w:p>
    <w:p w14:paraId="023F26E0" w14:textId="77777777" w:rsidR="00FC331F" w:rsidRPr="0048465B" w:rsidRDefault="00FC331F" w:rsidP="00FC331F">
      <w:pPr>
        <w:rPr>
          <w:lang w:val="en-GB"/>
        </w:rPr>
      </w:pPr>
    </w:p>
    <w:p w14:paraId="4BC31CD1" w14:textId="77777777" w:rsidR="00FC331F" w:rsidRPr="0048465B" w:rsidRDefault="00FC331F" w:rsidP="00FC331F">
      <w:pPr>
        <w:ind w:left="720"/>
        <w:rPr>
          <w:lang w:val="en-GB"/>
        </w:rPr>
      </w:pPr>
      <w:r w:rsidRPr="0048465B">
        <w:rPr>
          <w:lang w:val="en-GB"/>
        </w:rPr>
        <w:t>1. Ending its occupation and colonization of all Arab lands and dismantling the Wall.</w:t>
      </w:r>
    </w:p>
    <w:p w14:paraId="173555AC" w14:textId="77777777" w:rsidR="00FC331F" w:rsidRPr="0048465B" w:rsidRDefault="00FC331F" w:rsidP="00FC331F">
      <w:pPr>
        <w:ind w:left="720"/>
        <w:rPr>
          <w:lang w:val="en-GB"/>
        </w:rPr>
      </w:pPr>
      <w:r w:rsidRPr="0048465B">
        <w:rPr>
          <w:lang w:val="en-GB"/>
        </w:rPr>
        <w:t>2. Recognizing the fundamental rights of the Arab-Palestinian citizens of Israel to full equality.</w:t>
      </w:r>
    </w:p>
    <w:p w14:paraId="7424667F" w14:textId="77777777" w:rsidR="00FC331F" w:rsidRPr="0048465B" w:rsidRDefault="00FC331F" w:rsidP="00FC331F">
      <w:pPr>
        <w:ind w:left="720"/>
        <w:rPr>
          <w:lang w:val="en-GB"/>
        </w:rPr>
      </w:pPr>
      <w:r w:rsidRPr="0048465B">
        <w:rPr>
          <w:lang w:val="en-GB"/>
        </w:rPr>
        <w:t>3. Respecting, protecting and promoting the rights of Palestinian refugees to return to their homes and properties as stipulated in UN Resolution 194.</w:t>
      </w:r>
      <w:r w:rsidRPr="0048465B">
        <w:rPr>
          <w:vertAlign w:val="superscript"/>
          <w:lang w:val="en-GB"/>
        </w:rPr>
        <w:footnoteReference w:id="647"/>
      </w:r>
    </w:p>
    <w:p w14:paraId="337D0D20" w14:textId="77777777" w:rsidR="00FC331F" w:rsidRPr="0048465B" w:rsidRDefault="00FC331F" w:rsidP="00FC331F">
      <w:pPr>
        <w:rPr>
          <w:lang w:val="en-GB"/>
        </w:rPr>
      </w:pPr>
    </w:p>
    <w:p w14:paraId="5F6D492F" w14:textId="2D6162AB" w:rsidR="00FC331F" w:rsidRPr="0048465B" w:rsidRDefault="00FC331F" w:rsidP="00FC331F">
      <w:pPr>
        <w:rPr>
          <w:lang w:val="en-GB"/>
        </w:rPr>
      </w:pPr>
      <w:r w:rsidRPr="0048465B">
        <w:rPr>
          <w:lang w:val="en-GB"/>
        </w:rPr>
        <w:t>Each of these demands is centred in bringing Israel in line with the demands made of it by international law. In the first instance, both the Israeli occupation of Palestinian lands and the wall segregating the West Bank from Israel proper have been designated illegal under international law by the UNSC and the ICJ respectively.</w:t>
      </w:r>
      <w:r w:rsidRPr="0048465B">
        <w:rPr>
          <w:vertAlign w:val="superscript"/>
          <w:lang w:val="en-GB"/>
        </w:rPr>
        <w:footnoteReference w:id="648"/>
      </w:r>
      <w:r w:rsidRPr="0048465B">
        <w:rPr>
          <w:lang w:val="en-GB"/>
        </w:rPr>
        <w:t xml:space="preserve"> In relation to the second demand, one need not look much further than the Israeli law dictating that</w:t>
      </w:r>
      <w:r w:rsidR="000B2C3C">
        <w:rPr>
          <w:lang w:val="en-GB"/>
        </w:rPr>
        <w:t xml:space="preserve"> only Jewish people have the right to self-determination </w:t>
      </w:r>
      <w:r w:rsidRPr="0048465B">
        <w:rPr>
          <w:lang w:val="en-GB"/>
        </w:rPr>
        <w:t>to see that Arab-Palestinian citizens of Israel are not equal, and there are ‘over 65 Israeli laws that discriminate directly or indirectly against Palestinian citizens in Israel and/or Palestinian residents of the Occupied Palestinian Territory on the basis of their national belonging’.</w:t>
      </w:r>
      <w:r w:rsidRPr="0048465B">
        <w:rPr>
          <w:vertAlign w:val="superscript"/>
          <w:lang w:val="en-GB"/>
        </w:rPr>
        <w:footnoteReference w:id="649"/>
      </w:r>
      <w:r w:rsidRPr="0048465B">
        <w:rPr>
          <w:lang w:val="en-GB"/>
        </w:rPr>
        <w:t xml:space="preserve"> The third demand of BDS, the right of return to homes and properties for Palestinian refugees, explicitly references UN Resolution 194, which resolves that ‘“refugees wishing to return to their homes and live at peace with their neighbours should be permitted to do so at the earliest practicable date”’.</w:t>
      </w:r>
      <w:r w:rsidRPr="0048465B">
        <w:rPr>
          <w:vertAlign w:val="superscript"/>
          <w:lang w:val="en-GB"/>
        </w:rPr>
        <w:footnoteReference w:id="650"/>
      </w:r>
      <w:r w:rsidRPr="0048465B">
        <w:rPr>
          <w:lang w:val="en-GB"/>
        </w:rPr>
        <w:t xml:space="preserve"> BDS</w:t>
      </w:r>
      <w:r w:rsidR="00A06C03">
        <w:rPr>
          <w:lang w:val="en-GB"/>
        </w:rPr>
        <w:t>, in addition to basing its demands in international law,</w:t>
      </w:r>
      <w:r w:rsidRPr="0048465B">
        <w:rPr>
          <w:lang w:val="en-GB"/>
        </w:rPr>
        <w:t xml:space="preserve"> further defines itself as ‘opposed on principle to all forms of discrimination, including </w:t>
      </w:r>
      <w:proofErr w:type="spellStart"/>
      <w:r w:rsidRPr="0048465B">
        <w:rPr>
          <w:lang w:val="en-GB"/>
        </w:rPr>
        <w:t>anti-semitism</w:t>
      </w:r>
      <w:proofErr w:type="spellEnd"/>
      <w:r w:rsidRPr="0048465B">
        <w:rPr>
          <w:lang w:val="en-GB"/>
        </w:rPr>
        <w:t xml:space="preserve"> and Islamophobia’.</w:t>
      </w:r>
      <w:r w:rsidRPr="0048465B">
        <w:rPr>
          <w:vertAlign w:val="superscript"/>
          <w:lang w:val="en-GB"/>
        </w:rPr>
        <w:footnoteReference w:id="651"/>
      </w:r>
      <w:r w:rsidRPr="0048465B">
        <w:rPr>
          <w:lang w:val="en-GB"/>
        </w:rPr>
        <w:t xml:space="preserve"> </w:t>
      </w:r>
    </w:p>
    <w:p w14:paraId="7E9D71A1" w14:textId="77777777" w:rsidR="00FC331F" w:rsidRPr="0048465B" w:rsidRDefault="00FC331F" w:rsidP="00FC331F">
      <w:pPr>
        <w:rPr>
          <w:lang w:val="en-GB"/>
        </w:rPr>
      </w:pPr>
    </w:p>
    <w:p w14:paraId="791D1A5B" w14:textId="27238A5F" w:rsidR="00FC331F" w:rsidRPr="0048465B" w:rsidRDefault="00FC331F" w:rsidP="00FC331F">
      <w:pPr>
        <w:rPr>
          <w:lang w:val="en-GB"/>
        </w:rPr>
      </w:pPr>
      <w:r w:rsidRPr="0048465B">
        <w:rPr>
          <w:lang w:val="en-GB"/>
        </w:rPr>
        <w:t xml:space="preserve">Yet despite the basis for these demands being in international law and human rights, BDS is consistently accused of fomenting antisemitism, has been targeted by a seventy-two million dollar </w:t>
      </w:r>
      <w:r w:rsidRPr="0048465B">
        <w:rPr>
          <w:lang w:val="en-GB"/>
        </w:rPr>
        <w:lastRenderedPageBreak/>
        <w:t>anti-BDS project funded by the Israeli government as well as ‘Jewish donors and communities abroad’,</w:t>
      </w:r>
      <w:r w:rsidRPr="0048465B">
        <w:rPr>
          <w:vertAlign w:val="superscript"/>
          <w:lang w:val="en-GB"/>
        </w:rPr>
        <w:footnoteReference w:id="652"/>
      </w:r>
      <w:r w:rsidRPr="0048465B">
        <w:rPr>
          <w:lang w:val="en-GB"/>
        </w:rPr>
        <w:t xml:space="preserve"> has been condemned or banned by ‘law[], executive order[] or resolution’ in thirty-two</w:t>
      </w:r>
      <w:r w:rsidR="008D33CD">
        <w:rPr>
          <w:lang w:val="en-GB"/>
        </w:rPr>
        <w:t xml:space="preserve"> </w:t>
      </w:r>
      <w:r w:rsidRPr="0048465B">
        <w:rPr>
          <w:lang w:val="en-GB"/>
        </w:rPr>
        <w:t>American states,</w:t>
      </w:r>
      <w:r w:rsidRPr="0048465B">
        <w:rPr>
          <w:vertAlign w:val="superscript"/>
          <w:lang w:val="en-GB"/>
        </w:rPr>
        <w:footnoteReference w:id="653"/>
      </w:r>
      <w:r w:rsidRPr="0048465B">
        <w:rPr>
          <w:lang w:val="en-GB"/>
        </w:rPr>
        <w:t xml:space="preserve"> and para-criminalised in the United Kingdom as a form of activism by public bodies.</w:t>
      </w:r>
      <w:r w:rsidRPr="0048465B">
        <w:rPr>
          <w:vertAlign w:val="superscript"/>
          <w:lang w:val="en-GB"/>
        </w:rPr>
        <w:footnoteReference w:id="654"/>
      </w:r>
    </w:p>
    <w:p w14:paraId="6C891269" w14:textId="77777777" w:rsidR="00FC331F" w:rsidRPr="0048465B" w:rsidRDefault="00FC331F" w:rsidP="00FC331F">
      <w:pPr>
        <w:rPr>
          <w:lang w:val="en-GB"/>
        </w:rPr>
      </w:pPr>
    </w:p>
    <w:p w14:paraId="61944200" w14:textId="79122CC4" w:rsidR="00FC331F" w:rsidRPr="0048465B" w:rsidRDefault="00FC331F" w:rsidP="00FC331F">
      <w:pPr>
        <w:rPr>
          <w:lang w:val="en-GB"/>
        </w:rPr>
      </w:pPr>
      <w:r w:rsidRPr="0048465B">
        <w:rPr>
          <w:lang w:val="en-GB"/>
        </w:rPr>
        <w:t>This chapter does not seek to represent the BDS movement as a flawless means to achieve Palestinian sovereignty, and legitimate criticisms of the movement will be explored in due course. The manner in which the Israeli state and United States local government</w:t>
      </w:r>
      <w:r w:rsidR="00E32A26">
        <w:rPr>
          <w:lang w:val="en-GB"/>
        </w:rPr>
        <w:t xml:space="preserve"> in particular</w:t>
      </w:r>
      <w:r w:rsidRPr="0048465B">
        <w:rPr>
          <w:lang w:val="en-GB"/>
        </w:rPr>
        <w:t xml:space="preserve"> have criminalised the BDS movement, however, is not only vastly disproportionate to the human rights centred demands of a non-violent movement, but is also perhaps more instructional than the lessons delivered by the movement itself.</w:t>
      </w:r>
    </w:p>
    <w:p w14:paraId="0FB4DD95" w14:textId="77777777" w:rsidR="00FC331F" w:rsidRPr="0048465B" w:rsidRDefault="00FC331F" w:rsidP="00FC331F">
      <w:pPr>
        <w:rPr>
          <w:lang w:val="en-GB"/>
        </w:rPr>
      </w:pPr>
    </w:p>
    <w:p w14:paraId="28A55FF7" w14:textId="04A260A3" w:rsidR="00FC331F" w:rsidRPr="0048465B" w:rsidRDefault="00FC331F" w:rsidP="00FC331F">
      <w:pPr>
        <w:rPr>
          <w:lang w:val="en-GB"/>
        </w:rPr>
      </w:pPr>
      <w:r w:rsidRPr="0048465B">
        <w:rPr>
          <w:lang w:val="en-GB"/>
        </w:rPr>
        <w:t xml:space="preserve">The primary reason behind such castigation is the threat that BDS poses, not in terms of its actual demands, but in terms of the aforementioned ‘war of legitimacy’. Whilst there are few simple paths to Palestinian sovereignty, there are certain requirements that are immutable cornerstones of this effort, namely that partisan American intervention must either radically transform or be negated entirely, and that Israel’s crimes against the Palestinian people must be at the forefront of the global political agenda. BDS’ greatest potential resides in the realisation of this second cornerstone, taking a conflict concerning a people </w:t>
      </w:r>
      <w:proofErr w:type="spellStart"/>
      <w:r w:rsidRPr="0048465B">
        <w:rPr>
          <w:lang w:val="en-GB"/>
        </w:rPr>
        <w:t>sidelined</w:t>
      </w:r>
      <w:proofErr w:type="spellEnd"/>
      <w:r w:rsidRPr="0048465B">
        <w:rPr>
          <w:lang w:val="en-GB"/>
        </w:rPr>
        <w:t xml:space="preserve"> by the international community </w:t>
      </w:r>
      <w:r w:rsidR="00E32A26">
        <w:rPr>
          <w:lang w:val="en-GB"/>
        </w:rPr>
        <w:t>–</w:t>
      </w:r>
      <w:r w:rsidRPr="0048465B">
        <w:rPr>
          <w:lang w:val="en-GB"/>
        </w:rPr>
        <w:t xml:space="preserve"> in practical </w:t>
      </w:r>
      <w:r w:rsidRPr="0048465B">
        <w:rPr>
          <w:lang w:val="en-GB"/>
        </w:rPr>
        <w:lastRenderedPageBreak/>
        <w:t xml:space="preserve">political terms at least </w:t>
      </w:r>
      <w:r w:rsidR="00E32A26">
        <w:rPr>
          <w:lang w:val="en-GB"/>
        </w:rPr>
        <w:t>–</w:t>
      </w:r>
      <w:r w:rsidRPr="0048465B">
        <w:rPr>
          <w:lang w:val="en-GB"/>
        </w:rPr>
        <w:t xml:space="preserve"> and transforming it into a grassroots movement that loudly challenges Israel on the basis of human rights and legitimacy rather than on political grounds where the majority of Israel and America’s influence resides.</w:t>
      </w:r>
    </w:p>
    <w:p w14:paraId="6B5F6177" w14:textId="77777777" w:rsidR="00FC331F" w:rsidRPr="0048465B" w:rsidRDefault="00FC331F" w:rsidP="00FC331F">
      <w:pPr>
        <w:rPr>
          <w:lang w:val="en-GB"/>
        </w:rPr>
      </w:pPr>
    </w:p>
    <w:p w14:paraId="452B1129" w14:textId="2B37CC73" w:rsidR="00FC331F" w:rsidRPr="0048465B" w:rsidRDefault="00FC331F" w:rsidP="00FC331F">
      <w:pPr>
        <w:rPr>
          <w:lang w:val="en-GB"/>
        </w:rPr>
      </w:pPr>
      <w:r w:rsidRPr="0048465B">
        <w:rPr>
          <w:lang w:val="en-GB"/>
        </w:rPr>
        <w:t>It is in such challenges to Israel’s legitimacy, wherein Israel’s policies are challenged by public opinion rather than strictly legal approaches, that BDS intends to disrupt Israel’s domination of Palestine. If we look at the example of customary international law, we can see directly how public protest or lack thereof carries real world ramifications for which state behaviours are subsequently designated acceptable or unacceptable, and consequently legal or illegal.</w:t>
      </w:r>
      <w:r w:rsidR="00E82020" w:rsidRPr="0048465B">
        <w:rPr>
          <w:vertAlign w:val="superscript"/>
          <w:lang w:val="en-GB"/>
        </w:rPr>
        <w:footnoteReference w:id="655"/>
      </w:r>
      <w:r w:rsidRPr="0048465B">
        <w:rPr>
          <w:lang w:val="en-GB"/>
        </w:rPr>
        <w:t xml:space="preserve"> The apparent indifference of the political elite to public outrage at the occupation of Palestinian lands and oppression of Palestinian people, in part based in the fear of accusations of antisemitism, has the </w:t>
      </w:r>
      <w:r w:rsidR="00E82020">
        <w:rPr>
          <w:lang w:val="en-GB"/>
        </w:rPr>
        <w:t>auxiliary</w:t>
      </w:r>
      <w:r w:rsidRPr="0048465B">
        <w:rPr>
          <w:lang w:val="en-GB"/>
        </w:rPr>
        <w:t xml:space="preserve"> effect of passively justifying these oppressive acts. This passive vindication of legally dubious acts is made visible in the legal challenges the BDS </w:t>
      </w:r>
      <w:r w:rsidR="00E82020">
        <w:rPr>
          <w:lang w:val="en-GB"/>
        </w:rPr>
        <w:t xml:space="preserve">movement </w:t>
      </w:r>
      <w:r w:rsidRPr="0048465B">
        <w:rPr>
          <w:lang w:val="en-GB"/>
        </w:rPr>
        <w:t xml:space="preserve">has been subject to, an effective form of extinguishing grassroots support that invokes the Israeli state’s most powerful weapon against the war of legitimacy, the fear of being branded an </w:t>
      </w:r>
      <w:proofErr w:type="spellStart"/>
      <w:r w:rsidRPr="0048465B">
        <w:rPr>
          <w:lang w:val="en-GB"/>
        </w:rPr>
        <w:t>antisemite</w:t>
      </w:r>
      <w:proofErr w:type="spellEnd"/>
      <w:r w:rsidRPr="0048465B">
        <w:rPr>
          <w:lang w:val="en-GB"/>
        </w:rPr>
        <w:t>. When a method of supporting one oppressed people is reframed as synonymous with hostility to another, especially when the second group is the more historically victimised and culturally central of the two, then that particular method of support becomes less easily embraced</w:t>
      </w:r>
      <w:r w:rsidR="00AC019D">
        <w:rPr>
          <w:lang w:val="en-GB"/>
        </w:rPr>
        <w:t>.</w:t>
      </w:r>
      <w:r w:rsidRPr="0048465B">
        <w:rPr>
          <w:lang w:val="en-GB"/>
        </w:rPr>
        <w:t xml:space="preserve"> </w:t>
      </w:r>
    </w:p>
    <w:p w14:paraId="203E2059" w14:textId="77777777" w:rsidR="00FC331F" w:rsidRPr="0048465B" w:rsidRDefault="00FC331F" w:rsidP="00FC331F">
      <w:pPr>
        <w:rPr>
          <w:lang w:val="en-GB"/>
        </w:rPr>
      </w:pPr>
    </w:p>
    <w:p w14:paraId="0A6BB0A1" w14:textId="455EA496" w:rsidR="00FC331F" w:rsidRPr="0048465B" w:rsidRDefault="00FC331F" w:rsidP="00FC331F">
      <w:pPr>
        <w:rPr>
          <w:lang w:val="en-GB"/>
        </w:rPr>
      </w:pPr>
      <w:r w:rsidRPr="0048465B">
        <w:rPr>
          <w:lang w:val="en-GB"/>
        </w:rPr>
        <w:t xml:space="preserve">To assess the legitimacy or illegitimacy of the anti-BDS stance, and to explore in greater detail such central charges of antisemitism, we look to those criticisms offered by American lawyer and </w:t>
      </w:r>
      <w:r w:rsidRPr="0048465B">
        <w:rPr>
          <w:lang w:val="en-GB"/>
        </w:rPr>
        <w:lastRenderedPageBreak/>
        <w:t>regular commentator on the Israeli-Palestinian conflict Alan Dershowitz, and his article ‘Ten Reasons Why BDS is Immoral and Hinders Peace’.</w:t>
      </w:r>
      <w:r w:rsidR="00511FED">
        <w:rPr>
          <w:rStyle w:val="FootnoteReference"/>
          <w:lang w:val="en-GB"/>
        </w:rPr>
        <w:footnoteReference w:id="656"/>
      </w:r>
      <w:r w:rsidRPr="0048465B">
        <w:rPr>
          <w:lang w:val="en-GB"/>
        </w:rPr>
        <w:t xml:space="preserve"> Whilst Dershowitz is by no means a neutral source </w:t>
      </w:r>
      <w:r w:rsidR="00AC019D">
        <w:rPr>
          <w:lang w:val="en-GB"/>
        </w:rPr>
        <w:t>with regard to</w:t>
      </w:r>
      <w:r w:rsidRPr="0048465B">
        <w:rPr>
          <w:lang w:val="en-GB"/>
        </w:rPr>
        <w:t xml:space="preserve"> the Israeli-Palestinian conflict, the more centrist perspectives on why BDS might be obstructive to peace efforts </w:t>
      </w:r>
      <w:r w:rsidR="00AC019D">
        <w:rPr>
          <w:lang w:val="en-GB"/>
        </w:rPr>
        <w:t>–</w:t>
      </w:r>
      <w:r w:rsidRPr="0048465B">
        <w:rPr>
          <w:lang w:val="en-GB"/>
        </w:rPr>
        <w:t xml:space="preserve"> </w:t>
      </w:r>
      <w:r w:rsidR="00AC019D">
        <w:rPr>
          <w:lang w:val="en-GB"/>
        </w:rPr>
        <w:t>t</w:t>
      </w:r>
      <w:r w:rsidRPr="0048465B">
        <w:rPr>
          <w:lang w:val="en-GB"/>
        </w:rPr>
        <w:t xml:space="preserve">hat the BDS movement discourages diplomacy and discussion, and that it is a vessel for antisemitism, if not antisemitic itself </w:t>
      </w:r>
      <w:r w:rsidR="00AC019D">
        <w:rPr>
          <w:lang w:val="en-GB"/>
        </w:rPr>
        <w:t>–</w:t>
      </w:r>
      <w:r w:rsidRPr="0048465B">
        <w:rPr>
          <w:lang w:val="en-GB"/>
        </w:rPr>
        <w:t xml:space="preserve"> are nonetheless covered in the following response to his article.</w:t>
      </w:r>
    </w:p>
    <w:p w14:paraId="6063D01A" w14:textId="77777777" w:rsidR="00FC331F" w:rsidRPr="0048465B" w:rsidRDefault="00FC331F" w:rsidP="00FC331F">
      <w:pPr>
        <w:rPr>
          <w:lang w:val="en-GB"/>
        </w:rPr>
      </w:pPr>
    </w:p>
    <w:p w14:paraId="70335773" w14:textId="647E80C8" w:rsidR="00FC331F" w:rsidRPr="0048465B" w:rsidRDefault="00FC331F" w:rsidP="00FC331F">
      <w:pPr>
        <w:rPr>
          <w:lang w:val="en-GB"/>
        </w:rPr>
      </w:pPr>
      <w:r w:rsidRPr="0048465B">
        <w:rPr>
          <w:lang w:val="en-GB"/>
        </w:rPr>
        <w:t>Dershowitz’ critique of the BDS movement begins with the argument that it places disproportionate blame on Israel for ‘the continuing Israeli occupation and settlement policy’, claiming that Israel has ‘thrice offered to end the occupation in exchange for peace’, offers all of which were refused by the Palestinians.</w:t>
      </w:r>
      <w:r w:rsidR="00511FED">
        <w:rPr>
          <w:rStyle w:val="FootnoteReference"/>
          <w:lang w:val="en-GB"/>
        </w:rPr>
        <w:footnoteReference w:id="657"/>
      </w:r>
      <w:r w:rsidRPr="0048465B">
        <w:rPr>
          <w:lang w:val="en-GB"/>
        </w:rPr>
        <w:t xml:space="preserve"> To argue that the blame placed on Israel for its occupation and settlement practices is disproportionate is to overlook the fact that the responsibility for such practices lies wholly with the occupier. Whilst some may argue that such practices are necessary due to self-defence, the aforementioned figures relating to deaths and injuries of Palestinians and Israelis respectively indicate that Palestinians are at far greater risk of death and injury than Israelis. Moreover, both settlements and occupation are illegal in the eyes of international law, and should not be viewed as commodities for which peace can be exchanged. As such, Palestinian action should not be deemed necessary in order for the occupation to end and for the settlements to be withdrawn. </w:t>
      </w:r>
    </w:p>
    <w:p w14:paraId="7CAEC717" w14:textId="77777777" w:rsidR="00FC331F" w:rsidRPr="0048465B" w:rsidRDefault="00FC331F" w:rsidP="00FC331F">
      <w:pPr>
        <w:rPr>
          <w:lang w:val="en-GB"/>
        </w:rPr>
      </w:pPr>
    </w:p>
    <w:p w14:paraId="5818C859" w14:textId="70DCC245" w:rsidR="00FC331F" w:rsidRPr="0048465B" w:rsidRDefault="00FC331F" w:rsidP="00FC331F">
      <w:pPr>
        <w:rPr>
          <w:lang w:val="en-GB"/>
        </w:rPr>
      </w:pPr>
      <w:r w:rsidRPr="0048465B">
        <w:rPr>
          <w:lang w:val="en-GB"/>
        </w:rPr>
        <w:t xml:space="preserve">The three peace deals Dershowitz refers to are UN Security Council Resolution 242, the 2000/2001 deal, and the 2007 deal. Yet the ‘peace’ that Dershowitz refers to had, in each of these proposed </w:t>
      </w:r>
      <w:r w:rsidRPr="0048465B">
        <w:rPr>
          <w:lang w:val="en-GB"/>
        </w:rPr>
        <w:lastRenderedPageBreak/>
        <w:t>deals, neither objective meaning nor legal weight. Whilst peace for Israel may have resided in each of these deals, there was no peace offered to the Palestinians in the 2000/2001 Camp David deal, where Ehud Barak entered the talks with the explicit view that the only Palestinian sovereignty Israel could provide would be ‘purely symbolic’,</w:t>
      </w:r>
      <w:r w:rsidRPr="0048465B">
        <w:rPr>
          <w:vertAlign w:val="superscript"/>
          <w:lang w:val="en-GB"/>
        </w:rPr>
        <w:footnoteReference w:id="658"/>
      </w:r>
      <w:r w:rsidRPr="0048465B">
        <w:rPr>
          <w:lang w:val="en-GB"/>
        </w:rPr>
        <w:t xml:space="preserve"> where Palestine was offered just 86 percent of the West Bank (annexing yet further land from the 22 percent upon which the Palestinian state existed),</w:t>
      </w:r>
      <w:r w:rsidRPr="0048465B">
        <w:rPr>
          <w:vertAlign w:val="superscript"/>
          <w:lang w:val="en-GB"/>
        </w:rPr>
        <w:footnoteReference w:id="659"/>
      </w:r>
      <w:r w:rsidRPr="0048465B">
        <w:rPr>
          <w:lang w:val="en-GB"/>
        </w:rPr>
        <w:t xml:space="preserve"> and where Israel </w:t>
      </w:r>
      <w:r w:rsidR="00511FED">
        <w:rPr>
          <w:lang w:val="en-GB"/>
        </w:rPr>
        <w:t>offered</w:t>
      </w:r>
      <w:r w:rsidRPr="0048465B">
        <w:rPr>
          <w:lang w:val="en-GB"/>
        </w:rPr>
        <w:t xml:space="preserve"> just a limited right </w:t>
      </w:r>
      <w:r w:rsidR="00AC019D">
        <w:rPr>
          <w:lang w:val="en-GB"/>
        </w:rPr>
        <w:t>of</w:t>
      </w:r>
      <w:r w:rsidRPr="0048465B">
        <w:rPr>
          <w:lang w:val="en-GB"/>
        </w:rPr>
        <w:t xml:space="preserve"> return, to ensure the maintenance of demographic superiority.</w:t>
      </w:r>
      <w:r w:rsidRPr="0048465B">
        <w:rPr>
          <w:vertAlign w:val="superscript"/>
          <w:lang w:val="en-GB"/>
        </w:rPr>
        <w:footnoteReference w:id="660"/>
      </w:r>
      <w:r w:rsidRPr="0048465B">
        <w:rPr>
          <w:lang w:val="en-GB"/>
        </w:rPr>
        <w:t xml:space="preserve"> Similarly, there was no peace for Palestine in the 2007 Olmert deal, where true sovereignty was never an Israeli consideration,</w:t>
      </w:r>
      <w:r w:rsidRPr="0048465B">
        <w:rPr>
          <w:vertAlign w:val="superscript"/>
          <w:lang w:val="en-GB"/>
        </w:rPr>
        <w:footnoteReference w:id="661"/>
      </w:r>
      <w:r w:rsidRPr="0048465B">
        <w:rPr>
          <w:lang w:val="en-GB"/>
        </w:rPr>
        <w:t xml:space="preserve"> where ‘Israel demanded its armed forces remain in the future Palestinian state’, and where yet further annexation of the West Bank was proposed without proportionate land swaps.</w:t>
      </w:r>
      <w:r w:rsidRPr="0048465B">
        <w:rPr>
          <w:vertAlign w:val="superscript"/>
          <w:lang w:val="en-GB"/>
        </w:rPr>
        <w:footnoteReference w:id="662"/>
      </w:r>
      <w:r w:rsidRPr="0048465B">
        <w:rPr>
          <w:lang w:val="en-GB"/>
        </w:rPr>
        <w:t xml:space="preserve"> As for Resolution 242, which Dershowitz views as having ‘set out the formula for ending the occupation in exchange for recognition of Israel’s right to exist in peace’, Israel itself subverted the peace process with this deal. Whilst the resolution ‘</w:t>
      </w:r>
      <w:proofErr w:type="spellStart"/>
      <w:r w:rsidRPr="0048465B">
        <w:rPr>
          <w:lang w:val="en-GB"/>
        </w:rPr>
        <w:t>mandat</w:t>
      </w:r>
      <w:proofErr w:type="spellEnd"/>
      <w:r w:rsidRPr="0048465B">
        <w:rPr>
          <w:lang w:val="en-GB"/>
        </w:rPr>
        <w:t>[ed] Israel’s withdrawal from Arab lands in exchange for permanent peace’, Israel used the absence of ‘the definite article “the” or the phrase “all the” to describe the scope of the territories in question’</w:t>
      </w:r>
      <w:r w:rsidRPr="0048465B">
        <w:rPr>
          <w:vertAlign w:val="superscript"/>
          <w:lang w:val="en-GB"/>
        </w:rPr>
        <w:footnoteReference w:id="663"/>
      </w:r>
      <w:r w:rsidRPr="0048465B">
        <w:rPr>
          <w:lang w:val="en-GB"/>
        </w:rPr>
        <w:t xml:space="preserve"> to minimise its withdrawal from Arab lands and justify its occupation of territories it chose not to withdraw from. In doing so, Israel transformed a land-for-peace framework, wherein it withdrew from Occupied Territories in exchange for peace, into one where </w:t>
      </w:r>
      <w:r w:rsidRPr="0048465B">
        <w:rPr>
          <w:lang w:val="en-GB"/>
        </w:rPr>
        <w:lastRenderedPageBreak/>
        <w:t>Israeli control of the occupied land became even more difficult to challenge, and the prospect of peace even more distant.</w:t>
      </w:r>
    </w:p>
    <w:p w14:paraId="49CAD613" w14:textId="77777777" w:rsidR="00FC331F" w:rsidRPr="0048465B" w:rsidRDefault="00FC331F" w:rsidP="00FC331F">
      <w:pPr>
        <w:rPr>
          <w:lang w:val="en-GB"/>
        </w:rPr>
      </w:pPr>
    </w:p>
    <w:p w14:paraId="05836548" w14:textId="66D6E8A4" w:rsidR="00FC331F" w:rsidRPr="0048465B" w:rsidRDefault="00FC331F" w:rsidP="00FC331F">
      <w:pPr>
        <w:rPr>
          <w:lang w:val="en-GB"/>
        </w:rPr>
      </w:pPr>
      <w:r w:rsidRPr="0048465B">
        <w:rPr>
          <w:lang w:val="en-GB"/>
        </w:rPr>
        <w:t xml:space="preserve">Dershowitz’ follows this first argument by suggesting that the BDS movement ‘emboldens the Palestinians to reject compromise solutions to the conflict’. It is this argument that is perhaps the most ostensibly legitimate, albeit not for the reasons proposed by Dershowitz, since the BDS movement </w:t>
      </w:r>
      <w:r w:rsidR="00EA32F0">
        <w:rPr>
          <w:lang w:val="en-GB"/>
        </w:rPr>
        <w:t>–</w:t>
      </w:r>
      <w:r w:rsidRPr="0048465B">
        <w:rPr>
          <w:lang w:val="en-GB"/>
        </w:rPr>
        <w:t xml:space="preserve"> as explored later in this chapter </w:t>
      </w:r>
      <w:r w:rsidR="00EA32F0">
        <w:rPr>
          <w:lang w:val="en-GB"/>
        </w:rPr>
        <w:t>–</w:t>
      </w:r>
      <w:r w:rsidRPr="0048465B">
        <w:rPr>
          <w:lang w:val="en-GB"/>
        </w:rPr>
        <w:t xml:space="preserve"> has redirected support from Palestine’s traditional political representatives and yet refuses to enter the realm of conventional politics. Such assessments, however, are not the concern of Dershowitz, who instead chastises Palestinian leadership for hoping that they will not have to ‘agree[] to a demilitarized state’ as a precursor for peace, a completely valid aspiration for the Palestinian leadership to have, since a demilitarized state necessitates fragmentary Palestinian sovereignty.</w:t>
      </w:r>
      <w:r w:rsidR="00511FED">
        <w:rPr>
          <w:rStyle w:val="FootnoteReference"/>
          <w:lang w:val="en-GB"/>
        </w:rPr>
        <w:footnoteReference w:id="664"/>
      </w:r>
      <w:r w:rsidRPr="0048465B">
        <w:rPr>
          <w:lang w:val="en-GB"/>
        </w:rPr>
        <w:t xml:space="preserve"> Moreover, whilst the BDS movement does bifurcate political and human rights-based approaches to the conflict, David M. Halbfinger, Jerusalem Bureau Chief at </w:t>
      </w:r>
      <w:r w:rsidRPr="0048465B">
        <w:rPr>
          <w:i/>
          <w:lang w:val="en-GB"/>
        </w:rPr>
        <w:t>The New York Times</w:t>
      </w:r>
      <w:r w:rsidRPr="0048465B">
        <w:rPr>
          <w:lang w:val="en-GB"/>
        </w:rPr>
        <w:t xml:space="preserve"> has written about the manipulation of the threat of BDS within Israeli domestic politics, asserting that the threat it poses to Israel is ‘</w:t>
      </w:r>
      <w:proofErr w:type="spellStart"/>
      <w:r w:rsidRPr="0048465B">
        <w:rPr>
          <w:lang w:val="en-GB"/>
        </w:rPr>
        <w:t>exaggerat</w:t>
      </w:r>
      <w:proofErr w:type="spellEnd"/>
      <w:r w:rsidRPr="0048465B">
        <w:rPr>
          <w:lang w:val="en-GB"/>
        </w:rPr>
        <w:t xml:space="preserve">[ed]’ in order to ‘add[] to the sense that Israel is besieged and that the Palestinians are not really interested in </w:t>
      </w:r>
      <w:proofErr w:type="spellStart"/>
      <w:r w:rsidRPr="0048465B">
        <w:rPr>
          <w:lang w:val="en-GB"/>
        </w:rPr>
        <w:t>peacemaking</w:t>
      </w:r>
      <w:proofErr w:type="spellEnd"/>
      <w:r w:rsidRPr="0048465B">
        <w:rPr>
          <w:lang w:val="en-GB"/>
        </w:rPr>
        <w:t>’.</w:t>
      </w:r>
      <w:r w:rsidR="00093B5F">
        <w:rPr>
          <w:rStyle w:val="FootnoteReference"/>
          <w:lang w:val="en-GB"/>
        </w:rPr>
        <w:footnoteReference w:id="665"/>
      </w:r>
      <w:r w:rsidRPr="0048465B">
        <w:rPr>
          <w:lang w:val="en-GB"/>
        </w:rPr>
        <w:t xml:space="preserve"> Claims that the BDS movement is representative of Palestinian reluctance to negotiate overlook the failures of various conventional peace processes that existed for more than thirty years prior to the founding of BDS. Moreover, the associated argument, that boycott prevents dialogue, not only overlooks the fact that boycott and dialogue are ‘not mutually </w:t>
      </w:r>
      <w:r w:rsidRPr="0048465B">
        <w:rPr>
          <w:lang w:val="en-GB"/>
        </w:rPr>
        <w:lastRenderedPageBreak/>
        <w:t>exclusive’, but also ignores the logical deduction that the very reason that the boycott exists, after almost fifty</w:t>
      </w:r>
      <w:r w:rsidR="003C28AB">
        <w:rPr>
          <w:lang w:val="en-GB"/>
        </w:rPr>
        <w:t xml:space="preserve"> </w:t>
      </w:r>
      <w:r w:rsidRPr="0048465B">
        <w:rPr>
          <w:lang w:val="en-GB"/>
        </w:rPr>
        <w:t>years of unsuccessful peace processes, is that dialogue alone has not been enough to bring about change.</w:t>
      </w:r>
      <w:r w:rsidRPr="0048465B">
        <w:rPr>
          <w:vertAlign w:val="superscript"/>
          <w:lang w:val="en-GB"/>
        </w:rPr>
        <w:footnoteReference w:id="666"/>
      </w:r>
      <w:r w:rsidRPr="0048465B">
        <w:rPr>
          <w:lang w:val="en-GB"/>
        </w:rPr>
        <w:t xml:space="preserve"> </w:t>
      </w:r>
      <w:r w:rsidR="00EA32F0">
        <w:rPr>
          <w:lang w:val="en-GB"/>
        </w:rPr>
        <w:t>R</w:t>
      </w:r>
      <w:r w:rsidRPr="0048465B">
        <w:rPr>
          <w:lang w:val="en-GB"/>
        </w:rPr>
        <w:t>egardless of the validity of such arguments,</w:t>
      </w:r>
      <w:r w:rsidR="00EA32F0">
        <w:rPr>
          <w:lang w:val="en-GB"/>
        </w:rPr>
        <w:t xml:space="preserve"> however,</w:t>
      </w:r>
      <w:r w:rsidRPr="0048465B">
        <w:rPr>
          <w:lang w:val="en-GB"/>
        </w:rPr>
        <w:t xml:space="preserve"> the very idea that BDS might be laying siege to Israel in an undiplomatic or hostile manner is one that limits the efficacy of its practices. Whilst BDS’ primary aim remains the transformation of Israel through recalibrating global perceptions of its legitimacy, the accusations levied against it impedes its ability to achieve this objective as it undermines the core precondition of prospective BDS success, global appeal.</w:t>
      </w:r>
    </w:p>
    <w:p w14:paraId="1CD12E7C" w14:textId="77777777" w:rsidR="00FC331F" w:rsidRPr="0048465B" w:rsidRDefault="00FC331F" w:rsidP="00FC331F">
      <w:pPr>
        <w:rPr>
          <w:lang w:val="en-GB"/>
        </w:rPr>
      </w:pPr>
    </w:p>
    <w:p w14:paraId="1FF10EC9" w14:textId="1AB0E1AF" w:rsidR="00FC331F" w:rsidRPr="0048465B" w:rsidRDefault="00FC331F" w:rsidP="00FC331F">
      <w:pPr>
        <w:rPr>
          <w:lang w:val="en-GB"/>
        </w:rPr>
      </w:pPr>
      <w:r w:rsidRPr="0048465B">
        <w:rPr>
          <w:lang w:val="en-GB"/>
        </w:rPr>
        <w:t>The most controversial and contested of potential reasons to refrain from engagement with BDS, however, is that which Dershowitz describes as BDS’ engagement with ‘a new variation on the world’s oldest prejudice, namely anti-Semitism’.</w:t>
      </w:r>
      <w:r w:rsidR="00093B5F">
        <w:rPr>
          <w:rStyle w:val="FootnoteReference"/>
          <w:lang w:val="en-GB"/>
        </w:rPr>
        <w:footnoteReference w:id="667"/>
      </w:r>
      <w:r w:rsidRPr="0048465B">
        <w:rPr>
          <w:lang w:val="en-GB"/>
        </w:rPr>
        <w:t xml:space="preserve"> The false equivalence between criticism of Israel and antisemitism has, in recent years especially, been an effective means of placing social and political prohibitions on legitimate criticism of Israel. Antisemitism undeniably remains an odious and inexcusable part of our world, and there are those who have attempted to disguise such prejudices through falsely depicting them as legitimate criticism of Israel. </w:t>
      </w:r>
      <w:r w:rsidR="0039637F" w:rsidRPr="0048465B">
        <w:rPr>
          <w:lang w:val="en-GB"/>
        </w:rPr>
        <w:t xml:space="preserve">All charges of antisemitism </w:t>
      </w:r>
      <w:r w:rsidR="00EA73FF">
        <w:rPr>
          <w:lang w:val="en-GB"/>
        </w:rPr>
        <w:t>should</w:t>
      </w:r>
      <w:r w:rsidR="0039637F" w:rsidRPr="0048465B">
        <w:rPr>
          <w:lang w:val="en-GB"/>
        </w:rPr>
        <w:t xml:space="preserve"> be analysed with the requisite neutrality and gravity, in order that both genuine antisemitism</w:t>
      </w:r>
      <w:r w:rsidR="0039637F">
        <w:rPr>
          <w:lang w:val="en-GB"/>
        </w:rPr>
        <w:t xml:space="preserve"> </w:t>
      </w:r>
      <w:r w:rsidR="00EA73FF">
        <w:rPr>
          <w:lang w:val="en-GB"/>
        </w:rPr>
        <w:t>–</w:t>
      </w:r>
      <w:r w:rsidR="0039637F" w:rsidRPr="0048465B">
        <w:rPr>
          <w:lang w:val="en-GB"/>
        </w:rPr>
        <w:t xml:space="preserve"> and baseless politically motivated accusations of antisemitism</w:t>
      </w:r>
      <w:r w:rsidR="0039637F">
        <w:rPr>
          <w:lang w:val="en-GB"/>
        </w:rPr>
        <w:t xml:space="preserve"> </w:t>
      </w:r>
      <w:r w:rsidR="00EA73FF">
        <w:rPr>
          <w:lang w:val="en-GB"/>
        </w:rPr>
        <w:t>–</w:t>
      </w:r>
      <w:r w:rsidR="0039637F" w:rsidRPr="0048465B">
        <w:rPr>
          <w:lang w:val="en-GB"/>
        </w:rPr>
        <w:t xml:space="preserve"> can be identified and treated accordingly. </w:t>
      </w:r>
      <w:r w:rsidRPr="0048465B">
        <w:rPr>
          <w:lang w:val="en-GB"/>
        </w:rPr>
        <w:t xml:space="preserve">Whilst the following analysis of such accusations relate to the BDS movement specifically, it is nonetheless broadly indicative of </w:t>
      </w:r>
      <w:r w:rsidR="00093B5F">
        <w:rPr>
          <w:lang w:val="en-GB"/>
        </w:rPr>
        <w:t>that which</w:t>
      </w:r>
      <w:r w:rsidRPr="0048465B">
        <w:rPr>
          <w:lang w:val="en-GB"/>
        </w:rPr>
        <w:t xml:space="preserve"> does and does not </w:t>
      </w:r>
      <w:r w:rsidRPr="0048465B">
        <w:rPr>
          <w:lang w:val="en-GB"/>
        </w:rPr>
        <w:lastRenderedPageBreak/>
        <w:t>constitute antisemitism more generally, and therefore remains a practicable analysis regardless of the future of the BDS movement itself.</w:t>
      </w:r>
    </w:p>
    <w:p w14:paraId="7DD0F049" w14:textId="77777777" w:rsidR="00FC331F" w:rsidRPr="0048465B" w:rsidRDefault="00FC331F" w:rsidP="00FC331F">
      <w:pPr>
        <w:rPr>
          <w:lang w:val="en-GB"/>
        </w:rPr>
      </w:pPr>
    </w:p>
    <w:p w14:paraId="539F145C" w14:textId="47693DAD" w:rsidR="00FC331F" w:rsidRPr="0048465B" w:rsidRDefault="00FC331F" w:rsidP="00FC331F">
      <w:pPr>
        <w:rPr>
          <w:lang w:val="en-GB"/>
        </w:rPr>
      </w:pPr>
      <w:r w:rsidRPr="0048465B">
        <w:rPr>
          <w:lang w:val="en-GB"/>
        </w:rPr>
        <w:t>The BDS movement is based upon three core principles, each of which identifies the State of Israel, as opposed to Jewish people, as the entity it wishes to transform. BDS’s website explicitly mentions its opposition to antisemitism on its website, noting that ‘Progressive Jewish groups play an important role in the movement’.</w:t>
      </w:r>
      <w:r w:rsidRPr="0048465B">
        <w:rPr>
          <w:vertAlign w:val="superscript"/>
          <w:lang w:val="en-GB"/>
        </w:rPr>
        <w:footnoteReference w:id="668"/>
      </w:r>
      <w:r w:rsidRPr="0048465B">
        <w:rPr>
          <w:lang w:val="en-GB"/>
        </w:rPr>
        <w:t xml:space="preserve"> Dershowitz argues that ‘the BDS movement is featured on neo-Nazi, Holocaust denial and other overtly anti-Semitic websites’ as well as being supported by ‘some of the world’s most notorious haters such as [former grand wizard, neo-Nazi, and </w:t>
      </w:r>
      <w:proofErr w:type="spellStart"/>
      <w:r w:rsidRPr="0048465B">
        <w:rPr>
          <w:lang w:val="en-GB"/>
        </w:rPr>
        <w:t>antisemite</w:t>
      </w:r>
      <w:proofErr w:type="spellEnd"/>
      <w:r w:rsidRPr="0048465B">
        <w:rPr>
          <w:lang w:val="en-GB"/>
        </w:rPr>
        <w:t>] David Duke’.</w:t>
      </w:r>
      <w:r w:rsidR="00093B5F">
        <w:rPr>
          <w:rStyle w:val="FootnoteReference"/>
          <w:lang w:val="en-GB"/>
        </w:rPr>
        <w:footnoteReference w:id="669"/>
      </w:r>
      <w:r w:rsidRPr="0048465B">
        <w:rPr>
          <w:lang w:val="en-GB"/>
        </w:rPr>
        <w:t xml:space="preserve"> David Duke seems to be one of the aforementioned </w:t>
      </w:r>
      <w:proofErr w:type="spellStart"/>
      <w:r w:rsidRPr="0048465B">
        <w:rPr>
          <w:lang w:val="en-GB"/>
        </w:rPr>
        <w:t>antisemites</w:t>
      </w:r>
      <w:proofErr w:type="spellEnd"/>
      <w:r w:rsidRPr="0048465B">
        <w:rPr>
          <w:lang w:val="en-GB"/>
        </w:rPr>
        <w:t xml:space="preserve"> who thinly veil their prejudice as valid criticism, </w:t>
      </w:r>
      <w:r w:rsidR="00093B5F">
        <w:rPr>
          <w:lang w:val="en-GB"/>
        </w:rPr>
        <w:t xml:space="preserve">Duke, </w:t>
      </w:r>
      <w:r w:rsidRPr="0048465B">
        <w:rPr>
          <w:lang w:val="en-GB"/>
        </w:rPr>
        <w:t>in this case</w:t>
      </w:r>
      <w:r w:rsidR="00093B5F">
        <w:rPr>
          <w:lang w:val="en-GB"/>
        </w:rPr>
        <w:t>,</w:t>
      </w:r>
      <w:r w:rsidRPr="0048465B">
        <w:rPr>
          <w:lang w:val="en-GB"/>
        </w:rPr>
        <w:t xml:space="preserve"> using the BDS movement and criticism of Israel as a figurative Trojan horse for his antisemitic hatred of Jews. In such cases, BDS should make conscious efforts to both evict and denounce the support of anyone who is antisemitic, as seen with </w:t>
      </w:r>
      <w:r w:rsidR="00EA73FF">
        <w:rPr>
          <w:lang w:val="en-GB"/>
        </w:rPr>
        <w:t xml:space="preserve">BDS founder </w:t>
      </w:r>
      <w:r w:rsidRPr="0048465B">
        <w:rPr>
          <w:lang w:val="en-GB"/>
        </w:rPr>
        <w:t>Omar Barghouti’s disavowal of the antisemitic ostensibly pro-Palestine writings of Gilad Atzmon.</w:t>
      </w:r>
      <w:r w:rsidRPr="0048465B">
        <w:rPr>
          <w:vertAlign w:val="superscript"/>
          <w:lang w:val="en-GB"/>
        </w:rPr>
        <w:footnoteReference w:id="670"/>
      </w:r>
      <w:r w:rsidRPr="0048465B">
        <w:rPr>
          <w:vertAlign w:val="superscript"/>
          <w:lang w:val="en-GB"/>
        </w:rPr>
        <w:t xml:space="preserve"> </w:t>
      </w:r>
      <w:r w:rsidRPr="0048465B">
        <w:rPr>
          <w:lang w:val="en-GB"/>
        </w:rPr>
        <w:t xml:space="preserve">If such people truly supported the Palestinian cause rather than disapproving of Jewish existence, then they would understand that in aligning pro-Palestine rhetoric with antisemitism they fundamentally prolong Palestinian suffering. Every time a critic of Israel is found to be an </w:t>
      </w:r>
      <w:proofErr w:type="spellStart"/>
      <w:r w:rsidRPr="0048465B">
        <w:rPr>
          <w:lang w:val="en-GB"/>
        </w:rPr>
        <w:t>antisemite</w:t>
      </w:r>
      <w:proofErr w:type="spellEnd"/>
      <w:r w:rsidRPr="0048465B">
        <w:rPr>
          <w:lang w:val="en-GB"/>
        </w:rPr>
        <w:t>, the power of genuine criticism is impaired, the prospect of such criticisms having any tangible effect becomes more faint, and the injustices done to Palestinians continue.</w:t>
      </w:r>
    </w:p>
    <w:p w14:paraId="18DCE05F" w14:textId="77777777" w:rsidR="00FC331F" w:rsidRPr="0048465B" w:rsidRDefault="00FC331F" w:rsidP="00FC331F">
      <w:pPr>
        <w:rPr>
          <w:lang w:val="en-GB"/>
        </w:rPr>
      </w:pPr>
    </w:p>
    <w:p w14:paraId="6C9852E8" w14:textId="4C93F393" w:rsidR="00FC331F" w:rsidRPr="0048465B" w:rsidRDefault="00FC331F" w:rsidP="00FC331F">
      <w:pPr>
        <w:rPr>
          <w:lang w:val="en-GB"/>
        </w:rPr>
      </w:pPr>
      <w:r w:rsidRPr="0048465B">
        <w:rPr>
          <w:lang w:val="en-GB"/>
        </w:rPr>
        <w:t xml:space="preserve">The self-association of racists with a given movement, however, does not make that movement itself racist, and we should be wary of those who imply that such an equivalence exists. It is far more damning, for example, that the Likud party have willingly endorsed the likes of those such as Jacques Kupfer, who has described ‘Arab members of the Knesset as “terrorists” and “enemies of the state”, denied the existence of a Palestinian people, described ‘support for Palestinian rights </w:t>
      </w:r>
      <w:r w:rsidR="000C3FB4">
        <w:rPr>
          <w:lang w:val="en-GB"/>
        </w:rPr>
        <w:t>[… as …]</w:t>
      </w:r>
      <w:r w:rsidRPr="0048465B">
        <w:rPr>
          <w:lang w:val="en-GB"/>
        </w:rPr>
        <w:t xml:space="preserve"> a virus more dangerous than </w:t>
      </w:r>
      <w:r w:rsidRPr="002A0C87">
        <w:rPr>
          <w:sz w:val="20"/>
          <w:szCs w:val="20"/>
          <w:lang w:val="en-GB"/>
        </w:rPr>
        <w:t>COVID-19</w:t>
      </w:r>
      <w:r w:rsidRPr="0048465B">
        <w:rPr>
          <w:lang w:val="en-GB"/>
        </w:rPr>
        <w:t>’, and expressed support for ‘the annexation of the entire West Bank’.</w:t>
      </w:r>
      <w:r w:rsidRPr="0048465B">
        <w:rPr>
          <w:vertAlign w:val="superscript"/>
          <w:lang w:val="en-GB"/>
        </w:rPr>
        <w:footnoteReference w:id="671"/>
      </w:r>
      <w:r w:rsidRPr="0048465B">
        <w:rPr>
          <w:lang w:val="en-GB"/>
        </w:rPr>
        <w:t xml:space="preserve"> Yet, even with Likud’s willing engagement with Kupfer in the aftermath of such comments, such a connection alone is not enough to identify the Likud party in its entirety as a fundamentally racist entity. Such labels demand much more substantial evidence.</w:t>
      </w:r>
    </w:p>
    <w:p w14:paraId="2AB1898A" w14:textId="77777777" w:rsidR="00FC331F" w:rsidRPr="0048465B" w:rsidRDefault="00FC331F" w:rsidP="00FC331F">
      <w:pPr>
        <w:rPr>
          <w:lang w:val="en-GB"/>
        </w:rPr>
      </w:pPr>
    </w:p>
    <w:p w14:paraId="77F64553" w14:textId="62F4211F" w:rsidR="00FC331F" w:rsidRPr="0048465B" w:rsidRDefault="00FC331F" w:rsidP="00FC331F">
      <w:pPr>
        <w:rPr>
          <w:lang w:val="en-GB"/>
        </w:rPr>
      </w:pPr>
      <w:r w:rsidRPr="0048465B">
        <w:rPr>
          <w:lang w:val="en-GB"/>
        </w:rPr>
        <w:t xml:space="preserve">Such diligence should be similarly fundamental to accusations of antisemitism. However, Nathan Thrall, Senior Analyst at the International Crisis Group covering Israel, Gaza, and the West Bank, has observed the correlation between growing criticism of Israel and increased efforts to redefine antisemitism, </w:t>
      </w:r>
      <w:r w:rsidR="00391BB0">
        <w:rPr>
          <w:lang w:val="en-GB"/>
        </w:rPr>
        <w:t>noting how</w:t>
      </w:r>
      <w:r w:rsidRPr="0048465B">
        <w:rPr>
          <w:lang w:val="en-GB"/>
        </w:rPr>
        <w:t xml:space="preserve"> the ‘second intifada’ and ‘pre-BDS calls to boycott and divest from Israel’ led to the proposal of ‘a new definition of antisemitism that would equate criticisms of Israel with hatred of Jews’.</w:t>
      </w:r>
      <w:r w:rsidRPr="0048465B">
        <w:rPr>
          <w:vertAlign w:val="superscript"/>
          <w:lang w:val="en-GB"/>
        </w:rPr>
        <w:footnoteReference w:id="672"/>
      </w:r>
      <w:r w:rsidRPr="0048465B">
        <w:rPr>
          <w:lang w:val="en-GB"/>
        </w:rPr>
        <w:t xml:space="preserve"> Similarly, the U.S. State Department, prior to its adoption of the (still problematic) IHRA </w:t>
      </w:r>
      <w:r w:rsidR="00022BD8">
        <w:rPr>
          <w:lang w:val="en-GB"/>
        </w:rPr>
        <w:t>W</w:t>
      </w:r>
      <w:r w:rsidRPr="0048465B">
        <w:rPr>
          <w:lang w:val="en-GB"/>
        </w:rPr>
        <w:t xml:space="preserve">orking </w:t>
      </w:r>
      <w:r w:rsidR="00022BD8">
        <w:rPr>
          <w:lang w:val="en-GB"/>
        </w:rPr>
        <w:t>D</w:t>
      </w:r>
      <w:r w:rsidRPr="0048465B">
        <w:rPr>
          <w:lang w:val="en-GB"/>
        </w:rPr>
        <w:t xml:space="preserve">efinition of </w:t>
      </w:r>
      <w:r w:rsidR="00022BD8">
        <w:rPr>
          <w:lang w:val="en-GB"/>
        </w:rPr>
        <w:t>A</w:t>
      </w:r>
      <w:r w:rsidRPr="0048465B">
        <w:rPr>
          <w:lang w:val="en-GB"/>
        </w:rPr>
        <w:t xml:space="preserve">ntisemitism, adopted the ‘three D’ definition of Israel-centric antisemitism, based in demonising, delegitimising, and applying double standards to Israel, all of which it designated as antisemitic acts. According to this definition, ‘delegitimisation </w:t>
      </w:r>
      <w:r w:rsidRPr="0048465B">
        <w:rPr>
          <w:lang w:val="en-GB"/>
        </w:rPr>
        <w:lastRenderedPageBreak/>
        <w:t>includes “Denying the Jewish people their right to self-determination, and denying Israel the right to exist”’. Thrall observes that, within such parameters, ‘the view that Israel should be a state of all its citizens, with equal rights for Jews and non-Jews</w:t>
      </w:r>
      <w:r w:rsidR="000C3FB4">
        <w:rPr>
          <w:lang w:val="en-GB"/>
        </w:rPr>
        <w:t xml:space="preserve"> […] </w:t>
      </w:r>
      <w:r w:rsidRPr="0048465B">
        <w:rPr>
          <w:lang w:val="en-GB"/>
        </w:rPr>
        <w:t>is a form of delegitimisation and therefore antisemitic’,</w:t>
      </w:r>
      <w:r w:rsidRPr="0048465B">
        <w:rPr>
          <w:vertAlign w:val="superscript"/>
          <w:lang w:val="en-GB"/>
        </w:rPr>
        <w:footnoteReference w:id="673"/>
      </w:r>
      <w:r w:rsidRPr="0048465B">
        <w:rPr>
          <w:lang w:val="en-GB"/>
        </w:rPr>
        <w:t xml:space="preserve"> an allegation centred upon flawed logic that would appear equally valid based upon the IHRA </w:t>
      </w:r>
      <w:r w:rsidR="00022BD8">
        <w:rPr>
          <w:lang w:val="en-GB"/>
        </w:rPr>
        <w:t>W</w:t>
      </w:r>
      <w:r w:rsidRPr="0048465B">
        <w:rPr>
          <w:lang w:val="en-GB"/>
        </w:rPr>
        <w:t xml:space="preserve">orking </w:t>
      </w:r>
      <w:r w:rsidR="00022BD8">
        <w:rPr>
          <w:lang w:val="en-GB"/>
        </w:rPr>
        <w:t>D</w:t>
      </w:r>
      <w:r w:rsidRPr="0048465B">
        <w:rPr>
          <w:lang w:val="en-GB"/>
        </w:rPr>
        <w:t xml:space="preserve">efinition of </w:t>
      </w:r>
      <w:r w:rsidR="00022BD8">
        <w:rPr>
          <w:lang w:val="en-GB"/>
        </w:rPr>
        <w:t>A</w:t>
      </w:r>
      <w:r w:rsidRPr="0048465B">
        <w:rPr>
          <w:lang w:val="en-GB"/>
        </w:rPr>
        <w:t xml:space="preserve">ntisemitism. </w:t>
      </w:r>
    </w:p>
    <w:p w14:paraId="3DCE8B52" w14:textId="77777777" w:rsidR="00FC331F" w:rsidRPr="0048465B" w:rsidRDefault="00FC331F" w:rsidP="00FC331F">
      <w:pPr>
        <w:rPr>
          <w:lang w:val="en-GB"/>
        </w:rPr>
      </w:pPr>
    </w:p>
    <w:p w14:paraId="37C3A088" w14:textId="26EA2F43" w:rsidR="00FC331F" w:rsidRPr="0048465B" w:rsidRDefault="00FC331F" w:rsidP="00FC331F">
      <w:pPr>
        <w:rPr>
          <w:lang w:val="en-GB"/>
        </w:rPr>
      </w:pPr>
      <w:r w:rsidRPr="0048465B">
        <w:rPr>
          <w:lang w:val="en-GB"/>
        </w:rPr>
        <w:t xml:space="preserve">Confronting the exclusivity of Jewish self-determination that exists in Israel today cannot be antisemitic, because such confrontations are rooted not in the belief that Jewish self-determination is objectionable, but in the belief that the segregation of self-determination </w:t>
      </w:r>
      <w:r w:rsidR="00391BB0">
        <w:rPr>
          <w:lang w:val="en-GB"/>
        </w:rPr>
        <w:t>–</w:t>
      </w:r>
      <w:r w:rsidRPr="0048465B">
        <w:rPr>
          <w:lang w:val="en-GB"/>
        </w:rPr>
        <w:t xml:space="preserve"> regardless of the parties involved </w:t>
      </w:r>
      <w:r w:rsidR="00391BB0">
        <w:rPr>
          <w:lang w:val="en-GB"/>
        </w:rPr>
        <w:t>–</w:t>
      </w:r>
      <w:r w:rsidRPr="0048465B">
        <w:rPr>
          <w:lang w:val="en-GB"/>
        </w:rPr>
        <w:t xml:space="preserve"> is unethical. In early 2020, the </w:t>
      </w:r>
      <w:r w:rsidRPr="00022BD8">
        <w:rPr>
          <w:i/>
          <w:iCs/>
          <w:lang w:val="en-GB"/>
        </w:rPr>
        <w:t>Harvard Law Review</w:t>
      </w:r>
      <w:r w:rsidRPr="0048465B">
        <w:rPr>
          <w:lang w:val="en-GB"/>
        </w:rPr>
        <w:t xml:space="preserve"> (</w:t>
      </w:r>
      <w:r w:rsidRPr="00022BD8">
        <w:rPr>
          <w:i/>
          <w:iCs/>
          <w:lang w:val="en-GB"/>
        </w:rPr>
        <w:t>HLR</w:t>
      </w:r>
      <w:r w:rsidRPr="0048465B">
        <w:rPr>
          <w:lang w:val="en-GB"/>
        </w:rPr>
        <w:t xml:space="preserve">) wrote an in-depth analysis of the accusations of antisemitism levied against the BDS movement, and assessed their validity. The review notes that ‘“The key for Israel </w:t>
      </w:r>
      <w:r w:rsidR="000C3FB4">
        <w:rPr>
          <w:lang w:val="en-GB"/>
        </w:rPr>
        <w:t xml:space="preserve">[… </w:t>
      </w:r>
      <w:r w:rsidRPr="0048465B">
        <w:rPr>
          <w:lang w:val="en-GB"/>
        </w:rPr>
        <w:t>in terms of minimising criticism of its policies</w:t>
      </w:r>
      <w:r w:rsidR="000C3FB4">
        <w:rPr>
          <w:lang w:val="en-GB"/>
        </w:rPr>
        <w:t xml:space="preserve"> …] </w:t>
      </w:r>
      <w:r w:rsidRPr="0048465B">
        <w:rPr>
          <w:lang w:val="en-GB"/>
        </w:rPr>
        <w:t xml:space="preserve">was winning the hearts and minds of centrist liberals and progressives abroad”’, a strategy which necessitated the reclamation of ‘the moral high ground by </w:t>
      </w:r>
      <w:proofErr w:type="spellStart"/>
      <w:r w:rsidRPr="0048465B">
        <w:rPr>
          <w:lang w:val="en-GB"/>
        </w:rPr>
        <w:t>labeling</w:t>
      </w:r>
      <w:proofErr w:type="spellEnd"/>
      <w:r w:rsidRPr="0048465B">
        <w:rPr>
          <w:lang w:val="en-GB"/>
        </w:rPr>
        <w:t xml:space="preserve"> BDS efforts anti-Semitic’. It is this pressure, rather than antisemitic content within BDS’ protest, that has led to ‘all but nine’ U.S. states adopting ‘anti-BDS measures’. The </w:t>
      </w:r>
      <w:r w:rsidRPr="00022BD8">
        <w:rPr>
          <w:i/>
          <w:iCs/>
          <w:lang w:val="en-GB"/>
        </w:rPr>
        <w:t>HLR</w:t>
      </w:r>
      <w:r w:rsidRPr="0048465B">
        <w:rPr>
          <w:lang w:val="en-GB"/>
        </w:rPr>
        <w:t xml:space="preserve"> states that accusations of antisemitism within BDS are generally in line with the complaint that it ‘“doesn’t pass the anti-Semitism smell test”; supporters feed anti-Semitic stereotypes and single out the world’s only Jewish state </w:t>
      </w:r>
      <w:r w:rsidR="002B3786">
        <w:rPr>
          <w:lang w:val="en-GB"/>
        </w:rPr>
        <w:t>–</w:t>
      </w:r>
      <w:r w:rsidRPr="0048465B">
        <w:rPr>
          <w:lang w:val="en-GB"/>
        </w:rPr>
        <w:t xml:space="preserve"> a democracy </w:t>
      </w:r>
      <w:r w:rsidR="002B3786">
        <w:rPr>
          <w:lang w:val="en-GB"/>
        </w:rPr>
        <w:t>–</w:t>
      </w:r>
      <w:r w:rsidRPr="0048465B">
        <w:rPr>
          <w:lang w:val="en-GB"/>
        </w:rPr>
        <w:t xml:space="preserve"> “for the most exacting scrutiny,” while ignoring worse human rights abuses elsewhere’.</w:t>
      </w:r>
      <w:r w:rsidRPr="0048465B">
        <w:rPr>
          <w:vertAlign w:val="superscript"/>
          <w:lang w:val="en-GB"/>
        </w:rPr>
        <w:footnoteReference w:id="674"/>
      </w:r>
      <w:r w:rsidRPr="0048465B">
        <w:rPr>
          <w:lang w:val="en-GB"/>
        </w:rPr>
        <w:t xml:space="preserve"> Whilst the depiction of pro-Palestinian advocates as antisemitic is by no means a new development within staunchly pro-Israel discourse, the legalisation of this claim is a </w:t>
      </w:r>
      <w:r w:rsidRPr="0048465B">
        <w:rPr>
          <w:lang w:val="en-GB"/>
        </w:rPr>
        <w:lastRenderedPageBreak/>
        <w:t xml:space="preserve">modern development, one that has taken effect most widely in the U.S. but is becoming </w:t>
      </w:r>
      <w:r w:rsidR="00022BD8">
        <w:rPr>
          <w:lang w:val="en-GB"/>
        </w:rPr>
        <w:t>increasingly</w:t>
      </w:r>
      <w:r w:rsidRPr="0048465B">
        <w:rPr>
          <w:lang w:val="en-GB"/>
        </w:rPr>
        <w:t xml:space="preserve"> prevalent in other countries also. </w:t>
      </w:r>
    </w:p>
    <w:p w14:paraId="66F24FC7" w14:textId="77777777" w:rsidR="00FC331F" w:rsidRPr="0048465B" w:rsidRDefault="00FC331F" w:rsidP="00FC331F">
      <w:pPr>
        <w:rPr>
          <w:lang w:val="en-GB"/>
        </w:rPr>
      </w:pPr>
    </w:p>
    <w:p w14:paraId="78EB8558" w14:textId="0123EA4C" w:rsidR="00FC331F" w:rsidRPr="0048465B" w:rsidRDefault="00FC331F" w:rsidP="00FC331F">
      <w:pPr>
        <w:rPr>
          <w:lang w:val="en-GB"/>
        </w:rPr>
      </w:pPr>
      <w:r w:rsidRPr="0048465B">
        <w:rPr>
          <w:lang w:val="en-GB"/>
        </w:rPr>
        <w:t xml:space="preserve">The </w:t>
      </w:r>
      <w:r w:rsidRPr="00022BD8">
        <w:rPr>
          <w:i/>
          <w:iCs/>
          <w:lang w:val="en-GB"/>
        </w:rPr>
        <w:t>HLR</w:t>
      </w:r>
      <w:r w:rsidRPr="0048465B">
        <w:rPr>
          <w:lang w:val="en-GB"/>
        </w:rPr>
        <w:t xml:space="preserve"> notes a number of legal approaches that have been taken in order to align BDS with antisemitism. First is the case of Airbnb, which was met with four lawsuits upon its de-listing of rentals in the occupied West Bank settlements, and consequently reversed its position, stating that it has ‘“always opposed the BDS movement”’. Secondly, complaints ‘filed against universities[,] alleging that Palestine-related events harassed, targeted, or “create[d] a ‘hostile educational environment’ for Jewish students”’. Despite previously having been ‘dismissed</w:t>
      </w:r>
      <w:r w:rsidR="000C3FB4">
        <w:rPr>
          <w:lang w:val="en-GB"/>
        </w:rPr>
        <w:t xml:space="preserve"> […] </w:t>
      </w:r>
      <w:r w:rsidRPr="0048465B">
        <w:rPr>
          <w:lang w:val="en-GB"/>
        </w:rPr>
        <w:t xml:space="preserve">for lack of legal merit’, such cases stifle pro-Palestine speech through a mixture of ‘“bad publicity” and “getting [students] caught up in a civil rights complaint”’. Thirdly, the formal redefinition of antisemitism, regarding which the </w:t>
      </w:r>
      <w:r w:rsidRPr="00022BD8">
        <w:rPr>
          <w:i/>
          <w:iCs/>
          <w:lang w:val="en-GB"/>
        </w:rPr>
        <w:t>HLR</w:t>
      </w:r>
      <w:r w:rsidRPr="0048465B">
        <w:rPr>
          <w:lang w:val="en-GB"/>
        </w:rPr>
        <w:t xml:space="preserve"> notes the aforementioned U.S. State Department’s adoption, between 2010 and 2017, of the three D’s definition of antisemitism. These three approaches have transformed what the </w:t>
      </w:r>
      <w:r w:rsidRPr="00022BD8">
        <w:rPr>
          <w:i/>
          <w:iCs/>
          <w:lang w:val="en-GB"/>
        </w:rPr>
        <w:t>HLR</w:t>
      </w:r>
      <w:r w:rsidRPr="0048465B">
        <w:rPr>
          <w:lang w:val="en-GB"/>
        </w:rPr>
        <w:t xml:space="preserve"> describes as ‘anti-Zionism’ </w:t>
      </w:r>
      <w:r w:rsidR="00022BD8">
        <w:rPr>
          <w:lang w:val="en-GB"/>
        </w:rPr>
        <w:t>–</w:t>
      </w:r>
      <w:r w:rsidRPr="0048465B">
        <w:rPr>
          <w:lang w:val="en-GB"/>
        </w:rPr>
        <w:t xml:space="preserve"> </w:t>
      </w:r>
      <w:r w:rsidR="00022BD8">
        <w:rPr>
          <w:lang w:val="en-GB"/>
        </w:rPr>
        <w:t xml:space="preserve">in this context, </w:t>
      </w:r>
      <w:r w:rsidRPr="0048465B">
        <w:rPr>
          <w:lang w:val="en-GB"/>
        </w:rPr>
        <w:t xml:space="preserve">resistance to the idea that Israel be a land for Jews alone </w:t>
      </w:r>
      <w:r w:rsidR="002B3786">
        <w:rPr>
          <w:lang w:val="en-GB"/>
        </w:rPr>
        <w:t>–</w:t>
      </w:r>
      <w:r w:rsidRPr="0048465B">
        <w:rPr>
          <w:lang w:val="en-GB"/>
        </w:rPr>
        <w:t xml:space="preserve"> into something that is presented as ‘</w:t>
      </w:r>
      <w:proofErr w:type="spellStart"/>
      <w:r w:rsidRPr="0048465B">
        <w:rPr>
          <w:lang w:val="en-GB"/>
        </w:rPr>
        <w:t>constitut</w:t>
      </w:r>
      <w:proofErr w:type="spellEnd"/>
      <w:r w:rsidRPr="0048465B">
        <w:rPr>
          <w:lang w:val="en-GB"/>
        </w:rPr>
        <w:t>[</w:t>
      </w:r>
      <w:proofErr w:type="spellStart"/>
      <w:r w:rsidRPr="0048465B">
        <w:rPr>
          <w:lang w:val="en-GB"/>
        </w:rPr>
        <w:t>ing</w:t>
      </w:r>
      <w:proofErr w:type="spellEnd"/>
      <w:r w:rsidRPr="0048465B">
        <w:rPr>
          <w:lang w:val="en-GB"/>
        </w:rPr>
        <w:t>] religious and nation-origin discrimination’, not just in terms of rhetoric, but in terms of law.</w:t>
      </w:r>
      <w:r w:rsidRPr="0048465B">
        <w:rPr>
          <w:vertAlign w:val="superscript"/>
          <w:lang w:val="en-GB"/>
        </w:rPr>
        <w:footnoteReference w:id="675"/>
      </w:r>
    </w:p>
    <w:p w14:paraId="7E676B10" w14:textId="77777777" w:rsidR="00FC331F" w:rsidRPr="0048465B" w:rsidRDefault="00FC331F" w:rsidP="00FC331F">
      <w:pPr>
        <w:rPr>
          <w:lang w:val="en-GB"/>
        </w:rPr>
      </w:pPr>
    </w:p>
    <w:p w14:paraId="60834CCE" w14:textId="11D4D0AE" w:rsidR="00FC331F" w:rsidRPr="0048465B" w:rsidRDefault="00FC331F" w:rsidP="00FC331F">
      <w:pPr>
        <w:rPr>
          <w:lang w:val="en-GB"/>
        </w:rPr>
      </w:pPr>
      <w:r w:rsidRPr="0048465B">
        <w:rPr>
          <w:lang w:val="en-GB"/>
        </w:rPr>
        <w:t xml:space="preserve">Despite such legal impositions on free speech, ‘federal courts that have ruled on this matter have concluded that BDS is constitutionally protected expression’, and have dictated that anti-BDS laws are largely indefensible. Moreover, the overprescribed character of anti-BDS law itself exposes its unjustifiability, with the </w:t>
      </w:r>
      <w:r w:rsidRPr="00022BD8">
        <w:rPr>
          <w:i/>
          <w:iCs/>
          <w:lang w:val="en-GB"/>
        </w:rPr>
        <w:t>HLR</w:t>
      </w:r>
      <w:r w:rsidRPr="0048465B">
        <w:rPr>
          <w:lang w:val="en-GB"/>
        </w:rPr>
        <w:t xml:space="preserve"> arguing that if such laws were truly shaped in order to ‘root out religion and national-origin discrimination by state contractors engaged in boycotts’ then they are </w:t>
      </w:r>
      <w:r w:rsidRPr="0048465B">
        <w:rPr>
          <w:lang w:val="en-GB"/>
        </w:rPr>
        <w:lastRenderedPageBreak/>
        <w:t xml:space="preserve">peculiarly underinclusive in that they ‘apply only to discrimination against Israelis’, whilst being overinclusive ‘by prohibiting not just boycotts of Israel that are deemed discriminatory [specifically] but all boycotts of Israeli goods, even absent a finding of discrimination’. The underinclusiveness of Texas’s anti-BDS law specifically, when under court review, raised, ‘serious doubts about whether the government </w:t>
      </w:r>
      <w:r w:rsidR="002B3786">
        <w:rPr>
          <w:lang w:val="en-GB"/>
        </w:rPr>
        <w:t>[</w:t>
      </w:r>
      <w:proofErr w:type="spellStart"/>
      <w:r w:rsidR="002B3786">
        <w:rPr>
          <w:lang w:val="en-GB"/>
        </w:rPr>
        <w:t>wa</w:t>
      </w:r>
      <w:proofErr w:type="spellEnd"/>
      <w:r w:rsidR="002B3786">
        <w:rPr>
          <w:lang w:val="en-GB"/>
        </w:rPr>
        <w:t>]</w:t>
      </w:r>
      <w:r w:rsidRPr="0048465B">
        <w:rPr>
          <w:lang w:val="en-GB"/>
        </w:rPr>
        <w:t xml:space="preserve">s in fact pursuing the interest it invokes, rather than </w:t>
      </w:r>
      <w:proofErr w:type="spellStart"/>
      <w:r w:rsidRPr="0048465B">
        <w:rPr>
          <w:lang w:val="en-GB"/>
        </w:rPr>
        <w:t>disfavoring</w:t>
      </w:r>
      <w:proofErr w:type="spellEnd"/>
      <w:r w:rsidRPr="0048465B">
        <w:rPr>
          <w:lang w:val="en-GB"/>
        </w:rPr>
        <w:t xml:space="preserve"> a particular speaker or viewpoint’, depicting the anti-BDS bills as those intended to stifle ‘a </w:t>
      </w:r>
      <w:proofErr w:type="spellStart"/>
      <w:r w:rsidRPr="0048465B">
        <w:rPr>
          <w:lang w:val="en-GB"/>
        </w:rPr>
        <w:t>disfavored</w:t>
      </w:r>
      <w:proofErr w:type="spellEnd"/>
      <w:r w:rsidRPr="0048465B">
        <w:rPr>
          <w:lang w:val="en-GB"/>
        </w:rPr>
        <w:t xml:space="preserve"> political movement’ rather than genuinely stem antisemitism.</w:t>
      </w:r>
      <w:r w:rsidRPr="0048465B">
        <w:rPr>
          <w:vertAlign w:val="superscript"/>
          <w:lang w:val="en-GB"/>
        </w:rPr>
        <w:footnoteReference w:id="676"/>
      </w:r>
    </w:p>
    <w:p w14:paraId="28266EC0" w14:textId="77777777" w:rsidR="00FC331F" w:rsidRPr="0048465B" w:rsidRDefault="00FC331F" w:rsidP="00FC331F">
      <w:pPr>
        <w:rPr>
          <w:lang w:val="en-GB"/>
        </w:rPr>
      </w:pPr>
    </w:p>
    <w:p w14:paraId="65739583" w14:textId="3F08B232" w:rsidR="00FC331F" w:rsidRPr="0048465B" w:rsidRDefault="00FC331F" w:rsidP="00FC331F">
      <w:pPr>
        <w:rPr>
          <w:lang w:val="en-GB"/>
        </w:rPr>
      </w:pPr>
      <w:r w:rsidRPr="0048465B">
        <w:rPr>
          <w:lang w:val="en-GB"/>
        </w:rPr>
        <w:t xml:space="preserve">The key point within this analysis, and one that remains constant in all scenarios where an accusation of antisemitism is made, is that in order for criticism of Israel to be antisemitic there has to be ‘discriminatory intent toward Jewish or Israeli individuals’. The </w:t>
      </w:r>
      <w:r w:rsidRPr="000B2EDF">
        <w:rPr>
          <w:i/>
          <w:iCs/>
          <w:lang w:val="en-GB"/>
        </w:rPr>
        <w:t>HLR</w:t>
      </w:r>
      <w:r w:rsidRPr="0048465B">
        <w:rPr>
          <w:lang w:val="en-GB"/>
        </w:rPr>
        <w:t xml:space="preserve"> found ‘no direct evidence’ of BDS being guilty of such intent, and further found that ‘[n]either BDS’s conduct nor statements are facially [visibly] discriminatory’. When assessing the suitability of a business for boycott, BDS look at their ‘complicity in Israel’s human rights violations, [as well as the] potential for cross-movement solidarity, media appeal, and likelihood of success’. They do not look at ‘national origin or religious identity’. Suggestions that BDS want Israel to be destroyed, or that BDS will not accept an Israeli state in any shape or form, make the mistake of confusing Jewish</w:t>
      </w:r>
      <w:r w:rsidR="002B3786">
        <w:rPr>
          <w:lang w:val="en-GB"/>
        </w:rPr>
        <w:t>ness</w:t>
      </w:r>
      <w:r w:rsidRPr="0048465B">
        <w:rPr>
          <w:lang w:val="en-GB"/>
        </w:rPr>
        <w:t xml:space="preserve"> with Jewish</w:t>
      </w:r>
      <w:r w:rsidR="002B3786">
        <w:rPr>
          <w:lang w:val="en-GB"/>
        </w:rPr>
        <w:t xml:space="preserve"> exclusivity</w:t>
      </w:r>
      <w:r w:rsidRPr="0048465B">
        <w:rPr>
          <w:lang w:val="en-GB"/>
        </w:rPr>
        <w:t xml:space="preserve">. The </w:t>
      </w:r>
      <w:r w:rsidRPr="000B2EDF">
        <w:rPr>
          <w:i/>
          <w:iCs/>
          <w:lang w:val="en-GB"/>
        </w:rPr>
        <w:t>HLR</w:t>
      </w:r>
      <w:r w:rsidRPr="0048465B">
        <w:rPr>
          <w:lang w:val="en-GB"/>
        </w:rPr>
        <w:t xml:space="preserve"> describes anti-Zionism as ‘a political ideology that opposes Jewish ethno-nationalism’ and states that equating anti-Zionism with antisemitism requires ‘a logical leap that defeats finding direct evidence of religious discrimination’. Yet this definition not only </w:t>
      </w:r>
      <w:r w:rsidR="0010110D">
        <w:rPr>
          <w:lang w:val="en-GB"/>
        </w:rPr>
        <w:t xml:space="preserve">places insufficient emphasis on the </w:t>
      </w:r>
      <w:r w:rsidR="000B2EDF">
        <w:rPr>
          <w:lang w:val="en-GB"/>
        </w:rPr>
        <w:t>exclusivity</w:t>
      </w:r>
      <w:r w:rsidR="0010110D">
        <w:rPr>
          <w:lang w:val="en-GB"/>
        </w:rPr>
        <w:t xml:space="preserve"> inherent in Jewish-ethnonationalism within Israel specifically, but also </w:t>
      </w:r>
      <w:r w:rsidR="002B3786">
        <w:rPr>
          <w:lang w:val="en-GB"/>
        </w:rPr>
        <w:t xml:space="preserve">both </w:t>
      </w:r>
      <w:r w:rsidR="0010110D">
        <w:rPr>
          <w:lang w:val="en-GB"/>
        </w:rPr>
        <w:t>overlooks</w:t>
      </w:r>
      <w:r w:rsidR="000B2EDF">
        <w:rPr>
          <w:lang w:val="en-GB"/>
        </w:rPr>
        <w:t xml:space="preserve"> </w:t>
      </w:r>
      <w:r w:rsidR="0010110D">
        <w:rPr>
          <w:lang w:val="en-GB"/>
        </w:rPr>
        <w:t>the</w:t>
      </w:r>
      <w:r w:rsidRPr="0048465B">
        <w:rPr>
          <w:lang w:val="en-GB"/>
        </w:rPr>
        <w:t xml:space="preserve"> colonial aspects of anti-</w:t>
      </w:r>
      <w:r w:rsidRPr="0048465B">
        <w:rPr>
          <w:lang w:val="en-GB"/>
        </w:rPr>
        <w:lastRenderedPageBreak/>
        <w:t xml:space="preserve">Zionism, </w:t>
      </w:r>
      <w:r w:rsidR="0010110D">
        <w:rPr>
          <w:lang w:val="en-GB"/>
        </w:rPr>
        <w:t>and fails</w:t>
      </w:r>
      <w:r w:rsidRPr="0048465B">
        <w:rPr>
          <w:lang w:val="en-GB"/>
        </w:rPr>
        <w:t xml:space="preserve"> </w:t>
      </w:r>
      <w:r w:rsidR="0010110D">
        <w:rPr>
          <w:lang w:val="en-GB"/>
        </w:rPr>
        <w:t>to</w:t>
      </w:r>
      <w:r w:rsidRPr="0048465B">
        <w:rPr>
          <w:lang w:val="en-GB"/>
        </w:rPr>
        <w:t xml:space="preserve"> take the specific nature of BDS’ demands into consideration. Opposition to Jewish ethno-nationalism, as a principle, could be perceived as antisemitic since it does not clearly reference the problem as being with the exclusivity of claims to self-determination. It is in a similar vein that Dershowitz accuses Omar Barghouti of being opposed to Israel’s existence altogether, due to </w:t>
      </w:r>
      <w:r w:rsidR="006779F4" w:rsidRPr="0048465B">
        <w:rPr>
          <w:lang w:val="en-GB"/>
        </w:rPr>
        <w:t>Barghouti’s</w:t>
      </w:r>
      <w:r w:rsidRPr="0048465B">
        <w:rPr>
          <w:lang w:val="en-GB"/>
        </w:rPr>
        <w:t xml:space="preserve"> opposition to ‘Israel’s right to exist as the nation state of Jewish people’.</w:t>
      </w:r>
      <w:r w:rsidR="0010110D">
        <w:rPr>
          <w:rStyle w:val="FootnoteReference"/>
          <w:lang w:val="en-GB"/>
        </w:rPr>
        <w:footnoteReference w:id="677"/>
      </w:r>
      <w:r w:rsidRPr="0048465B">
        <w:rPr>
          <w:lang w:val="en-GB"/>
        </w:rPr>
        <w:t xml:space="preserve"> Yet, it is the exclusivity of Jewish ethno-nationalist rights within Israel, and the connections between Israeli</w:t>
      </w:r>
      <w:r w:rsidR="00B45635">
        <w:rPr>
          <w:lang w:val="en-GB"/>
        </w:rPr>
        <w:t xml:space="preserve"> </w:t>
      </w:r>
      <w:r w:rsidRPr="0048465B">
        <w:rPr>
          <w:lang w:val="en-GB"/>
        </w:rPr>
        <w:t xml:space="preserve">Jewish self-determination and Israeli colonial rule over Palestinians, that stimulates criticism of Israel, not the Jewish nature of the state alone. </w:t>
      </w:r>
    </w:p>
    <w:p w14:paraId="1E3BB3A9" w14:textId="77777777" w:rsidR="00FC331F" w:rsidRPr="0048465B" w:rsidRDefault="00FC331F" w:rsidP="00FC331F">
      <w:pPr>
        <w:rPr>
          <w:lang w:val="en-GB"/>
        </w:rPr>
      </w:pPr>
    </w:p>
    <w:p w14:paraId="7368118A" w14:textId="7735CA47" w:rsidR="00FC331F" w:rsidRPr="0048465B" w:rsidRDefault="00FC331F" w:rsidP="00FC331F">
      <w:pPr>
        <w:rPr>
          <w:lang w:val="en-GB"/>
        </w:rPr>
      </w:pPr>
      <w:r w:rsidRPr="0048465B">
        <w:rPr>
          <w:lang w:val="en-GB"/>
        </w:rPr>
        <w:t>Yet</w:t>
      </w:r>
      <w:r w:rsidR="0010110D">
        <w:rPr>
          <w:lang w:val="en-GB"/>
        </w:rPr>
        <w:t>,</w:t>
      </w:r>
      <w:r w:rsidRPr="0048465B">
        <w:rPr>
          <w:lang w:val="en-GB"/>
        </w:rPr>
        <w:t xml:space="preserve"> whilst criticisms such as Barghouti’s are not antisemitic, the necessary critical focus on the exclusivist ethno-religious character of Israel </w:t>
      </w:r>
      <w:r w:rsidR="006C1D55">
        <w:rPr>
          <w:lang w:val="en-GB"/>
        </w:rPr>
        <w:t>–</w:t>
      </w:r>
      <w:r w:rsidRPr="0048465B">
        <w:rPr>
          <w:lang w:val="en-GB"/>
        </w:rPr>
        <w:t xml:space="preserve"> which happens to be Jewish, but would</w:t>
      </w:r>
      <w:r w:rsidR="003C28AB">
        <w:rPr>
          <w:lang w:val="en-GB"/>
        </w:rPr>
        <w:t xml:space="preserve"> be</w:t>
      </w:r>
      <w:r w:rsidRPr="0048465B">
        <w:rPr>
          <w:lang w:val="en-GB"/>
        </w:rPr>
        <w:t xml:space="preserve"> equally worthy of criticism if it were Christian, Hindu, or </w:t>
      </w:r>
      <w:r w:rsidR="003D09A3">
        <w:rPr>
          <w:lang w:val="en-GB"/>
        </w:rPr>
        <w:t>Sikh</w:t>
      </w:r>
      <w:r w:rsidR="003D09A3" w:rsidRPr="0048465B">
        <w:rPr>
          <w:lang w:val="en-GB"/>
        </w:rPr>
        <w:t xml:space="preserve"> </w:t>
      </w:r>
      <w:r w:rsidR="006C1D55">
        <w:rPr>
          <w:lang w:val="en-GB"/>
        </w:rPr>
        <w:t>–</w:t>
      </w:r>
      <w:r w:rsidRPr="0048465B">
        <w:rPr>
          <w:lang w:val="en-GB"/>
        </w:rPr>
        <w:t xml:space="preserve"> transforms the criticism in the minds of many who hear it into an attack on Jewish identity specifically. The criticism is thus reframed as one that first and foremost opposes Israel’s ‘existence’ or seeks its ‘elimination’, provoking intense fear and anxiety, before </w:t>
      </w:r>
      <w:r w:rsidR="006C1D55">
        <w:rPr>
          <w:lang w:val="en-GB"/>
        </w:rPr>
        <w:t>–</w:t>
      </w:r>
      <w:r w:rsidRPr="0048465B">
        <w:rPr>
          <w:lang w:val="en-GB"/>
        </w:rPr>
        <w:t xml:space="preserve"> </w:t>
      </w:r>
      <w:r w:rsidR="006C1D55">
        <w:rPr>
          <w:lang w:val="en-GB"/>
        </w:rPr>
        <w:t xml:space="preserve">only </w:t>
      </w:r>
      <w:r w:rsidRPr="0048465B">
        <w:rPr>
          <w:lang w:val="en-GB"/>
        </w:rPr>
        <w:t xml:space="preserve">sometimes </w:t>
      </w:r>
      <w:r w:rsidR="006C1D55">
        <w:rPr>
          <w:lang w:val="en-GB"/>
        </w:rPr>
        <w:t>–</w:t>
      </w:r>
      <w:r w:rsidRPr="0048465B">
        <w:rPr>
          <w:lang w:val="en-GB"/>
        </w:rPr>
        <w:t xml:space="preserve"> including the qualifier that it is legally enforced Jewish </w:t>
      </w:r>
      <w:r w:rsidR="006779F4" w:rsidRPr="0048465B">
        <w:rPr>
          <w:lang w:val="en-GB"/>
        </w:rPr>
        <w:t>pre-eminence</w:t>
      </w:r>
      <w:r w:rsidRPr="0048465B">
        <w:rPr>
          <w:lang w:val="en-GB"/>
        </w:rPr>
        <w:t xml:space="preserve"> </w:t>
      </w:r>
      <w:r w:rsidRPr="006C1D55">
        <w:rPr>
          <w:i/>
          <w:iCs/>
          <w:lang w:val="en-GB"/>
        </w:rPr>
        <w:t>within</w:t>
      </w:r>
      <w:r w:rsidRPr="0048465B">
        <w:rPr>
          <w:lang w:val="en-GB"/>
        </w:rPr>
        <w:t xml:space="preserve"> the Israeli state</w:t>
      </w:r>
      <w:r w:rsidR="006C1D55">
        <w:rPr>
          <w:lang w:val="en-GB"/>
        </w:rPr>
        <w:t>, rather than the Israeli state itself,</w:t>
      </w:r>
      <w:r w:rsidRPr="0048465B">
        <w:rPr>
          <w:lang w:val="en-GB"/>
        </w:rPr>
        <w:t xml:space="preserve"> that BDS calls for the end of. </w:t>
      </w:r>
      <w:r w:rsidR="006C1D55">
        <w:rPr>
          <w:lang w:val="en-GB"/>
        </w:rPr>
        <w:t>Such</w:t>
      </w:r>
      <w:r w:rsidRPr="0048465B">
        <w:rPr>
          <w:lang w:val="en-GB"/>
        </w:rPr>
        <w:t xml:space="preserve"> criticisms are complicated, however, by the fact that the BDS movement lacks a practical political program for such demands to sit within. Whilst the existence of such a plan is not necessary in order for the criticism itself to be valid, the absence of a blueprint for how Israel might exist thereafter overlooks the legitimacy of </w:t>
      </w:r>
      <w:r w:rsidR="0010110D">
        <w:rPr>
          <w:lang w:val="en-GB"/>
        </w:rPr>
        <w:t>Jewish</w:t>
      </w:r>
      <w:r w:rsidR="00BC374E">
        <w:rPr>
          <w:lang w:val="en-GB"/>
        </w:rPr>
        <w:t xml:space="preserve"> </w:t>
      </w:r>
      <w:r w:rsidRPr="0048465B">
        <w:rPr>
          <w:lang w:val="en-GB"/>
        </w:rPr>
        <w:t xml:space="preserve">Israeli concerns regarding the manner in which Jewish life would continue in an Israeli state divorced of its ethno-religious character. </w:t>
      </w:r>
      <w:r w:rsidR="0010110D">
        <w:rPr>
          <w:lang w:val="en-GB"/>
        </w:rPr>
        <w:t>For</w:t>
      </w:r>
      <w:r w:rsidRPr="0048465B">
        <w:rPr>
          <w:lang w:val="en-GB"/>
        </w:rPr>
        <w:t xml:space="preserve"> those who most strongly associate Israel’s Jewish essence with the safe haven that it provides, the end </w:t>
      </w:r>
      <w:r w:rsidRPr="0048465B">
        <w:rPr>
          <w:lang w:val="en-GB"/>
        </w:rPr>
        <w:lastRenderedPageBreak/>
        <w:t xml:space="preserve">of Israel as a Jewish state would undermine its existence altogether. Such concerns cannot simply be cast aside or painted as illegitimate. For a state made up of the religious, cultural, and literal inheritors of Holocaust suffering, enforced revisions to Jewish control are understandably likely to cause concern and anxiety, especially when situated outside of a clear and coherent structure. </w:t>
      </w:r>
    </w:p>
    <w:p w14:paraId="7A75CF58" w14:textId="77777777" w:rsidR="00FC331F" w:rsidRPr="0048465B" w:rsidRDefault="00FC331F" w:rsidP="00FC331F">
      <w:pPr>
        <w:rPr>
          <w:lang w:val="en-GB"/>
        </w:rPr>
      </w:pPr>
    </w:p>
    <w:p w14:paraId="14A058AF" w14:textId="76F48C41" w:rsidR="00FC331F" w:rsidRPr="0048465B" w:rsidRDefault="00FC331F" w:rsidP="00FC331F">
      <w:pPr>
        <w:rPr>
          <w:lang w:val="en-GB"/>
        </w:rPr>
      </w:pPr>
      <w:r w:rsidRPr="0048465B">
        <w:rPr>
          <w:lang w:val="en-GB"/>
        </w:rPr>
        <w:t xml:space="preserve">The absence of such a </w:t>
      </w:r>
      <w:r w:rsidR="00BD11B0">
        <w:rPr>
          <w:lang w:val="en-GB"/>
        </w:rPr>
        <w:t>plan</w:t>
      </w:r>
      <w:r w:rsidRPr="0048465B">
        <w:rPr>
          <w:lang w:val="en-GB"/>
        </w:rPr>
        <w:t xml:space="preserve"> is one of BDS’ greatest weaknesses, yet the call for Israeli transformation remains imperative if Israel is to become a democratic state with equal rights for all its citizens. This call necessitates a number of changes to Israeli policy that would fundamentally transform Israel from a State for Jews, where Jews alone have the right to self-determination, into a democratic nation where Jewish citizens would not be civically superior, and where a Jewish majority would no longer be a certainty. Such a transformation demands the abandonment of the systemic injustices that have maintained Israel’s security for decades, and requires bravery and courage from Israeli citizens and leaders. Whilst </w:t>
      </w:r>
      <w:r w:rsidR="00BD11B0">
        <w:rPr>
          <w:lang w:val="en-GB"/>
        </w:rPr>
        <w:t xml:space="preserve">the </w:t>
      </w:r>
      <w:r w:rsidRPr="0048465B">
        <w:rPr>
          <w:lang w:val="en-GB"/>
        </w:rPr>
        <w:t>BDS</w:t>
      </w:r>
      <w:r w:rsidR="00BD11B0">
        <w:rPr>
          <w:lang w:val="en-GB"/>
        </w:rPr>
        <w:t xml:space="preserve"> movement</w:t>
      </w:r>
      <w:r w:rsidRPr="0048465B">
        <w:rPr>
          <w:lang w:val="en-GB"/>
        </w:rPr>
        <w:t xml:space="preserve"> seek</w:t>
      </w:r>
      <w:r w:rsidR="00BD11B0">
        <w:rPr>
          <w:lang w:val="en-GB"/>
        </w:rPr>
        <w:t>s</w:t>
      </w:r>
      <w:r w:rsidRPr="0048465B">
        <w:rPr>
          <w:lang w:val="en-GB"/>
        </w:rPr>
        <w:t xml:space="preserve"> to effect change in Israel as a result of their advocacy, it is ultimately in </w:t>
      </w:r>
      <w:r w:rsidR="006C1D55">
        <w:rPr>
          <w:lang w:val="en-GB"/>
        </w:rPr>
        <w:t>the citizens of Israel</w:t>
      </w:r>
      <w:r w:rsidRPr="0048465B">
        <w:rPr>
          <w:lang w:val="en-GB"/>
        </w:rPr>
        <w:t xml:space="preserve"> that the potential for lasting change resides.</w:t>
      </w:r>
    </w:p>
    <w:p w14:paraId="6676F2D6" w14:textId="77777777" w:rsidR="00FC331F" w:rsidRPr="0048465B" w:rsidRDefault="00FC331F" w:rsidP="00FC331F">
      <w:pPr>
        <w:rPr>
          <w:lang w:val="en-GB"/>
        </w:rPr>
      </w:pPr>
    </w:p>
    <w:p w14:paraId="7C4EDD98" w14:textId="1179FCFA" w:rsidR="00FC331F" w:rsidRPr="0048465B" w:rsidRDefault="00FC331F" w:rsidP="00FC331F">
      <w:pPr>
        <w:rPr>
          <w:lang w:val="en-GB"/>
        </w:rPr>
      </w:pPr>
      <w:r w:rsidRPr="0048465B">
        <w:rPr>
          <w:lang w:val="en-GB"/>
        </w:rPr>
        <w:t xml:space="preserve">This issue, in its most fundamental form, revolves around the question of whether critiquing the </w:t>
      </w:r>
      <w:r w:rsidR="00F00ADD">
        <w:rPr>
          <w:lang w:val="en-GB"/>
        </w:rPr>
        <w:t>S</w:t>
      </w:r>
      <w:r w:rsidRPr="0048465B">
        <w:rPr>
          <w:lang w:val="en-GB"/>
        </w:rPr>
        <w:t xml:space="preserve">tate of Israel for its discriminatory practices is different from critiquing Jewish individuals or groups specifically for their Jewishness. In spite of Israel’s self-identification as the nation state of Jews </w:t>
      </w:r>
      <w:r w:rsidR="00C17516">
        <w:rPr>
          <w:lang w:val="en-GB"/>
        </w:rPr>
        <w:t>–</w:t>
      </w:r>
      <w:r w:rsidRPr="0048465B">
        <w:rPr>
          <w:lang w:val="en-GB"/>
        </w:rPr>
        <w:t xml:space="preserve"> thus tying the two identities closer together and simplifying the process by which criticisms of Israel can be painted as antisemitic </w:t>
      </w:r>
      <w:r w:rsidR="00C17516">
        <w:rPr>
          <w:lang w:val="en-GB"/>
        </w:rPr>
        <w:t>–</w:t>
      </w:r>
      <w:r w:rsidRPr="0048465B">
        <w:rPr>
          <w:lang w:val="en-GB"/>
        </w:rPr>
        <w:t xml:space="preserve"> the answer to the above question is a categorical and unequivocal ‘yes’. The BDS movement does not target exclusively Jewish businesses or individuals, but those that financially sustain the unethical practices of the Israeli state. To reduce </w:t>
      </w:r>
      <w:r w:rsidRPr="0048465B">
        <w:rPr>
          <w:lang w:val="en-GB"/>
        </w:rPr>
        <w:lastRenderedPageBreak/>
        <w:t>the argument to its simplest form, if the Occupied Territories were suddenly taken over by British, Greek, or Chilean soldiers and settlers who impose</w:t>
      </w:r>
      <w:r w:rsidR="00BD11B0">
        <w:rPr>
          <w:lang w:val="en-GB"/>
        </w:rPr>
        <w:t>d</w:t>
      </w:r>
      <w:r w:rsidRPr="0048465B">
        <w:rPr>
          <w:lang w:val="en-GB"/>
        </w:rPr>
        <w:t xml:space="preserve"> an identical occupation</w:t>
      </w:r>
      <w:r w:rsidR="00BD11B0">
        <w:rPr>
          <w:lang w:val="en-GB"/>
        </w:rPr>
        <w:t xml:space="preserve"> on the Palestinian people</w:t>
      </w:r>
      <w:r w:rsidRPr="0048465B">
        <w:rPr>
          <w:lang w:val="en-GB"/>
        </w:rPr>
        <w:t>, with identical violence, and identical human rights abuses, BDS’ mission would not suddenly end due to the lack of Jewish involvement in Palestinian oppression, its focus would simply shift to target this new occupational power.</w:t>
      </w:r>
    </w:p>
    <w:p w14:paraId="789818F6" w14:textId="77777777" w:rsidR="00FC331F" w:rsidRPr="0048465B" w:rsidRDefault="00FC331F" w:rsidP="00FC331F">
      <w:pPr>
        <w:rPr>
          <w:b/>
          <w:lang w:val="en-GB"/>
        </w:rPr>
      </w:pPr>
    </w:p>
    <w:p w14:paraId="7E02823C" w14:textId="76D7F7FA" w:rsidR="00FC331F" w:rsidRPr="0048465B" w:rsidRDefault="00FC331F" w:rsidP="00FC331F">
      <w:pPr>
        <w:rPr>
          <w:lang w:val="en-GB"/>
        </w:rPr>
      </w:pPr>
      <w:r w:rsidRPr="0048465B">
        <w:rPr>
          <w:lang w:val="en-GB"/>
        </w:rPr>
        <w:t>A clear and resolute understanding of what does or does not constitute antisemitism is an essential component in the practice of legitimate criticism of Israel</w:t>
      </w:r>
      <w:r w:rsidR="00BD11B0">
        <w:rPr>
          <w:lang w:val="en-GB"/>
        </w:rPr>
        <w:t>.</w:t>
      </w:r>
      <w:r w:rsidRPr="0048465B">
        <w:rPr>
          <w:lang w:val="en-GB"/>
        </w:rPr>
        <w:t xml:space="preserve"> </w:t>
      </w:r>
      <w:r w:rsidR="00BD11B0">
        <w:rPr>
          <w:lang w:val="en-GB"/>
        </w:rPr>
        <w:t>C</w:t>
      </w:r>
      <w:r w:rsidRPr="0048465B">
        <w:rPr>
          <w:lang w:val="en-GB"/>
        </w:rPr>
        <w:t xml:space="preserve">ritics </w:t>
      </w:r>
      <w:r w:rsidR="00BD11B0">
        <w:rPr>
          <w:lang w:val="en-GB"/>
        </w:rPr>
        <w:t xml:space="preserve">must </w:t>
      </w:r>
      <w:r w:rsidRPr="0048465B">
        <w:rPr>
          <w:lang w:val="en-GB"/>
        </w:rPr>
        <w:t>hold</w:t>
      </w:r>
      <w:r w:rsidR="00BD11B0">
        <w:rPr>
          <w:lang w:val="en-GB"/>
        </w:rPr>
        <w:t xml:space="preserve"> both</w:t>
      </w:r>
      <w:r w:rsidRPr="0048465B">
        <w:rPr>
          <w:lang w:val="en-GB"/>
        </w:rPr>
        <w:t xml:space="preserve"> themselves and other</w:t>
      </w:r>
      <w:r w:rsidR="00BD11B0">
        <w:rPr>
          <w:lang w:val="en-GB"/>
        </w:rPr>
        <w:t>s</w:t>
      </w:r>
      <w:r w:rsidRPr="0048465B">
        <w:rPr>
          <w:lang w:val="en-GB"/>
        </w:rPr>
        <w:t xml:space="preserve"> accountable for their critiques and ensure they do not stray towards such prejudice, </w:t>
      </w:r>
      <w:r w:rsidR="00BD11B0">
        <w:rPr>
          <w:lang w:val="en-GB"/>
        </w:rPr>
        <w:t>whilst</w:t>
      </w:r>
      <w:r w:rsidRPr="0048465B">
        <w:rPr>
          <w:lang w:val="en-GB"/>
        </w:rPr>
        <w:t xml:space="preserve"> </w:t>
      </w:r>
      <w:r w:rsidR="00BD11B0">
        <w:rPr>
          <w:lang w:val="en-GB"/>
        </w:rPr>
        <w:t xml:space="preserve">feeling confident in their ability </w:t>
      </w:r>
      <w:r w:rsidRPr="0048465B">
        <w:rPr>
          <w:lang w:val="en-GB"/>
        </w:rPr>
        <w:t>to refute accusations of antisemitism, substantiate their critiques, and explain the difference between the two. Ultimately, as long as legitimate criticisms of Israel remain valid, then the criticism of the Israeli state in such terms should not be considered antisemitic, and those that suggest otherwise must ground such charges in clear evidence of Judeo-specific prejudice, rather than overlooking such proof for simplistic conflations.</w:t>
      </w:r>
    </w:p>
    <w:p w14:paraId="414B3527" w14:textId="77777777" w:rsidR="00FC331F" w:rsidRPr="0048465B" w:rsidRDefault="00FC331F" w:rsidP="00FC331F">
      <w:pPr>
        <w:rPr>
          <w:lang w:val="en-GB"/>
        </w:rPr>
      </w:pPr>
    </w:p>
    <w:p w14:paraId="7D42EEA8" w14:textId="59E007A0" w:rsidR="00FC331F" w:rsidRPr="0048465B" w:rsidRDefault="00FC331F" w:rsidP="00FC331F">
      <w:pPr>
        <w:rPr>
          <w:lang w:val="en-GB"/>
        </w:rPr>
      </w:pPr>
      <w:r w:rsidRPr="0048465B">
        <w:rPr>
          <w:lang w:val="en-GB"/>
        </w:rPr>
        <w:t xml:space="preserve">Faced with unfounded accusations of antisemitism and unjustified legal challenges, the successes of BDS have been few and far between when placed in comparison to the victories of those who seek to undermine their legitimacy. In early 2020, BDS campaigning forced Microsoft into the eventual divestment of shares held in ‘Israeli facial recognition company </w:t>
      </w:r>
      <w:proofErr w:type="spellStart"/>
      <w:r w:rsidRPr="0048465B">
        <w:rPr>
          <w:lang w:val="en-GB"/>
        </w:rPr>
        <w:t>AnyVision</w:t>
      </w:r>
      <w:proofErr w:type="spellEnd"/>
      <w:r w:rsidRPr="0048465B">
        <w:rPr>
          <w:lang w:val="en-GB"/>
        </w:rPr>
        <w:t>’, a company ‘used at border crossing checkpoints’, thus potentially enabling the greater control of the movement of Palestinian people.</w:t>
      </w:r>
      <w:r w:rsidRPr="0048465B">
        <w:rPr>
          <w:vertAlign w:val="superscript"/>
          <w:lang w:val="en-GB"/>
        </w:rPr>
        <w:footnoteReference w:id="678"/>
      </w:r>
      <w:r w:rsidRPr="0048465B">
        <w:rPr>
          <w:lang w:val="en-GB"/>
        </w:rPr>
        <w:t xml:space="preserve"> Whilst the share divestment of a company as large as </w:t>
      </w:r>
      <w:r w:rsidRPr="0048465B">
        <w:rPr>
          <w:lang w:val="en-GB"/>
        </w:rPr>
        <w:lastRenderedPageBreak/>
        <w:t xml:space="preserve">Microsoft, and the lack of a subsequent reversal of this decision as seen with </w:t>
      </w:r>
      <w:proofErr w:type="spellStart"/>
      <w:r w:rsidRPr="0048465B">
        <w:rPr>
          <w:lang w:val="en-GB"/>
        </w:rPr>
        <w:t>AirBnb</w:t>
      </w:r>
      <w:proofErr w:type="spellEnd"/>
      <w:r w:rsidRPr="0048465B">
        <w:rPr>
          <w:lang w:val="en-GB"/>
        </w:rPr>
        <w:t>, is undeniably a considerable victory for BDS in terms of the stature of Microsoft and the publicity gained for the Palestinian cause, the fact that BDS is not tied to a specific political avenue means that it is to the rather narrow area of ‘awareness’ that victory is contained. Microsoft have not explicitly condemned</w:t>
      </w:r>
      <w:r w:rsidR="00F42FF5">
        <w:rPr>
          <w:lang w:val="en-GB"/>
        </w:rPr>
        <w:t xml:space="preserve"> either</w:t>
      </w:r>
      <w:r w:rsidRPr="0048465B">
        <w:rPr>
          <w:lang w:val="en-GB"/>
        </w:rPr>
        <w:t xml:space="preserve"> </w:t>
      </w:r>
      <w:proofErr w:type="spellStart"/>
      <w:r w:rsidRPr="0048465B">
        <w:rPr>
          <w:lang w:val="en-GB"/>
        </w:rPr>
        <w:t>AnyVision</w:t>
      </w:r>
      <w:proofErr w:type="spellEnd"/>
      <w:r w:rsidR="00F42FF5">
        <w:rPr>
          <w:lang w:val="en-GB"/>
        </w:rPr>
        <w:t xml:space="preserve"> or the practices of the Israeli state</w:t>
      </w:r>
      <w:r w:rsidRPr="0048465B">
        <w:rPr>
          <w:lang w:val="en-GB"/>
        </w:rPr>
        <w:t>, and even in light of their divestmen</w:t>
      </w:r>
      <w:r w:rsidR="00F42FF5">
        <w:rPr>
          <w:lang w:val="en-GB"/>
        </w:rPr>
        <w:t>t</w:t>
      </w:r>
      <w:r w:rsidRPr="0048465B">
        <w:rPr>
          <w:lang w:val="en-GB"/>
        </w:rPr>
        <w:t xml:space="preserve">, </w:t>
      </w:r>
      <w:proofErr w:type="spellStart"/>
      <w:r w:rsidRPr="0048465B">
        <w:rPr>
          <w:lang w:val="en-GB"/>
        </w:rPr>
        <w:t>AnyVision</w:t>
      </w:r>
      <w:proofErr w:type="spellEnd"/>
      <w:r w:rsidRPr="0048465B">
        <w:rPr>
          <w:lang w:val="en-GB"/>
        </w:rPr>
        <w:t xml:space="preserve"> raised </w:t>
      </w:r>
      <w:r w:rsidR="00AE6D44">
        <w:rPr>
          <w:lang w:val="en-GB"/>
        </w:rPr>
        <w:t>forty-three</w:t>
      </w:r>
      <w:r w:rsidRPr="0048465B">
        <w:rPr>
          <w:lang w:val="en-GB"/>
        </w:rPr>
        <w:t xml:space="preserve"> million dollars in 2020 (an increase of </w:t>
      </w:r>
      <w:r w:rsidR="00AE6D44">
        <w:rPr>
          <w:lang w:val="en-GB"/>
        </w:rPr>
        <w:t>twelve</w:t>
      </w:r>
      <w:r w:rsidRPr="0048465B">
        <w:rPr>
          <w:lang w:val="en-GB"/>
        </w:rPr>
        <w:t xml:space="preserve"> million dollars from 2019) from ‘existing investors including investment funds and private investors’, and, as far as the evidence suggests, are still using facial recognition software at checkpoints.</w:t>
      </w:r>
      <w:r w:rsidRPr="0048465B">
        <w:rPr>
          <w:vertAlign w:val="superscript"/>
          <w:lang w:val="en-GB"/>
        </w:rPr>
        <w:footnoteReference w:id="679"/>
      </w:r>
      <w:r w:rsidRPr="0048465B">
        <w:rPr>
          <w:lang w:val="en-GB"/>
        </w:rPr>
        <w:t xml:space="preserve"> A 2019 analysis in </w:t>
      </w:r>
      <w:r w:rsidRPr="0048465B">
        <w:rPr>
          <w:i/>
          <w:lang w:val="en-GB"/>
        </w:rPr>
        <w:t>The New York Times</w:t>
      </w:r>
      <w:r w:rsidRPr="0048465B">
        <w:rPr>
          <w:lang w:val="en-GB"/>
        </w:rPr>
        <w:t xml:space="preserve"> found that despite the frequency of BDS’s ‘public-relations victories’ and the associated ‘[r]</w:t>
      </w:r>
      <w:proofErr w:type="spellStart"/>
      <w:r w:rsidRPr="0048465B">
        <w:rPr>
          <w:lang w:val="en-GB"/>
        </w:rPr>
        <w:t>eputational</w:t>
      </w:r>
      <w:proofErr w:type="spellEnd"/>
      <w:r w:rsidRPr="0048465B">
        <w:rPr>
          <w:lang w:val="en-GB"/>
        </w:rPr>
        <w:t xml:space="preserve"> damage’ done to Israel, BDS not only has ‘very little impact outside university settings’, but ‘foreign direct investment in Israel is at an all-time high’.</w:t>
      </w:r>
      <w:r w:rsidRPr="0048465B">
        <w:rPr>
          <w:vertAlign w:val="superscript"/>
          <w:lang w:val="en-GB"/>
        </w:rPr>
        <w:footnoteReference w:id="680"/>
      </w:r>
      <w:r w:rsidRPr="0048465B">
        <w:rPr>
          <w:lang w:val="en-GB"/>
        </w:rPr>
        <w:t xml:space="preserve"> The normalisation of ties between Arab nations and Israel is yet another indication that the BDS movement, whilst effective in localised cases, has not been successful in achieving its broader aim, to discourage trade with and support of Israel, and thus compel Israel to transform as a result.</w:t>
      </w:r>
    </w:p>
    <w:p w14:paraId="0BCAACE7" w14:textId="77777777" w:rsidR="00FC331F" w:rsidRPr="0048465B" w:rsidRDefault="00FC331F" w:rsidP="00FC331F">
      <w:pPr>
        <w:rPr>
          <w:lang w:val="en-GB"/>
        </w:rPr>
      </w:pPr>
    </w:p>
    <w:p w14:paraId="7957D5C8" w14:textId="029170CD" w:rsidR="00FC331F" w:rsidRPr="0048465B" w:rsidRDefault="00FC331F" w:rsidP="00FC331F">
      <w:pPr>
        <w:rPr>
          <w:lang w:val="en-GB"/>
        </w:rPr>
      </w:pPr>
      <w:r w:rsidRPr="0048465B">
        <w:rPr>
          <w:lang w:val="en-GB"/>
        </w:rPr>
        <w:t>Moreover, the BDS movement, and by extrapolation all movements that distance themselves from conventional politics, has placed severe limitations upon its own transformative powers. BDS’ reluctance to tie itself explicitly to a practicable political programme, twinned with the animosity felt towards BDS by the PLO due to its ‘encroach[</w:t>
      </w:r>
      <w:proofErr w:type="spellStart"/>
      <w:r w:rsidRPr="0048465B">
        <w:rPr>
          <w:lang w:val="en-GB"/>
        </w:rPr>
        <w:t>ment</w:t>
      </w:r>
      <w:proofErr w:type="spellEnd"/>
      <w:r w:rsidRPr="0048465B">
        <w:rPr>
          <w:lang w:val="en-GB"/>
        </w:rPr>
        <w:t>] on its position as the internationally recognised</w:t>
      </w:r>
      <w:r w:rsidR="000C3FB4">
        <w:rPr>
          <w:lang w:val="en-GB"/>
        </w:rPr>
        <w:t xml:space="preserve"> […] </w:t>
      </w:r>
      <w:r w:rsidRPr="0048465B">
        <w:rPr>
          <w:lang w:val="en-GB"/>
        </w:rPr>
        <w:t>representative of Palestinians worldwide’,</w:t>
      </w:r>
      <w:r w:rsidRPr="0048465B">
        <w:rPr>
          <w:vertAlign w:val="superscript"/>
          <w:lang w:val="en-GB"/>
        </w:rPr>
        <w:footnoteReference w:id="681"/>
      </w:r>
      <w:r w:rsidRPr="0048465B">
        <w:rPr>
          <w:lang w:val="en-GB"/>
        </w:rPr>
        <w:t xml:space="preserve"> and the rigid dependency of the </w:t>
      </w:r>
      <w:r w:rsidRPr="0048465B">
        <w:rPr>
          <w:lang w:val="en-GB"/>
        </w:rPr>
        <w:lastRenderedPageBreak/>
        <w:t>Palestinian Authority upon the U.S. led diplomacy that designates BDS as antisemitic, has fragmented Palestinian efforts towards sovereignty, splitting the human rights-based programme of BDS and the legal and mainstream political efforts of the Palestinian Authority and PLO. This division not only overshadows the fact that they ultimately share the same goal, but also encourages a disunified approach to the resolution of a quandary that can only truly be understood, or resolved, holistically. The PLO’s decline, in Erakat’s words, has brought about an ‘absence of leadership [that] has created a political vacuum and enlarged the significance of the [BDS] movement’s rights-based nature’.</w:t>
      </w:r>
      <w:r w:rsidRPr="0048465B">
        <w:rPr>
          <w:vertAlign w:val="superscript"/>
          <w:lang w:val="en-GB"/>
        </w:rPr>
        <w:footnoteReference w:id="682"/>
      </w:r>
      <w:r w:rsidRPr="0048465B">
        <w:rPr>
          <w:lang w:val="en-GB"/>
        </w:rPr>
        <w:t xml:space="preserve"> Yet, without a mainstream political framework to impose repercussions in response to these rights abuses, or a willing </w:t>
      </w:r>
      <w:r w:rsidR="00BD11B0" w:rsidRPr="0048465B">
        <w:rPr>
          <w:lang w:val="en-GB"/>
        </w:rPr>
        <w:t>third-party</w:t>
      </w:r>
      <w:r w:rsidRPr="0048465B">
        <w:rPr>
          <w:lang w:val="en-GB"/>
        </w:rPr>
        <w:t xml:space="preserve"> nation or body to do so on the Palestinian</w:t>
      </w:r>
      <w:r w:rsidR="00BD11B0">
        <w:rPr>
          <w:lang w:val="en-GB"/>
        </w:rPr>
        <w:t>’</w:t>
      </w:r>
      <w:r w:rsidRPr="0048465B">
        <w:rPr>
          <w:lang w:val="en-GB"/>
        </w:rPr>
        <w:t xml:space="preserve">s behalf, the path to lasting and enforceable change remains elusive. </w:t>
      </w:r>
    </w:p>
    <w:p w14:paraId="39B15EE1" w14:textId="77777777" w:rsidR="00FC331F" w:rsidRPr="0048465B" w:rsidRDefault="00FC331F" w:rsidP="00FC331F">
      <w:pPr>
        <w:rPr>
          <w:lang w:val="en-GB"/>
        </w:rPr>
      </w:pPr>
    </w:p>
    <w:p w14:paraId="6491B614" w14:textId="23A6A1D2" w:rsidR="00FC331F" w:rsidRPr="0048465B" w:rsidRDefault="00FC331F" w:rsidP="00FC331F">
      <w:pPr>
        <w:rPr>
          <w:lang w:val="en-GB"/>
        </w:rPr>
      </w:pPr>
      <w:r w:rsidRPr="0048465B">
        <w:rPr>
          <w:lang w:val="en-GB"/>
        </w:rPr>
        <w:t>Erakat describes this particular scenario as ‘</w:t>
      </w:r>
      <w:proofErr w:type="spellStart"/>
      <w:r w:rsidRPr="0048465B">
        <w:rPr>
          <w:lang w:val="en-GB"/>
        </w:rPr>
        <w:t>leav</w:t>
      </w:r>
      <w:proofErr w:type="spellEnd"/>
      <w:r w:rsidRPr="0048465B">
        <w:rPr>
          <w:lang w:val="en-GB"/>
        </w:rPr>
        <w:t>[</w:t>
      </w:r>
      <w:proofErr w:type="spellStart"/>
      <w:r w:rsidRPr="0048465B">
        <w:rPr>
          <w:lang w:val="en-GB"/>
        </w:rPr>
        <w:t>ing</w:t>
      </w:r>
      <w:proofErr w:type="spellEnd"/>
      <w:r w:rsidRPr="0048465B">
        <w:rPr>
          <w:lang w:val="en-GB"/>
        </w:rPr>
        <w:t>] open the question of how to manifest Palestinian demands’, with the absence of ‘a corresponding political program’ in turn ‘</w:t>
      </w:r>
      <w:proofErr w:type="spellStart"/>
      <w:r w:rsidRPr="0048465B">
        <w:rPr>
          <w:lang w:val="en-GB"/>
        </w:rPr>
        <w:t>enhanc</w:t>
      </w:r>
      <w:proofErr w:type="spellEnd"/>
      <w:r w:rsidRPr="0048465B">
        <w:rPr>
          <w:lang w:val="en-GB"/>
        </w:rPr>
        <w:t>[</w:t>
      </w:r>
      <w:proofErr w:type="spellStart"/>
      <w:r w:rsidRPr="0048465B">
        <w:rPr>
          <w:lang w:val="en-GB"/>
        </w:rPr>
        <w:t>ing</w:t>
      </w:r>
      <w:proofErr w:type="spellEnd"/>
      <w:r w:rsidRPr="0048465B">
        <w:rPr>
          <w:lang w:val="en-GB"/>
        </w:rPr>
        <w:t>] the signifying role of international law as a normative framework’,</w:t>
      </w:r>
      <w:r w:rsidRPr="0048465B">
        <w:rPr>
          <w:vertAlign w:val="superscript"/>
          <w:lang w:val="en-GB"/>
        </w:rPr>
        <w:footnoteReference w:id="683"/>
      </w:r>
      <w:r w:rsidRPr="0048465B">
        <w:rPr>
          <w:lang w:val="en-GB"/>
        </w:rPr>
        <w:t xml:space="preserve"> which ironically disempowers BDS as a movement and places yet further dependency upon the Palestinian and international leadership whose political dormancy the BDS movement </w:t>
      </w:r>
      <w:r w:rsidR="00FE2A4D">
        <w:rPr>
          <w:lang w:val="en-GB"/>
        </w:rPr>
        <w:t>originally served</w:t>
      </w:r>
      <w:r w:rsidRPr="0048465B">
        <w:rPr>
          <w:lang w:val="en-GB"/>
        </w:rPr>
        <w:t xml:space="preserve"> to negate. The necessity of a practicable political programme is further reinforced by the inability of BDS’ uncomplicated and circumscribed approach to translate the breadth of Palestinian disenfranchisement, as that which many Palestinians yearn for extends beyond civic and legal equality and back through time to the specific villages and lands from which they were expelled. The ultimate desire, in this sense, is to reclaim a lost past, rather than to be seen as equal in the eyes of the law alone. Whilst the BDS movement’s focus on the universality and incontestability </w:t>
      </w:r>
      <w:r w:rsidRPr="0048465B">
        <w:rPr>
          <w:lang w:val="en-GB"/>
        </w:rPr>
        <w:lastRenderedPageBreak/>
        <w:t>of human rights allows it strength and durability against unfounded challenges of antisemitism and more, a movement that centres itself around such universal truths and generalised objectives cannot help but be insufficient in its recognition of the specificity of Palestinian desires.</w:t>
      </w:r>
    </w:p>
    <w:p w14:paraId="4502FD06" w14:textId="77777777" w:rsidR="00FC331F" w:rsidRPr="0048465B" w:rsidRDefault="00FC331F" w:rsidP="00FC331F">
      <w:pPr>
        <w:rPr>
          <w:lang w:val="en-GB"/>
        </w:rPr>
      </w:pPr>
    </w:p>
    <w:p w14:paraId="1EB1AE44" w14:textId="4F9028DF" w:rsidR="00FC331F" w:rsidRPr="0048465B" w:rsidRDefault="00FC331F" w:rsidP="00FC331F">
      <w:pPr>
        <w:rPr>
          <w:lang w:val="en-GB"/>
        </w:rPr>
      </w:pPr>
      <w:r w:rsidRPr="0048465B">
        <w:rPr>
          <w:lang w:val="en-GB"/>
        </w:rPr>
        <w:t xml:space="preserve">Yet, despite its shortcomings and the absence of </w:t>
      </w:r>
      <w:r w:rsidR="006779F4" w:rsidRPr="0048465B">
        <w:rPr>
          <w:lang w:val="en-GB"/>
        </w:rPr>
        <w:t>large-scale</w:t>
      </w:r>
      <w:r w:rsidRPr="0048465B">
        <w:rPr>
          <w:lang w:val="en-GB"/>
        </w:rPr>
        <w:t xml:space="preserve"> victories over Israel, the BDS movement has a significant role in the challenging of Israel’s persecutory practices. Whilst BDS does not, in its current form, have access to the mainstream political sphere, it is still able to ask burdensome questions of Israel and its supporters </w:t>
      </w:r>
      <w:r w:rsidR="00FE2A4D">
        <w:rPr>
          <w:lang w:val="en-GB"/>
        </w:rPr>
        <w:t>–</w:t>
      </w:r>
      <w:r w:rsidRPr="0048465B">
        <w:rPr>
          <w:lang w:val="en-GB"/>
        </w:rPr>
        <w:t xml:space="preserve"> as well as of the Palestinian leadership </w:t>
      </w:r>
      <w:r w:rsidR="00FE2A4D">
        <w:rPr>
          <w:lang w:val="en-GB"/>
        </w:rPr>
        <w:t>–</w:t>
      </w:r>
      <w:r w:rsidRPr="0048465B">
        <w:rPr>
          <w:lang w:val="en-GB"/>
        </w:rPr>
        <w:t xml:space="preserve"> that nonetheless have the potential to influence political change. </w:t>
      </w:r>
    </w:p>
    <w:p w14:paraId="21772D70" w14:textId="77777777" w:rsidR="00FC331F" w:rsidRPr="0048465B" w:rsidRDefault="00FC331F" w:rsidP="00FC331F">
      <w:pPr>
        <w:rPr>
          <w:lang w:val="en-GB"/>
        </w:rPr>
      </w:pPr>
    </w:p>
    <w:p w14:paraId="7416E725" w14:textId="25724BE2" w:rsidR="00FC331F" w:rsidRPr="0048465B" w:rsidRDefault="00FC331F" w:rsidP="00FC331F">
      <w:pPr>
        <w:rPr>
          <w:lang w:val="en-GB"/>
        </w:rPr>
      </w:pPr>
      <w:r w:rsidRPr="0048465B">
        <w:rPr>
          <w:lang w:val="en-GB"/>
        </w:rPr>
        <w:t>Neither Palestinian adherence to U.S. brokered peace negotiations nor international support has eased the oppression of Palestinians, nor placed any demands upon Israel or its supporters. The BDS movement, on the other hand, has. It has raised awareness of the Palestinian plight and in doing so increased activist presence in both the West Bank and Gaza, which has made the IDF act ‘more cautiously’, thus indirectly protecting the Palestinian people. It has challenged the international complicity of ‘</w:t>
      </w:r>
      <w:r w:rsidR="00FE2A4D">
        <w:rPr>
          <w:lang w:val="en-GB"/>
        </w:rPr>
        <w:t>“</w:t>
      </w:r>
      <w:r w:rsidRPr="0048465B">
        <w:rPr>
          <w:lang w:val="en-GB"/>
        </w:rPr>
        <w:t xml:space="preserve">the liberal </w:t>
      </w:r>
      <w:r w:rsidR="00FE2A4D">
        <w:rPr>
          <w:lang w:val="en-GB"/>
        </w:rPr>
        <w:t>w</w:t>
      </w:r>
      <w:r w:rsidRPr="0048465B">
        <w:rPr>
          <w:lang w:val="en-GB"/>
        </w:rPr>
        <w:t>est</w:t>
      </w:r>
      <w:r w:rsidR="00FE2A4D">
        <w:rPr>
          <w:lang w:val="en-GB"/>
        </w:rPr>
        <w:t>”</w:t>
      </w:r>
      <w:r w:rsidRPr="0048465B">
        <w:rPr>
          <w:lang w:val="en-GB"/>
        </w:rPr>
        <w:t xml:space="preserve">’, whether through exposing its active support of Israeli occupation or its inactivity in light of the occupation. It has problematised the position of the ‘critical supporter’ of Israel, forcing them to ‘justify their opposition to non-violent forms of pressure on Israel, when the absence of real pressure has done nothing to bring occupation or settlement expansion to an end’. Similarly, it has forced ‘liberal Zionists to defend their support not for the abstract ideal of what they hope Israel might one day become, but for the actual longstanding practices of the state’, as well as challenging the position of those who accept that the settlements themselves deserve to be boycotted, but who baulk at the idea of boycotting the </w:t>
      </w:r>
      <w:r w:rsidRPr="0048465B">
        <w:rPr>
          <w:lang w:val="en-GB"/>
        </w:rPr>
        <w:lastRenderedPageBreak/>
        <w:t>nation that constructs, finances, and preserves the settlement project. As such, the BDS movement has complicated the ‘notion of being “pro-Israel and anti-occupation”’, as it has exposed the fact that</w:t>
      </w:r>
      <w:r w:rsidR="00FE2A4D">
        <w:rPr>
          <w:lang w:val="en-GB"/>
        </w:rPr>
        <w:t xml:space="preserve"> </w:t>
      </w:r>
      <w:r w:rsidRPr="0048465B">
        <w:rPr>
          <w:lang w:val="en-GB"/>
        </w:rPr>
        <w:t xml:space="preserve">one cannot be an unequivocal supporter of Israel </w:t>
      </w:r>
      <w:r w:rsidR="00FE2A4D">
        <w:rPr>
          <w:lang w:val="en-GB"/>
        </w:rPr>
        <w:t>–</w:t>
      </w:r>
      <w:r w:rsidRPr="0048465B">
        <w:rPr>
          <w:lang w:val="en-GB"/>
        </w:rPr>
        <w:t xml:space="preserve"> as it currently exists </w:t>
      </w:r>
      <w:r w:rsidR="00FE2A4D">
        <w:rPr>
          <w:lang w:val="en-GB"/>
        </w:rPr>
        <w:t>–</w:t>
      </w:r>
      <w:r w:rsidRPr="0048465B">
        <w:rPr>
          <w:lang w:val="en-GB"/>
        </w:rPr>
        <w:t xml:space="preserve"> without at the same time being a supporter of occupation.</w:t>
      </w:r>
      <w:r w:rsidR="004B7336" w:rsidRPr="0048465B">
        <w:rPr>
          <w:vertAlign w:val="superscript"/>
          <w:lang w:val="en-GB"/>
        </w:rPr>
        <w:footnoteReference w:id="684"/>
      </w:r>
      <w:r w:rsidRPr="0048465B">
        <w:rPr>
          <w:lang w:val="en-GB"/>
        </w:rPr>
        <w:t xml:space="preserve"> The fight for Palestinian rights will succeed only when those outside of Palestine are persuaded to fight for those rights. Through being content with smaller, less momentous victories, BDS has circumvented American influence and has, at the very least, raised awareness of Israel’s human rights abuses, created a structure through which the international fight for Palestinian rights can be directed, and forced Israel to defend itself ideologically rather than depend upon the political support of the American veto. </w:t>
      </w:r>
    </w:p>
    <w:p w14:paraId="2DAE5EE5" w14:textId="77777777" w:rsidR="00FC331F" w:rsidRPr="0048465B" w:rsidRDefault="00FC331F" w:rsidP="00FC331F">
      <w:pPr>
        <w:rPr>
          <w:lang w:val="en-GB"/>
        </w:rPr>
      </w:pPr>
    </w:p>
    <w:p w14:paraId="157B32C3" w14:textId="39AC8CFB" w:rsidR="00FC331F" w:rsidRPr="0048465B" w:rsidRDefault="00FC331F" w:rsidP="00FC331F">
      <w:pPr>
        <w:rPr>
          <w:lang w:val="en-GB"/>
        </w:rPr>
      </w:pPr>
      <w:r w:rsidRPr="0048465B">
        <w:rPr>
          <w:lang w:val="en-GB"/>
        </w:rPr>
        <w:t xml:space="preserve">Whilst unlikely to bring about Palestinian liberation alone, the BDS movement nonetheless reveals a number of lessons concerning both the challenging of Israeli control and the shaping of eventual Palestinian sovereignty. Firstly, we learn that any movement hoping to effect change in Israel-Palestine through boycott, even simplistic rights-based approaches, must be beyond accusation of antisemitism. Whether politically motivated or driven by genuine fear, these accusations cripple such movements, recasting rights-based </w:t>
      </w:r>
      <w:r w:rsidR="001A14F7">
        <w:rPr>
          <w:lang w:val="en-GB"/>
        </w:rPr>
        <w:t>critiques</w:t>
      </w:r>
      <w:r w:rsidR="006B3E14">
        <w:rPr>
          <w:lang w:val="en-GB"/>
        </w:rPr>
        <w:t xml:space="preserve"> of</w:t>
      </w:r>
      <w:r w:rsidRPr="0048465B">
        <w:rPr>
          <w:lang w:val="en-GB"/>
        </w:rPr>
        <w:t xml:space="preserve"> </w:t>
      </w:r>
      <w:r w:rsidR="00ED6FBF">
        <w:rPr>
          <w:lang w:val="en-GB"/>
        </w:rPr>
        <w:t xml:space="preserve">specific state practices </w:t>
      </w:r>
      <w:r w:rsidR="004B7336">
        <w:rPr>
          <w:lang w:val="en-GB"/>
        </w:rPr>
        <w:t>as</w:t>
      </w:r>
      <w:r w:rsidRPr="0048465B">
        <w:rPr>
          <w:lang w:val="en-GB"/>
        </w:rPr>
        <w:t xml:space="preserve"> a</w:t>
      </w:r>
      <w:r w:rsidR="004B7336">
        <w:rPr>
          <w:lang w:val="en-GB"/>
        </w:rPr>
        <w:t xml:space="preserve"> form of Jewish hatred</w:t>
      </w:r>
      <w:r w:rsidRPr="0048465B">
        <w:rPr>
          <w:lang w:val="en-GB"/>
        </w:rPr>
        <w:t xml:space="preserve">. For movements such as BDS to effect significant change, they must pre-empt such accusations by being absolutely unequivocal in their resistance to antisemitism, not just verbally, but in their practices, their condemnation of </w:t>
      </w:r>
      <w:proofErr w:type="spellStart"/>
      <w:r w:rsidRPr="0048465B">
        <w:rPr>
          <w:lang w:val="en-GB"/>
        </w:rPr>
        <w:t>antisemites</w:t>
      </w:r>
      <w:proofErr w:type="spellEnd"/>
      <w:r w:rsidRPr="0048465B">
        <w:rPr>
          <w:lang w:val="en-GB"/>
        </w:rPr>
        <w:t xml:space="preserve"> who support them, and in their inclusion of Jewish people and groups. BDS is not an antisemitic movement, but its castigation as one has left it tarnished, and its influence has been limited as a result.</w:t>
      </w:r>
    </w:p>
    <w:p w14:paraId="325725D4" w14:textId="77777777" w:rsidR="00FC331F" w:rsidRPr="0048465B" w:rsidRDefault="00FC331F" w:rsidP="00FC331F">
      <w:pPr>
        <w:rPr>
          <w:lang w:val="en-GB"/>
        </w:rPr>
      </w:pPr>
    </w:p>
    <w:p w14:paraId="5452F854" w14:textId="08C7A020" w:rsidR="00FC331F" w:rsidRPr="0048465B" w:rsidRDefault="00FC331F" w:rsidP="00FC331F">
      <w:pPr>
        <w:rPr>
          <w:lang w:val="en-GB"/>
        </w:rPr>
      </w:pPr>
      <w:r w:rsidRPr="0048465B">
        <w:rPr>
          <w:lang w:val="en-GB"/>
        </w:rPr>
        <w:lastRenderedPageBreak/>
        <w:t xml:space="preserve">The BDS movement also teaches us that if boycotting Israel is to work, then the international community must become significantly more amenable to it as a form of resistance, or, perhaps more achievable, they must simply stop actively supporting Israeli oppression of Palestinians. In this context, the support of the public means little without the backing of those who hold political and legislative power on an international scale. As long as the effects of movements such as BDS remain localised, represented by individuals or groups rather than nations, </w:t>
      </w:r>
      <w:r w:rsidR="00ED6FBF">
        <w:rPr>
          <w:lang w:val="en-GB"/>
        </w:rPr>
        <w:t>their</w:t>
      </w:r>
      <w:r w:rsidRPr="0048465B">
        <w:rPr>
          <w:lang w:val="en-GB"/>
        </w:rPr>
        <w:t xml:space="preserve"> ability to impose meaningful sanctions upon Israel will remain limited and therefore easily disregarded.</w:t>
      </w:r>
    </w:p>
    <w:p w14:paraId="0E0D7ED8" w14:textId="77777777" w:rsidR="00FC331F" w:rsidRPr="0048465B" w:rsidRDefault="00FC331F" w:rsidP="00FC331F">
      <w:pPr>
        <w:rPr>
          <w:lang w:val="en-GB"/>
        </w:rPr>
      </w:pPr>
    </w:p>
    <w:p w14:paraId="36C7CD28" w14:textId="667A3811" w:rsidR="00FC331F" w:rsidRPr="0048465B" w:rsidRDefault="00FC331F" w:rsidP="00FC331F">
      <w:pPr>
        <w:rPr>
          <w:lang w:val="en-GB"/>
        </w:rPr>
      </w:pPr>
      <w:r w:rsidRPr="0048465B">
        <w:rPr>
          <w:lang w:val="en-GB"/>
        </w:rPr>
        <w:t>In addition, the BDS movement has taught us that whilst raising awareness of Israel’s crimes is important, using these crimes to challenge the paradoxical viewpoint of those who condemn the settlements, but support the nation that sustains them, is perhaps more consequential. The State of Israel has as much right to exist as a prospective Palestinian State, and that right should in no way be called into question. Supporting Israel as it currently exists, however, cannot be divorced from support for its occupational practices in Palestinian territories.</w:t>
      </w:r>
    </w:p>
    <w:p w14:paraId="2A164336" w14:textId="77777777" w:rsidR="00FC331F" w:rsidRPr="0048465B" w:rsidRDefault="00FC331F" w:rsidP="00FC331F">
      <w:pPr>
        <w:rPr>
          <w:lang w:val="en-GB"/>
        </w:rPr>
      </w:pPr>
    </w:p>
    <w:p w14:paraId="02526622" w14:textId="43381F25" w:rsidR="00FC331F" w:rsidRDefault="00FC331F" w:rsidP="00FC331F">
      <w:pPr>
        <w:rPr>
          <w:lang w:val="en-GB"/>
        </w:rPr>
      </w:pPr>
      <w:r w:rsidRPr="0048465B">
        <w:rPr>
          <w:lang w:val="en-GB"/>
        </w:rPr>
        <w:t xml:space="preserve">Finally, the shortcomings of the BDS movement teach us that any approach hoping to bring about Palestinian sovereignty </w:t>
      </w:r>
      <w:r w:rsidR="004B1D73">
        <w:rPr>
          <w:lang w:val="en-GB"/>
        </w:rPr>
        <w:t>must</w:t>
      </w:r>
      <w:r w:rsidRPr="0048465B">
        <w:rPr>
          <w:lang w:val="en-GB"/>
        </w:rPr>
        <w:t xml:space="preserve"> be a holistic approach, where Palestinian claims </w:t>
      </w:r>
      <w:r w:rsidR="004B1D73">
        <w:rPr>
          <w:lang w:val="en-GB"/>
        </w:rPr>
        <w:t>concerning</w:t>
      </w:r>
      <w:r w:rsidRPr="0048465B">
        <w:rPr>
          <w:lang w:val="en-GB"/>
        </w:rPr>
        <w:t xml:space="preserve"> human rights, national rights, and legal equality are understood as equally important, and where the desires of the Palestinian people </w:t>
      </w:r>
      <w:r w:rsidR="004B7336">
        <w:rPr>
          <w:lang w:val="en-GB"/>
        </w:rPr>
        <w:t>in their</w:t>
      </w:r>
      <w:r w:rsidRPr="0048465B">
        <w:rPr>
          <w:lang w:val="en-GB"/>
        </w:rPr>
        <w:t xml:space="preserve"> detail, to return, rebuild, and regrow are taken into consideration</w:t>
      </w:r>
      <w:r w:rsidR="004B7336">
        <w:rPr>
          <w:lang w:val="en-GB"/>
        </w:rPr>
        <w:t>.</w:t>
      </w:r>
    </w:p>
    <w:p w14:paraId="73D097C2" w14:textId="77777777" w:rsidR="00ED6FBF" w:rsidRPr="0048465B" w:rsidRDefault="00ED6FBF" w:rsidP="00FC331F">
      <w:pPr>
        <w:rPr>
          <w:lang w:val="en-GB"/>
        </w:rPr>
      </w:pPr>
    </w:p>
    <w:p w14:paraId="0593D434" w14:textId="77777777" w:rsidR="00EB441E" w:rsidRDefault="00EB441E" w:rsidP="00ED6FBF">
      <w:pPr>
        <w:jc w:val="center"/>
        <w:rPr>
          <w:b/>
          <w:lang w:val="en-GB"/>
        </w:rPr>
      </w:pPr>
    </w:p>
    <w:p w14:paraId="2C54C7A4" w14:textId="77777777" w:rsidR="00EB441E" w:rsidRDefault="00EB441E" w:rsidP="00ED6FBF">
      <w:pPr>
        <w:jc w:val="center"/>
        <w:rPr>
          <w:b/>
          <w:lang w:val="en-GB"/>
        </w:rPr>
      </w:pPr>
    </w:p>
    <w:p w14:paraId="63591E4F" w14:textId="77777777" w:rsidR="00EB441E" w:rsidRDefault="00EB441E" w:rsidP="00ED6FBF">
      <w:pPr>
        <w:jc w:val="center"/>
        <w:rPr>
          <w:b/>
          <w:lang w:val="en-GB"/>
        </w:rPr>
      </w:pPr>
    </w:p>
    <w:p w14:paraId="55EAF584" w14:textId="4B7BB199" w:rsidR="00FC331F" w:rsidRDefault="00FC331F" w:rsidP="00ED6FBF">
      <w:pPr>
        <w:jc w:val="center"/>
        <w:rPr>
          <w:lang w:val="en-GB"/>
        </w:rPr>
      </w:pPr>
      <w:r w:rsidRPr="0048465B">
        <w:rPr>
          <w:b/>
          <w:lang w:val="en-GB"/>
        </w:rPr>
        <w:lastRenderedPageBreak/>
        <w:t>Two States or One</w:t>
      </w:r>
    </w:p>
    <w:p w14:paraId="79267D64" w14:textId="77777777" w:rsidR="00ED6FBF" w:rsidRPr="0048465B" w:rsidRDefault="00ED6FBF" w:rsidP="00ED6FBF">
      <w:pPr>
        <w:jc w:val="center"/>
        <w:rPr>
          <w:lang w:val="en-GB"/>
        </w:rPr>
      </w:pPr>
    </w:p>
    <w:p w14:paraId="31D9BFA4" w14:textId="55324D0D" w:rsidR="00FC331F" w:rsidRPr="0048465B" w:rsidRDefault="00FC331F" w:rsidP="00FC331F">
      <w:pPr>
        <w:rPr>
          <w:lang w:val="en-GB"/>
        </w:rPr>
      </w:pPr>
      <w:r w:rsidRPr="0048465B">
        <w:rPr>
          <w:lang w:val="en-GB"/>
        </w:rPr>
        <w:t>Before departing from considerations of BDS</w:t>
      </w:r>
      <w:r w:rsidR="00F9230C">
        <w:rPr>
          <w:lang w:val="en-GB"/>
        </w:rPr>
        <w:t xml:space="preserve"> entirely</w:t>
      </w:r>
      <w:r w:rsidRPr="0048465B">
        <w:rPr>
          <w:lang w:val="en-GB"/>
        </w:rPr>
        <w:t xml:space="preserve">, however, there is one final repercussion of its challenge to Israel’s human rights record, the undermining of the perceived integrity of the two-state solution. Nathan Thrall argues that the BDS movement has ‘upset the entire industry of Middle East peace process </w:t>
      </w:r>
      <w:proofErr w:type="spellStart"/>
      <w:r w:rsidRPr="0048465B">
        <w:rPr>
          <w:lang w:val="en-GB"/>
        </w:rPr>
        <w:t>nonprofit</w:t>
      </w:r>
      <w:proofErr w:type="spellEnd"/>
      <w:r w:rsidRPr="0048465B">
        <w:rPr>
          <w:lang w:val="en-GB"/>
        </w:rPr>
        <w:t xml:space="preserve"> organisations, diplomatic missions and think tanks by undermining their central premise: that the conflict can be resolved simply by ending Israel’s occupation’, concluding that ‘[a]</w:t>
      </w:r>
      <w:proofErr w:type="spellStart"/>
      <w:r w:rsidRPr="0048465B">
        <w:rPr>
          <w:lang w:val="en-GB"/>
        </w:rPr>
        <w:t>bove</w:t>
      </w:r>
      <w:proofErr w:type="spellEnd"/>
      <w:r w:rsidRPr="0048465B">
        <w:rPr>
          <w:lang w:val="en-GB"/>
        </w:rPr>
        <w:t xml:space="preserve"> all, it has underscored an awkward issue that cannot be indefinitely neglected: whether Israel, even if it were to cease its occupation of the West Bank and Gaza, can be both a democracy and a Jewish state’.</w:t>
      </w:r>
      <w:r w:rsidRPr="0048465B">
        <w:rPr>
          <w:vertAlign w:val="superscript"/>
          <w:lang w:val="en-GB"/>
        </w:rPr>
        <w:footnoteReference w:id="685"/>
      </w:r>
      <w:r w:rsidRPr="0048465B">
        <w:rPr>
          <w:lang w:val="en-GB"/>
        </w:rPr>
        <w:t xml:space="preserve"> </w:t>
      </w:r>
    </w:p>
    <w:p w14:paraId="0999C5A2" w14:textId="77777777" w:rsidR="00FC331F" w:rsidRPr="0048465B" w:rsidRDefault="00FC331F" w:rsidP="00FC331F">
      <w:pPr>
        <w:rPr>
          <w:lang w:val="en-GB"/>
        </w:rPr>
      </w:pPr>
    </w:p>
    <w:p w14:paraId="6B3F7D2A" w14:textId="0B972F36" w:rsidR="00FC331F" w:rsidRPr="0048465B" w:rsidRDefault="00FC331F" w:rsidP="00FC331F">
      <w:pPr>
        <w:rPr>
          <w:lang w:val="en-GB"/>
        </w:rPr>
      </w:pPr>
      <w:r w:rsidRPr="0048465B">
        <w:rPr>
          <w:lang w:val="en-GB"/>
        </w:rPr>
        <w:t>Whilst the two-state solution has remained the central goal of the peace process for the majority of its existence, its political predominance holds little correlation with its plausibility. Thrall argues that the less conceivable the two-state solution becomes, the more aggressively it is proposed as the only solution. A crucial observation here, is that the very possibility of a two-state solution, no matter how unlikely</w:t>
      </w:r>
      <w:r w:rsidR="005E79D5">
        <w:rPr>
          <w:lang w:val="en-GB"/>
        </w:rPr>
        <w:t xml:space="preserve"> its success or distant its realisation</w:t>
      </w:r>
      <w:r w:rsidRPr="0048465B">
        <w:rPr>
          <w:lang w:val="en-GB"/>
        </w:rPr>
        <w:t xml:space="preserve">, has ensured that ‘major world powers [felt justified in their] </w:t>
      </w:r>
      <w:proofErr w:type="spellStart"/>
      <w:r w:rsidRPr="0048465B">
        <w:rPr>
          <w:lang w:val="en-GB"/>
        </w:rPr>
        <w:t>refus</w:t>
      </w:r>
      <w:proofErr w:type="spellEnd"/>
      <w:r w:rsidRPr="0048465B">
        <w:rPr>
          <w:lang w:val="en-GB"/>
        </w:rPr>
        <w:t>[al] to demand that Israel grant the Palestinians citizenship and equal rights’.</w:t>
      </w:r>
      <w:r w:rsidRPr="0048465B">
        <w:rPr>
          <w:vertAlign w:val="superscript"/>
          <w:lang w:val="en-GB"/>
        </w:rPr>
        <w:footnoteReference w:id="686"/>
      </w:r>
      <w:r w:rsidRPr="0048465B">
        <w:rPr>
          <w:lang w:val="en-GB"/>
        </w:rPr>
        <w:t xml:space="preserve"> The flawed logic herein is that </w:t>
      </w:r>
      <w:r w:rsidR="00F9230C">
        <w:rPr>
          <w:lang w:val="en-GB"/>
        </w:rPr>
        <w:t>as long as the</w:t>
      </w:r>
      <w:r w:rsidRPr="0048465B">
        <w:rPr>
          <w:lang w:val="en-GB"/>
        </w:rPr>
        <w:t xml:space="preserve"> occupation</w:t>
      </w:r>
      <w:r w:rsidR="00F9230C">
        <w:rPr>
          <w:lang w:val="en-GB"/>
        </w:rPr>
        <w:t xml:space="preserve"> can be considered</w:t>
      </w:r>
      <w:r w:rsidRPr="0048465B">
        <w:rPr>
          <w:lang w:val="en-GB"/>
        </w:rPr>
        <w:t xml:space="preserve"> temporary pending Palestinian statehood </w:t>
      </w:r>
      <w:r w:rsidR="005E79D5">
        <w:rPr>
          <w:lang w:val="en-GB"/>
        </w:rPr>
        <w:t>–</w:t>
      </w:r>
      <w:r w:rsidRPr="0048465B">
        <w:rPr>
          <w:lang w:val="en-GB"/>
        </w:rPr>
        <w:t xml:space="preserve"> the prospect of which has no timeframe </w:t>
      </w:r>
      <w:r w:rsidR="005E79D5">
        <w:rPr>
          <w:lang w:val="en-GB"/>
        </w:rPr>
        <w:t>–</w:t>
      </w:r>
      <w:r w:rsidRPr="0048465B">
        <w:rPr>
          <w:lang w:val="en-GB"/>
        </w:rPr>
        <w:t xml:space="preserve"> the inequality inherent in the de facto single state of Israel-Palestine now is simply a lamentable moment within an ongoing peace process. As such, the two-state solution has</w:t>
      </w:r>
      <w:r w:rsidR="008F554C">
        <w:rPr>
          <w:lang w:val="en-GB"/>
        </w:rPr>
        <w:t xml:space="preserve"> been</w:t>
      </w:r>
      <w:r w:rsidRPr="0048465B">
        <w:rPr>
          <w:lang w:val="en-GB"/>
        </w:rPr>
        <w:t xml:space="preserve"> transformed from an initially hopeful peace process into a mechanism by which Palestinian inequality is sustained, both through </w:t>
      </w:r>
      <w:r w:rsidRPr="0048465B">
        <w:rPr>
          <w:lang w:val="en-GB"/>
        </w:rPr>
        <w:lastRenderedPageBreak/>
        <w:t>the lack of temporal parameters placed upon the process which ensures that it can continue indefinitely, and through the numerous historical indications that any two-state solution reached through existing modes of diplomacy may well fail to offer a peace that truly understands the importance of Palestinian sovereignty and return.</w:t>
      </w:r>
    </w:p>
    <w:p w14:paraId="7DB19FA0" w14:textId="77777777" w:rsidR="00FC331F" w:rsidRPr="0048465B" w:rsidRDefault="00FC331F" w:rsidP="00FC331F">
      <w:pPr>
        <w:rPr>
          <w:lang w:val="en-GB"/>
        </w:rPr>
      </w:pPr>
    </w:p>
    <w:p w14:paraId="2245C892" w14:textId="5472E491" w:rsidR="00FC331F" w:rsidRPr="0048465B" w:rsidRDefault="00FC331F" w:rsidP="00FC331F">
      <w:pPr>
        <w:rPr>
          <w:lang w:val="en-GB"/>
        </w:rPr>
      </w:pPr>
      <w:r w:rsidRPr="0048465B">
        <w:rPr>
          <w:lang w:val="en-GB"/>
        </w:rPr>
        <w:t xml:space="preserve">Israel’s paradoxical claim to being both democratic and a state in which only those of a certain religion have the right to self-determination is one of the most significant aspects undermining the two-state solution altogether. Whilst the two-state solution has long been lauded as the only feasible route towards peace in the Middle East, this chapter has already exposed some of the fundamental flaws with such a plan. The two-state solution does not solve the maltreatment of Palestinian citizens of Israel, whose discrimination and inequity in the eyes of Israeli law would continue regardless of whether or not a Palestinian state existed next door. The two-state solution has never offered, and appears unlikely to ever offer, a full right of return to the Palestinians exiled in 1948, as deemed fair and just in UN Resolution 194. As such, the two-state solution does not attempt to account for, or rectify in any way, the emotional and particular loss suffered by the Palestinian people of the specific lands and buildings that continue to exist in Israel, beyond the reach of their original exiled owners. This passionate attachment to the land itself, rather than to the notion of sovereignty alone, leads to yet another flaw with the two-state solution, that such a solution takes an oversimplified approach to an extremely complex conflict, and assumes that a division of the land into two independent states will lead to peace. Such divisions are </w:t>
      </w:r>
      <w:r w:rsidR="005E79D5">
        <w:rPr>
          <w:lang w:val="en-GB"/>
        </w:rPr>
        <w:t>rarely</w:t>
      </w:r>
      <w:r w:rsidRPr="0048465B">
        <w:rPr>
          <w:lang w:val="en-GB"/>
        </w:rPr>
        <w:t xml:space="preserve"> historically associated with peace,</w:t>
      </w:r>
      <w:r w:rsidRPr="0048465B">
        <w:rPr>
          <w:vertAlign w:val="superscript"/>
          <w:lang w:val="en-GB"/>
        </w:rPr>
        <w:footnoteReference w:id="687"/>
      </w:r>
      <w:r w:rsidRPr="0048465B">
        <w:rPr>
          <w:lang w:val="en-GB"/>
        </w:rPr>
        <w:t xml:space="preserve"> and the Israeli-Palestinian conflict as we know it today </w:t>
      </w:r>
      <w:r w:rsidRPr="0048465B">
        <w:rPr>
          <w:lang w:val="en-GB"/>
        </w:rPr>
        <w:lastRenderedPageBreak/>
        <w:t>originates from a division of the land that, like existing two-state propositions, overlooked the legitimate rights of the indigenous Palestinian population.</w:t>
      </w:r>
      <w:r w:rsidRPr="0048465B">
        <w:rPr>
          <w:vertAlign w:val="superscript"/>
          <w:lang w:val="en-GB"/>
        </w:rPr>
        <w:footnoteReference w:id="688"/>
      </w:r>
    </w:p>
    <w:p w14:paraId="6A2C3DDC" w14:textId="77777777" w:rsidR="00FC331F" w:rsidRPr="0048465B" w:rsidRDefault="00FC331F" w:rsidP="00FC331F">
      <w:pPr>
        <w:rPr>
          <w:lang w:val="en-GB"/>
        </w:rPr>
      </w:pPr>
    </w:p>
    <w:p w14:paraId="3E4E234C" w14:textId="618BB600" w:rsidR="00FC331F" w:rsidRPr="0048465B" w:rsidRDefault="00FC331F" w:rsidP="00FC331F">
      <w:pPr>
        <w:rPr>
          <w:lang w:val="en-GB"/>
        </w:rPr>
      </w:pPr>
      <w:r w:rsidRPr="0048465B">
        <w:rPr>
          <w:lang w:val="en-GB"/>
        </w:rPr>
        <w:t xml:space="preserve">Propositions for two-state solutions in the past have failed to offer equality for Palestinians in terms of sovereignty, placing conditions upon their control of the cornerstones of true autonomy such as airspace, borders, and military. Netanyahu’s proposed annexation of a significant portion of the West Bank </w:t>
      </w:r>
      <w:r w:rsidR="007D2461">
        <w:rPr>
          <w:lang w:val="en-GB"/>
        </w:rPr>
        <w:t>–</w:t>
      </w:r>
      <w:r w:rsidRPr="0048465B">
        <w:rPr>
          <w:lang w:val="en-GB"/>
        </w:rPr>
        <w:t xml:space="preserve"> </w:t>
      </w:r>
      <w:r w:rsidR="007D2461">
        <w:rPr>
          <w:lang w:val="en-GB"/>
        </w:rPr>
        <w:t>o</w:t>
      </w:r>
      <w:r w:rsidRPr="0048465B">
        <w:rPr>
          <w:lang w:val="en-GB"/>
        </w:rPr>
        <w:t xml:space="preserve">stensibly suspended due to the normalisation deal with the UAE </w:t>
      </w:r>
      <w:r w:rsidR="007D2461">
        <w:rPr>
          <w:lang w:val="en-GB"/>
        </w:rPr>
        <w:t>–</w:t>
      </w:r>
      <w:r w:rsidRPr="0048465B">
        <w:rPr>
          <w:lang w:val="en-GB"/>
        </w:rPr>
        <w:t xml:space="preserve"> would ‘destroy any chance of a state the Palestinians had hoped for in the remnants of their original homeland’, thus making the two-state solution even less feasible than it already seems.</w:t>
      </w:r>
      <w:r w:rsidRPr="0048465B">
        <w:rPr>
          <w:vertAlign w:val="superscript"/>
          <w:lang w:val="en-GB"/>
        </w:rPr>
        <w:footnoteReference w:id="689"/>
      </w:r>
      <w:r w:rsidRPr="0048465B">
        <w:rPr>
          <w:lang w:val="en-GB"/>
        </w:rPr>
        <w:t xml:space="preserve"> If Israel were to annex the 30 percent of the West Bank that has been proposed, this would mean that of the almost 28,000 square kilometres of land that was once lived upon by Palestinians </w:t>
      </w:r>
      <w:r w:rsidR="007D2461">
        <w:rPr>
          <w:lang w:val="en-GB"/>
        </w:rPr>
        <w:t>–</w:t>
      </w:r>
      <w:r w:rsidRPr="0048465B">
        <w:rPr>
          <w:lang w:val="en-GB"/>
        </w:rPr>
        <w:t xml:space="preserve"> of which they currently are confined to just under a quarter </w:t>
      </w:r>
      <w:r w:rsidR="007D2461">
        <w:rPr>
          <w:lang w:val="en-GB"/>
        </w:rPr>
        <w:t>–</w:t>
      </w:r>
      <w:r w:rsidRPr="0048465B">
        <w:rPr>
          <w:lang w:val="en-GB"/>
        </w:rPr>
        <w:t xml:space="preserve"> any Palestinian state on the remaining land would be reduced by over a quarter, and would leave the Palestinian people living on less than 16</w:t>
      </w:r>
      <w:r w:rsidR="00AE6D44">
        <w:rPr>
          <w:lang w:val="en-GB"/>
        </w:rPr>
        <w:t xml:space="preserve"> percent </w:t>
      </w:r>
      <w:r w:rsidRPr="0048465B">
        <w:rPr>
          <w:lang w:val="en-GB"/>
        </w:rPr>
        <w:t>of the land that they once lived upon.</w:t>
      </w:r>
      <w:r w:rsidRPr="0048465B">
        <w:rPr>
          <w:vertAlign w:val="superscript"/>
          <w:lang w:val="en-GB"/>
        </w:rPr>
        <w:footnoteReference w:id="690"/>
      </w:r>
      <w:r w:rsidRPr="0048465B">
        <w:rPr>
          <w:lang w:val="en-GB"/>
        </w:rPr>
        <w:t xml:space="preserve"> Even if Netanyahu were to provide the land swaps marked out in the Trump plan that proposed this 30 percent annexation, Palestinians would receive territory equal to less than half of the land taken from them in return, this land taking the shape of ‘territorially </w:t>
      </w:r>
      <w:r w:rsidRPr="0048465B">
        <w:rPr>
          <w:lang w:val="en-GB"/>
        </w:rPr>
        <w:lastRenderedPageBreak/>
        <w:t>disconnected enclaves, preventing natural and economic development, and</w:t>
      </w:r>
      <w:r w:rsidR="000C3FB4">
        <w:rPr>
          <w:lang w:val="en-GB"/>
        </w:rPr>
        <w:t xml:space="preserve"> [… </w:t>
      </w:r>
      <w:r w:rsidRPr="0048465B">
        <w:rPr>
          <w:lang w:val="en-GB"/>
        </w:rPr>
        <w:t>ensuring that these newly Palestinian lands remain</w:t>
      </w:r>
      <w:r w:rsidR="000C3FB4">
        <w:rPr>
          <w:lang w:val="en-GB"/>
        </w:rPr>
        <w:t xml:space="preserve"> …</w:t>
      </w:r>
      <w:r w:rsidRPr="0048465B">
        <w:rPr>
          <w:lang w:val="en-GB"/>
        </w:rPr>
        <w:t>] under sweeping Israeli security control’.</w:t>
      </w:r>
      <w:r w:rsidRPr="0048465B">
        <w:rPr>
          <w:vertAlign w:val="superscript"/>
          <w:lang w:val="en-GB"/>
        </w:rPr>
        <w:footnoteReference w:id="691"/>
      </w:r>
      <w:r w:rsidRPr="0048465B">
        <w:rPr>
          <w:lang w:val="en-GB"/>
        </w:rPr>
        <w:t xml:space="preserve"> </w:t>
      </w:r>
    </w:p>
    <w:p w14:paraId="56ACF68C" w14:textId="77777777" w:rsidR="00FC331F" w:rsidRPr="0048465B" w:rsidRDefault="00FC331F" w:rsidP="00FC331F">
      <w:pPr>
        <w:rPr>
          <w:lang w:val="en-GB"/>
        </w:rPr>
      </w:pPr>
    </w:p>
    <w:p w14:paraId="447B2DD4" w14:textId="47D1FEF5" w:rsidR="00FC331F" w:rsidRPr="0048465B" w:rsidRDefault="00FC331F" w:rsidP="00FC331F">
      <w:pPr>
        <w:rPr>
          <w:lang w:val="en-GB"/>
        </w:rPr>
      </w:pPr>
      <w:r w:rsidRPr="0048465B">
        <w:rPr>
          <w:lang w:val="en-GB"/>
        </w:rPr>
        <w:t xml:space="preserve">Whilst Peter Beinart, editor at large of </w:t>
      </w:r>
      <w:r w:rsidRPr="00DA6964">
        <w:rPr>
          <w:i/>
          <w:iCs/>
          <w:lang w:val="en-GB"/>
        </w:rPr>
        <w:t>Jewish Currents</w:t>
      </w:r>
      <w:r w:rsidRPr="0048465B">
        <w:rPr>
          <w:lang w:val="en-GB"/>
        </w:rPr>
        <w:t xml:space="preserve"> magazine and prominent political commentator on the conflict, has described the two-state solution as something that ‘risks becoming</w:t>
      </w:r>
      <w:r w:rsidR="000C3FB4">
        <w:rPr>
          <w:lang w:val="en-GB"/>
        </w:rPr>
        <w:t xml:space="preserve"> […] </w:t>
      </w:r>
      <w:r w:rsidRPr="0048465B">
        <w:rPr>
          <w:lang w:val="en-GB"/>
        </w:rPr>
        <w:t>a way of camouflaging and enabling’ Israel’s domination of Palestinian lives, the evidence suggests that this is, in fact, already the case</w:t>
      </w:r>
      <w:r w:rsidR="007C72BF">
        <w:rPr>
          <w:lang w:val="en-GB"/>
        </w:rPr>
        <w:t>.</w:t>
      </w:r>
      <w:r w:rsidR="007C72BF" w:rsidRPr="0048465B">
        <w:rPr>
          <w:vertAlign w:val="superscript"/>
          <w:lang w:val="en-GB"/>
        </w:rPr>
        <w:footnoteReference w:id="692"/>
      </w:r>
      <w:r w:rsidRPr="0048465B">
        <w:rPr>
          <w:lang w:val="en-GB"/>
        </w:rPr>
        <w:t xml:space="preserve"> Since Palestine acquiesced to the Oslo framework, it has, in the words of Palestinian</w:t>
      </w:r>
      <w:r w:rsidR="00B45635">
        <w:rPr>
          <w:lang w:val="en-GB"/>
        </w:rPr>
        <w:t xml:space="preserve"> </w:t>
      </w:r>
      <w:r w:rsidRPr="0048465B">
        <w:rPr>
          <w:lang w:val="en-GB"/>
        </w:rPr>
        <w:t xml:space="preserve">American political analyst Yousef Munayyer, ‘consented to a formula that encouraged Israel’s expansion, relinquished their ability to challenge it, and </w:t>
      </w:r>
      <w:proofErr w:type="spellStart"/>
      <w:r w:rsidRPr="0048465B">
        <w:rPr>
          <w:lang w:val="en-GB"/>
        </w:rPr>
        <w:t>sidelined</w:t>
      </w:r>
      <w:proofErr w:type="spellEnd"/>
      <w:r w:rsidRPr="0048465B">
        <w:rPr>
          <w:lang w:val="en-GB"/>
        </w:rPr>
        <w:t xml:space="preserve"> the international community and international law’. Munayyer notes that settler populations outside of Jerusalem have grown four times as fast in the </w:t>
      </w:r>
      <w:r w:rsidR="00AE6D44">
        <w:rPr>
          <w:lang w:val="en-GB"/>
        </w:rPr>
        <w:t>twenty-six</w:t>
      </w:r>
      <w:r w:rsidRPr="0048465B">
        <w:rPr>
          <w:lang w:val="en-GB"/>
        </w:rPr>
        <w:t xml:space="preserve"> years since the Oslo accords than in the </w:t>
      </w:r>
      <w:r w:rsidR="00AE6D44">
        <w:rPr>
          <w:lang w:val="en-GB"/>
        </w:rPr>
        <w:t>twenty-six</w:t>
      </w:r>
      <w:r w:rsidRPr="0048465B">
        <w:rPr>
          <w:lang w:val="en-GB"/>
        </w:rPr>
        <w:t xml:space="preserve"> years that preceded them.</w:t>
      </w:r>
      <w:r w:rsidRPr="0048465B">
        <w:rPr>
          <w:vertAlign w:val="superscript"/>
          <w:lang w:val="en-GB"/>
        </w:rPr>
        <w:footnoteReference w:id="693"/>
      </w:r>
      <w:r w:rsidRPr="0048465B">
        <w:rPr>
          <w:lang w:val="en-GB"/>
        </w:rPr>
        <w:t xml:space="preserve"> The continued belief in a solution that for almost fifty years has shown few signs of progress towards peace has allowed the current status quo to not only continue indefinitely, but decline even further. The notion of a two-state solution has overseen Israel’s growing control over Palestine and enabled its gradual transition into normalcy, nullifying any political incentive for Israel to enter peace negotiations in good faith or to alter the parameters of its domination whatsoever.</w:t>
      </w:r>
    </w:p>
    <w:p w14:paraId="4499F71B" w14:textId="77777777" w:rsidR="00FC331F" w:rsidRPr="0048465B" w:rsidRDefault="00FC331F" w:rsidP="00FC331F">
      <w:pPr>
        <w:rPr>
          <w:lang w:val="en-GB"/>
        </w:rPr>
      </w:pPr>
    </w:p>
    <w:p w14:paraId="61A99F86" w14:textId="46342B4C" w:rsidR="00FC331F" w:rsidRPr="0048465B" w:rsidRDefault="00FC331F" w:rsidP="00FC331F">
      <w:pPr>
        <w:rPr>
          <w:lang w:val="en-GB"/>
        </w:rPr>
      </w:pPr>
      <w:r w:rsidRPr="0048465B">
        <w:rPr>
          <w:lang w:val="en-GB"/>
        </w:rPr>
        <w:lastRenderedPageBreak/>
        <w:t xml:space="preserve">In July 2020, Beinart published a number of articles and essays explaining why he no longer supported the two-state solution. In </w:t>
      </w:r>
      <w:r w:rsidRPr="0048465B">
        <w:rPr>
          <w:i/>
          <w:lang w:val="en-GB"/>
        </w:rPr>
        <w:t>The New York Times</w:t>
      </w:r>
      <w:r w:rsidRPr="0048465B">
        <w:rPr>
          <w:lang w:val="en-GB"/>
        </w:rPr>
        <w:t>, he spoke of how ‘the dream of a two-state solution’ had allowed him to believe that he could ‘remain a liberal and a supporter of Jewish statehood at the same time’, before admitting that events in Israel-Palestine had ‘extinguished that hope’. He argued that Israel had already decided its course of action, ‘one country that includes millions of Palestinians who lack basic rights’ and called upon ‘liberal Zionists’ to ‘abandon the traditional two-state solution and embrace the goal of equal rights for Jews and Palestinians’, reconciling this appeal with his position as a liberal Zionist through arguing for ‘a Jewish home that is not a Jewish state’, or, later in the argument, ‘a Jewish home that is also, equally, a Palestinian home’.</w:t>
      </w:r>
      <w:r w:rsidRPr="0048465B">
        <w:rPr>
          <w:vertAlign w:val="superscript"/>
          <w:lang w:val="en-GB"/>
        </w:rPr>
        <w:footnoteReference w:id="694"/>
      </w:r>
      <w:r w:rsidRPr="0048465B">
        <w:rPr>
          <w:lang w:val="en-GB"/>
        </w:rPr>
        <w:t xml:space="preserve"> It is worth noting here in relation to Beinart’s desire for a ‘Jewish home that is not a Jewish state’, that Israel’s transformation from an entirely Jewish state into a democratic one does not preclude the existence of majority-Jewish areas. Indeed, as long as the existence of J</w:t>
      </w:r>
      <w:r w:rsidR="003C28AB">
        <w:rPr>
          <w:lang w:val="en-GB"/>
        </w:rPr>
        <w:t>ewish majority</w:t>
      </w:r>
      <w:r w:rsidRPr="0048465B">
        <w:rPr>
          <w:lang w:val="en-GB"/>
        </w:rPr>
        <w:t xml:space="preserve"> areas is the result of civilian preference, rather than</w:t>
      </w:r>
      <w:r w:rsidR="003C28AB">
        <w:rPr>
          <w:lang w:val="en-GB"/>
        </w:rPr>
        <w:t xml:space="preserve"> enforced and</w:t>
      </w:r>
      <w:r w:rsidRPr="0048465B">
        <w:rPr>
          <w:lang w:val="en-GB"/>
        </w:rPr>
        <w:t xml:space="preserve"> exclusionary governmental control, then the existence of such </w:t>
      </w:r>
      <w:r w:rsidR="003C28AB">
        <w:rPr>
          <w:lang w:val="en-GB"/>
        </w:rPr>
        <w:t>areas</w:t>
      </w:r>
      <w:r w:rsidR="003C28AB" w:rsidRPr="0048465B">
        <w:rPr>
          <w:lang w:val="en-GB"/>
        </w:rPr>
        <w:t xml:space="preserve"> </w:t>
      </w:r>
      <w:r w:rsidRPr="0048465B">
        <w:rPr>
          <w:lang w:val="en-GB"/>
        </w:rPr>
        <w:t>in a unified Israel</w:t>
      </w:r>
      <w:r w:rsidR="00AB77C6">
        <w:rPr>
          <w:lang w:val="en-GB"/>
        </w:rPr>
        <w:t>-Palestine</w:t>
      </w:r>
      <w:r w:rsidRPr="0048465B">
        <w:rPr>
          <w:lang w:val="en-GB"/>
        </w:rPr>
        <w:t xml:space="preserve"> would be entirely welcome, just as they would for Palestinians, Christians, or the Druze.</w:t>
      </w:r>
    </w:p>
    <w:p w14:paraId="4359B3EB" w14:textId="77777777" w:rsidR="00FC331F" w:rsidRPr="0048465B" w:rsidRDefault="00FC331F" w:rsidP="00FC331F">
      <w:pPr>
        <w:rPr>
          <w:lang w:val="en-GB"/>
        </w:rPr>
      </w:pPr>
    </w:p>
    <w:p w14:paraId="635808D9" w14:textId="741FC44B" w:rsidR="00FC331F" w:rsidRPr="0048465B" w:rsidRDefault="00FC331F" w:rsidP="00FC331F">
      <w:pPr>
        <w:rPr>
          <w:lang w:val="en-GB"/>
        </w:rPr>
      </w:pPr>
      <w:r w:rsidRPr="0048465B">
        <w:rPr>
          <w:lang w:val="en-GB"/>
        </w:rPr>
        <w:t xml:space="preserve">In response, Dershowitz described Beinart’s article as ‘a study in historical ignorance, </w:t>
      </w:r>
      <w:r w:rsidR="006779F4" w:rsidRPr="0048465B">
        <w:rPr>
          <w:lang w:val="en-GB"/>
        </w:rPr>
        <w:t>wilful</w:t>
      </w:r>
      <w:r w:rsidRPr="0048465B">
        <w:rPr>
          <w:lang w:val="en-GB"/>
        </w:rPr>
        <w:t xml:space="preserve"> deception and arrogant rejection of democracy’, as well as electing to invoke imagery of the Holocaust through describing Beinart’s proposal as a ‘Final Solution’.</w:t>
      </w:r>
      <w:r w:rsidRPr="0048465B">
        <w:rPr>
          <w:vertAlign w:val="superscript"/>
          <w:lang w:val="en-GB"/>
        </w:rPr>
        <w:footnoteReference w:id="695"/>
      </w:r>
      <w:r w:rsidRPr="0048465B">
        <w:rPr>
          <w:lang w:val="en-GB"/>
        </w:rPr>
        <w:t xml:space="preserve"> Dershowitz’ suggestion that the goal of equal rights for Jews and Palestinians is an ‘arrogant rejection of democracy’, due </w:t>
      </w:r>
      <w:r w:rsidRPr="0048465B">
        <w:rPr>
          <w:lang w:val="en-GB"/>
        </w:rPr>
        <w:lastRenderedPageBreak/>
        <w:t xml:space="preserve">to his belief that most Jews and Arabs do not want it, is not only contradictory in its alignment of the prospect of equal votership with a repudiation of democracy, but also completely overlooks the </w:t>
      </w:r>
      <w:r w:rsidR="002C41E8">
        <w:rPr>
          <w:lang w:val="en-GB"/>
        </w:rPr>
        <w:t>fact</w:t>
      </w:r>
      <w:r w:rsidRPr="0048465B">
        <w:rPr>
          <w:lang w:val="en-GB"/>
        </w:rPr>
        <w:t xml:space="preserve"> that what Beinart suggests is a long term goal rather than a demand to hastily </w:t>
      </w:r>
      <w:r w:rsidR="00AE3271">
        <w:rPr>
          <w:lang w:val="en-GB"/>
        </w:rPr>
        <w:t>unite</w:t>
      </w:r>
      <w:r w:rsidRPr="0048465B">
        <w:rPr>
          <w:lang w:val="en-GB"/>
        </w:rPr>
        <w:t xml:space="preserve"> the </w:t>
      </w:r>
      <w:r w:rsidR="00AE3271">
        <w:rPr>
          <w:lang w:val="en-GB"/>
        </w:rPr>
        <w:t>two lands</w:t>
      </w:r>
      <w:r w:rsidRPr="0048465B">
        <w:rPr>
          <w:lang w:val="en-GB"/>
        </w:rPr>
        <w:t xml:space="preserve"> regardless of people’s wishes. Moreover, whilst the polls cited by Beinart do indeed indicate that the two-state solution currently remains the most popular solution, this support is dwindling, a decline that is directly tied to the perceived feasibility of a workable two-state solution, thus further reinforcing Beinart’s depiction of the two-state solution as increasingly unattainable in the public eye.</w:t>
      </w:r>
      <w:r w:rsidRPr="0048465B">
        <w:rPr>
          <w:vertAlign w:val="superscript"/>
          <w:lang w:val="en-GB"/>
        </w:rPr>
        <w:footnoteReference w:id="696"/>
      </w:r>
      <w:r w:rsidRPr="0048465B">
        <w:rPr>
          <w:lang w:val="en-GB"/>
        </w:rPr>
        <w:t xml:space="preserve"> </w:t>
      </w:r>
    </w:p>
    <w:p w14:paraId="43585BCD" w14:textId="77777777" w:rsidR="00FC331F" w:rsidRPr="0048465B" w:rsidRDefault="00FC331F" w:rsidP="00FC331F">
      <w:pPr>
        <w:rPr>
          <w:lang w:val="en-GB"/>
        </w:rPr>
      </w:pPr>
    </w:p>
    <w:p w14:paraId="3DB5DE7B" w14:textId="41871248" w:rsidR="00AE3271" w:rsidRDefault="00FC331F" w:rsidP="00FC331F">
      <w:pPr>
        <w:rPr>
          <w:lang w:val="en-GB"/>
        </w:rPr>
      </w:pPr>
      <w:r w:rsidRPr="0048465B">
        <w:rPr>
          <w:lang w:val="en-GB"/>
        </w:rPr>
        <w:t>As for Dershowitz’ alignment of Beinart’s proposal with the Nazis’ Final Solution, a democratic unified state compris</w:t>
      </w:r>
      <w:r w:rsidR="00BA778A">
        <w:rPr>
          <w:lang w:val="en-GB"/>
        </w:rPr>
        <w:t>ed of</w:t>
      </w:r>
      <w:r w:rsidRPr="0048465B">
        <w:rPr>
          <w:lang w:val="en-GB"/>
        </w:rPr>
        <w:t xml:space="preserve"> Israeli and Palestinian lands and peoples is not equivalent to a second Holocaust. The situation is not, however, quite as simple as suggested by University of Gaza professor, Haidar Eid, who argues in relation to the prospect of a unified state ‘“I mean, equality is not scary! If you are against equality and justice, you are against human rights”’.</w:t>
      </w:r>
      <w:r w:rsidRPr="0048465B">
        <w:rPr>
          <w:vertAlign w:val="superscript"/>
          <w:lang w:val="en-GB"/>
        </w:rPr>
        <w:footnoteReference w:id="697"/>
      </w:r>
      <w:r w:rsidRPr="0048465B">
        <w:rPr>
          <w:lang w:val="en-GB"/>
        </w:rPr>
        <w:t xml:space="preserve"> Whilst the latter half of this statement rings true, the suggestion that equality is not scary overlooks the vulnerability that comes with a loss of control, a particularly charged reality for Jewish</w:t>
      </w:r>
      <w:r w:rsidR="002C41E8">
        <w:rPr>
          <w:lang w:val="en-GB"/>
        </w:rPr>
        <w:t xml:space="preserve"> </w:t>
      </w:r>
      <w:r w:rsidRPr="0048465B">
        <w:rPr>
          <w:lang w:val="en-GB"/>
        </w:rPr>
        <w:t xml:space="preserve">Israelis living in a nation forged partly in response to both </w:t>
      </w:r>
      <w:r w:rsidR="00AE3271">
        <w:rPr>
          <w:lang w:val="en-GB"/>
        </w:rPr>
        <w:t xml:space="preserve">the vulnerabilities of diaspora existence and </w:t>
      </w:r>
      <w:r w:rsidRPr="0048465B">
        <w:rPr>
          <w:lang w:val="en-GB"/>
        </w:rPr>
        <w:t xml:space="preserve">genocide. </w:t>
      </w:r>
    </w:p>
    <w:p w14:paraId="758BD497" w14:textId="77777777" w:rsidR="00AE3271" w:rsidRDefault="00AE3271" w:rsidP="00FC331F">
      <w:pPr>
        <w:rPr>
          <w:lang w:val="en-GB"/>
        </w:rPr>
      </w:pPr>
    </w:p>
    <w:p w14:paraId="2FC6A1B0" w14:textId="75D51F28" w:rsidR="00FC331F" w:rsidRPr="0048465B" w:rsidRDefault="00FC331F" w:rsidP="00FC331F">
      <w:pPr>
        <w:rPr>
          <w:lang w:val="en-GB"/>
        </w:rPr>
      </w:pPr>
      <w:r w:rsidRPr="0048465B">
        <w:rPr>
          <w:lang w:val="en-GB"/>
        </w:rPr>
        <w:t xml:space="preserve">Whilst such feelings cannot justify the conservation of inequality, simplistic approaches that overlook the fears of either side do little to encourage enthusiasm for a one-state solution. Beinart </w:t>
      </w:r>
      <w:r w:rsidRPr="0048465B">
        <w:rPr>
          <w:lang w:val="en-GB"/>
        </w:rPr>
        <w:lastRenderedPageBreak/>
        <w:t>himself acknowledges the emotional difficulty of this one-state potentiality, precisely due to the history of the Jewish genocide. He quotes Yehuda Elkana, Israeli historian and survivor of Auschwitz, who argues that Israeli relations with Palestinians are motivated by a ‘“profound existential ‘Angst’ fed by a particular interpretation of the lessons of the Holocaust”’, before arguing himself that the ‘Holocaust lens leads many Jews to assume that anything short of Jewish statehood would mean Jewish suicide’.</w:t>
      </w:r>
      <w:r w:rsidRPr="0048465B">
        <w:rPr>
          <w:vertAlign w:val="superscript"/>
          <w:lang w:val="en-GB"/>
        </w:rPr>
        <w:footnoteReference w:id="698"/>
      </w:r>
      <w:r w:rsidRPr="0048465B">
        <w:rPr>
          <w:lang w:val="en-GB"/>
        </w:rPr>
        <w:t xml:space="preserve"> Ironically, through aligning Beinart’s egalitarian proposal with the Holocaust, Dershowitz verifies Beinart’s analysis of the anxiety affecting some Jews regarding the questioning of</w:t>
      </w:r>
      <w:r w:rsidR="00997EAB">
        <w:rPr>
          <w:lang w:val="en-GB"/>
        </w:rPr>
        <w:t xml:space="preserve"> the</w:t>
      </w:r>
      <w:r w:rsidRPr="0048465B">
        <w:rPr>
          <w:lang w:val="en-GB"/>
        </w:rPr>
        <w:t xml:space="preserve"> Israel</w:t>
      </w:r>
      <w:r w:rsidR="00997EAB">
        <w:rPr>
          <w:lang w:val="en-GB"/>
        </w:rPr>
        <w:t>i status quo</w:t>
      </w:r>
      <w:r w:rsidRPr="0048465B">
        <w:rPr>
          <w:lang w:val="en-GB"/>
        </w:rPr>
        <w:t>, wherein ‘[o]</w:t>
      </w:r>
      <w:proofErr w:type="spellStart"/>
      <w:r w:rsidRPr="0048465B">
        <w:rPr>
          <w:lang w:val="en-GB"/>
        </w:rPr>
        <w:t>pposing</w:t>
      </w:r>
      <w:proofErr w:type="spellEnd"/>
      <w:r w:rsidRPr="0048465B">
        <w:rPr>
          <w:lang w:val="en-GB"/>
        </w:rPr>
        <w:t xml:space="preserve"> a Jewish state means risking a second Holocaust’, and where in the circles of ‘power and respectability</w:t>
      </w:r>
      <w:r w:rsidR="000C3FB4">
        <w:rPr>
          <w:lang w:val="en-GB"/>
        </w:rPr>
        <w:t xml:space="preserve"> […] </w:t>
      </w:r>
      <w:r w:rsidRPr="0048465B">
        <w:rPr>
          <w:lang w:val="en-GB"/>
        </w:rPr>
        <w:t>rejecting Israel is a greater heresy than rejecting God’.</w:t>
      </w:r>
      <w:r w:rsidRPr="0048465B">
        <w:rPr>
          <w:vertAlign w:val="superscript"/>
          <w:lang w:val="en-GB"/>
        </w:rPr>
        <w:footnoteReference w:id="699"/>
      </w:r>
      <w:r w:rsidRPr="0048465B">
        <w:rPr>
          <w:lang w:val="en-GB"/>
        </w:rPr>
        <w:t xml:space="preserve"> Such opposition when proposing transformations based in equality and shared human rights demonstrates the challenge facing liberal Jews who express their desire for Israeli change. In literal terms, however, whilst the discontinuation of the Jewish identity of the Israeli state specifically is an understandably fearful notion, it is not equivalent to apocalypse, genocide, or even necessarily violence. It would, however, demand a recalibration of the values held central to Israel’s existence, and for Israel’s citizens to feel able to prioritise equality, rather than relenting to anxieties rooted in the traumas of the past.</w:t>
      </w:r>
    </w:p>
    <w:p w14:paraId="7235AB16" w14:textId="77777777" w:rsidR="00FC331F" w:rsidRPr="0048465B" w:rsidRDefault="00FC331F" w:rsidP="00FC331F">
      <w:pPr>
        <w:rPr>
          <w:lang w:val="en-GB"/>
        </w:rPr>
      </w:pPr>
    </w:p>
    <w:p w14:paraId="0FF15625" w14:textId="7934E75F" w:rsidR="00FC331F" w:rsidRPr="0048465B" w:rsidRDefault="00FC331F" w:rsidP="00FC331F">
      <w:pPr>
        <w:rPr>
          <w:lang w:val="en-GB"/>
        </w:rPr>
      </w:pPr>
      <w:r w:rsidRPr="0048465B">
        <w:rPr>
          <w:lang w:val="en-GB"/>
        </w:rPr>
        <w:t xml:space="preserve">A key observation when deliberating upon the possibility of a one-state solution is that Israel’s control of all lands in question equates to a de facto one-state reality already, wherein a form of quasi-apartheid separates Jews and non-Jews in both Israel proper and the Occupied Territories. Whilst the most utopian two-state solution would see geographical boundaries between Israel and Palestine confirmed and ensure absolute sovereignty and peaceful co-existence between both </w:t>
      </w:r>
      <w:r w:rsidRPr="0048465B">
        <w:rPr>
          <w:lang w:val="en-GB"/>
        </w:rPr>
        <w:lastRenderedPageBreak/>
        <w:t xml:space="preserve">parties, even this romantic vision of the two-state solution would fail to account for the inequalities of non-Jewish citizens of Israel, who </w:t>
      </w:r>
      <w:r w:rsidR="008321D4">
        <w:rPr>
          <w:lang w:val="en-GB"/>
        </w:rPr>
        <w:t>–</w:t>
      </w:r>
      <w:r w:rsidRPr="0048465B">
        <w:rPr>
          <w:lang w:val="en-GB"/>
        </w:rPr>
        <w:t xml:space="preserve"> were a two-state Israel to continue to exist in its current format </w:t>
      </w:r>
      <w:r w:rsidR="008321D4">
        <w:rPr>
          <w:lang w:val="en-GB"/>
        </w:rPr>
        <w:t>–</w:t>
      </w:r>
      <w:r w:rsidRPr="0048465B">
        <w:rPr>
          <w:lang w:val="en-GB"/>
        </w:rPr>
        <w:t xml:space="preserve"> would still be heavily discriminated against under Israeli law. Thus, whilst the debate over two or one states remains central to the discourse surrounding peace in the Middle East, it should perhaps be prefaced by first asking the question of democracy. Before asking whether an individual believes that a one-state solution could or could not work at some point in the future, we might ask whether one holds democracy in high enough regard to condemn the inequality of the one-state reality that exists within Israel and the Occupied Territories today. As Beinart argues, those who say that a ‘binational Israel-Palestine would be violent and unstable’ are ultimately saying that ‘it would be violent and unstable if everyone could vote’.</w:t>
      </w:r>
      <w:r w:rsidRPr="0048465B">
        <w:rPr>
          <w:vertAlign w:val="superscript"/>
          <w:lang w:val="en-GB"/>
        </w:rPr>
        <w:footnoteReference w:id="700"/>
      </w:r>
      <w:r w:rsidRPr="0048465B">
        <w:rPr>
          <w:lang w:val="en-GB"/>
        </w:rPr>
        <w:t xml:space="preserve"> Munayyer goes one step further, suggesting that the all-encompassing nature of Israel’s control removes the option of two-states altogether</w:t>
      </w:r>
      <w:r w:rsidR="00AE3271">
        <w:rPr>
          <w:lang w:val="en-GB"/>
        </w:rPr>
        <w:t>, and that the choice is</w:t>
      </w:r>
      <w:r w:rsidRPr="0048465B">
        <w:rPr>
          <w:lang w:val="en-GB"/>
        </w:rPr>
        <w:t xml:space="preserve"> </w:t>
      </w:r>
      <w:r w:rsidR="00AE3271">
        <w:rPr>
          <w:lang w:val="en-GB"/>
        </w:rPr>
        <w:t>instead between a single state</w:t>
      </w:r>
      <w:r w:rsidRPr="0048465B">
        <w:rPr>
          <w:lang w:val="en-GB"/>
        </w:rPr>
        <w:t xml:space="preserve"> ‘that cements de facto apartheid in which Palestinians are denied basic rights’ or one that ‘recognizes Israelis and Palestinians as equals under the law’.</w:t>
      </w:r>
      <w:r w:rsidRPr="0048465B">
        <w:rPr>
          <w:vertAlign w:val="superscript"/>
          <w:lang w:val="en-GB"/>
        </w:rPr>
        <w:footnoteReference w:id="701"/>
      </w:r>
      <w:r w:rsidRPr="0048465B">
        <w:rPr>
          <w:lang w:val="en-GB"/>
        </w:rPr>
        <w:t xml:space="preserve"> Whilst the possibility of a fair two-state solution exists in theory, the history of the peace process, contemporary Israeli attitudes towards Palestine, and the seeming perpetuity of settlement expansion suggest that, in practice, the choice is between two peoples united in equality and democracy, or two peoples divided under </w:t>
      </w:r>
      <w:r w:rsidR="00AE3271">
        <w:rPr>
          <w:lang w:val="en-GB"/>
        </w:rPr>
        <w:t>quasi-</w:t>
      </w:r>
      <w:r w:rsidRPr="0048465B">
        <w:rPr>
          <w:lang w:val="en-GB"/>
        </w:rPr>
        <w:t>apartheid.</w:t>
      </w:r>
    </w:p>
    <w:p w14:paraId="38827354" w14:textId="77777777" w:rsidR="00FC331F" w:rsidRPr="0048465B" w:rsidRDefault="00FC331F" w:rsidP="00FC331F">
      <w:pPr>
        <w:rPr>
          <w:lang w:val="en-GB"/>
        </w:rPr>
      </w:pPr>
    </w:p>
    <w:p w14:paraId="7F8F2598" w14:textId="0E5409AD" w:rsidR="00FC331F" w:rsidRPr="0048465B" w:rsidRDefault="00FC331F" w:rsidP="00FC331F">
      <w:pPr>
        <w:rPr>
          <w:b/>
          <w:lang w:val="en-GB"/>
        </w:rPr>
      </w:pPr>
      <w:r w:rsidRPr="0048465B">
        <w:rPr>
          <w:lang w:val="en-GB"/>
        </w:rPr>
        <w:t xml:space="preserve">If the wishes of the Israeli government and those who voted for it are indicative of the likelihood of these two choices, then the evidence would suggest that a divided </w:t>
      </w:r>
      <w:r w:rsidR="00AE3271">
        <w:rPr>
          <w:lang w:val="en-GB"/>
        </w:rPr>
        <w:t>quasi-</w:t>
      </w:r>
      <w:r w:rsidRPr="0048465B">
        <w:rPr>
          <w:lang w:val="en-GB"/>
        </w:rPr>
        <w:t xml:space="preserve">apartheid nation is the current Israeli preference. Looking first to the Israeli government itself, Netanyahu </w:t>
      </w:r>
      <w:r w:rsidR="008321D4">
        <w:rPr>
          <w:lang w:val="en-GB"/>
        </w:rPr>
        <w:t xml:space="preserve">declared in the closing months of the Trump presidency that </w:t>
      </w:r>
      <w:r w:rsidRPr="0048465B">
        <w:rPr>
          <w:lang w:val="en-GB"/>
        </w:rPr>
        <w:t xml:space="preserve">‘to “have their own entity that Trump defines as a </w:t>
      </w:r>
      <w:r w:rsidRPr="0048465B">
        <w:rPr>
          <w:lang w:val="en-GB"/>
        </w:rPr>
        <w:lastRenderedPageBreak/>
        <w:t>state,” Palestinians must “consent to complete Israeli security control everywhere”’.</w:t>
      </w:r>
      <w:r w:rsidRPr="0048465B">
        <w:rPr>
          <w:vertAlign w:val="superscript"/>
          <w:lang w:val="en-GB"/>
        </w:rPr>
        <w:footnoteReference w:id="702"/>
      </w:r>
      <w:r w:rsidRPr="0048465B">
        <w:rPr>
          <w:lang w:val="en-GB"/>
        </w:rPr>
        <w:t xml:space="preserve"> Any state created under such parameters would be little more than a simulacrum of sovereignty, masking the continuation of </w:t>
      </w:r>
      <w:r w:rsidR="00AE3271">
        <w:rPr>
          <w:lang w:val="en-GB"/>
        </w:rPr>
        <w:t>Israeli control and persecution</w:t>
      </w:r>
      <w:r w:rsidRPr="0048465B">
        <w:rPr>
          <w:lang w:val="en-GB"/>
        </w:rPr>
        <w:t>. Moreover, regardless of the representative government at the time, the settlement project has steadily expanded since its inception with little resistance at the highest levels of Israeli government, demonstrating the active development of the single biggest barrier to the possibility of a two-state solution. The fact that such expansion is in direct contravention of Resolution 2334, which ‘demand[ed] a number of steps, including an immediate end to Israeli settlement building in the occupied territories’, demonstrates Israel’s choice to ignore both the demands of international law and appeals for peace in the Middle East. Whilst Munayyer argues that ‘Israel cannot continue to deny the rights of millions of Palestinians indefinitely and expect to remain a normal member of the international community’,</w:t>
      </w:r>
      <w:r w:rsidRPr="0048465B">
        <w:rPr>
          <w:vertAlign w:val="superscript"/>
          <w:lang w:val="en-GB"/>
        </w:rPr>
        <w:footnoteReference w:id="703"/>
      </w:r>
      <w:r w:rsidRPr="0048465B">
        <w:rPr>
          <w:lang w:val="en-GB"/>
        </w:rPr>
        <w:t xml:space="preserve"> this chapter provides numerous examples of the ways in which Israel has done so for decades, and without the burden of consequences.</w:t>
      </w:r>
    </w:p>
    <w:p w14:paraId="31A22E62" w14:textId="77777777" w:rsidR="00FC331F" w:rsidRPr="0048465B" w:rsidRDefault="00FC331F" w:rsidP="00FC331F">
      <w:pPr>
        <w:rPr>
          <w:lang w:val="en-GB"/>
        </w:rPr>
      </w:pPr>
    </w:p>
    <w:p w14:paraId="35DA2A50" w14:textId="0C193AEB" w:rsidR="00FC331F" w:rsidRPr="0048465B" w:rsidRDefault="00FC331F" w:rsidP="00FC331F">
      <w:pPr>
        <w:rPr>
          <w:lang w:val="en-GB"/>
        </w:rPr>
      </w:pPr>
      <w:r w:rsidRPr="0048465B">
        <w:rPr>
          <w:lang w:val="en-GB"/>
        </w:rPr>
        <w:t>When looking beyond the Israeli government and to Israeli citizens and their responses to the prospect of Palestinian sovereignty, we can look to ‘revealed preference’ to assess their attitudes, a practice that promotes ‘understanding [of] what people want not by what they say they but [by] what they do’. Israeli votership has, despite recent uncertainty, made Netanyahu ‘the longest serving prime minister in their country’s history’, encouraging further settlement expansion and annexation in the process.</w:t>
      </w:r>
      <w:r w:rsidRPr="0048465B">
        <w:rPr>
          <w:vertAlign w:val="superscript"/>
          <w:lang w:val="en-GB"/>
        </w:rPr>
        <w:footnoteReference w:id="704"/>
      </w:r>
      <w:r w:rsidRPr="0048465B">
        <w:rPr>
          <w:lang w:val="en-GB"/>
        </w:rPr>
        <w:t xml:space="preserve"> The fact that </w:t>
      </w:r>
      <w:r w:rsidR="006779F4" w:rsidRPr="0048465B">
        <w:rPr>
          <w:lang w:val="en-GB"/>
        </w:rPr>
        <w:t>Netanyahu</w:t>
      </w:r>
      <w:r w:rsidRPr="0048465B">
        <w:rPr>
          <w:lang w:val="en-GB"/>
        </w:rPr>
        <w:t xml:space="preserve"> has successfully incentivised a majority of Israeli voters to support his prime ministerial candidacies through proposing further annexation of </w:t>
      </w:r>
      <w:r w:rsidRPr="0048465B">
        <w:rPr>
          <w:lang w:val="en-GB"/>
        </w:rPr>
        <w:lastRenderedPageBreak/>
        <w:t>the West Bank in the 2019 election, and through warning of the ‘Arab voters</w:t>
      </w:r>
      <w:r w:rsidR="000C3FB4">
        <w:rPr>
          <w:lang w:val="en-GB"/>
        </w:rPr>
        <w:t xml:space="preserve"> […] </w:t>
      </w:r>
      <w:r w:rsidRPr="0048465B">
        <w:rPr>
          <w:lang w:val="en-GB"/>
        </w:rPr>
        <w:t>heading to the polling stations in droves’ in 2015, suggests that supporters of Likud are in part either driven by such rhetoric, or, at the very least, are willing to accept such calls as a necessary component of Israeli governmental practice.</w:t>
      </w:r>
      <w:r w:rsidRPr="0048465B">
        <w:rPr>
          <w:vertAlign w:val="superscript"/>
          <w:lang w:val="en-GB"/>
        </w:rPr>
        <w:footnoteReference w:id="705"/>
      </w:r>
      <w:r w:rsidRPr="0048465B">
        <w:rPr>
          <w:lang w:val="en-GB"/>
        </w:rPr>
        <w:t xml:space="preserve"> Revealingly, Munayyer observes, the leader of the opposition's response to learning of Netanyahu’s intention to annex a significant portion of the West Bank</w:t>
      </w:r>
      <w:r w:rsidR="00B84C15">
        <w:rPr>
          <w:lang w:val="en-GB"/>
        </w:rPr>
        <w:t xml:space="preserve"> was not to represent an alternative vision, but</w:t>
      </w:r>
      <w:r w:rsidRPr="0048465B">
        <w:rPr>
          <w:lang w:val="en-GB"/>
        </w:rPr>
        <w:t xml:space="preserve"> ‘to complain that it had been their idea first’.</w:t>
      </w:r>
      <w:r w:rsidRPr="0048465B">
        <w:rPr>
          <w:vertAlign w:val="superscript"/>
          <w:lang w:val="en-GB"/>
        </w:rPr>
        <w:footnoteReference w:id="706"/>
      </w:r>
      <w:r w:rsidRPr="0048465B">
        <w:rPr>
          <w:lang w:val="en-GB"/>
        </w:rPr>
        <w:t xml:space="preserve"> </w:t>
      </w:r>
    </w:p>
    <w:p w14:paraId="0D960832" w14:textId="77777777" w:rsidR="00FC331F" w:rsidRPr="0048465B" w:rsidRDefault="00FC331F" w:rsidP="00FC331F">
      <w:pPr>
        <w:rPr>
          <w:lang w:val="en-GB"/>
        </w:rPr>
      </w:pPr>
    </w:p>
    <w:p w14:paraId="63452B96" w14:textId="16C3D1D3" w:rsidR="00B84C15" w:rsidRDefault="00FC331F" w:rsidP="00FC331F">
      <w:pPr>
        <w:rPr>
          <w:lang w:val="en-GB"/>
        </w:rPr>
      </w:pPr>
      <w:r w:rsidRPr="0048465B">
        <w:rPr>
          <w:lang w:val="en-GB"/>
        </w:rPr>
        <w:t>Such details support Beinart’s suggestion that ‘the more fundamental Jewish objection to Palestinian equality is not that it is impossible but that it is undesirable’.</w:t>
      </w:r>
      <w:r w:rsidRPr="0048465B">
        <w:rPr>
          <w:vertAlign w:val="superscript"/>
          <w:lang w:val="en-GB"/>
        </w:rPr>
        <w:footnoteReference w:id="707"/>
      </w:r>
      <w:r w:rsidRPr="0048465B">
        <w:rPr>
          <w:lang w:val="en-GB"/>
        </w:rPr>
        <w:t xml:space="preserve"> Even when the intuitive aspect of ‘revealed preference’ is dismissed and Israelis are asked openly about their opinions on Israel, Palestine, and the Palestinian state, the results are uninspiring. Munayyer notes polls in which 48 percent of Israelis supported annexation ‘along the lines of what Netanyahu proposed’, while just 28 percent opposed.</w:t>
      </w:r>
      <w:r w:rsidRPr="0048465B">
        <w:rPr>
          <w:vertAlign w:val="superscript"/>
          <w:lang w:val="en-GB"/>
        </w:rPr>
        <w:footnoteReference w:id="708"/>
      </w:r>
      <w:r w:rsidRPr="0048465B">
        <w:rPr>
          <w:lang w:val="en-GB"/>
        </w:rPr>
        <w:t xml:space="preserve"> If we look to the 2018 </w:t>
      </w:r>
      <w:r w:rsidR="007A225A">
        <w:rPr>
          <w:lang w:val="en-GB"/>
        </w:rPr>
        <w:t xml:space="preserve">Rice University </w:t>
      </w:r>
      <w:r w:rsidRPr="0048465B">
        <w:rPr>
          <w:lang w:val="en-GB"/>
        </w:rPr>
        <w:t>study ‘Two</w:t>
      </w:r>
      <w:r w:rsidR="007A225A">
        <w:rPr>
          <w:lang w:val="en-GB"/>
        </w:rPr>
        <w:t xml:space="preserve"> </w:t>
      </w:r>
      <w:r w:rsidRPr="0048465B">
        <w:rPr>
          <w:lang w:val="en-GB"/>
        </w:rPr>
        <w:t xml:space="preserve">States or One: Reappraising the Israeli-Palestinian Impasse’, we see yet further statistics indicating Israeli indifference to Palestinian suffering at best, and support for the forcible removal of Palestinians at worst. Within this study, Gilead Sher’s analysis of ‘Israeli Political Dynamics’ notes that ‘83% of Jewish Israelis believe that Israel is capable of successfully defending [itself] against consecutive major terrorist attacks’. Sher identifies this statistic as being indicative of a lack of incentive to </w:t>
      </w:r>
      <w:r w:rsidRPr="0048465B">
        <w:rPr>
          <w:lang w:val="en-GB"/>
        </w:rPr>
        <w:lastRenderedPageBreak/>
        <w:t>‘reach a solution with the Palestinians’,</w:t>
      </w:r>
      <w:r w:rsidRPr="0048465B">
        <w:rPr>
          <w:vertAlign w:val="superscript"/>
          <w:lang w:val="en-GB"/>
        </w:rPr>
        <w:footnoteReference w:id="709"/>
      </w:r>
      <w:r w:rsidRPr="0048465B">
        <w:rPr>
          <w:lang w:val="en-GB"/>
        </w:rPr>
        <w:t xml:space="preserve"> as the Israeli public’s confidence in Israel’s ability to defend itself against prospective attacks means that they can achieve relative security</w:t>
      </w:r>
      <w:r w:rsidR="005516E0">
        <w:rPr>
          <w:lang w:val="en-GB"/>
        </w:rPr>
        <w:t xml:space="preserve"> and stability</w:t>
      </w:r>
      <w:r w:rsidRPr="0048465B">
        <w:rPr>
          <w:lang w:val="en-GB"/>
        </w:rPr>
        <w:t xml:space="preserve"> under the current status quo, and therefore preventing such attacks through diplomacy is not regarded as something of imminent importance.</w:t>
      </w:r>
    </w:p>
    <w:p w14:paraId="50CA6F18" w14:textId="77777777" w:rsidR="00B84C15" w:rsidRDefault="00B84C15" w:rsidP="00FC331F">
      <w:pPr>
        <w:rPr>
          <w:lang w:val="en-GB"/>
        </w:rPr>
      </w:pPr>
    </w:p>
    <w:p w14:paraId="4FC5246E" w14:textId="50055D11" w:rsidR="00FC331F" w:rsidRPr="0048465B" w:rsidRDefault="00FC331F" w:rsidP="00FC331F">
      <w:pPr>
        <w:rPr>
          <w:lang w:val="en-GB"/>
        </w:rPr>
      </w:pPr>
      <w:r w:rsidRPr="0048465B">
        <w:rPr>
          <w:lang w:val="en-GB"/>
        </w:rPr>
        <w:t xml:space="preserve">Sher </w:t>
      </w:r>
      <w:r w:rsidR="00B84C15">
        <w:rPr>
          <w:lang w:val="en-GB"/>
        </w:rPr>
        <w:t xml:space="preserve">further </w:t>
      </w:r>
      <w:r w:rsidRPr="0048465B">
        <w:rPr>
          <w:lang w:val="en-GB"/>
        </w:rPr>
        <w:t xml:space="preserve">reveals that ‘Israeli support for the establishment of a Palestinian state has decreased in the past ten years’, that </w:t>
      </w:r>
      <w:r w:rsidR="00B84C15">
        <w:rPr>
          <w:lang w:val="en-GB"/>
        </w:rPr>
        <w:t>18</w:t>
      </w:r>
      <w:r w:rsidRPr="0048465B">
        <w:rPr>
          <w:lang w:val="en-GB"/>
        </w:rPr>
        <w:t xml:space="preserve"> percent of the Jewish Israeli public believe that Israel’s best option is to annex the ‘settlement blocs in the West Bank to Israel’, whilst </w:t>
      </w:r>
      <w:r w:rsidR="00B84C15">
        <w:rPr>
          <w:lang w:val="en-GB"/>
        </w:rPr>
        <w:t>11</w:t>
      </w:r>
      <w:r w:rsidRPr="0048465B">
        <w:rPr>
          <w:lang w:val="en-GB"/>
        </w:rPr>
        <w:t xml:space="preserve"> percent propose annexing ‘all territories in the West Bank’. Returning to the notion of the one-state solution, of the Israelis who support such a solution, the most popular method by which it could be reached is through the ‘“transfer”’ of the Palestinian population, this option accounting for 29 percent of those who support the one-state solution.</w:t>
      </w:r>
      <w:r w:rsidR="001C087B">
        <w:rPr>
          <w:rStyle w:val="FootnoteReference"/>
          <w:lang w:val="en-GB"/>
        </w:rPr>
        <w:footnoteReference w:id="710"/>
      </w:r>
      <w:r w:rsidRPr="0048465B">
        <w:rPr>
          <w:lang w:val="en-GB"/>
        </w:rPr>
        <w:t xml:space="preserve"> Whilst the fear of being once again a Jewish people within a nation rather than a nation of Jewish people is historically justifiable, the above statistics demonstrate the cost of capitulating to this fear</w:t>
      </w:r>
      <w:r w:rsidR="000D4A68">
        <w:rPr>
          <w:lang w:val="en-GB"/>
        </w:rPr>
        <w:t>:</w:t>
      </w:r>
      <w:r w:rsidRPr="0048465B">
        <w:rPr>
          <w:lang w:val="en-GB"/>
        </w:rPr>
        <w:t xml:space="preserve"> the dehumanisation of the Palestinian people. Whilst there are many Israelis who wish for change, the electoral process demonstrates that this cost is, unfortunately, one that the majority of the Israeli public are content to pay. For peace to be a possibility, this balance must shift. </w:t>
      </w:r>
    </w:p>
    <w:p w14:paraId="591367A0" w14:textId="77777777" w:rsidR="00FC331F" w:rsidRPr="0048465B" w:rsidRDefault="00FC331F" w:rsidP="00FC331F">
      <w:pPr>
        <w:rPr>
          <w:lang w:val="en-GB"/>
        </w:rPr>
      </w:pPr>
    </w:p>
    <w:p w14:paraId="587B52E5" w14:textId="4758FDB0" w:rsidR="00FC331F" w:rsidRPr="0048465B" w:rsidRDefault="00FC331F" w:rsidP="00FC331F">
      <w:pPr>
        <w:rPr>
          <w:lang w:val="en-GB"/>
        </w:rPr>
      </w:pPr>
      <w:r w:rsidRPr="0048465B">
        <w:rPr>
          <w:lang w:val="en-GB"/>
        </w:rPr>
        <w:t xml:space="preserve">Palestinians on the other hand, as one would expect of a </w:t>
      </w:r>
      <w:r w:rsidR="005516E0">
        <w:rPr>
          <w:lang w:val="en-GB"/>
        </w:rPr>
        <w:t>people</w:t>
      </w:r>
      <w:r w:rsidRPr="0048465B">
        <w:rPr>
          <w:lang w:val="en-GB"/>
        </w:rPr>
        <w:t xml:space="preserve"> deprived of human rights, are more open to the idea of change. The polls referenced by Beinart indicate that Palestinian support for a one-state solution is growing, and now nearing parity with the two-state solution, and Beinart </w:t>
      </w:r>
      <w:r w:rsidRPr="0048465B">
        <w:rPr>
          <w:lang w:val="en-GB"/>
        </w:rPr>
        <w:lastRenderedPageBreak/>
        <w:t xml:space="preserve">presents a series of arguments that suggest, in contradiction </w:t>
      </w:r>
      <w:r w:rsidR="005516E0">
        <w:rPr>
          <w:lang w:val="en-GB"/>
        </w:rPr>
        <w:t>of</w:t>
      </w:r>
      <w:r w:rsidRPr="0048465B">
        <w:rPr>
          <w:lang w:val="en-GB"/>
        </w:rPr>
        <w:t xml:space="preserve"> the Israeli belief that Palestinian equality would disrupt the Israeli peace, that Palestinian equality within a unified state would make Israel a safer place to be for all. </w:t>
      </w:r>
      <w:r w:rsidR="006779F4" w:rsidRPr="0048465B">
        <w:rPr>
          <w:lang w:val="en-GB"/>
        </w:rPr>
        <w:t xml:space="preserve">He notes the low levels of violence from Palestinian citizens of Israel, who </w:t>
      </w:r>
      <w:r w:rsidR="005516E0">
        <w:rPr>
          <w:lang w:val="en-GB"/>
        </w:rPr>
        <w:t>–</w:t>
      </w:r>
      <w:r w:rsidR="006779F4" w:rsidRPr="0048465B">
        <w:rPr>
          <w:lang w:val="en-GB"/>
        </w:rPr>
        <w:t xml:space="preserve"> unlike those Palestinians in the Occupied Territories </w:t>
      </w:r>
      <w:r w:rsidR="005516E0">
        <w:rPr>
          <w:lang w:val="en-GB"/>
        </w:rPr>
        <w:t>–</w:t>
      </w:r>
      <w:r w:rsidR="006779F4" w:rsidRPr="0048465B">
        <w:rPr>
          <w:lang w:val="en-GB"/>
        </w:rPr>
        <w:t xml:space="preserve"> have the capacity to express their frustration at their continued disenfranchisement through democratic channels, rather than resorting to alternative forms of protest, like those in Gaza who ‘lack a nonviolent [or democratic] way to express their grievances’. </w:t>
      </w:r>
      <w:r w:rsidRPr="0048465B">
        <w:rPr>
          <w:lang w:val="en-GB"/>
        </w:rPr>
        <w:t>Beinart contextualises this observation through referencing ‘a dataset of civil conflicts from 1946 to 2005’, which observed that ‘“ethnic groups are more likely to initiate conflict with the government the more excluded from state power they are”’.</w:t>
      </w:r>
      <w:r w:rsidRPr="0048465B">
        <w:rPr>
          <w:vertAlign w:val="superscript"/>
          <w:lang w:val="en-GB"/>
        </w:rPr>
        <w:footnoteReference w:id="711"/>
      </w:r>
      <w:r w:rsidRPr="0048465B">
        <w:rPr>
          <w:lang w:val="en-GB"/>
        </w:rPr>
        <w:t xml:space="preserve"> If we return to the notion of Israel as a quasi-apartheid state and look back to the original apartheid state, South Africa, we can see this exact pattern in the actions of anti-apartheid revolutionary Nelson Mandela. On trial, and facing life imprisonment, Mandela argued:</w:t>
      </w:r>
    </w:p>
    <w:p w14:paraId="0E27F901" w14:textId="77777777" w:rsidR="00FC331F" w:rsidRPr="0048465B" w:rsidRDefault="00FC331F" w:rsidP="00FC331F">
      <w:pPr>
        <w:rPr>
          <w:lang w:val="en-GB"/>
        </w:rPr>
      </w:pPr>
    </w:p>
    <w:p w14:paraId="2E885EBA" w14:textId="306C4F53" w:rsidR="00FC331F" w:rsidRPr="0048465B" w:rsidRDefault="00FC331F" w:rsidP="00FC331F">
      <w:pPr>
        <w:ind w:left="720"/>
        <w:rPr>
          <w:lang w:val="en-GB"/>
        </w:rPr>
      </w:pPr>
      <w:r w:rsidRPr="0048465B">
        <w:rPr>
          <w:lang w:val="en-GB"/>
        </w:rPr>
        <w:t>we felt that without violence there would be no way open to the African people to succeed in their struggle against the principle of white supremacy. All lawful modes of expressing opposition to this principle had been closed by legislation, and we were placed in a position in which we had either to accept a permanent state of inferiority, or to defy the Government.</w:t>
      </w:r>
      <w:r w:rsidRPr="0048465B">
        <w:rPr>
          <w:vertAlign w:val="superscript"/>
          <w:lang w:val="en-GB"/>
        </w:rPr>
        <w:footnoteReference w:id="712"/>
      </w:r>
    </w:p>
    <w:p w14:paraId="40A6C45C" w14:textId="77777777" w:rsidR="00FC331F" w:rsidRPr="0048465B" w:rsidRDefault="00FC331F" w:rsidP="00FC331F">
      <w:pPr>
        <w:rPr>
          <w:lang w:val="en-GB"/>
        </w:rPr>
      </w:pPr>
      <w:r w:rsidRPr="0048465B">
        <w:rPr>
          <w:lang w:val="en-GB"/>
        </w:rPr>
        <w:tab/>
      </w:r>
    </w:p>
    <w:p w14:paraId="58C7DF80" w14:textId="3EB90899" w:rsidR="00FC331F" w:rsidRPr="0048465B" w:rsidRDefault="00FC331F" w:rsidP="00FC331F">
      <w:pPr>
        <w:rPr>
          <w:lang w:val="en-GB"/>
        </w:rPr>
      </w:pPr>
      <w:r w:rsidRPr="0048465B">
        <w:rPr>
          <w:lang w:val="en-GB"/>
        </w:rPr>
        <w:t xml:space="preserve">The Palestinians of the </w:t>
      </w:r>
      <w:r w:rsidR="004A6017">
        <w:rPr>
          <w:lang w:val="en-GB"/>
        </w:rPr>
        <w:t>Occupied Territories</w:t>
      </w:r>
      <w:r w:rsidRPr="0048465B">
        <w:rPr>
          <w:lang w:val="en-GB"/>
        </w:rPr>
        <w:t xml:space="preserve"> are in a similar </w:t>
      </w:r>
      <w:r w:rsidR="004A6017">
        <w:rPr>
          <w:lang w:val="en-GB"/>
        </w:rPr>
        <w:t>position</w:t>
      </w:r>
      <w:r w:rsidRPr="0048465B">
        <w:rPr>
          <w:lang w:val="en-GB"/>
        </w:rPr>
        <w:t xml:space="preserve">. </w:t>
      </w:r>
      <w:r w:rsidR="004A6017">
        <w:rPr>
          <w:lang w:val="en-GB"/>
        </w:rPr>
        <w:t>Those in Gaza</w:t>
      </w:r>
      <w:r w:rsidRPr="0048465B">
        <w:rPr>
          <w:lang w:val="en-GB"/>
        </w:rPr>
        <w:t xml:space="preserve"> are bereft of legitimate representation due to Israel’s refusal to engage with Hamas </w:t>
      </w:r>
      <w:r w:rsidR="004C4678">
        <w:rPr>
          <w:lang w:val="en-GB"/>
        </w:rPr>
        <w:t>–</w:t>
      </w:r>
      <w:r w:rsidRPr="0048465B">
        <w:rPr>
          <w:lang w:val="en-GB"/>
        </w:rPr>
        <w:t xml:space="preserve"> a group that is a product of Israeli </w:t>
      </w:r>
      <w:r w:rsidR="004C4678">
        <w:rPr>
          <w:lang w:val="en-GB"/>
        </w:rPr>
        <w:t>occupation</w:t>
      </w:r>
      <w:r w:rsidRPr="0048465B">
        <w:rPr>
          <w:lang w:val="en-GB"/>
        </w:rPr>
        <w:t xml:space="preserve"> </w:t>
      </w:r>
      <w:r w:rsidR="004C4678">
        <w:rPr>
          <w:lang w:val="en-GB"/>
        </w:rPr>
        <w:t>–</w:t>
      </w:r>
      <w:r w:rsidRPr="0048465B">
        <w:rPr>
          <w:lang w:val="en-GB"/>
        </w:rPr>
        <w:t xml:space="preserve"> whilst the representation of Palestinians in the West Bank, the Palestinian </w:t>
      </w:r>
      <w:r w:rsidRPr="0048465B">
        <w:rPr>
          <w:lang w:val="en-GB"/>
        </w:rPr>
        <w:lastRenderedPageBreak/>
        <w:t xml:space="preserve">Authority, has no true autonomy and has been unable to adequately express Palestinian grievances due to its dependence on the historically unequal peace processes of Oslo and beyond. Just as Mandela describes being trapped between the two undesirable choices of permanent inferiority or potentially violent resistance, the Palestinian people face this same decision, and whilst Hamas have chosen violent resistance as a response to the absence of progress, the Palestinian Authority have </w:t>
      </w:r>
      <w:r w:rsidR="004C4678">
        <w:rPr>
          <w:lang w:val="en-GB"/>
        </w:rPr>
        <w:t>–</w:t>
      </w:r>
      <w:r w:rsidRPr="0048465B">
        <w:rPr>
          <w:lang w:val="en-GB"/>
        </w:rPr>
        <w:t xml:space="preserve"> in committing to the two-state vision </w:t>
      </w:r>
      <w:r w:rsidR="004C4678">
        <w:rPr>
          <w:lang w:val="en-GB"/>
        </w:rPr>
        <w:t>–</w:t>
      </w:r>
      <w:r w:rsidRPr="0048465B">
        <w:rPr>
          <w:lang w:val="en-GB"/>
        </w:rPr>
        <w:t xml:space="preserve"> chosen the route of permanent inferiority.</w:t>
      </w:r>
    </w:p>
    <w:p w14:paraId="06D628CA" w14:textId="77777777" w:rsidR="00FC331F" w:rsidRPr="0048465B" w:rsidRDefault="00FC331F" w:rsidP="00FC331F">
      <w:pPr>
        <w:rPr>
          <w:lang w:val="en-GB"/>
        </w:rPr>
      </w:pPr>
    </w:p>
    <w:p w14:paraId="711E0D5C" w14:textId="43BAFF7F" w:rsidR="004A6017" w:rsidRDefault="00FC331F" w:rsidP="00FC331F">
      <w:pPr>
        <w:rPr>
          <w:lang w:val="en-GB"/>
        </w:rPr>
      </w:pPr>
      <w:r w:rsidRPr="0048465B">
        <w:rPr>
          <w:lang w:val="en-GB"/>
        </w:rPr>
        <w:t xml:space="preserve">Neither violence nor the two-state solution, as we currently know it, can achieve liberation and full sovereignty for the Palestinian people, and, crucially, neither offer access to the powers of democracy in the way that the Arab political party alliance, the Joint List, does within Israel. Whilst Palestinians in the Occupied Territories are faced with a choice between violence or inferiority, Palestinian citizens of Israel </w:t>
      </w:r>
      <w:r w:rsidR="00051C65">
        <w:rPr>
          <w:lang w:val="en-GB"/>
        </w:rPr>
        <w:t>–</w:t>
      </w:r>
      <w:r w:rsidRPr="0048465B">
        <w:rPr>
          <w:lang w:val="en-GB"/>
        </w:rPr>
        <w:t xml:space="preserve"> who do have access to the democratic process </w:t>
      </w:r>
      <w:r w:rsidR="00051C65">
        <w:rPr>
          <w:lang w:val="en-GB"/>
        </w:rPr>
        <w:t>–</w:t>
      </w:r>
      <w:r w:rsidRPr="0048465B">
        <w:rPr>
          <w:lang w:val="en-GB"/>
        </w:rPr>
        <w:t xml:space="preserve"> were found to be ‘more likely to repudiate the use of violence for political ends, more likely to support integrated neighbourhoods, and more likely to say that both Jewish and Arab perspectives about the Israeli-Palestinian conflict should be taught in schools’ than Israeli Jews. A poll of young adults found that young Palestinian citizens of Israel ‘valued freedom of expression and gender equality more than Israeli Jews’, and whilst Jewish citizens placed their faith in the IDF when asked ‘which government institution they trusted most’, Palestinian citizens of Israel saw The Supreme Court as more worthy of their trust. </w:t>
      </w:r>
    </w:p>
    <w:p w14:paraId="1F041B9A" w14:textId="77777777" w:rsidR="004A6017" w:rsidRDefault="004A6017" w:rsidP="00FC331F">
      <w:pPr>
        <w:rPr>
          <w:lang w:val="en-GB"/>
        </w:rPr>
      </w:pPr>
    </w:p>
    <w:p w14:paraId="60E78773" w14:textId="5CCF0B85" w:rsidR="00FC331F" w:rsidRPr="0048465B" w:rsidRDefault="00FC331F" w:rsidP="00FC331F">
      <w:pPr>
        <w:rPr>
          <w:color w:val="FF0000"/>
          <w:lang w:val="en-GB"/>
        </w:rPr>
      </w:pPr>
      <w:r w:rsidRPr="0048465B">
        <w:rPr>
          <w:lang w:val="en-GB"/>
        </w:rPr>
        <w:t xml:space="preserve">The evidence here suggests that the Palestinian people are not a people bent on the subversion of the democratic process who wish to obscure the Israeli perspective, bend people to their will with violence, and suppress freedom of expression. They are people who, given the opportunity, are </w:t>
      </w:r>
      <w:r w:rsidRPr="0048465B">
        <w:rPr>
          <w:lang w:val="en-GB"/>
        </w:rPr>
        <w:lastRenderedPageBreak/>
        <w:t>likely to support the democratic process, acknowledge both sides of the conflict, settle scores through egalitarian law rather than violence, and promote freedom of expression. Beinart sums all of this up concisely when he states that ‘[w]ere Palestinians not so dehumanized in public discourse, it would be obvious that they, too, prefer not to kill or be killed when they can achieve their rights in more peaceful ways’.</w:t>
      </w:r>
      <w:r w:rsidRPr="0048465B">
        <w:rPr>
          <w:vertAlign w:val="superscript"/>
          <w:lang w:val="en-GB"/>
        </w:rPr>
        <w:footnoteReference w:id="713"/>
      </w:r>
      <w:r w:rsidRPr="0048465B">
        <w:rPr>
          <w:lang w:val="en-GB"/>
        </w:rPr>
        <w:t xml:space="preserve"> </w:t>
      </w:r>
      <w:r w:rsidR="00051C65">
        <w:rPr>
          <w:lang w:val="en-GB"/>
        </w:rPr>
        <w:t>T</w:t>
      </w:r>
      <w:r w:rsidRPr="0048465B">
        <w:rPr>
          <w:lang w:val="en-GB"/>
        </w:rPr>
        <w:t>he conditions surrounding the Palestinians of the Occupied Territories encourage violen</w:t>
      </w:r>
      <w:r w:rsidR="00051C65">
        <w:rPr>
          <w:lang w:val="en-GB"/>
        </w:rPr>
        <w:t>t resistance</w:t>
      </w:r>
      <w:r w:rsidRPr="0048465B">
        <w:rPr>
          <w:lang w:val="en-GB"/>
        </w:rPr>
        <w:t xml:space="preserve"> through negating the democratic process</w:t>
      </w:r>
      <w:r w:rsidR="00051C65">
        <w:rPr>
          <w:lang w:val="en-GB"/>
        </w:rPr>
        <w:t>.</w:t>
      </w:r>
      <w:r w:rsidRPr="0048465B">
        <w:rPr>
          <w:lang w:val="en-GB"/>
        </w:rPr>
        <w:t xml:space="preserve"> </w:t>
      </w:r>
      <w:r w:rsidR="00051C65">
        <w:rPr>
          <w:lang w:val="en-GB"/>
        </w:rPr>
        <w:t>S</w:t>
      </w:r>
      <w:r w:rsidRPr="0048465B">
        <w:rPr>
          <w:lang w:val="en-GB"/>
        </w:rPr>
        <w:t xml:space="preserve">uch </w:t>
      </w:r>
      <w:r w:rsidR="00051C65">
        <w:rPr>
          <w:lang w:val="en-GB"/>
        </w:rPr>
        <w:t>acts</w:t>
      </w:r>
      <w:r w:rsidRPr="0048465B">
        <w:rPr>
          <w:lang w:val="en-GB"/>
        </w:rPr>
        <w:t xml:space="preserve"> should be understood not as a representation of Palestinian disposition, but as a symptom of Palestinian dispossession. Unrestricted access to the democratic process remains an aspiration for the Palestinian people. To suggest that Palestinian armed resistance demonstrates a Palestinian disinterest in peace is to overlook the complexities of Palestinian oppression, where voting is not an option, peaceful protest has achieved nothing, and the peace process has not only failed to put an end to settler expansion, but overseen its rapid growth.</w:t>
      </w:r>
    </w:p>
    <w:p w14:paraId="2D443E37" w14:textId="77777777" w:rsidR="00FC331F" w:rsidRPr="0048465B" w:rsidRDefault="00FC331F" w:rsidP="00FC331F">
      <w:pPr>
        <w:rPr>
          <w:lang w:val="en-GB"/>
        </w:rPr>
      </w:pPr>
    </w:p>
    <w:p w14:paraId="7E0257E4" w14:textId="77777777" w:rsidR="004A6017" w:rsidRDefault="00FC331F" w:rsidP="00FC331F">
      <w:pPr>
        <w:rPr>
          <w:lang w:val="en-GB"/>
        </w:rPr>
      </w:pPr>
      <w:r w:rsidRPr="0048465B">
        <w:rPr>
          <w:lang w:val="en-GB"/>
        </w:rPr>
        <w:t>With the two-state solution fundamentally unequal in both its past and present formats and growing less feasible with every passing day of Israeli occupation, and the prospect of Palestinians accepting a permanent state of inferiority beyond consideration, the process of elimination alone dictates that the most likely route to eventual peace in the Middle East, despite being the least likely presently, is the one-state solution. Whilst support for a one-state solution is minimal amongst Israelis especially, Beinart argues that the one-state solution is actually more realistic tha</w:t>
      </w:r>
      <w:r w:rsidR="004A6017">
        <w:rPr>
          <w:lang w:val="en-GB"/>
        </w:rPr>
        <w:t>n</w:t>
      </w:r>
      <w:r w:rsidRPr="0048465B">
        <w:rPr>
          <w:lang w:val="en-GB"/>
        </w:rPr>
        <w:t xml:space="preserve"> the two-state solution, since it has the potential to galvanise ‘a vision powerful enough to create a mass movement’, something that the two-state solution, with its territorial inequity, rejection of Palestinian right of return, and substantiation of division and insecurity cannot achieve.</w:t>
      </w:r>
      <w:r w:rsidR="004A6017" w:rsidRPr="0048465B">
        <w:rPr>
          <w:vertAlign w:val="superscript"/>
          <w:lang w:val="en-GB"/>
        </w:rPr>
        <w:footnoteReference w:id="714"/>
      </w:r>
      <w:r w:rsidRPr="0048465B">
        <w:rPr>
          <w:lang w:val="en-GB"/>
        </w:rPr>
        <w:t xml:space="preserve"> Erakat </w:t>
      </w:r>
      <w:r w:rsidRPr="0048465B">
        <w:rPr>
          <w:lang w:val="en-GB"/>
        </w:rPr>
        <w:lastRenderedPageBreak/>
        <w:t>ends her monograph with a similar mantra</w:t>
      </w:r>
      <w:r w:rsidR="004A6017">
        <w:rPr>
          <w:lang w:val="en-GB"/>
        </w:rPr>
        <w:t xml:space="preserve">, claiming </w:t>
      </w:r>
      <w:r w:rsidRPr="0048465B">
        <w:rPr>
          <w:lang w:val="en-GB"/>
        </w:rPr>
        <w:t>that</w:t>
      </w:r>
      <w:r w:rsidR="004A6017">
        <w:rPr>
          <w:lang w:val="en-GB"/>
        </w:rPr>
        <w:t xml:space="preserve"> </w:t>
      </w:r>
      <w:r w:rsidRPr="0048465B">
        <w:rPr>
          <w:lang w:val="en-GB"/>
        </w:rPr>
        <w:t xml:space="preserve">violence is inevitable as Israel and Palestine continue to wrestle over their claims for the land, </w:t>
      </w:r>
      <w:r w:rsidR="004A6017">
        <w:rPr>
          <w:lang w:val="en-GB"/>
        </w:rPr>
        <w:t>and that, rather than attempting to avoid it altogether, we should ask ‘</w:t>
      </w:r>
      <w:r w:rsidRPr="0048465B">
        <w:rPr>
          <w:lang w:val="en-GB"/>
        </w:rPr>
        <w:t>what is the optimal outcome that would make it tolerable?’.</w:t>
      </w:r>
      <w:r w:rsidRPr="0048465B">
        <w:rPr>
          <w:vertAlign w:val="superscript"/>
          <w:lang w:val="en-GB"/>
        </w:rPr>
        <w:footnoteReference w:id="715"/>
      </w:r>
      <w:r w:rsidRPr="0048465B">
        <w:rPr>
          <w:lang w:val="en-GB"/>
        </w:rPr>
        <w:t xml:space="preserve"> </w:t>
      </w:r>
    </w:p>
    <w:p w14:paraId="0EC6711B" w14:textId="77777777" w:rsidR="004A6017" w:rsidRDefault="004A6017" w:rsidP="00FC331F">
      <w:pPr>
        <w:rPr>
          <w:lang w:val="en-GB"/>
        </w:rPr>
      </w:pPr>
    </w:p>
    <w:p w14:paraId="2E138BFD" w14:textId="146FCA54" w:rsidR="00FC331F" w:rsidRPr="0048465B" w:rsidRDefault="00FC331F" w:rsidP="00FC331F">
      <w:pPr>
        <w:rPr>
          <w:lang w:val="en-GB"/>
        </w:rPr>
      </w:pPr>
      <w:r w:rsidRPr="0048465B">
        <w:rPr>
          <w:lang w:val="en-GB"/>
        </w:rPr>
        <w:t>Whilst neither one nor two-state solutions are likely to succeed in the immediate future, there is only one outcome to the Israeli-Palestinian conflict that can begin to undo more than seventy years of pain, insecurity, and death - a unified and egalitarian state. Even if it were to take longer to achieve than a two-state solution, a one-state solution would still be vastly preferable because there is no two-state outcome that both provides Palestinians with true autonomy, enables the Palestinian right of return, and ensures the safety of Palestinian citizens of Israel as well as potential Jewish citizens of Palestine. If we look to the original two-state proposal, the following was offered:</w:t>
      </w:r>
    </w:p>
    <w:p w14:paraId="3EEE31BE" w14:textId="77777777" w:rsidR="00FC331F" w:rsidRPr="0048465B" w:rsidRDefault="00FC331F" w:rsidP="00FC331F">
      <w:pPr>
        <w:rPr>
          <w:lang w:val="en-GB"/>
        </w:rPr>
      </w:pPr>
    </w:p>
    <w:p w14:paraId="52F70EC7" w14:textId="4A74F770" w:rsidR="00FC331F" w:rsidRPr="0048465B" w:rsidRDefault="00FC331F" w:rsidP="00FC331F">
      <w:pPr>
        <w:ind w:left="720"/>
        <w:rPr>
          <w:lang w:val="en-GB"/>
        </w:rPr>
      </w:pPr>
      <w:r w:rsidRPr="0048465B">
        <w:rPr>
          <w:lang w:val="en-GB"/>
        </w:rPr>
        <w:t>a demilitarized Palestinian state</w:t>
      </w:r>
      <w:r w:rsidR="000C3FB4">
        <w:rPr>
          <w:lang w:val="en-GB"/>
        </w:rPr>
        <w:t xml:space="preserve"> […] </w:t>
      </w:r>
      <w:r w:rsidRPr="0048465B">
        <w:rPr>
          <w:lang w:val="en-GB"/>
        </w:rPr>
        <w:t>Israeli withdrawal to the</w:t>
      </w:r>
      <w:r w:rsidR="000C3FB4">
        <w:rPr>
          <w:lang w:val="en-GB"/>
        </w:rPr>
        <w:t xml:space="preserve"> […] </w:t>
      </w:r>
      <w:r w:rsidRPr="0048465B">
        <w:rPr>
          <w:lang w:val="en-GB"/>
        </w:rPr>
        <w:t>June 4, 1967 borders[] with equal territorial exchange; family reunification in Israel of 100,000 Palestinian refugees</w:t>
      </w:r>
      <w:r w:rsidR="000C3FB4">
        <w:rPr>
          <w:lang w:val="en-GB"/>
        </w:rPr>
        <w:t xml:space="preserve"> […] </w:t>
      </w:r>
      <w:r w:rsidRPr="0048465B">
        <w:rPr>
          <w:lang w:val="en-GB"/>
        </w:rPr>
        <w:t>West Jerusalem as the capital of Israel and East Jerusalem as the capital of Palestine</w:t>
      </w:r>
      <w:r w:rsidR="000C3FB4">
        <w:rPr>
          <w:lang w:val="en-GB"/>
        </w:rPr>
        <w:t xml:space="preserve"> […] </w:t>
      </w:r>
      <w:r w:rsidRPr="0048465B">
        <w:rPr>
          <w:lang w:val="en-GB"/>
        </w:rPr>
        <w:t>the Jewish Quarter and the Western Wall under Israeli sovereignty, and the Muslim and Christian quarters and the Haram al-Sharif/Temple Mount under Palestinian sovereignty; and</w:t>
      </w:r>
      <w:r w:rsidR="000C3FB4">
        <w:rPr>
          <w:lang w:val="en-GB"/>
        </w:rPr>
        <w:t xml:space="preserve"> […] </w:t>
      </w:r>
      <w:r w:rsidRPr="0048465B">
        <w:rPr>
          <w:lang w:val="en-GB"/>
        </w:rPr>
        <w:t>the end of the conflict and claims.</w:t>
      </w:r>
      <w:r w:rsidRPr="0048465B">
        <w:rPr>
          <w:vertAlign w:val="superscript"/>
          <w:lang w:val="en-GB"/>
        </w:rPr>
        <w:footnoteReference w:id="716"/>
      </w:r>
    </w:p>
    <w:p w14:paraId="6AFED071" w14:textId="77777777" w:rsidR="00FC331F" w:rsidRPr="0048465B" w:rsidRDefault="00FC331F" w:rsidP="00FC331F">
      <w:pPr>
        <w:rPr>
          <w:lang w:val="en-GB"/>
        </w:rPr>
      </w:pPr>
    </w:p>
    <w:p w14:paraId="4C8F6B52" w14:textId="5AE2C6D3" w:rsidR="00FC331F" w:rsidRPr="0048465B" w:rsidRDefault="00FC331F" w:rsidP="00FC331F">
      <w:pPr>
        <w:rPr>
          <w:lang w:val="en-GB"/>
        </w:rPr>
      </w:pPr>
      <w:r w:rsidRPr="0048465B">
        <w:rPr>
          <w:lang w:val="en-GB"/>
        </w:rPr>
        <w:t xml:space="preserve">Such an agreement would mean a limited right of return for Palestinians and a demilitarised faux sovereignty for the Palestinian state, yet despite this, </w:t>
      </w:r>
      <w:r w:rsidR="004A6017">
        <w:rPr>
          <w:lang w:val="en-GB"/>
        </w:rPr>
        <w:t>85</w:t>
      </w:r>
      <w:r w:rsidRPr="0048465B">
        <w:rPr>
          <w:lang w:val="en-GB"/>
        </w:rPr>
        <w:t xml:space="preserve"> percent of the Israeli</w:t>
      </w:r>
      <w:r w:rsidR="001C47C6">
        <w:rPr>
          <w:lang w:val="en-GB"/>
        </w:rPr>
        <w:t xml:space="preserve"> </w:t>
      </w:r>
      <w:r w:rsidRPr="0048465B">
        <w:rPr>
          <w:lang w:val="en-GB"/>
        </w:rPr>
        <w:t xml:space="preserve">Arabs polled in the Rice University study </w:t>
      </w:r>
      <w:r w:rsidR="009D577E">
        <w:rPr>
          <w:lang w:val="en-GB"/>
        </w:rPr>
        <w:t>–</w:t>
      </w:r>
      <w:r w:rsidRPr="0048465B">
        <w:rPr>
          <w:lang w:val="en-GB"/>
        </w:rPr>
        <w:t xml:space="preserve"> albeit not the representatives of Palestinians in the Occupied Territories </w:t>
      </w:r>
      <w:r w:rsidRPr="0048465B">
        <w:rPr>
          <w:lang w:val="en-GB"/>
        </w:rPr>
        <w:lastRenderedPageBreak/>
        <w:t xml:space="preserve">and beyond </w:t>
      </w:r>
      <w:r w:rsidR="009D577E">
        <w:rPr>
          <w:lang w:val="en-GB"/>
        </w:rPr>
        <w:t>–</w:t>
      </w:r>
      <w:r w:rsidRPr="0048465B">
        <w:rPr>
          <w:lang w:val="en-GB"/>
        </w:rPr>
        <w:t xml:space="preserve"> said they would support such an agreement. On the other hand, the withdrawal to the 1967 lines (meaning </w:t>
      </w:r>
      <w:r w:rsidR="004A6017">
        <w:rPr>
          <w:lang w:val="en-GB"/>
        </w:rPr>
        <w:t>78</w:t>
      </w:r>
      <w:r w:rsidRPr="0048465B">
        <w:rPr>
          <w:lang w:val="en-GB"/>
        </w:rPr>
        <w:t xml:space="preserve"> percent of the land would remain Israeli) and the loss of East Jerusalem (an Occupied Territory), as well as the potential for one</w:t>
      </w:r>
      <w:r w:rsidR="004A6017">
        <w:rPr>
          <w:lang w:val="en-GB"/>
        </w:rPr>
        <w:t>-</w:t>
      </w:r>
      <w:r w:rsidRPr="0048465B">
        <w:rPr>
          <w:lang w:val="en-GB"/>
        </w:rPr>
        <w:t>hundred</w:t>
      </w:r>
      <w:r w:rsidR="004A6017">
        <w:rPr>
          <w:lang w:val="en-GB"/>
        </w:rPr>
        <w:t>-</w:t>
      </w:r>
      <w:r w:rsidRPr="0048465B">
        <w:rPr>
          <w:lang w:val="en-GB"/>
        </w:rPr>
        <w:t>thousand Palestinian refugees in Israel (less than a fifteenth of the total number of Palestinian refugees)</w:t>
      </w:r>
      <w:r w:rsidRPr="0048465B">
        <w:rPr>
          <w:vertAlign w:val="superscript"/>
          <w:lang w:val="en-GB"/>
        </w:rPr>
        <w:footnoteReference w:id="717"/>
      </w:r>
      <w:r w:rsidRPr="0048465B">
        <w:rPr>
          <w:lang w:val="en-GB"/>
        </w:rPr>
        <w:t xml:space="preserve"> ensured that </w:t>
      </w:r>
      <w:r w:rsidR="004A6017">
        <w:rPr>
          <w:lang w:val="en-GB"/>
        </w:rPr>
        <w:t>55</w:t>
      </w:r>
      <w:r w:rsidRPr="0048465B">
        <w:rPr>
          <w:lang w:val="en-GB"/>
        </w:rPr>
        <w:t xml:space="preserve"> percent of Israeli Jews opposed the agreement. These figures </w:t>
      </w:r>
      <w:r w:rsidR="009D577E">
        <w:rPr>
          <w:lang w:val="en-GB"/>
        </w:rPr>
        <w:t>demonstrate</w:t>
      </w:r>
      <w:r w:rsidRPr="0048465B">
        <w:rPr>
          <w:lang w:val="en-GB"/>
        </w:rPr>
        <w:t xml:space="preserve"> that even when Palestinians are willing to make concessions that deprive them of full equality, there remains an unwillingness amongst the Israeli public to entertain less significant concessions on their own part.</w:t>
      </w:r>
    </w:p>
    <w:p w14:paraId="351514C3" w14:textId="77777777" w:rsidR="00FC331F" w:rsidRPr="0048465B" w:rsidRDefault="00FC331F" w:rsidP="00FC331F">
      <w:pPr>
        <w:rPr>
          <w:lang w:val="en-GB"/>
        </w:rPr>
      </w:pPr>
    </w:p>
    <w:p w14:paraId="04CA4CDE" w14:textId="17F374D5" w:rsidR="00FC331F" w:rsidRPr="0048465B" w:rsidRDefault="00FC331F" w:rsidP="00FC331F">
      <w:pPr>
        <w:rPr>
          <w:lang w:val="en-GB"/>
        </w:rPr>
      </w:pPr>
      <w:r w:rsidRPr="0048465B">
        <w:rPr>
          <w:lang w:val="en-GB"/>
        </w:rPr>
        <w:t>Whilst a dramatic transformation of Israeli perspectives is therefore necessary in order for an unequal two-state solution to pass, this is even more palpably the case for a prospective one-state solution. As already noted, just two years ago the most readily supported one-state vision in Israel was one wherein Palestinians were</w:t>
      </w:r>
      <w:r w:rsidR="004A6017">
        <w:rPr>
          <w:lang w:val="en-GB"/>
        </w:rPr>
        <w:t xml:space="preserve"> forcibly removed</w:t>
      </w:r>
      <w:r w:rsidRPr="0048465B">
        <w:rPr>
          <w:lang w:val="en-GB"/>
        </w:rPr>
        <w:t xml:space="preserve">. Beinart argues that Jews need to begin to view ‘Palestinian liberation as integral to [their] own’, yet the gap between the current status quo </w:t>
      </w:r>
      <w:r w:rsidR="009D577E">
        <w:rPr>
          <w:lang w:val="en-GB"/>
        </w:rPr>
        <w:t>–</w:t>
      </w:r>
      <w:r w:rsidRPr="0048465B">
        <w:rPr>
          <w:lang w:val="en-GB"/>
        </w:rPr>
        <w:t xml:space="preserve"> wherein Palestinians are decentred and subjugated in order to maintain Israel’s Jewish national identity </w:t>
      </w:r>
      <w:r w:rsidR="009D577E">
        <w:rPr>
          <w:lang w:val="en-GB"/>
        </w:rPr>
        <w:t>–</w:t>
      </w:r>
      <w:r w:rsidRPr="0048465B">
        <w:rPr>
          <w:lang w:val="en-GB"/>
        </w:rPr>
        <w:t xml:space="preserve"> and the necessary centralisation of Palestinian lives in order to establish peace, is almost inconceivably vast.</w:t>
      </w:r>
      <w:r w:rsidR="009D577E">
        <w:rPr>
          <w:rStyle w:val="FootnoteReference"/>
          <w:lang w:val="en-GB"/>
        </w:rPr>
        <w:footnoteReference w:id="718"/>
      </w:r>
      <w:r w:rsidRPr="0048465B">
        <w:rPr>
          <w:lang w:val="en-GB"/>
        </w:rPr>
        <w:t xml:space="preserve"> However, such transformation is </w:t>
      </w:r>
      <w:r w:rsidR="004A6017">
        <w:rPr>
          <w:lang w:val="en-GB"/>
        </w:rPr>
        <w:t>arguably the</w:t>
      </w:r>
      <w:r w:rsidRPr="0048465B">
        <w:rPr>
          <w:lang w:val="en-GB"/>
        </w:rPr>
        <w:t xml:space="preserve"> only </w:t>
      </w:r>
      <w:r w:rsidR="004A6017">
        <w:rPr>
          <w:lang w:val="en-GB"/>
        </w:rPr>
        <w:t>feasibl</w:t>
      </w:r>
      <w:r w:rsidR="00895768">
        <w:rPr>
          <w:lang w:val="en-GB"/>
        </w:rPr>
        <w:t>e</w:t>
      </w:r>
      <w:r w:rsidR="004A6017">
        <w:rPr>
          <w:lang w:val="en-GB"/>
        </w:rPr>
        <w:t xml:space="preserve"> </w:t>
      </w:r>
      <w:r w:rsidRPr="0048465B">
        <w:rPr>
          <w:lang w:val="en-GB"/>
        </w:rPr>
        <w:t>route to true peace and equality in the land of Israel-Palestine, and it is possible.</w:t>
      </w:r>
    </w:p>
    <w:p w14:paraId="5FF393D3" w14:textId="77777777" w:rsidR="00FC331F" w:rsidRPr="0048465B" w:rsidRDefault="00FC331F" w:rsidP="00FC331F">
      <w:pPr>
        <w:rPr>
          <w:lang w:val="en-GB"/>
        </w:rPr>
      </w:pPr>
    </w:p>
    <w:p w14:paraId="1E7AE1D1" w14:textId="04454F72" w:rsidR="00FC331F" w:rsidRPr="0048465B" w:rsidRDefault="00FC331F" w:rsidP="00FC331F">
      <w:pPr>
        <w:rPr>
          <w:lang w:val="en-GB"/>
        </w:rPr>
      </w:pPr>
      <w:r w:rsidRPr="0048465B">
        <w:rPr>
          <w:lang w:val="en-GB"/>
        </w:rPr>
        <w:t xml:space="preserve">In order for such transformation to occur, and in order for the one-state solution to one day be feasible, it first needs to be on the table. A significant contributor to the reluctance of international actors to propose one-state-centric avenues towards peace is rooted in the fact that, as yet, the one-state vision remains an abstract hope rather than a tangible political theory or proposal. Whilst the </w:t>
      </w:r>
      <w:r w:rsidRPr="0048465B">
        <w:rPr>
          <w:lang w:val="en-GB"/>
        </w:rPr>
        <w:lastRenderedPageBreak/>
        <w:t>two-state solution has been in the process of active and fervent development for over fifty years, and remains almost entirely ineffective</w:t>
      </w:r>
      <w:r w:rsidR="00705FB8">
        <w:rPr>
          <w:lang w:val="en-GB"/>
        </w:rPr>
        <w:t xml:space="preserve"> and implausibl</w:t>
      </w:r>
      <w:r w:rsidR="00895768">
        <w:rPr>
          <w:lang w:val="en-GB"/>
        </w:rPr>
        <w:t>e</w:t>
      </w:r>
      <w:r w:rsidRPr="0048465B">
        <w:rPr>
          <w:lang w:val="en-GB"/>
        </w:rPr>
        <w:t xml:space="preserve">, the apparent </w:t>
      </w:r>
      <w:r w:rsidR="00705FB8">
        <w:rPr>
          <w:lang w:val="en-GB"/>
        </w:rPr>
        <w:t>impossibility</w:t>
      </w:r>
      <w:r w:rsidRPr="0048465B">
        <w:rPr>
          <w:lang w:val="en-GB"/>
        </w:rPr>
        <w:t xml:space="preserve"> of the one-state solution is in part due the fact that it has never truly been either represented or scrutinised at the highest levels. Pertinent to this realisation is the fact that, even as Palestinian support for a one-state solution begins to draw level with support for a two-state solution, this support is more powerfully associated with disenchantment with two-state proposals than it is with active support for one-state proposals, since the latter is yet to be given the opportunity to materialise. Writing on the possibility or lack thereof of the one-state solution, Marwan Muasher and Nathan J. Brown argue that the vagueness of one-state hopes is not a reason to reject them, but is instead due to the fact that these ‘details emerge</w:t>
      </w:r>
      <w:r w:rsidR="000C3FB4">
        <w:rPr>
          <w:lang w:val="en-GB"/>
        </w:rPr>
        <w:t xml:space="preserve"> […] </w:t>
      </w:r>
      <w:r w:rsidRPr="0048465B">
        <w:rPr>
          <w:lang w:val="en-GB"/>
        </w:rPr>
        <w:t>from the back-and-forth of debate and the involvement of those on the ground’, stating that this vagueness will end, and that the feasibility of the one-state solution will begin, when it is ‘taken seriously by otherwise adversarial actors’.</w:t>
      </w:r>
      <w:r w:rsidRPr="0048465B">
        <w:rPr>
          <w:vertAlign w:val="superscript"/>
          <w:lang w:val="en-GB"/>
        </w:rPr>
        <w:footnoteReference w:id="719"/>
      </w:r>
    </w:p>
    <w:p w14:paraId="6B35D26F" w14:textId="77777777" w:rsidR="00FC331F" w:rsidRPr="0048465B" w:rsidRDefault="00FC331F" w:rsidP="00FC331F">
      <w:pPr>
        <w:rPr>
          <w:lang w:val="en-GB"/>
        </w:rPr>
      </w:pPr>
    </w:p>
    <w:p w14:paraId="0AD6DF6B" w14:textId="18D0FFB1" w:rsidR="00FC331F" w:rsidRPr="0048465B" w:rsidRDefault="00FC331F" w:rsidP="00FC331F">
      <w:pPr>
        <w:rPr>
          <w:lang w:val="en-GB"/>
        </w:rPr>
      </w:pPr>
      <w:r w:rsidRPr="0048465B">
        <w:rPr>
          <w:lang w:val="en-GB"/>
        </w:rPr>
        <w:t xml:space="preserve">Another necessary transformation is that of the mistrust that exists between Israel and Palestine. The aforementioned Rice University study identified such mistrust as being felt by </w:t>
      </w:r>
      <w:r w:rsidR="00705FB8">
        <w:rPr>
          <w:lang w:val="en-GB"/>
        </w:rPr>
        <w:t>89</w:t>
      </w:r>
      <w:r w:rsidRPr="0048465B">
        <w:rPr>
          <w:lang w:val="en-GB"/>
        </w:rPr>
        <w:t xml:space="preserve"> percent of the Palestinian population,</w:t>
      </w:r>
      <w:r w:rsidRPr="0048465B">
        <w:rPr>
          <w:vertAlign w:val="superscript"/>
          <w:lang w:val="en-GB"/>
        </w:rPr>
        <w:footnoteReference w:id="720"/>
      </w:r>
      <w:r w:rsidRPr="0048465B">
        <w:rPr>
          <w:lang w:val="en-GB"/>
        </w:rPr>
        <w:t xml:space="preserve"> whilst ‘trust in the Palestinians’ was referred to as a ‘powerful factor’ behind Israeli scepticism </w:t>
      </w:r>
      <w:r w:rsidR="000D1826">
        <w:rPr>
          <w:lang w:val="en-GB"/>
        </w:rPr>
        <w:t>surrounding</w:t>
      </w:r>
      <w:r w:rsidRPr="0048465B">
        <w:rPr>
          <w:lang w:val="en-GB"/>
        </w:rPr>
        <w:t xml:space="preserve"> even the more traditionally accepted proposed two-state deals.</w:t>
      </w:r>
      <w:r w:rsidRPr="0048465B">
        <w:rPr>
          <w:vertAlign w:val="superscript"/>
          <w:lang w:val="en-GB"/>
        </w:rPr>
        <w:footnoteReference w:id="721"/>
      </w:r>
      <w:r w:rsidRPr="0048465B">
        <w:rPr>
          <w:lang w:val="en-GB"/>
        </w:rPr>
        <w:t xml:space="preserve"> Yet this mistrust fits within the category of factors defined by Muasher and Brown as being based on ‘the attitudes and understandings of various actors and sectors of Israeli and Palestinian society’, and are therefore potentially ‘more malleable’ than others, such as ‘demographic trends and generational shifts’.</w:t>
      </w:r>
      <w:r w:rsidRPr="0048465B">
        <w:rPr>
          <w:vertAlign w:val="superscript"/>
          <w:lang w:val="en-GB"/>
        </w:rPr>
        <w:footnoteReference w:id="722"/>
      </w:r>
      <w:r w:rsidRPr="0048465B">
        <w:rPr>
          <w:lang w:val="en-GB"/>
        </w:rPr>
        <w:t xml:space="preserve"> As such, specific actions as part of one-state </w:t>
      </w:r>
      <w:r w:rsidRPr="0048465B">
        <w:rPr>
          <w:lang w:val="en-GB"/>
        </w:rPr>
        <w:lastRenderedPageBreak/>
        <w:t>negotiations, such as a genuine end to settlement expansion, and termination of Hamas’ military activities,</w:t>
      </w:r>
      <w:r w:rsidRPr="0048465B">
        <w:rPr>
          <w:vertAlign w:val="superscript"/>
          <w:lang w:val="en-GB"/>
        </w:rPr>
        <w:footnoteReference w:id="723"/>
      </w:r>
      <w:r w:rsidRPr="0048465B">
        <w:rPr>
          <w:lang w:val="en-GB"/>
        </w:rPr>
        <w:t xml:space="preserve"> have the potential to help alleviate this mistrust, in doing so inspiring greater confidence not only in each respective party but in the one-state vision that enables this trust. Moreover, </w:t>
      </w:r>
      <w:r w:rsidR="00705FB8">
        <w:rPr>
          <w:lang w:val="en-GB"/>
        </w:rPr>
        <w:t>as</w:t>
      </w:r>
      <w:r w:rsidRPr="0048465B">
        <w:rPr>
          <w:lang w:val="en-GB"/>
        </w:rPr>
        <w:t xml:space="preserve"> it is only through lengthy debate and deliberation that the specificities of an actionable one-state programme can be created, the very effort to initiate these talks and to conceive of such a plan, if acted out by influential Israeli and Palestinian entities or government bodies, would be one of the most monumental mutual expressions of trust, and trustworthiness, that has</w:t>
      </w:r>
      <w:r w:rsidR="00705FB8">
        <w:rPr>
          <w:lang w:val="en-GB"/>
        </w:rPr>
        <w:t xml:space="preserve"> ever</w:t>
      </w:r>
      <w:r w:rsidRPr="0048465B">
        <w:rPr>
          <w:lang w:val="en-GB"/>
        </w:rPr>
        <w:t xml:space="preserve"> occurred between the two peoples. As Muasher and Brown affirm, no single ‘idea [within the context of one-state proposals] has acquired a critical mass among both communities to allow for compromises or detailed articulations of a particular model’.</w:t>
      </w:r>
      <w:r w:rsidRPr="0048465B">
        <w:rPr>
          <w:vertAlign w:val="superscript"/>
          <w:lang w:val="en-GB"/>
        </w:rPr>
        <w:footnoteReference w:id="724"/>
      </w:r>
      <w:r w:rsidRPr="0048465B">
        <w:rPr>
          <w:lang w:val="en-GB"/>
        </w:rPr>
        <w:t xml:space="preserve"> Yet if such an idea were to emerge, it could reveal both that the </w:t>
      </w:r>
      <w:r w:rsidR="000D1826">
        <w:rPr>
          <w:lang w:val="en-GB"/>
        </w:rPr>
        <w:t>current</w:t>
      </w:r>
      <w:r w:rsidRPr="0048465B">
        <w:rPr>
          <w:lang w:val="en-GB"/>
        </w:rPr>
        <w:t xml:space="preserve"> absence of support for the one-state solution is due to its mainstream non-existence rather than its unattainability, and that the mistrust that underlies Israeli-Palestinian negotiations altogether not only already permeates two-state negotiations, but can be transformed by a one-state vision that inspires both Israeli and Palestinian people.</w:t>
      </w:r>
    </w:p>
    <w:p w14:paraId="7045BF58" w14:textId="77777777" w:rsidR="00FC331F" w:rsidRPr="0048465B" w:rsidRDefault="00FC331F" w:rsidP="00FC331F">
      <w:pPr>
        <w:rPr>
          <w:lang w:val="en-GB"/>
        </w:rPr>
      </w:pPr>
    </w:p>
    <w:p w14:paraId="3ECA8B01" w14:textId="6D76AE8B" w:rsidR="00FC331F" w:rsidRPr="0048465B" w:rsidRDefault="00FC331F" w:rsidP="00FC331F">
      <w:pPr>
        <w:rPr>
          <w:lang w:val="en-GB"/>
        </w:rPr>
      </w:pPr>
      <w:r w:rsidRPr="0048465B">
        <w:rPr>
          <w:lang w:val="en-GB"/>
        </w:rPr>
        <w:t xml:space="preserve">Muasher and Brown take a brief look at three of the basic models for one-state peace, and highlight the strengths and weaknesses of each of them, but all of these strengths and weaknesses are undercut by the fundamental reality that even a perfect one-state solution, one with all the answers to all the most pressing and tortuous questions, can solve nothing if the one-state solution is not considered a genuine possibility. Thus, instead of analysing the potential strengths and weaknesses </w:t>
      </w:r>
      <w:r w:rsidRPr="0048465B">
        <w:rPr>
          <w:lang w:val="en-GB"/>
        </w:rPr>
        <w:lastRenderedPageBreak/>
        <w:t xml:space="preserve">of propositions that are still in their infancy, it is more fruitful to give a sense of the means by which these propositions might be enabled to grow beyond this infancy and become </w:t>
      </w:r>
      <w:r w:rsidR="00324CC0">
        <w:rPr>
          <w:lang w:val="en-GB"/>
        </w:rPr>
        <w:t>viable</w:t>
      </w:r>
      <w:r w:rsidRPr="0048465B">
        <w:rPr>
          <w:lang w:val="en-GB"/>
        </w:rPr>
        <w:t xml:space="preserve"> in the eyes of the Israeli and Palestinian public.</w:t>
      </w:r>
    </w:p>
    <w:p w14:paraId="7B437EE6" w14:textId="77777777" w:rsidR="00FC331F" w:rsidRPr="0048465B" w:rsidRDefault="00FC331F" w:rsidP="00FC331F">
      <w:pPr>
        <w:rPr>
          <w:lang w:val="en-GB"/>
        </w:rPr>
      </w:pPr>
    </w:p>
    <w:p w14:paraId="67684014" w14:textId="1DFC8C10" w:rsidR="00FC331F" w:rsidRPr="0048465B" w:rsidRDefault="00FC331F" w:rsidP="00FC331F">
      <w:pPr>
        <w:rPr>
          <w:lang w:val="en-GB"/>
        </w:rPr>
      </w:pPr>
      <w:r w:rsidRPr="0048465B">
        <w:rPr>
          <w:lang w:val="en-GB"/>
        </w:rPr>
        <w:t xml:space="preserve">If the one-state solution is to be taken seriously then a number of changes must occur, most significantly </w:t>
      </w:r>
      <w:r w:rsidR="00324CC0">
        <w:rPr>
          <w:lang w:val="en-GB"/>
        </w:rPr>
        <w:t>–</w:t>
      </w:r>
      <w:r w:rsidRPr="0048465B">
        <w:rPr>
          <w:lang w:val="en-GB"/>
        </w:rPr>
        <w:t xml:space="preserve"> amongst other things </w:t>
      </w:r>
      <w:r w:rsidR="00324CC0">
        <w:rPr>
          <w:lang w:val="en-GB"/>
        </w:rPr>
        <w:t>–</w:t>
      </w:r>
      <w:r w:rsidRPr="0048465B">
        <w:rPr>
          <w:lang w:val="en-GB"/>
        </w:rPr>
        <w:t xml:space="preserve"> these include the acknowledgement of the two-state solution’s failure, the aforementioned increase</w:t>
      </w:r>
      <w:r w:rsidR="00BD798A">
        <w:rPr>
          <w:lang w:val="en-GB"/>
        </w:rPr>
        <w:t xml:space="preserve"> in</w:t>
      </w:r>
      <w:r w:rsidRPr="0048465B">
        <w:rPr>
          <w:lang w:val="en-GB"/>
        </w:rPr>
        <w:t xml:space="preserve"> trust between the two peoples, and the willingness of the Israeli public to relinquish absolute control. Whilst this chapter has looked briefly at all of these challenges, it is the latter of these three that it ends with. How, when still recovering from the historical trauma of genocide, does a nation begin to choose to relinquish absolute control? </w:t>
      </w:r>
    </w:p>
    <w:p w14:paraId="256F294B" w14:textId="77777777" w:rsidR="00FC331F" w:rsidRPr="0048465B" w:rsidRDefault="00FC331F" w:rsidP="00FC331F">
      <w:pPr>
        <w:rPr>
          <w:lang w:val="en-GB"/>
        </w:rPr>
      </w:pPr>
    </w:p>
    <w:p w14:paraId="348FD68C" w14:textId="0793EF27" w:rsidR="00FC331F" w:rsidRPr="0048465B" w:rsidRDefault="00FC331F" w:rsidP="00FC331F">
      <w:pPr>
        <w:rPr>
          <w:lang w:val="en-GB"/>
        </w:rPr>
      </w:pPr>
      <w:r w:rsidRPr="0048465B">
        <w:rPr>
          <w:lang w:val="en-GB"/>
        </w:rPr>
        <w:t xml:space="preserve">In his ‘Letter </w:t>
      </w:r>
      <w:r w:rsidR="006779F4" w:rsidRPr="0048465B">
        <w:rPr>
          <w:lang w:val="en-GB"/>
        </w:rPr>
        <w:t>from</w:t>
      </w:r>
      <w:r w:rsidRPr="0048465B">
        <w:rPr>
          <w:lang w:val="en-GB"/>
        </w:rPr>
        <w:t xml:space="preserve"> a Birmingham Jail’, Martin Luther King stated that ‘“it is an historical fact that privileged groups seldom give up their privileges voluntarily”’.</w:t>
      </w:r>
      <w:r w:rsidRPr="0048465B">
        <w:rPr>
          <w:vertAlign w:val="superscript"/>
          <w:lang w:val="en-GB"/>
        </w:rPr>
        <w:footnoteReference w:id="725"/>
      </w:r>
      <w:r w:rsidRPr="0048465B">
        <w:rPr>
          <w:lang w:val="en-GB"/>
        </w:rPr>
        <w:t xml:space="preserve"> The privileges that Israel holds over Palestine are numerous, and there is significant inequality between the two nations in regard to the power they hold. Israel controls all of the land and Palestine controls none. Israel is a full member of the UN and Palestine is a non-member observer state. Israel is habitually supported by the U.S. and now by newfound Arab allies (Israel normalised ties with Morocco just two days prior to this sentence being written), whilst Palestine has found itself abandoned by its historical allies and seemingly unable to escape partisan U.S. diplomacy. Thus, when Haidar Eid argues that a one-state Israel-Palestine would be a ‘“huge compromise for Palestinians”, because it would give “citizenship and forgiveness to settlers and occupiers”’, the objective truth behind his statement is </w:t>
      </w:r>
      <w:r w:rsidRPr="0048465B">
        <w:rPr>
          <w:lang w:val="en-GB"/>
        </w:rPr>
        <w:lastRenderedPageBreak/>
        <w:t xml:space="preserve">undermined by the reality that the abstract forgiveness of the Palestinian people is not incentive enough to inspire territorial and constitutional change from Israel. Whilst compromises will be necessary from both sides if peace is to be achieved between Israel and Palestine, Israel has the controlling stake in almost all areas, and will have therefore to make the lion’s share of these concessions. As such, these compromises cannot be motivated by equivalent actions from Palestinians, due to the simple fact that Palestinians have little, </w:t>
      </w:r>
      <w:r w:rsidR="00BD798A">
        <w:rPr>
          <w:lang w:val="en-GB"/>
        </w:rPr>
        <w:t>beyond stopping armed resistance</w:t>
      </w:r>
      <w:r w:rsidRPr="0048465B">
        <w:rPr>
          <w:lang w:val="en-GB"/>
        </w:rPr>
        <w:t xml:space="preserve">, to concede. </w:t>
      </w:r>
      <w:r w:rsidR="00BD798A">
        <w:rPr>
          <w:lang w:val="en-GB"/>
        </w:rPr>
        <w:t>Therefore, i</w:t>
      </w:r>
      <w:r w:rsidRPr="0048465B">
        <w:rPr>
          <w:lang w:val="en-GB"/>
        </w:rPr>
        <w:t>f Israel is to choose to relinquish control, it must be a decision that is made by the Israeli majority, and it has to be for the good of Israelis as well as Palestinians.</w:t>
      </w:r>
    </w:p>
    <w:p w14:paraId="0D268A76" w14:textId="77777777" w:rsidR="00FC331F" w:rsidRPr="0048465B" w:rsidRDefault="00FC331F" w:rsidP="00FC331F">
      <w:pPr>
        <w:rPr>
          <w:lang w:val="en-GB"/>
        </w:rPr>
      </w:pPr>
    </w:p>
    <w:p w14:paraId="1A9A7CED" w14:textId="7694EA46" w:rsidR="00FC331F" w:rsidRPr="0048465B" w:rsidRDefault="00FC331F" w:rsidP="00FC331F">
      <w:pPr>
        <w:rPr>
          <w:lang w:val="en-GB"/>
        </w:rPr>
      </w:pPr>
      <w:r w:rsidRPr="0048465B">
        <w:rPr>
          <w:lang w:val="en-GB"/>
        </w:rPr>
        <w:t xml:space="preserve">There are obvious incentives for Israelis within such compromises. These include the potential for </w:t>
      </w:r>
      <w:r w:rsidR="003C3AB4">
        <w:rPr>
          <w:lang w:val="en-GB"/>
        </w:rPr>
        <w:t xml:space="preserve">the </w:t>
      </w:r>
      <w:r w:rsidRPr="0048465B">
        <w:rPr>
          <w:lang w:val="en-GB"/>
        </w:rPr>
        <w:t>wide-ranging Arab acceptance of the Israeli people for the first and only time since Israel’s inception, the de-stigmatisation of Israel in the eyes of the international community, and a feeling of safety that is based upon the absence of animosity rather than military force and self-isolation. Whilst the statistics referenced in this chapter suggest that none of these alone is likely to encourage sea</w:t>
      </w:r>
      <w:r w:rsidR="00BD798A">
        <w:rPr>
          <w:lang w:val="en-GB"/>
        </w:rPr>
        <w:t>-</w:t>
      </w:r>
      <w:r w:rsidRPr="0048465B">
        <w:rPr>
          <w:lang w:val="en-GB"/>
        </w:rPr>
        <w:t>change transitions, there are indications nonetheless that change could be on the horizon. Muasher and Brown reference Bashir Bashir’s ‘Alternatives to Partition research group’, where ‘a group of Palestinians and Israelis met for three years to discuss the details of different variations of the one-state solution’. The authors correctly point out that, in bringing people from both sides into the conversation, the group becomes representative not only of the intergroup efforts necessary to produce ‘realistic options’, but of the importance of the ‘process’ behind these options, the absolute necessity of a shared and thoroughly worked through collaborative analysis.</w:t>
      </w:r>
      <w:r w:rsidRPr="0048465B">
        <w:rPr>
          <w:vertAlign w:val="superscript"/>
          <w:lang w:val="en-GB"/>
        </w:rPr>
        <w:footnoteReference w:id="726"/>
      </w:r>
      <w:r w:rsidRPr="0048465B">
        <w:rPr>
          <w:lang w:val="en-GB"/>
        </w:rPr>
        <w:t xml:space="preserve"> The very fact that the word ‘we’ in statements released by this group refers to Israelis </w:t>
      </w:r>
      <w:r w:rsidRPr="0048465B">
        <w:rPr>
          <w:lang w:val="en-GB"/>
        </w:rPr>
        <w:lastRenderedPageBreak/>
        <w:t>and Palestinians from ‘Israel, Jerusalem, West Bank, Gaza Strip and the diaspora[] from different socio-political and professional backgrounds’ affords such statements a weight that demands attention and undermines simplistic rejections based on bias and disinclination to a specific group or origin.</w:t>
      </w:r>
      <w:r w:rsidRPr="0048465B">
        <w:rPr>
          <w:vertAlign w:val="superscript"/>
          <w:lang w:val="en-GB"/>
        </w:rPr>
        <w:footnoteReference w:id="727"/>
      </w:r>
      <w:r w:rsidRPr="0048465B">
        <w:rPr>
          <w:lang w:val="en-GB"/>
        </w:rPr>
        <w:t xml:space="preserve"> </w:t>
      </w:r>
    </w:p>
    <w:p w14:paraId="33B76272" w14:textId="77777777" w:rsidR="00FC331F" w:rsidRPr="0048465B" w:rsidRDefault="00FC331F" w:rsidP="00FC331F">
      <w:pPr>
        <w:rPr>
          <w:lang w:val="en-GB"/>
        </w:rPr>
      </w:pPr>
    </w:p>
    <w:p w14:paraId="1D487ACB" w14:textId="1AD3A132" w:rsidR="00FC331F" w:rsidRPr="0048465B" w:rsidRDefault="00FC331F" w:rsidP="00FC331F">
      <w:pPr>
        <w:rPr>
          <w:lang w:val="en-GB"/>
        </w:rPr>
      </w:pPr>
      <w:r w:rsidRPr="0048465B">
        <w:rPr>
          <w:lang w:val="en-GB"/>
        </w:rPr>
        <w:t xml:space="preserve">Whilst stating their preference for a united Israel/Palestine, the Alternatives to Partition group take a similar line to BDS in their choice to refrain from aligning themselves with specific avenues towards peace. However, despite the similarity in content to BDS, with equal rights for all, the recognition of the right of return, and increased freedom of movement common demands, </w:t>
      </w:r>
      <w:r w:rsidR="003C3AB4">
        <w:rPr>
          <w:lang w:val="en-GB"/>
        </w:rPr>
        <w:t>the mere fact that the Alternatives to Partition group is explicitly</w:t>
      </w:r>
      <w:r w:rsidR="008F554C">
        <w:rPr>
          <w:lang w:val="en-GB"/>
        </w:rPr>
        <w:t xml:space="preserve"> both</w:t>
      </w:r>
      <w:r w:rsidR="003C3AB4">
        <w:rPr>
          <w:lang w:val="en-GB"/>
        </w:rPr>
        <w:t xml:space="preserve"> Palestinian</w:t>
      </w:r>
      <w:r w:rsidR="008F554C">
        <w:rPr>
          <w:lang w:val="en-GB"/>
        </w:rPr>
        <w:t xml:space="preserve"> and Israeli</w:t>
      </w:r>
      <w:r w:rsidR="003C3AB4">
        <w:rPr>
          <w:lang w:val="en-GB"/>
        </w:rPr>
        <w:t xml:space="preserve"> means that it</w:t>
      </w:r>
      <w:r w:rsidRPr="0048465B">
        <w:rPr>
          <w:lang w:val="en-GB"/>
        </w:rPr>
        <w:t xml:space="preserve"> is, crucially, significantly more likely to appeal to Israeli minds.</w:t>
      </w:r>
      <w:r w:rsidRPr="0048465B">
        <w:rPr>
          <w:vertAlign w:val="superscript"/>
          <w:lang w:val="en-GB"/>
        </w:rPr>
        <w:footnoteReference w:id="728"/>
      </w:r>
      <w:r w:rsidRPr="0048465B">
        <w:rPr>
          <w:lang w:val="en-GB"/>
        </w:rPr>
        <w:t xml:space="preserve"> In refraining from tying itself to definitive action, this group enacts one of Muasher and Brown’s fundamental precepts of raising the profile of the one-state solution, namely establishing the ‘core principles’ that must underlie such a solution rather than proposing specific, underdeveloped, and fallible propositions.</w:t>
      </w:r>
      <w:r w:rsidRPr="0048465B">
        <w:rPr>
          <w:vertAlign w:val="superscript"/>
          <w:lang w:val="en-GB"/>
        </w:rPr>
        <w:footnoteReference w:id="729"/>
      </w:r>
      <w:r w:rsidRPr="0048465B">
        <w:rPr>
          <w:lang w:val="en-GB"/>
        </w:rPr>
        <w:t xml:space="preserve"> Despite being at risk of the same fatal flaw as BDS </w:t>
      </w:r>
      <w:r w:rsidR="003C3AB4">
        <w:rPr>
          <w:lang w:val="en-GB"/>
        </w:rPr>
        <w:t>–</w:t>
      </w:r>
      <w:r w:rsidRPr="0048465B">
        <w:rPr>
          <w:lang w:val="en-GB"/>
        </w:rPr>
        <w:t xml:space="preserve"> becoming detached from the tangibility and actionability of politics (even though mainstream politics have done little for Palestine) </w:t>
      </w:r>
      <w:r w:rsidR="003C3AB4">
        <w:rPr>
          <w:lang w:val="en-GB"/>
        </w:rPr>
        <w:t>–</w:t>
      </w:r>
      <w:r w:rsidRPr="0048465B">
        <w:rPr>
          <w:lang w:val="en-GB"/>
        </w:rPr>
        <w:t xml:space="preserve"> the Alternatives to Partition group represents a model that attempts to </w:t>
      </w:r>
      <w:r w:rsidR="003C3AB4">
        <w:rPr>
          <w:lang w:val="en-GB"/>
        </w:rPr>
        <w:t>promote</w:t>
      </w:r>
      <w:r w:rsidRPr="0048465B">
        <w:rPr>
          <w:lang w:val="en-GB"/>
        </w:rPr>
        <w:t xml:space="preserve"> increased rights for one as increased rights for all, and in doing so demonstrates a potential method through which Palestinian equality and Israeli liberty can be tied together, thus incentivising Israeli transformation.</w:t>
      </w:r>
    </w:p>
    <w:p w14:paraId="009B8D40" w14:textId="77777777" w:rsidR="00FC331F" w:rsidRPr="0048465B" w:rsidRDefault="00FC331F" w:rsidP="00FC331F">
      <w:pPr>
        <w:rPr>
          <w:lang w:val="en-GB"/>
        </w:rPr>
      </w:pPr>
    </w:p>
    <w:p w14:paraId="6A867902" w14:textId="41C80EEF" w:rsidR="00FC331F" w:rsidRPr="0048465B" w:rsidRDefault="00FC331F" w:rsidP="00FC331F">
      <w:pPr>
        <w:rPr>
          <w:lang w:val="en-GB"/>
        </w:rPr>
      </w:pPr>
      <w:r w:rsidRPr="0048465B">
        <w:rPr>
          <w:lang w:val="en-GB"/>
        </w:rPr>
        <w:lastRenderedPageBreak/>
        <w:t>Just as the dawn of the coronavirus pandemic put a spotlight on the false partition between Israel and Palestine</w:t>
      </w:r>
      <w:r w:rsidR="000C242D">
        <w:rPr>
          <w:lang w:val="en-GB"/>
        </w:rPr>
        <w:t>,</w:t>
      </w:r>
      <w:r w:rsidRPr="0048465B">
        <w:rPr>
          <w:lang w:val="en-GB"/>
        </w:rPr>
        <w:t xml:space="preserve"> as well as Israel’s discrimination against its own Palestinian citizens, another unexpected development in recent times that could reconfigure Israeli public attitudes towards Palestinian liberation is the massive cultural shift, and increased global consciousness of </w:t>
      </w:r>
      <w:r w:rsidR="00C51B07">
        <w:rPr>
          <w:lang w:val="en-GB"/>
        </w:rPr>
        <w:t xml:space="preserve">the </w:t>
      </w:r>
      <w:r w:rsidRPr="0048465B">
        <w:rPr>
          <w:lang w:val="en-GB"/>
        </w:rPr>
        <w:t xml:space="preserve">oppression of minorities, brought about by the death of George Floyd. We saw inklings of this in the spring of 2020, when Floyd’s murder in the U.S. sparked global protest in relation to the systemic </w:t>
      </w:r>
      <w:r w:rsidR="00D70C70">
        <w:rPr>
          <w:lang w:val="en-GB"/>
        </w:rPr>
        <w:t>oppression</w:t>
      </w:r>
      <w:r w:rsidRPr="0048465B">
        <w:rPr>
          <w:lang w:val="en-GB"/>
        </w:rPr>
        <w:t xml:space="preserve"> of black people. Yet, as the Black Lives Matter protests continued, both passive and active associations proliferated between injustices in the U.S. and other forms of injustice around the world, including the disenfranchisement of Palestinians. The connections between the killing of George Floyd and Israeli treatment of Palestinians were made even more tangible when, on the 30th of May, just five days after Floyd’s death, a </w:t>
      </w:r>
      <w:r w:rsidR="00AE6D44">
        <w:rPr>
          <w:lang w:val="en-GB"/>
        </w:rPr>
        <w:t>thirty-two</w:t>
      </w:r>
      <w:r w:rsidR="006779F4" w:rsidRPr="0048465B">
        <w:rPr>
          <w:lang w:val="en-GB"/>
        </w:rPr>
        <w:t>-year-old</w:t>
      </w:r>
      <w:r w:rsidRPr="0048465B">
        <w:rPr>
          <w:lang w:val="en-GB"/>
        </w:rPr>
        <w:t xml:space="preserve"> autistic Palestinian man named Eyad al-Hallaq was shot and killed by Israeli Border Police as he was on the way to his special needs school. The proximity of the events to one another, in terms of both the chronology of the two killings and ‘the parallels between America’s structural racism against its black citizens and the colonial-settler regime’s violent denial of Palestinians’ human rights’,</w:t>
      </w:r>
      <w:r w:rsidRPr="0048465B">
        <w:rPr>
          <w:vertAlign w:val="superscript"/>
          <w:lang w:val="en-GB"/>
        </w:rPr>
        <w:footnoteReference w:id="730"/>
      </w:r>
      <w:r w:rsidRPr="0048465B">
        <w:rPr>
          <w:lang w:val="en-GB"/>
        </w:rPr>
        <w:t xml:space="preserve"> twinned with the development of the George Floyd protests into more general anti-racism and anti-fascism movements, meant that the Palestinian Lives Matter movement and the Black Lives Matter movement became intertwined in the public consciousness as two movements with a similar goal united through hardship, rather than one movement appropriating the ascendancy of the other.</w:t>
      </w:r>
    </w:p>
    <w:p w14:paraId="43DD3ABD" w14:textId="77777777" w:rsidR="00FC331F" w:rsidRPr="0048465B" w:rsidRDefault="00FC331F" w:rsidP="00FC331F">
      <w:pPr>
        <w:rPr>
          <w:lang w:val="en-GB"/>
        </w:rPr>
      </w:pPr>
    </w:p>
    <w:p w14:paraId="19233104" w14:textId="43DBB16A" w:rsidR="00FC331F" w:rsidRPr="0048465B" w:rsidRDefault="00FC331F" w:rsidP="00FC331F">
      <w:pPr>
        <w:rPr>
          <w:lang w:val="en-GB"/>
        </w:rPr>
      </w:pPr>
      <w:r w:rsidRPr="0048465B">
        <w:rPr>
          <w:lang w:val="en-GB"/>
        </w:rPr>
        <w:lastRenderedPageBreak/>
        <w:t>Twelve days after Floyd’s death, and seven after al-Hallaq’s, ‘thousands of Israelis gathered in Tel Aviv</w:t>
      </w:r>
      <w:r w:rsidR="000C3FB4">
        <w:rPr>
          <w:lang w:val="en-GB"/>
        </w:rPr>
        <w:t xml:space="preserve"> […] </w:t>
      </w:r>
      <w:r w:rsidRPr="0048465B">
        <w:rPr>
          <w:lang w:val="en-GB"/>
        </w:rPr>
        <w:t xml:space="preserve">to protest Prime Minister Netanyahu’s pledge to begin annexing parts of the West Bank’, during which the CEO of Peace Now, Shaqued Morag, ‘told demonstrators to take a knee “in memory of George Floyd. In Memory of Iyad </w:t>
      </w:r>
      <w:proofErr w:type="spellStart"/>
      <w:r w:rsidRPr="0048465B">
        <w:rPr>
          <w:lang w:val="en-GB"/>
        </w:rPr>
        <w:t>Halak</w:t>
      </w:r>
      <w:proofErr w:type="spellEnd"/>
      <w:r w:rsidRPr="0048465B">
        <w:rPr>
          <w:lang w:val="en-GB"/>
        </w:rPr>
        <w:t>. In memory of all the victims of the Israeli-Palestinian conflict”’.</w:t>
      </w:r>
      <w:r w:rsidRPr="0048465B">
        <w:rPr>
          <w:vertAlign w:val="superscript"/>
          <w:lang w:val="en-GB"/>
        </w:rPr>
        <w:footnoteReference w:id="731"/>
      </w:r>
      <w:r w:rsidRPr="0048465B">
        <w:rPr>
          <w:lang w:val="en-GB"/>
        </w:rPr>
        <w:t xml:space="preserve"> At this same protest, Bernie Sanders</w:t>
      </w:r>
      <w:r w:rsidR="000C242D">
        <w:rPr>
          <w:lang w:val="en-GB"/>
        </w:rPr>
        <w:t xml:space="preserve"> </w:t>
      </w:r>
      <w:r w:rsidRPr="0048465B">
        <w:rPr>
          <w:lang w:val="en-GB"/>
        </w:rPr>
        <w:t xml:space="preserve">stated to the thousands of protestors that ‘“[t]he only future is a shared future”’, </w:t>
      </w:r>
      <w:r w:rsidR="00D70C70">
        <w:rPr>
          <w:lang w:val="en-GB"/>
        </w:rPr>
        <w:t>and</w:t>
      </w:r>
      <w:r w:rsidRPr="0048465B">
        <w:rPr>
          <w:lang w:val="en-GB"/>
        </w:rPr>
        <w:t xml:space="preserve"> Palestinian citizen of Israel, member of the Knesset, and head of the Joint List Ayman Odeh declared that there were two paths available, one leading to ‘“a joint society with a real democracy, civil and national equality for Arab citizens”’ and another that ‘“leads to hatred, violence, annexation and apartheid”’, telling his audience that they were there to ‘“pick the first path”’. Protestors against the West Bank annexation were also seen lying ‘down on the pavement surrounding Rabin Square, echoing protests taking place around the world against police brutality which were sparked by the death of George Floyd’.</w:t>
      </w:r>
      <w:r w:rsidRPr="0048465B">
        <w:rPr>
          <w:vertAlign w:val="superscript"/>
          <w:lang w:val="en-GB"/>
        </w:rPr>
        <w:footnoteReference w:id="732"/>
      </w:r>
      <w:r w:rsidRPr="0048465B">
        <w:rPr>
          <w:lang w:val="en-GB"/>
        </w:rPr>
        <w:t xml:space="preserve"> Whilst the protest itself was ostensibly about the West Bank annexation alone, the numerous references to George Floyd, Eyad al-Hallaq, and the one-state solution are potentially indicative of a growing Israeli public awareness of the interdependency of corrupt structures, that the annexation of the West Bank, the death of Eyad al-Hallaq, and the unsustainability of both quasi-apartheid in Israel-Palestine and the two-state framework are all connected by Israeli governmental rule and the continued persecution of Palestinian people. Moreover, the scale of the protests (six thousand people, during a pandemic) is an indication that, in addition to this awareness, it may be becoming more socially acceptable within Israel to voice one’s displeasure with the status quo and question </w:t>
      </w:r>
      <w:r w:rsidRPr="0048465B">
        <w:rPr>
          <w:lang w:val="en-GB"/>
        </w:rPr>
        <w:lastRenderedPageBreak/>
        <w:t>the Israeli state as it currently exists, a task that is so socially and culturally challenging that Beinart has described it as feeling like ‘spitting in the face of people I love’.</w:t>
      </w:r>
      <w:r w:rsidRPr="0048465B">
        <w:rPr>
          <w:vertAlign w:val="superscript"/>
          <w:lang w:val="en-GB"/>
        </w:rPr>
        <w:footnoteReference w:id="733"/>
      </w:r>
      <w:r w:rsidRPr="0048465B">
        <w:rPr>
          <w:lang w:val="en-GB"/>
        </w:rPr>
        <w:t xml:space="preserve"> </w:t>
      </w:r>
    </w:p>
    <w:p w14:paraId="761C1D73" w14:textId="77777777" w:rsidR="00FC331F" w:rsidRPr="0048465B" w:rsidRDefault="00FC331F" w:rsidP="00FC331F">
      <w:pPr>
        <w:rPr>
          <w:lang w:val="en-GB"/>
        </w:rPr>
      </w:pPr>
    </w:p>
    <w:p w14:paraId="2FA2AB0E" w14:textId="5E31F677" w:rsidR="00FC331F" w:rsidRPr="0048465B" w:rsidRDefault="00FC331F" w:rsidP="00FC331F">
      <w:pPr>
        <w:rPr>
          <w:lang w:val="en-GB"/>
        </w:rPr>
      </w:pPr>
      <w:r w:rsidRPr="0048465B">
        <w:rPr>
          <w:lang w:val="en-GB"/>
        </w:rPr>
        <w:t xml:space="preserve">Perhaps most crucially, however, these protests and this discontent, unlike so much in the history of the Israeli-Palestinian conflict, transformed into a </w:t>
      </w:r>
      <w:r w:rsidR="006779F4" w:rsidRPr="0048465B">
        <w:rPr>
          <w:lang w:val="en-GB"/>
        </w:rPr>
        <w:t>real-world</w:t>
      </w:r>
      <w:r w:rsidRPr="0048465B">
        <w:rPr>
          <w:lang w:val="en-GB"/>
        </w:rPr>
        <w:t xml:space="preserve"> political response that actively challenged Israel’s domination of Palestine. In the UK, Shadow Secretary of State for Foreign Affairs, Lisa </w:t>
      </w:r>
      <w:proofErr w:type="spellStart"/>
      <w:r w:rsidRPr="0048465B">
        <w:rPr>
          <w:lang w:val="en-GB"/>
        </w:rPr>
        <w:t>Nandy</w:t>
      </w:r>
      <w:proofErr w:type="spellEnd"/>
      <w:r w:rsidRPr="0048465B">
        <w:rPr>
          <w:lang w:val="en-GB"/>
        </w:rPr>
        <w:t>, called for a ban on the ‘import of goods from illegal settlements in the West Bank if the Israeli government presses ahead with annexation plans’, a high-profile endorsement of the potential to boycott Israel, regardless of the issues inherent in boycotting settlements but not the nation that sustains them. Unfortunately, this attempt to place even limited conditions upon Israel’s annexation of the West Bank resulted in nothing more than a verbal condemnation of Israel’s plans from Boris Johnson.</w:t>
      </w:r>
      <w:r w:rsidRPr="0048465B">
        <w:rPr>
          <w:vertAlign w:val="superscript"/>
          <w:lang w:val="en-GB"/>
        </w:rPr>
        <w:footnoteReference w:id="734"/>
      </w:r>
      <w:r w:rsidRPr="0048465B">
        <w:rPr>
          <w:lang w:val="en-GB"/>
        </w:rPr>
        <w:t xml:space="preserve"> In the U.S., however, just over a month after Floyd’s death, four </w:t>
      </w:r>
      <w:r w:rsidR="00DA6964">
        <w:rPr>
          <w:lang w:val="en-GB"/>
        </w:rPr>
        <w:t>Democrat Party</w:t>
      </w:r>
      <w:r w:rsidRPr="0048465B">
        <w:rPr>
          <w:lang w:val="en-GB"/>
        </w:rPr>
        <w:t xml:space="preserve"> politicians, led by Alexandria Ocasio-Cortez, drafted a letter that remarked upon the clear illegality of the proposed annexation and explicitly tied the annexation of the West Bank to the consequences of ‘nonrecognition of annexed territories as well as</w:t>
      </w:r>
      <w:r w:rsidR="000C3FB4">
        <w:rPr>
          <w:lang w:val="en-GB"/>
        </w:rPr>
        <w:t xml:space="preserve"> […] </w:t>
      </w:r>
      <w:r w:rsidRPr="0048465B">
        <w:rPr>
          <w:lang w:val="en-GB"/>
        </w:rPr>
        <w:t>legislation that conditions the $3.8 billion in U.S. military funding to Israel to ensure that U.S. taxpayers are not supporting annexation in any way’.</w:t>
      </w:r>
      <w:r w:rsidRPr="0048465B">
        <w:rPr>
          <w:vertAlign w:val="superscript"/>
          <w:lang w:val="en-GB"/>
        </w:rPr>
        <w:footnoteReference w:id="735"/>
      </w:r>
      <w:r w:rsidRPr="0048465B">
        <w:rPr>
          <w:lang w:val="en-GB"/>
        </w:rPr>
        <w:t xml:space="preserve"> This letter was written in contradiction of both the general </w:t>
      </w:r>
      <w:r w:rsidR="00DA6964">
        <w:rPr>
          <w:lang w:val="en-GB"/>
        </w:rPr>
        <w:t>D</w:t>
      </w:r>
      <w:r w:rsidRPr="0048465B">
        <w:rPr>
          <w:lang w:val="en-GB"/>
        </w:rPr>
        <w:t xml:space="preserve">emocratic attitude towards withholding aid to Israel, an attitude shared, at least traditionally, by the presidential nominee-to-be at the time, Joe Biden, and it was met with indignation and </w:t>
      </w:r>
      <w:r w:rsidRPr="0048465B">
        <w:rPr>
          <w:lang w:val="en-GB"/>
        </w:rPr>
        <w:lastRenderedPageBreak/>
        <w:t>resentment by AIPAC (The American Israel Public Affairs Committee) who began ‘lobbying members of congress against’ the letter before its details were even known.</w:t>
      </w:r>
      <w:r w:rsidRPr="0048465B">
        <w:rPr>
          <w:vertAlign w:val="superscript"/>
          <w:lang w:val="en-GB"/>
        </w:rPr>
        <w:footnoteReference w:id="736"/>
      </w:r>
    </w:p>
    <w:p w14:paraId="0E890FAE" w14:textId="77777777" w:rsidR="00FC331F" w:rsidRPr="0048465B" w:rsidRDefault="00FC331F" w:rsidP="00FC331F">
      <w:pPr>
        <w:rPr>
          <w:lang w:val="en-GB"/>
        </w:rPr>
      </w:pPr>
    </w:p>
    <w:p w14:paraId="443C2DCE" w14:textId="09107FB3" w:rsidR="00E32B6E" w:rsidRDefault="00FC331F" w:rsidP="00FC331F">
      <w:pPr>
        <w:rPr>
          <w:lang w:val="en-GB"/>
        </w:rPr>
      </w:pPr>
      <w:r w:rsidRPr="0048465B">
        <w:rPr>
          <w:lang w:val="en-GB"/>
        </w:rPr>
        <w:t>The annexation, as mentioned previously, was not cancelled, but suspended. The date it had been due to commence came and went and no annexation occurred. Whilst the actions of these four female Democrat</w:t>
      </w:r>
      <w:r w:rsidR="00895768">
        <w:rPr>
          <w:lang w:val="en-GB"/>
        </w:rPr>
        <w:t xml:space="preserve"> politicians</w:t>
      </w:r>
      <w:r w:rsidRPr="0048465B">
        <w:rPr>
          <w:lang w:val="en-GB"/>
        </w:rPr>
        <w:t xml:space="preserve"> is extraordinarily unlikely to have moderated Israel’s behaviour alone, it is not beyond the realms of possibility that it was the collective efforts of Israeli protest, the Democrat letter, and the European threats of boycott that caused Israel to suspend the annexation. Crucially though, moving forwards, Ocasio-Cortez’s willingness to propose the leveraging of the billions of dollars of aid that the U.S. provides to Israel every year marks a transition from a time when U.S. support of Israel was completely unconditional, to a time when at least four out of the four hundred and thirty-five strong House of Representatives feel able to question this allegiance. Whilst this may seem minimal, it sets a precedent that at least begins to normalise the notion that Israel’s behaviour has a direct impact on its receipt of U.S. aid, and further ensures that it will be easier for others to follow in Ocasio-Cortez’s footsteps than it would have been for them to take those steps themselves.</w:t>
      </w:r>
    </w:p>
    <w:p w14:paraId="58FF9FC3" w14:textId="77777777" w:rsidR="00E32B6E" w:rsidRPr="0048465B" w:rsidRDefault="00E32B6E" w:rsidP="00FC331F">
      <w:pPr>
        <w:rPr>
          <w:lang w:val="en-GB"/>
        </w:rPr>
      </w:pPr>
    </w:p>
    <w:p w14:paraId="34415726" w14:textId="77777777" w:rsidR="00FC331F" w:rsidRPr="0048465B" w:rsidRDefault="00FC331F" w:rsidP="00FC331F">
      <w:pPr>
        <w:jc w:val="center"/>
        <w:rPr>
          <w:b/>
          <w:lang w:val="en-GB"/>
        </w:rPr>
      </w:pPr>
      <w:r w:rsidRPr="0048465B">
        <w:rPr>
          <w:b/>
          <w:lang w:val="en-GB"/>
        </w:rPr>
        <w:t>Lessons for the Future</w:t>
      </w:r>
    </w:p>
    <w:p w14:paraId="49B90F1E" w14:textId="77777777" w:rsidR="00FC331F" w:rsidRPr="0048465B" w:rsidRDefault="00FC331F" w:rsidP="00FC331F">
      <w:pPr>
        <w:rPr>
          <w:lang w:val="en-GB"/>
        </w:rPr>
      </w:pPr>
    </w:p>
    <w:p w14:paraId="5B85C238" w14:textId="77777777" w:rsidR="00FC331F" w:rsidRPr="0048465B" w:rsidRDefault="00FC331F" w:rsidP="00FC331F">
      <w:pPr>
        <w:rPr>
          <w:lang w:val="en-GB"/>
        </w:rPr>
      </w:pPr>
      <w:r w:rsidRPr="0048465B">
        <w:rPr>
          <w:lang w:val="en-GB"/>
        </w:rPr>
        <w:t>Whilst the history of Israel-Palestine is punctuated by unsuccessful attempts to achieve peace, these attempts nonetheless give us an idea of the circumstances necessary in order for peace to one day be possible. The circumstances necessary are, in my own opinion, as follows:</w:t>
      </w:r>
    </w:p>
    <w:p w14:paraId="3578D3C2" w14:textId="77777777" w:rsidR="00FC331F" w:rsidRPr="0048465B" w:rsidRDefault="00FC331F" w:rsidP="00FC331F">
      <w:pPr>
        <w:rPr>
          <w:lang w:val="en-GB"/>
        </w:rPr>
      </w:pPr>
    </w:p>
    <w:p w14:paraId="77608527" w14:textId="3DC90D98" w:rsidR="00FC331F" w:rsidRPr="0048465B" w:rsidRDefault="00FC331F" w:rsidP="00FC331F">
      <w:pPr>
        <w:rPr>
          <w:lang w:val="en-GB"/>
        </w:rPr>
      </w:pPr>
      <w:r w:rsidRPr="0048465B">
        <w:rPr>
          <w:lang w:val="en-GB"/>
        </w:rPr>
        <w:t xml:space="preserve">Firstly, a critically distanced understanding and appreciation of the historical contexts of Holocaust suffering, Israel’s creation, and Palestinian disenfranchisement is essential for all parties. Whilst connections between these histories often complicate assessments of contemporary affairs, the cultural influence and depth of these connections makes an understanding of them indispensable. Moreover, whilst efforts to avoid such connections </w:t>
      </w:r>
      <w:r w:rsidR="000C242D">
        <w:rPr>
          <w:lang w:val="en-GB"/>
        </w:rPr>
        <w:t xml:space="preserve">in their entirety </w:t>
      </w:r>
      <w:r w:rsidRPr="0048465B">
        <w:rPr>
          <w:lang w:val="en-GB"/>
        </w:rPr>
        <w:t xml:space="preserve">risk alienating one group or the other, the alternative </w:t>
      </w:r>
      <w:r w:rsidR="00FC48D6">
        <w:rPr>
          <w:lang w:val="en-GB"/>
        </w:rPr>
        <w:t>–</w:t>
      </w:r>
      <w:r w:rsidRPr="0048465B">
        <w:rPr>
          <w:lang w:val="en-GB"/>
        </w:rPr>
        <w:t xml:space="preserve"> demonstrations of understanding of the other side’s suffering </w:t>
      </w:r>
      <w:r w:rsidR="00FC48D6">
        <w:rPr>
          <w:lang w:val="en-GB"/>
        </w:rPr>
        <w:t>–</w:t>
      </w:r>
      <w:r w:rsidRPr="0048465B">
        <w:rPr>
          <w:lang w:val="en-GB"/>
        </w:rPr>
        <w:t xml:space="preserve"> not only build</w:t>
      </w:r>
      <w:r w:rsidR="00FC48D6">
        <w:rPr>
          <w:lang w:val="en-GB"/>
        </w:rPr>
        <w:t>s</w:t>
      </w:r>
      <w:r w:rsidRPr="0048465B">
        <w:rPr>
          <w:lang w:val="en-GB"/>
        </w:rPr>
        <w:t xml:space="preserve"> the mutual trust necessary for progress, but also helps deter the use of these histories as a means of shutting down discussion. Similarly, just as a sensitivity to the history of Jewish persecution is essential, a holistic understanding of the detail of historical Palestinian </w:t>
      </w:r>
      <w:r w:rsidR="00E31B98">
        <w:rPr>
          <w:lang w:val="en-GB"/>
        </w:rPr>
        <w:t>grief and dispossession,</w:t>
      </w:r>
      <w:r w:rsidRPr="0048465B">
        <w:rPr>
          <w:lang w:val="en-GB"/>
        </w:rPr>
        <w:t xml:space="preserve"> and contemporary Palestinian desires, as well as of demands pertaining to human rights and legal equality, is equally indispensable. Such detailed understanding should be achieved through inclusion of both Israeli</w:t>
      </w:r>
      <w:r w:rsidR="00FC48D6">
        <w:rPr>
          <w:lang w:val="en-GB"/>
        </w:rPr>
        <w:t xml:space="preserve"> </w:t>
      </w:r>
      <w:r w:rsidRPr="0048465B">
        <w:rPr>
          <w:lang w:val="en-GB"/>
        </w:rPr>
        <w:t>Jewish and Palestinian voices</w:t>
      </w:r>
      <w:r w:rsidR="00E31B98">
        <w:rPr>
          <w:lang w:val="en-GB"/>
        </w:rPr>
        <w:t xml:space="preserve"> from within Israel proper and the Occupied Territories</w:t>
      </w:r>
      <w:r w:rsidRPr="0048465B">
        <w:rPr>
          <w:lang w:val="en-GB"/>
        </w:rPr>
        <w:t>, as well as those</w:t>
      </w:r>
      <w:r w:rsidR="00E31B98">
        <w:rPr>
          <w:lang w:val="en-GB"/>
        </w:rPr>
        <w:t xml:space="preserve"> living</w:t>
      </w:r>
      <w:r w:rsidRPr="0048465B">
        <w:rPr>
          <w:lang w:val="en-GB"/>
        </w:rPr>
        <w:t xml:space="preserve"> </w:t>
      </w:r>
      <w:r w:rsidR="00E31B98">
        <w:rPr>
          <w:lang w:val="en-GB"/>
        </w:rPr>
        <w:t>in exile</w:t>
      </w:r>
      <w:r w:rsidRPr="0048465B">
        <w:rPr>
          <w:lang w:val="en-GB"/>
        </w:rPr>
        <w:t xml:space="preserve">. </w:t>
      </w:r>
    </w:p>
    <w:p w14:paraId="4CE1148A" w14:textId="77777777" w:rsidR="00FC331F" w:rsidRPr="0048465B" w:rsidRDefault="00FC331F" w:rsidP="00FC331F">
      <w:pPr>
        <w:rPr>
          <w:lang w:val="en-GB"/>
        </w:rPr>
      </w:pPr>
    </w:p>
    <w:p w14:paraId="71DDD735" w14:textId="0D4793C2" w:rsidR="00FC331F" w:rsidRPr="0048465B" w:rsidRDefault="00FC331F" w:rsidP="00FC331F">
      <w:pPr>
        <w:rPr>
          <w:lang w:val="en-GB"/>
        </w:rPr>
      </w:pPr>
      <w:r w:rsidRPr="0048465B">
        <w:rPr>
          <w:lang w:val="en-GB"/>
        </w:rPr>
        <w:t>Absolutely central to progress towards peace is a framework of accountability, for both sides. Whilst Israel remains the nation most in need of transformation, both Israeli and Palestinian leaders must be made accountable for their actions, and clear and actionable ramifications for deviation from proposed plans must be set in place beforehand so as to dissuade either side from disruptive or destructive reaction. Fundamental to the introduction of such accountability is the confrontation of American partisan use of veto power, which, in turn, necessitates the greater engagement of other world powers. The continued oppression of the Palestinian people is known internationally</w:t>
      </w:r>
      <w:r w:rsidR="00E31B98">
        <w:rPr>
          <w:lang w:val="en-GB"/>
        </w:rPr>
        <w:t>.</w:t>
      </w:r>
      <w:r w:rsidRPr="0048465B">
        <w:rPr>
          <w:lang w:val="en-GB"/>
        </w:rPr>
        <w:t xml:space="preserve"> </w:t>
      </w:r>
      <w:r w:rsidR="00E31B98">
        <w:rPr>
          <w:lang w:val="en-GB"/>
        </w:rPr>
        <w:t>T</w:t>
      </w:r>
      <w:r w:rsidRPr="0048465B">
        <w:rPr>
          <w:lang w:val="en-GB"/>
        </w:rPr>
        <w:t xml:space="preserve">hose in power must refuse to passively support this oppression any longer, and encourage others </w:t>
      </w:r>
      <w:r w:rsidRPr="0048465B">
        <w:rPr>
          <w:lang w:val="en-GB"/>
        </w:rPr>
        <w:lastRenderedPageBreak/>
        <w:t>to follow suit. In this particular regard, daring leaders such as Ocasio-Cortez are of vital importance, as it is in such boldness that the hope of disrupting the status quo lies. However Israel is held accountable, the method must have a strong foundation that is fundamentally opposed to antisemitism, and is therefore either unassailable by such accusations or conscious of their possibility, but able to swiftly and legitimately disprove them. In making Israel accountable for its actions, its involvement in the peace process will be transformed, since the process will no longer simply represent an instrument of</w:t>
      </w:r>
      <w:r w:rsidR="00E31B98">
        <w:rPr>
          <w:lang w:val="en-GB"/>
        </w:rPr>
        <w:t xml:space="preserve"> oppressive</w:t>
      </w:r>
      <w:r w:rsidRPr="0048465B">
        <w:rPr>
          <w:lang w:val="en-GB"/>
        </w:rPr>
        <w:t xml:space="preserve"> continuity.</w:t>
      </w:r>
    </w:p>
    <w:p w14:paraId="66960DBA" w14:textId="77777777" w:rsidR="00FC331F" w:rsidRPr="0048465B" w:rsidRDefault="00FC331F" w:rsidP="00FC331F">
      <w:pPr>
        <w:rPr>
          <w:lang w:val="en-GB"/>
        </w:rPr>
      </w:pPr>
    </w:p>
    <w:p w14:paraId="259993FB" w14:textId="050FF6E5" w:rsidR="00FC331F" w:rsidRPr="0048465B" w:rsidRDefault="00FC331F" w:rsidP="00FC331F">
      <w:pPr>
        <w:rPr>
          <w:lang w:val="en-GB"/>
        </w:rPr>
      </w:pPr>
      <w:r w:rsidRPr="0048465B">
        <w:rPr>
          <w:lang w:val="en-GB"/>
        </w:rPr>
        <w:t xml:space="preserve">Finally, the one-state solution must be on the table. Through both the recognition and appreciation of the other’s suffering, and the significant collaborative efforts necessary to create a practicable one-state plan, we can begin to break down the decades of mistrust that have permeated the Israeli-Palestinian conflict. As </w:t>
      </w:r>
      <w:r w:rsidR="000E40B5">
        <w:rPr>
          <w:lang w:val="en-GB"/>
        </w:rPr>
        <w:t>new</w:t>
      </w:r>
      <w:r w:rsidRPr="0048465B">
        <w:rPr>
          <w:lang w:val="en-GB"/>
        </w:rPr>
        <w:t xml:space="preserve"> trust grows, so </w:t>
      </w:r>
      <w:r w:rsidR="00874A9E">
        <w:rPr>
          <w:lang w:val="en-GB"/>
        </w:rPr>
        <w:t xml:space="preserve">too </w:t>
      </w:r>
      <w:r w:rsidRPr="0048465B">
        <w:rPr>
          <w:lang w:val="en-GB"/>
        </w:rPr>
        <w:t>grows the possibility of an Israeli people willing to relinquish the safety of total control, for both their own benefit and that of the Palestinian people. It is this Israel that may be willing to take the leap of faith necessary to finally bring about peace.</w:t>
      </w:r>
    </w:p>
    <w:p w14:paraId="0FCEBDE2" w14:textId="77777777" w:rsidR="00FC331F" w:rsidRPr="0048465B" w:rsidRDefault="00FC331F" w:rsidP="00FC331F">
      <w:pPr>
        <w:rPr>
          <w:lang w:val="en-GB"/>
        </w:rPr>
      </w:pPr>
    </w:p>
    <w:p w14:paraId="1BEA67B4" w14:textId="7B4297ED" w:rsidR="000A70CC" w:rsidRPr="009E6BEF" w:rsidRDefault="00FC331F">
      <w:pPr>
        <w:rPr>
          <w:lang w:val="en-GB"/>
        </w:rPr>
      </w:pPr>
      <w:r w:rsidRPr="0048465B">
        <w:rPr>
          <w:lang w:val="en-GB"/>
        </w:rPr>
        <w:t xml:space="preserve">The </w:t>
      </w:r>
      <w:r w:rsidR="001A42D5">
        <w:rPr>
          <w:lang w:val="en-GB"/>
        </w:rPr>
        <w:t>road</w:t>
      </w:r>
      <w:r w:rsidRPr="0048465B">
        <w:rPr>
          <w:lang w:val="en-GB"/>
        </w:rPr>
        <w:t xml:space="preserve"> to peace in Israel-Palestine is</w:t>
      </w:r>
      <w:r w:rsidR="001A42D5">
        <w:rPr>
          <w:lang w:val="en-GB"/>
        </w:rPr>
        <w:t xml:space="preserve"> far from simple</w:t>
      </w:r>
      <w:r w:rsidRPr="0048465B">
        <w:rPr>
          <w:lang w:val="en-GB"/>
        </w:rPr>
        <w:t xml:space="preserve">, </w:t>
      </w:r>
      <w:r w:rsidR="009E6BEF">
        <w:rPr>
          <w:lang w:val="en-GB"/>
        </w:rPr>
        <w:t xml:space="preserve">yet </w:t>
      </w:r>
      <w:r w:rsidRPr="0048465B">
        <w:rPr>
          <w:lang w:val="en-GB"/>
        </w:rPr>
        <w:t>it is</w:t>
      </w:r>
      <w:r w:rsidR="001A42D5">
        <w:rPr>
          <w:lang w:val="en-GB"/>
        </w:rPr>
        <w:t xml:space="preserve"> </w:t>
      </w:r>
      <w:r w:rsidRPr="0048465B">
        <w:rPr>
          <w:lang w:val="en-GB"/>
        </w:rPr>
        <w:t>not as</w:t>
      </w:r>
      <w:r w:rsidR="001A42D5">
        <w:rPr>
          <w:lang w:val="en-GB"/>
        </w:rPr>
        <w:t xml:space="preserve"> complex</w:t>
      </w:r>
      <w:r w:rsidRPr="0048465B">
        <w:rPr>
          <w:lang w:val="en-GB"/>
        </w:rPr>
        <w:t xml:space="preserve"> as it is</w:t>
      </w:r>
      <w:r w:rsidR="001A42D5">
        <w:rPr>
          <w:lang w:val="en-GB"/>
        </w:rPr>
        <w:t xml:space="preserve"> so often made out</w:t>
      </w:r>
      <w:r w:rsidRPr="0048465B">
        <w:rPr>
          <w:lang w:val="en-GB"/>
        </w:rPr>
        <w:t xml:space="preserve"> to be. The international community can enforce change if only they end their decades-long indifference to the abuse of Palestinians, the U.S. can completely transform the landscape of the Middle East if only it approaches peace negotiations with the requisite neutrality, and the Israeli public can free both themselves and the Palestinian people if they choose to use their voices and votes to do so. The incentive is unchanging: the humanity, after more than seventy years of dehumanisation, of the Palestinian people. What needs to change is the attitudes of those who look in from the outside, and the extent to which we believe that Palestinian lives are worth saving.</w:t>
      </w:r>
      <w:r w:rsidR="000A70CC">
        <w:rPr>
          <w:b/>
          <w:lang w:val="en-GB"/>
        </w:rPr>
        <w:br w:type="page"/>
      </w:r>
    </w:p>
    <w:p w14:paraId="6F582446" w14:textId="2D61CC61" w:rsidR="00FC331F" w:rsidRPr="001F7B7F" w:rsidRDefault="00FC331F" w:rsidP="00FC331F">
      <w:pPr>
        <w:jc w:val="center"/>
        <w:rPr>
          <w:b/>
          <w:sz w:val="28"/>
          <w:szCs w:val="28"/>
          <w:lang w:val="en-GB"/>
        </w:rPr>
      </w:pPr>
      <w:r w:rsidRPr="001F7B7F">
        <w:rPr>
          <w:b/>
          <w:sz w:val="28"/>
          <w:szCs w:val="28"/>
          <w:lang w:val="en-GB"/>
        </w:rPr>
        <w:lastRenderedPageBreak/>
        <w:t>Coda</w:t>
      </w:r>
    </w:p>
    <w:p w14:paraId="23747636" w14:textId="77777777" w:rsidR="00FC331F" w:rsidRPr="0048465B" w:rsidRDefault="00FC331F" w:rsidP="00FC331F">
      <w:pPr>
        <w:jc w:val="center"/>
        <w:rPr>
          <w:b/>
          <w:lang w:val="en-GB"/>
        </w:rPr>
      </w:pPr>
    </w:p>
    <w:p w14:paraId="45E7B4EE" w14:textId="77777777" w:rsidR="00FC331F" w:rsidRPr="0048465B" w:rsidRDefault="00FC331F" w:rsidP="00FC331F">
      <w:pPr>
        <w:jc w:val="center"/>
        <w:rPr>
          <w:b/>
          <w:lang w:val="en-GB"/>
        </w:rPr>
      </w:pPr>
      <w:r w:rsidRPr="0048465B">
        <w:rPr>
          <w:b/>
          <w:lang w:val="en-GB"/>
        </w:rPr>
        <w:t>Final Thoughts, Future Examinations</w:t>
      </w:r>
    </w:p>
    <w:p w14:paraId="6514FAF5" w14:textId="77777777" w:rsidR="00FC331F" w:rsidRPr="0048465B" w:rsidRDefault="00FC331F" w:rsidP="00FC331F">
      <w:pPr>
        <w:rPr>
          <w:lang w:val="en-GB"/>
        </w:rPr>
      </w:pPr>
    </w:p>
    <w:p w14:paraId="70EC6371" w14:textId="727E3187" w:rsidR="00FC331F" w:rsidRPr="0048465B" w:rsidRDefault="00FC331F" w:rsidP="00FC331F">
      <w:pPr>
        <w:rPr>
          <w:lang w:val="en-GB"/>
        </w:rPr>
      </w:pPr>
      <w:r w:rsidRPr="0048465B">
        <w:rPr>
          <w:lang w:val="en-GB"/>
        </w:rPr>
        <w:t>In the closing days of 2019, I applied for an Indian visa in order to revisit the village that my grandfather was born and raised in. I hoped to bring him back some earth from the land he had lived on as a child, so that he could once again feel the soil of the home he was forced to leave in 1947, less than a year before Palestine was split in two and a similar exile began for the Palestinian people. Whilst my partner, a British citizen</w:t>
      </w:r>
      <w:r w:rsidR="00AA1C23">
        <w:rPr>
          <w:lang w:val="en-GB"/>
        </w:rPr>
        <w:t xml:space="preserve"> with no ties to Indian land</w:t>
      </w:r>
      <w:r w:rsidRPr="0048465B">
        <w:rPr>
          <w:lang w:val="en-GB"/>
        </w:rPr>
        <w:t xml:space="preserve">, had her visa application accepted within a matter of days, my own application was rejected automatically, and I was thrown into the </w:t>
      </w:r>
      <w:r w:rsidR="006779F4" w:rsidRPr="0048465B">
        <w:rPr>
          <w:lang w:val="en-GB"/>
        </w:rPr>
        <w:t>gruelling</w:t>
      </w:r>
      <w:r w:rsidRPr="0048465B">
        <w:rPr>
          <w:lang w:val="en-GB"/>
        </w:rPr>
        <w:t xml:space="preserve"> process of filling out countless forms and providing endless evidence of both my past international movements and my intended movements whilst in India. I was asked to travel to a visa centre in a different city in person, and to pay for a new application. Shortly after submitting my second visa application, I was contacted by the owners of an apartment that I had made a preliminary booking at, and told that the local police had contacted them to ask if they could vouch for my character</w:t>
      </w:r>
      <w:r w:rsidR="00EE62DA">
        <w:rPr>
          <w:lang w:val="en-GB"/>
        </w:rPr>
        <w:t>, whether they would be accountable for my actions whilst in India</w:t>
      </w:r>
      <w:r w:rsidRPr="0048465B">
        <w:rPr>
          <w:lang w:val="en-GB"/>
        </w:rPr>
        <w:t>. Weeks later, after ringing the visa office numerous times, I was told that my visa application would not be approved. Exasperated and exhausted, I asked if it was due to my Pakistani heritage, the person on the other end of the phone offered back a tentative ‘Maybe … Maybe, yes’.</w:t>
      </w:r>
    </w:p>
    <w:p w14:paraId="37AFC91B" w14:textId="77777777" w:rsidR="00FC331F" w:rsidRPr="0048465B" w:rsidRDefault="00FC331F" w:rsidP="00FC331F">
      <w:pPr>
        <w:rPr>
          <w:lang w:val="en-GB"/>
        </w:rPr>
      </w:pPr>
    </w:p>
    <w:p w14:paraId="6DC2EFBE" w14:textId="77777777" w:rsidR="00FC331F" w:rsidRPr="0048465B" w:rsidRDefault="00FC331F" w:rsidP="00FC331F">
      <w:pPr>
        <w:rPr>
          <w:lang w:val="en-GB"/>
        </w:rPr>
      </w:pPr>
      <w:r w:rsidRPr="0048465B">
        <w:rPr>
          <w:lang w:val="en-GB"/>
        </w:rPr>
        <w:t xml:space="preserve">This was my first embodied experience of what one might call ‘exile’. I had always identified India as an ancestral homeland, where an immutable part of me belonged. Yet when I sought the opportunity to return, I was told that this land had disowned me, that my origins, instead of tying </w:t>
      </w:r>
      <w:r w:rsidRPr="0048465B">
        <w:rPr>
          <w:lang w:val="en-GB"/>
        </w:rPr>
        <w:lastRenderedPageBreak/>
        <w:t>me indelibly to the land, rendered me undesirable in the eyes of the new nation. I am fortunate enough to be distanced by both time and direct experience from the mutual exiles that Partition engendered, yet the pain of this rejection remains. For the Palestinians thrown into exile just ten months after Partition began, the same amount of time has passed, yet, unlike those in India or Pakistan, the Palestinian people remain disenfranchised under colonial rule, not only largely unable to return to lands once theirs, but without a land of their own to ease the pain.</w:t>
      </w:r>
    </w:p>
    <w:p w14:paraId="6A742B2E" w14:textId="77777777" w:rsidR="00FC331F" w:rsidRPr="0048465B" w:rsidRDefault="00FC331F" w:rsidP="00FC331F">
      <w:pPr>
        <w:rPr>
          <w:lang w:val="en-GB"/>
        </w:rPr>
      </w:pPr>
    </w:p>
    <w:p w14:paraId="05A977EE" w14:textId="1B8D6FA5" w:rsidR="00FC331F" w:rsidRPr="0048465B" w:rsidRDefault="00FC331F" w:rsidP="00FC331F">
      <w:pPr>
        <w:rPr>
          <w:lang w:val="en-GB"/>
        </w:rPr>
      </w:pPr>
      <w:r w:rsidRPr="0048465B">
        <w:rPr>
          <w:lang w:val="en-GB"/>
        </w:rPr>
        <w:t>In the introduction to this thesis, I wrote about how my initial PhD proposal centred around the exploration of distant sites of suffering, and the manner in which they might enable insight into personal experiences too painful or complex to explore directly. It is only now, as I conclude three years of study in a subject I had thought of as only circumstantially related to this initial proposal, that I realise that I never entirely left it behind. Yet whilst this exploration of the Israeli-Palestinian conflict has taken me in directions subconsciously aligned with my own encounters with inherited exile, this emotional and personal investment should not be thought of negatively, as it is the personal and emotional that makes the Israeli-Palestinian conflict so complex. Political and cultural discourse on the Israeli-Palestinian conflict is of central importance, but it is only when the political, the cultural, and the emotional are brought together that a</w:t>
      </w:r>
      <w:r w:rsidR="002F6641">
        <w:rPr>
          <w:lang w:val="en-GB"/>
        </w:rPr>
        <w:t xml:space="preserve"> fair and viable </w:t>
      </w:r>
      <w:r w:rsidRPr="0048465B">
        <w:rPr>
          <w:lang w:val="en-GB"/>
        </w:rPr>
        <w:t>solution to the Palestinian question will be found.</w:t>
      </w:r>
    </w:p>
    <w:p w14:paraId="516A8E5F" w14:textId="77777777" w:rsidR="00FC331F" w:rsidRPr="0048465B" w:rsidRDefault="00FC331F" w:rsidP="00FC331F">
      <w:pPr>
        <w:rPr>
          <w:lang w:val="en-GB"/>
        </w:rPr>
      </w:pPr>
    </w:p>
    <w:p w14:paraId="7FE4B317" w14:textId="3D5DC166" w:rsidR="00FC331F" w:rsidRPr="0048465B" w:rsidRDefault="00FC331F" w:rsidP="00FC331F">
      <w:pPr>
        <w:rPr>
          <w:lang w:val="en-GB"/>
        </w:rPr>
      </w:pPr>
      <w:r w:rsidRPr="0048465B">
        <w:rPr>
          <w:lang w:val="en-GB"/>
        </w:rPr>
        <w:t>It is the awareness of each of thes</w:t>
      </w:r>
      <w:r w:rsidR="00DA6964">
        <w:rPr>
          <w:lang w:val="en-GB"/>
        </w:rPr>
        <w:t xml:space="preserve">e aspects, </w:t>
      </w:r>
      <w:r w:rsidRPr="0048465B">
        <w:rPr>
          <w:lang w:val="en-GB"/>
        </w:rPr>
        <w:t xml:space="preserve">and the highlighting of their equal relevance, that this thesis attempts to promote. In Chapter One, analysis of a number of seminal texts from the fields of cultural memory and literary studies demonstrated the relative discursive absence of the Israeli-Palestinian conflict, and specifically of expressions of Palestinian suffering and memory within </w:t>
      </w:r>
      <w:r w:rsidRPr="0048465B">
        <w:rPr>
          <w:lang w:val="en-GB"/>
        </w:rPr>
        <w:lastRenderedPageBreak/>
        <w:t xml:space="preserve">these areas. In doing so, it </w:t>
      </w:r>
      <w:r w:rsidR="006779F4">
        <w:rPr>
          <w:lang w:val="en-GB"/>
        </w:rPr>
        <w:t>made evident</w:t>
      </w:r>
      <w:r w:rsidRPr="0048465B">
        <w:rPr>
          <w:lang w:val="en-GB"/>
        </w:rPr>
        <w:t xml:space="preserve"> the complications </w:t>
      </w:r>
      <w:r w:rsidR="006779F4">
        <w:rPr>
          <w:lang w:val="en-GB"/>
        </w:rPr>
        <w:t>implicit in</w:t>
      </w:r>
      <w:r w:rsidRPr="0048465B">
        <w:rPr>
          <w:lang w:val="en-GB"/>
        </w:rPr>
        <w:t xml:space="preserve"> attempting to highlight Palestinian suffering whilst depending on connective approaches that centre the Holocaust, thus exposing more general complications regarding the complex history of the Holocaust and its connection to contemporary Palestinian suffering. Since I began writing this thesis, a number of exciting works have been published in this area, primarily edited by the creator of the aforementioned ‘Alternatives to Partition </w:t>
      </w:r>
      <w:r w:rsidR="00277410">
        <w:rPr>
          <w:lang w:val="en-GB"/>
        </w:rPr>
        <w:t>research g</w:t>
      </w:r>
      <w:r w:rsidRPr="0048465B">
        <w:rPr>
          <w:lang w:val="en-GB"/>
        </w:rPr>
        <w:t xml:space="preserve">roup’, Bashir </w:t>
      </w:r>
      <w:proofErr w:type="spellStart"/>
      <w:r w:rsidRPr="0048465B">
        <w:rPr>
          <w:lang w:val="en-GB"/>
        </w:rPr>
        <w:t>Bashir</w:t>
      </w:r>
      <w:proofErr w:type="spellEnd"/>
      <w:r w:rsidRPr="0048465B">
        <w:rPr>
          <w:lang w:val="en-GB"/>
        </w:rPr>
        <w:t xml:space="preserve">. Along with Amos Goldberg and Leila </w:t>
      </w:r>
      <w:proofErr w:type="spellStart"/>
      <w:r w:rsidRPr="0048465B">
        <w:rPr>
          <w:lang w:val="en-GB"/>
        </w:rPr>
        <w:t>Farsakh</w:t>
      </w:r>
      <w:proofErr w:type="spellEnd"/>
      <w:r w:rsidRPr="0048465B">
        <w:rPr>
          <w:lang w:val="en-GB"/>
        </w:rPr>
        <w:t xml:space="preserve"> respectively, Bashir has edited both </w:t>
      </w:r>
      <w:r w:rsidRPr="0048465B">
        <w:rPr>
          <w:i/>
          <w:lang w:val="en-GB"/>
        </w:rPr>
        <w:t>The Holocaust and the Nakba: A New Grammar of Trauma and History</w:t>
      </w:r>
      <w:r w:rsidRPr="0048465B">
        <w:rPr>
          <w:lang w:val="en-GB"/>
        </w:rPr>
        <w:t xml:space="preserve"> </w:t>
      </w:r>
      <w:r w:rsidR="00426D31">
        <w:rPr>
          <w:lang w:val="en-GB"/>
        </w:rPr>
        <w:t>–</w:t>
      </w:r>
      <w:r w:rsidRPr="0048465B">
        <w:rPr>
          <w:lang w:val="en-GB"/>
        </w:rPr>
        <w:t xml:space="preserve"> which analyses the links between the two events in a number of different contexts, and seeks out new ways in which to portray the intersections between the two groups </w:t>
      </w:r>
      <w:r w:rsidR="00426D31">
        <w:rPr>
          <w:lang w:val="en-GB"/>
        </w:rPr>
        <w:t>–</w:t>
      </w:r>
      <w:r w:rsidRPr="0048465B">
        <w:rPr>
          <w:lang w:val="en-GB"/>
        </w:rPr>
        <w:t xml:space="preserve"> a</w:t>
      </w:r>
      <w:r w:rsidR="00426D31">
        <w:rPr>
          <w:lang w:val="en-GB"/>
        </w:rPr>
        <w:t>n</w:t>
      </w:r>
      <w:r w:rsidRPr="0048465B">
        <w:rPr>
          <w:lang w:val="en-GB"/>
        </w:rPr>
        <w:t xml:space="preserve">d also </w:t>
      </w:r>
      <w:r w:rsidRPr="0048465B">
        <w:rPr>
          <w:i/>
          <w:lang w:val="en-GB"/>
        </w:rPr>
        <w:t>The Arab and Jewish Questions: Geographies of Engagement in Palestine and Beyond</w:t>
      </w:r>
      <w:r w:rsidR="0067551C">
        <w:rPr>
          <w:lang w:val="en-GB"/>
        </w:rPr>
        <w:t>,</w:t>
      </w:r>
      <w:r w:rsidRPr="0048465B">
        <w:rPr>
          <w:lang w:val="en-GB"/>
        </w:rPr>
        <w:t xml:space="preserve"> which looks at the relationships between Arab and Jewish self-determination, as well as issues of Orientalism and colonialism.</w:t>
      </w:r>
      <w:r w:rsidRPr="0048465B">
        <w:rPr>
          <w:vertAlign w:val="superscript"/>
          <w:lang w:val="en-GB"/>
        </w:rPr>
        <w:footnoteReference w:id="737"/>
      </w:r>
      <w:r w:rsidRPr="0048465B">
        <w:rPr>
          <w:lang w:val="en-GB"/>
        </w:rPr>
        <w:t xml:space="preserve"> Whilst neither of these works has literary analysis as their </w:t>
      </w:r>
      <w:r w:rsidR="00D76CC5">
        <w:rPr>
          <w:lang w:val="en-GB"/>
        </w:rPr>
        <w:t>solitary</w:t>
      </w:r>
      <w:r w:rsidRPr="0048465B">
        <w:rPr>
          <w:lang w:val="en-GB"/>
        </w:rPr>
        <w:t xml:space="preserve"> focus, the former of the </w:t>
      </w:r>
      <w:r w:rsidR="00D76CC5">
        <w:rPr>
          <w:lang w:val="en-GB"/>
        </w:rPr>
        <w:t>two</w:t>
      </w:r>
      <w:r w:rsidR="0067551C">
        <w:rPr>
          <w:lang w:val="en-GB"/>
        </w:rPr>
        <w:t>,</w:t>
      </w:r>
      <w:r w:rsidR="00D76CC5">
        <w:rPr>
          <w:lang w:val="en-GB"/>
        </w:rPr>
        <w:t xml:space="preserve"> </w:t>
      </w:r>
      <w:r w:rsidRPr="0048465B">
        <w:rPr>
          <w:lang w:val="en-GB"/>
        </w:rPr>
        <w:t>especially</w:t>
      </w:r>
      <w:r w:rsidR="0067551C">
        <w:rPr>
          <w:lang w:val="en-GB"/>
        </w:rPr>
        <w:t>,</w:t>
      </w:r>
      <w:r w:rsidRPr="0048465B">
        <w:rPr>
          <w:lang w:val="en-GB"/>
        </w:rPr>
        <w:t xml:space="preserve"> offers new insights into the ways in which </w:t>
      </w:r>
      <w:r w:rsidR="00D76CC5">
        <w:rPr>
          <w:lang w:val="en-GB"/>
        </w:rPr>
        <w:t xml:space="preserve">literary </w:t>
      </w:r>
      <w:r w:rsidRPr="0048465B">
        <w:rPr>
          <w:lang w:val="en-GB"/>
        </w:rPr>
        <w:t>analysis of the Nakba and the Holocaust can sit alongside more historically and politically centred investigations. The publication of multiple works in this area is indicative that the area itself is growing, and is cause for hope.</w:t>
      </w:r>
    </w:p>
    <w:p w14:paraId="03B77EBB" w14:textId="77777777" w:rsidR="00FC331F" w:rsidRPr="0048465B" w:rsidRDefault="00FC331F" w:rsidP="00FC331F">
      <w:pPr>
        <w:rPr>
          <w:lang w:val="en-GB"/>
        </w:rPr>
      </w:pPr>
    </w:p>
    <w:p w14:paraId="31858BB3" w14:textId="5BB7ECB1" w:rsidR="00FC331F" w:rsidRPr="0048465B" w:rsidRDefault="00FC331F" w:rsidP="00FC331F">
      <w:pPr>
        <w:rPr>
          <w:lang w:val="en-GB"/>
        </w:rPr>
      </w:pPr>
      <w:r w:rsidRPr="0048465B">
        <w:rPr>
          <w:lang w:val="en-GB"/>
        </w:rPr>
        <w:t>Chapter Two</w:t>
      </w:r>
      <w:r w:rsidR="00DA6964">
        <w:rPr>
          <w:lang w:val="en-GB"/>
        </w:rPr>
        <w:t xml:space="preserve"> </w:t>
      </w:r>
      <w:r w:rsidRPr="0048465B">
        <w:rPr>
          <w:lang w:val="en-GB"/>
        </w:rPr>
        <w:t>turned to</w:t>
      </w:r>
      <w:r w:rsidR="00DA6964">
        <w:rPr>
          <w:lang w:val="en-GB"/>
        </w:rPr>
        <w:t>wards</w:t>
      </w:r>
      <w:r w:rsidRPr="0048465B">
        <w:rPr>
          <w:lang w:val="en-GB"/>
        </w:rPr>
        <w:t xml:space="preserve"> authors</w:t>
      </w:r>
      <w:r w:rsidR="00DA6964">
        <w:rPr>
          <w:lang w:val="en-GB"/>
        </w:rPr>
        <w:t xml:space="preserve"> of Palestinian heritage in order</w:t>
      </w:r>
      <w:r w:rsidRPr="0048465B">
        <w:rPr>
          <w:lang w:val="en-GB"/>
        </w:rPr>
        <w:t xml:space="preserve"> to </w:t>
      </w:r>
      <w:r w:rsidR="006779F4" w:rsidRPr="0048465B">
        <w:rPr>
          <w:lang w:val="en-GB"/>
        </w:rPr>
        <w:t>highlight</w:t>
      </w:r>
      <w:r w:rsidRPr="0048465B">
        <w:rPr>
          <w:lang w:val="en-GB"/>
        </w:rPr>
        <w:t xml:space="preserve"> the representations otherwise missing from literary analyses, as well as offering Israeli representations of Palestinian suffering. Through both of these analyses, Chapter Two demonstrated </w:t>
      </w:r>
      <w:r w:rsidR="00D76CC5">
        <w:rPr>
          <w:lang w:val="en-GB"/>
        </w:rPr>
        <w:t>the manner in</w:t>
      </w:r>
      <w:r w:rsidRPr="0048465B">
        <w:rPr>
          <w:lang w:val="en-GB"/>
        </w:rPr>
        <w:t xml:space="preserve"> which the Holocaust obscures the suffering of the Palestinian</w:t>
      </w:r>
      <w:r w:rsidR="00D76CC5">
        <w:rPr>
          <w:lang w:val="en-GB"/>
        </w:rPr>
        <w:t xml:space="preserve"> people</w:t>
      </w:r>
      <w:r w:rsidRPr="0048465B">
        <w:rPr>
          <w:lang w:val="en-GB"/>
        </w:rPr>
        <w:t>, but also</w:t>
      </w:r>
      <w:r w:rsidR="00D76CC5">
        <w:rPr>
          <w:lang w:val="en-GB"/>
        </w:rPr>
        <w:t xml:space="preserve"> highlighted</w:t>
      </w:r>
      <w:r w:rsidRPr="0048465B">
        <w:rPr>
          <w:lang w:val="en-GB"/>
        </w:rPr>
        <w:t xml:space="preserve"> the </w:t>
      </w:r>
      <w:r w:rsidRPr="0048465B">
        <w:rPr>
          <w:lang w:val="en-GB"/>
        </w:rPr>
        <w:lastRenderedPageBreak/>
        <w:t xml:space="preserve">importance of exploring the detail of Palestinian lives and history, rather than identifying the Palestinian question as a footnote within the much more comprehensively acknowledged Jewish one. </w:t>
      </w:r>
      <w:proofErr w:type="spellStart"/>
      <w:r w:rsidRPr="0048465B">
        <w:rPr>
          <w:lang w:val="en-GB"/>
        </w:rPr>
        <w:t>Adania</w:t>
      </w:r>
      <w:proofErr w:type="spellEnd"/>
      <w:r w:rsidRPr="0048465B">
        <w:rPr>
          <w:lang w:val="en-GB"/>
        </w:rPr>
        <w:t xml:space="preserve"> Shibli’s novel</w:t>
      </w:r>
      <w:r w:rsidRPr="0048465B">
        <w:rPr>
          <w:i/>
          <w:lang w:val="en-GB"/>
        </w:rPr>
        <w:t xml:space="preserve"> Minor Detail</w:t>
      </w:r>
      <w:r w:rsidRPr="0048465B">
        <w:rPr>
          <w:lang w:val="en-GB"/>
        </w:rPr>
        <w:t xml:space="preserve"> attends to this requirement, depicting the efforts of a woman in Ramallah who takes it upon herself to uncover the detail behind a true, but otherwise forgotten, event in Israeli-Palestinian conflict history</w:t>
      </w:r>
      <w:r w:rsidR="00D76CC5">
        <w:rPr>
          <w:lang w:val="en-GB"/>
        </w:rPr>
        <w:t>;</w:t>
      </w:r>
      <w:r w:rsidRPr="0048465B">
        <w:rPr>
          <w:lang w:val="en-GB"/>
        </w:rPr>
        <w:t xml:space="preserve"> the rape, murder, and burial of a Bedouin girl in 1949.</w:t>
      </w:r>
      <w:r w:rsidRPr="0048465B">
        <w:rPr>
          <w:vertAlign w:val="superscript"/>
          <w:lang w:val="en-GB"/>
        </w:rPr>
        <w:footnoteReference w:id="738"/>
      </w:r>
      <w:r w:rsidRPr="0048465B">
        <w:rPr>
          <w:lang w:val="en-GB"/>
        </w:rPr>
        <w:t xml:space="preserve"> Such textual investigations, in addition to reinforcing the </w:t>
      </w:r>
      <w:r w:rsidR="00D76CC5">
        <w:rPr>
          <w:lang w:val="en-GB"/>
        </w:rPr>
        <w:t>importance</w:t>
      </w:r>
      <w:r w:rsidRPr="0048465B">
        <w:rPr>
          <w:lang w:val="en-GB"/>
        </w:rPr>
        <w:t xml:space="preserve"> </w:t>
      </w:r>
      <w:r w:rsidR="00D76CC5">
        <w:rPr>
          <w:lang w:val="en-GB"/>
        </w:rPr>
        <w:t>of</w:t>
      </w:r>
      <w:r w:rsidRPr="0048465B">
        <w:rPr>
          <w:lang w:val="en-GB"/>
        </w:rPr>
        <w:t xml:space="preserve"> literature </w:t>
      </w:r>
      <w:r w:rsidR="00D76CC5">
        <w:rPr>
          <w:lang w:val="en-GB"/>
        </w:rPr>
        <w:t>when developing an understanding of</w:t>
      </w:r>
      <w:r w:rsidRPr="0048465B">
        <w:rPr>
          <w:lang w:val="en-GB"/>
        </w:rPr>
        <w:t xml:space="preserve"> this conflict, demonstrate the manner in which Palestinian lives are often reduced to generalities, when a just resolution demands a much more intricate understanding.</w:t>
      </w:r>
    </w:p>
    <w:p w14:paraId="6B4D1B9B" w14:textId="77777777" w:rsidR="00FC331F" w:rsidRPr="0048465B" w:rsidRDefault="00FC331F" w:rsidP="00FC331F">
      <w:pPr>
        <w:rPr>
          <w:lang w:val="en-GB"/>
        </w:rPr>
      </w:pPr>
    </w:p>
    <w:p w14:paraId="0828F163" w14:textId="02694CCB" w:rsidR="00FC331F" w:rsidRPr="0048465B" w:rsidRDefault="00FC331F" w:rsidP="00FC331F">
      <w:pPr>
        <w:rPr>
          <w:lang w:val="en-GB"/>
        </w:rPr>
      </w:pPr>
      <w:r w:rsidRPr="0048465B">
        <w:rPr>
          <w:lang w:val="en-GB"/>
        </w:rPr>
        <w:t>Chapter Three marks a transition, where the worlds of literature, politics, and culture come together within this thesis, and where the connections between the prohibitive forms of the latter two are made evident. Through exposing the systemic barriers facing intersectional Israeli-Palestinian existence within Israel specifically, and demonstrating the powerful hold of these same prohibitions outside of Israel-Palestine, this chapter identifies the ways in which the Israeli-Palestinian conflict extends beyond borders and claims to sovereignty, revolving as much around people and the opinions they hold as it does around th</w:t>
      </w:r>
      <w:r w:rsidR="00D76CC5">
        <w:rPr>
          <w:lang w:val="en-GB"/>
        </w:rPr>
        <w:t>ose who hold power</w:t>
      </w:r>
      <w:r w:rsidRPr="0048465B">
        <w:rPr>
          <w:lang w:val="en-GB"/>
        </w:rPr>
        <w:t xml:space="preserve">. </w:t>
      </w:r>
      <w:r w:rsidR="00D76CC5">
        <w:rPr>
          <w:lang w:val="en-GB"/>
        </w:rPr>
        <w:t>Even</w:t>
      </w:r>
      <w:r w:rsidRPr="0048465B">
        <w:rPr>
          <w:lang w:val="en-GB"/>
        </w:rPr>
        <w:t xml:space="preserve"> when politic</w:t>
      </w:r>
      <w:r w:rsidR="00D76CC5">
        <w:rPr>
          <w:lang w:val="en-GB"/>
        </w:rPr>
        <w:t>ians</w:t>
      </w:r>
      <w:r w:rsidRPr="0048465B">
        <w:rPr>
          <w:lang w:val="en-GB"/>
        </w:rPr>
        <w:t xml:space="preserve"> </w:t>
      </w:r>
      <w:r w:rsidR="00D76CC5">
        <w:rPr>
          <w:lang w:val="en-GB"/>
        </w:rPr>
        <w:t>are removed from the picture</w:t>
      </w:r>
      <w:r w:rsidRPr="0048465B">
        <w:rPr>
          <w:lang w:val="en-GB"/>
        </w:rPr>
        <w:t>, cultural and social intolerances remain</w:t>
      </w:r>
      <w:r w:rsidR="00D76CC5">
        <w:rPr>
          <w:lang w:val="en-GB"/>
        </w:rPr>
        <w:t>, and must be challenged in a similar manner</w:t>
      </w:r>
      <w:r w:rsidRPr="0048465B">
        <w:rPr>
          <w:lang w:val="en-GB"/>
        </w:rPr>
        <w:t xml:space="preserve">. Expanding these notions further, one might look to Michael Chabon’s </w:t>
      </w:r>
      <w:r w:rsidRPr="0048465B">
        <w:rPr>
          <w:i/>
          <w:lang w:val="en-GB"/>
        </w:rPr>
        <w:t>The Yiddish Policeman’s Union</w:t>
      </w:r>
      <w:r w:rsidRPr="0048465B">
        <w:rPr>
          <w:lang w:val="en-GB"/>
        </w:rPr>
        <w:t xml:space="preserve">, an alternate history wherein Israel was destroyed in 1948 and a Jewish homeland is built in Alaska instead, where friction and tentative intermarriage exists not between </w:t>
      </w:r>
      <w:r w:rsidRPr="0048465B">
        <w:rPr>
          <w:lang w:val="en-GB"/>
        </w:rPr>
        <w:lastRenderedPageBreak/>
        <w:t>Jews and Palestinians, but between Jewish</w:t>
      </w:r>
      <w:r w:rsidR="00D76CC5">
        <w:rPr>
          <w:lang w:val="en-GB"/>
        </w:rPr>
        <w:t xml:space="preserve"> people</w:t>
      </w:r>
      <w:r w:rsidRPr="0048465B">
        <w:rPr>
          <w:lang w:val="en-GB"/>
        </w:rPr>
        <w:t xml:space="preserve"> and the indigenous Tlingit people.</w:t>
      </w:r>
      <w:r w:rsidRPr="0048465B">
        <w:rPr>
          <w:vertAlign w:val="superscript"/>
          <w:lang w:val="en-GB"/>
        </w:rPr>
        <w:footnoteReference w:id="739"/>
      </w:r>
      <w:r w:rsidRPr="0048465B">
        <w:rPr>
          <w:lang w:val="en-GB"/>
        </w:rPr>
        <w:t xml:space="preserve"> Similarly, one might look to </w:t>
      </w:r>
      <w:r w:rsidRPr="0048465B">
        <w:rPr>
          <w:i/>
          <w:lang w:val="en-GB"/>
        </w:rPr>
        <w:t>Palestine +100: Stories From a Century After the Nakba</w:t>
      </w:r>
      <w:r w:rsidRPr="0048465B">
        <w:rPr>
          <w:lang w:val="en-GB"/>
        </w:rPr>
        <w:t>, a collection of works written by twelve Palestinian authors asked to imagine a Palestine one hundred years on from the Nakba, thus allowing the possibility for these authors to imagine a futuristic and transformed Palestine, but one that is never out of touch with the past.</w:t>
      </w:r>
      <w:r w:rsidRPr="0048465B">
        <w:rPr>
          <w:vertAlign w:val="superscript"/>
          <w:lang w:val="en-GB"/>
        </w:rPr>
        <w:footnoteReference w:id="740"/>
      </w:r>
    </w:p>
    <w:p w14:paraId="25C121FB" w14:textId="77777777" w:rsidR="00FC331F" w:rsidRPr="0048465B" w:rsidRDefault="00FC331F" w:rsidP="00FC331F">
      <w:pPr>
        <w:rPr>
          <w:lang w:val="en-GB"/>
        </w:rPr>
      </w:pPr>
    </w:p>
    <w:p w14:paraId="7D416ACE" w14:textId="2370B0E3" w:rsidR="00FC331F" w:rsidRPr="0048465B" w:rsidRDefault="006779F4" w:rsidP="00FC331F">
      <w:pPr>
        <w:rPr>
          <w:lang w:val="en-GB"/>
        </w:rPr>
      </w:pPr>
      <w:r w:rsidRPr="0048465B">
        <w:rPr>
          <w:lang w:val="en-GB"/>
        </w:rPr>
        <w:t>Finally,</w:t>
      </w:r>
      <w:r w:rsidR="00FC331F" w:rsidRPr="0048465B">
        <w:rPr>
          <w:lang w:val="en-GB"/>
        </w:rPr>
        <w:t xml:space="preserve"> Chapter Four explored the more purely political aspects of the Israeli-Palestinian conflict, in light of all that had come before, both within this thesis, and within the history of the conflict itself. </w:t>
      </w:r>
      <w:r w:rsidRPr="0048465B">
        <w:rPr>
          <w:lang w:val="en-GB"/>
        </w:rPr>
        <w:t xml:space="preserve">Even in </w:t>
      </w:r>
      <w:r w:rsidR="003C3F71">
        <w:rPr>
          <w:lang w:val="en-GB"/>
        </w:rPr>
        <w:t>recent months</w:t>
      </w:r>
      <w:r w:rsidRPr="0048465B">
        <w:rPr>
          <w:lang w:val="en-GB"/>
        </w:rPr>
        <w:t xml:space="preserve"> this political realm has seen new ground broken, with The International Criminal Court announcing that it is investigating illegal activities committed on Palestinian lands, including the violence of the 2018 Great March of Return, Israeli crimes during the 2014 Gaza War, Israel’s West Bank settlement project, and war crimes committed by Hamas as well as other military groups in Gaza. </w:t>
      </w:r>
      <w:r w:rsidR="00FC331F" w:rsidRPr="0048465B">
        <w:rPr>
          <w:lang w:val="en-GB"/>
        </w:rPr>
        <w:t>Unlike any investigation before, the ICC’s investigation operates largely outside of Israeli and American influence, and is able to enforce Israeli accountability through issuing international arrest warrants.</w:t>
      </w:r>
    </w:p>
    <w:p w14:paraId="51AB4BC2" w14:textId="77777777" w:rsidR="00FC331F" w:rsidRPr="0048465B" w:rsidRDefault="00FC331F" w:rsidP="00FC331F">
      <w:pPr>
        <w:rPr>
          <w:lang w:val="en-GB"/>
        </w:rPr>
      </w:pPr>
    </w:p>
    <w:p w14:paraId="3386331C" w14:textId="77777777" w:rsidR="00FC331F" w:rsidRPr="0048465B" w:rsidRDefault="00FC331F" w:rsidP="00FC331F">
      <w:pPr>
        <w:rPr>
          <w:lang w:val="en-GB"/>
        </w:rPr>
      </w:pPr>
      <w:r w:rsidRPr="0048465B">
        <w:rPr>
          <w:lang w:val="en-GB"/>
        </w:rPr>
        <w:t>In response to the announcement of the investigation, Prime Minister Benjamin Netanyahu, said the following:</w:t>
      </w:r>
    </w:p>
    <w:p w14:paraId="3E6386A6" w14:textId="77777777" w:rsidR="00FC331F" w:rsidRPr="0048465B" w:rsidRDefault="00FC331F" w:rsidP="00FC331F">
      <w:pPr>
        <w:rPr>
          <w:lang w:val="en-GB"/>
        </w:rPr>
      </w:pPr>
    </w:p>
    <w:p w14:paraId="0B31611B" w14:textId="65B0FF3D" w:rsidR="00FC331F" w:rsidRPr="0048465B" w:rsidRDefault="00FC331F" w:rsidP="00FC331F">
      <w:pPr>
        <w:ind w:left="720"/>
        <w:rPr>
          <w:lang w:val="en-GB"/>
        </w:rPr>
      </w:pPr>
      <w:r w:rsidRPr="0048465B">
        <w:rPr>
          <w:lang w:val="en-GB"/>
        </w:rPr>
        <w:t>It’s undiluted antisemitism and the height of hypocrisy</w:t>
      </w:r>
      <w:r w:rsidR="000C3FB4">
        <w:rPr>
          <w:lang w:val="en-GB"/>
        </w:rPr>
        <w:t xml:space="preserve"> […] </w:t>
      </w:r>
      <w:r w:rsidRPr="0048465B">
        <w:rPr>
          <w:lang w:val="en-GB"/>
        </w:rPr>
        <w:t>The state of Israel is under attack this evening</w:t>
      </w:r>
      <w:r w:rsidR="000C3FB4">
        <w:rPr>
          <w:lang w:val="en-GB"/>
        </w:rPr>
        <w:t xml:space="preserve"> […] </w:t>
      </w:r>
      <w:r w:rsidRPr="0048465B">
        <w:rPr>
          <w:lang w:val="en-GB"/>
        </w:rPr>
        <w:t xml:space="preserve">The ICC, which was established to prevent a repeat of the horrors </w:t>
      </w:r>
      <w:r w:rsidRPr="0048465B">
        <w:rPr>
          <w:lang w:val="en-GB"/>
        </w:rPr>
        <w:lastRenderedPageBreak/>
        <w:t>the Nazis instigated against the Jewish people, now turns against the state of the Jewish people.</w:t>
      </w:r>
    </w:p>
    <w:p w14:paraId="0066F146" w14:textId="77777777" w:rsidR="00FC331F" w:rsidRPr="0048465B" w:rsidRDefault="00FC331F" w:rsidP="00FC331F">
      <w:pPr>
        <w:rPr>
          <w:lang w:val="en-GB"/>
        </w:rPr>
      </w:pPr>
    </w:p>
    <w:p w14:paraId="0842C135" w14:textId="505CC879" w:rsidR="00FC331F" w:rsidRPr="0048465B" w:rsidRDefault="00FC331F" w:rsidP="00FC331F">
      <w:pPr>
        <w:rPr>
          <w:lang w:val="en-GB"/>
        </w:rPr>
      </w:pPr>
      <w:r w:rsidRPr="0048465B">
        <w:rPr>
          <w:lang w:val="en-GB"/>
        </w:rPr>
        <w:t xml:space="preserve">Through tying the ICC investigation to Nazi persecution and antisemitism, Netanyahu promotes fear and anxiety rather than offering any legitimate criticism </w:t>
      </w:r>
      <w:r w:rsidR="00D76CC5">
        <w:rPr>
          <w:lang w:val="en-GB"/>
        </w:rPr>
        <w:t xml:space="preserve">of </w:t>
      </w:r>
      <w:r w:rsidRPr="0048465B">
        <w:rPr>
          <w:lang w:val="en-GB"/>
        </w:rPr>
        <w:t xml:space="preserve">the </w:t>
      </w:r>
      <w:r w:rsidR="00246305">
        <w:rPr>
          <w:lang w:val="en-GB"/>
        </w:rPr>
        <w:t>investigation itself</w:t>
      </w:r>
      <w:r w:rsidRPr="0048465B">
        <w:rPr>
          <w:lang w:val="en-GB"/>
        </w:rPr>
        <w:t>.</w:t>
      </w:r>
      <w:r w:rsidR="00246305">
        <w:rPr>
          <w:lang w:val="en-GB"/>
        </w:rPr>
        <w:t xml:space="preserve"> S</w:t>
      </w:r>
      <w:r w:rsidRPr="0048465B">
        <w:rPr>
          <w:lang w:val="en-GB"/>
        </w:rPr>
        <w:t xml:space="preserve">uch comments yet again direct attention away from the </w:t>
      </w:r>
      <w:r w:rsidR="00246305">
        <w:rPr>
          <w:lang w:val="en-GB"/>
        </w:rPr>
        <w:t xml:space="preserve">true </w:t>
      </w:r>
      <w:r w:rsidRPr="0048465B">
        <w:rPr>
          <w:lang w:val="en-GB"/>
        </w:rPr>
        <w:t>intentions of the investigation</w:t>
      </w:r>
      <w:r w:rsidR="00246305">
        <w:rPr>
          <w:lang w:val="en-GB"/>
        </w:rPr>
        <w:t>, namely</w:t>
      </w:r>
      <w:r w:rsidRPr="0048465B">
        <w:rPr>
          <w:lang w:val="en-GB"/>
        </w:rPr>
        <w:t xml:space="preserve"> to assess crimes within Palestine,</w:t>
      </w:r>
      <w:r w:rsidR="00D76CC5">
        <w:rPr>
          <w:lang w:val="en-GB"/>
        </w:rPr>
        <w:t xml:space="preserve"> committed</w:t>
      </w:r>
      <w:r w:rsidRPr="0048465B">
        <w:rPr>
          <w:lang w:val="en-GB"/>
        </w:rPr>
        <w:t xml:space="preserve"> by both Israeli and Palestinian forces. Indeed, perhaps the most striking development in the days since the ICC’s announcement has been that whilst Netanyahu has sought to delegitimise the influence and intentions of the ICC, a spokesperson for Hamas </w:t>
      </w:r>
      <w:r w:rsidR="00246305">
        <w:rPr>
          <w:lang w:val="en-GB"/>
        </w:rPr>
        <w:t>–</w:t>
      </w:r>
      <w:r w:rsidRPr="0048465B">
        <w:rPr>
          <w:lang w:val="en-GB"/>
        </w:rPr>
        <w:t xml:space="preserve"> a group identified by Israel, and many of the most powerful nations in the world, as supporting or embodying terrorism </w:t>
      </w:r>
      <w:r w:rsidR="00246305">
        <w:rPr>
          <w:lang w:val="en-GB"/>
        </w:rPr>
        <w:t>–</w:t>
      </w:r>
      <w:r w:rsidRPr="0048465B">
        <w:rPr>
          <w:lang w:val="en-GB"/>
        </w:rPr>
        <w:t xml:space="preserve"> welcomed the investigation into both Israel’s violence and its own, stating its confidence that any investigation based on the rule of international law would find its resistance ‘“legitimate”’.</w:t>
      </w:r>
      <w:r w:rsidRPr="0048465B">
        <w:rPr>
          <w:vertAlign w:val="superscript"/>
          <w:lang w:val="en-GB"/>
        </w:rPr>
        <w:footnoteReference w:id="741"/>
      </w:r>
    </w:p>
    <w:p w14:paraId="03FAB945" w14:textId="77777777" w:rsidR="00FC331F" w:rsidRPr="0048465B" w:rsidRDefault="00FC331F" w:rsidP="00FC331F">
      <w:pPr>
        <w:rPr>
          <w:lang w:val="en-GB"/>
        </w:rPr>
      </w:pPr>
    </w:p>
    <w:p w14:paraId="44A23199" w14:textId="59AF2420" w:rsidR="00FC331F" w:rsidRPr="0048465B" w:rsidRDefault="00FC331F" w:rsidP="00FC331F">
      <w:pPr>
        <w:rPr>
          <w:lang w:val="en-GB"/>
        </w:rPr>
      </w:pPr>
      <w:r w:rsidRPr="0048465B">
        <w:rPr>
          <w:lang w:val="en-GB"/>
        </w:rPr>
        <w:t>This may yet represent a sea</w:t>
      </w:r>
      <w:r w:rsidR="00E76F86">
        <w:rPr>
          <w:lang w:val="en-GB"/>
        </w:rPr>
        <w:t>-</w:t>
      </w:r>
      <w:r w:rsidRPr="0048465B">
        <w:rPr>
          <w:lang w:val="en-GB"/>
        </w:rPr>
        <w:t xml:space="preserve">change moment, a moment marked not by the new function of the law, but by the neutrality with which it is applied. The ICC investigation marks the first time that Israeli officials will have been rendered truly accountable for their crimes, and with this accountability, the possibility for lasting change grows, and becomes more plausible. </w:t>
      </w:r>
    </w:p>
    <w:p w14:paraId="1D55853E" w14:textId="77777777" w:rsidR="00FC331F" w:rsidRPr="0048465B" w:rsidRDefault="00FC331F" w:rsidP="00FC331F">
      <w:pPr>
        <w:rPr>
          <w:lang w:val="en-GB"/>
        </w:rPr>
      </w:pPr>
    </w:p>
    <w:p w14:paraId="74E5531E" w14:textId="566A5F1B" w:rsidR="00FC331F" w:rsidRPr="0048465B" w:rsidRDefault="00FC331F" w:rsidP="00FC331F">
      <w:pPr>
        <w:rPr>
          <w:lang w:val="en-GB"/>
        </w:rPr>
      </w:pPr>
      <w:r w:rsidRPr="0048465B">
        <w:rPr>
          <w:lang w:val="en-GB"/>
        </w:rPr>
        <w:t xml:space="preserve">Yet it is only when such approaches are intertwined with the individual lives, stories, and emotions of Palestinians, as well as those of Israelis, that a truly </w:t>
      </w:r>
      <w:r w:rsidR="002F6641">
        <w:rPr>
          <w:lang w:val="en-GB"/>
        </w:rPr>
        <w:t>just</w:t>
      </w:r>
      <w:r w:rsidRPr="0048465B">
        <w:rPr>
          <w:lang w:val="en-GB"/>
        </w:rPr>
        <w:t xml:space="preserve"> resolution to the Israeli-Palestinian </w:t>
      </w:r>
      <w:r w:rsidRPr="0048465B">
        <w:rPr>
          <w:lang w:val="en-GB"/>
        </w:rPr>
        <w:lastRenderedPageBreak/>
        <w:t xml:space="preserve">conflict might be found. It must be a resolution that looks upon, with equal benevolence, a people subjected to unimaginable loss and persecution </w:t>
      </w:r>
      <w:r w:rsidR="00CF1E83">
        <w:rPr>
          <w:lang w:val="en-GB"/>
        </w:rPr>
        <w:t xml:space="preserve">during a war that ended </w:t>
      </w:r>
      <w:r w:rsidRPr="0048465B">
        <w:rPr>
          <w:lang w:val="en-GB"/>
        </w:rPr>
        <w:t>just seventy-six years ago, and a people whose exile is now in its seventy-third year, and shows few signs of stopping.</w:t>
      </w:r>
    </w:p>
    <w:p w14:paraId="1CB29D90" w14:textId="77777777" w:rsidR="00FC331F" w:rsidRPr="0048465B" w:rsidRDefault="00FC331F" w:rsidP="00FC331F">
      <w:pPr>
        <w:rPr>
          <w:lang w:val="en-GB"/>
        </w:rPr>
      </w:pPr>
    </w:p>
    <w:p w14:paraId="0B5353F0" w14:textId="12CB4C30" w:rsidR="00FC331F" w:rsidRDefault="00FC331F" w:rsidP="00FC331F">
      <w:pPr>
        <w:rPr>
          <w:lang w:val="en-GB"/>
        </w:rPr>
      </w:pPr>
      <w:r w:rsidRPr="0048465B">
        <w:rPr>
          <w:lang w:val="en-GB"/>
        </w:rPr>
        <w:t>On September 29th 2020 my grandfather turned, according to our best estimates, ninety-</w:t>
      </w:r>
      <w:r w:rsidR="00EE62DA">
        <w:rPr>
          <w:lang w:val="en-GB"/>
        </w:rPr>
        <w:t>three</w:t>
      </w:r>
      <w:r w:rsidR="00EE62DA" w:rsidRPr="0048465B">
        <w:rPr>
          <w:lang w:val="en-GB"/>
        </w:rPr>
        <w:t xml:space="preserve"> </w:t>
      </w:r>
      <w:r w:rsidRPr="0048465B">
        <w:rPr>
          <w:lang w:val="en-GB"/>
        </w:rPr>
        <w:t>years old. He is unlikely to be able to return to the land he once called home, a home he left due to the threat of death, rather than an absence of allegiance, or love. Seventy-</w:t>
      </w:r>
      <w:r w:rsidR="00E76F86">
        <w:rPr>
          <w:lang w:val="en-GB"/>
        </w:rPr>
        <w:t>four</w:t>
      </w:r>
      <w:r w:rsidRPr="0048465B">
        <w:rPr>
          <w:lang w:val="en-GB"/>
        </w:rPr>
        <w:t xml:space="preserve"> years later, the aftershocks of India’s Partition continue to reverberate. </w:t>
      </w:r>
      <w:r w:rsidR="00E76F86">
        <w:rPr>
          <w:lang w:val="en-GB"/>
        </w:rPr>
        <w:t>Whilst</w:t>
      </w:r>
      <w:r w:rsidRPr="0048465B">
        <w:rPr>
          <w:lang w:val="en-GB"/>
        </w:rPr>
        <w:t xml:space="preserve"> I am currently unable to return in my grandfather’s place, I nonetheless remain hopeful that I might, somehow, be able to reunite him with the earth that he walked on as a child. As for the Palestinians exiled in 1948, and those born in exile since, let us hope that a more literal form of return awaits.</w:t>
      </w:r>
    </w:p>
    <w:p w14:paraId="54939E88" w14:textId="3E359961" w:rsidR="001C47C6" w:rsidRDefault="001C47C6" w:rsidP="00FC331F">
      <w:pPr>
        <w:rPr>
          <w:lang w:val="en-GB"/>
        </w:rPr>
      </w:pPr>
    </w:p>
    <w:p w14:paraId="3A7564C9" w14:textId="44A84CB5" w:rsidR="00FC331F" w:rsidRPr="0048465B" w:rsidRDefault="00FC331F">
      <w:pPr>
        <w:spacing w:line="360" w:lineRule="auto"/>
        <w:jc w:val="left"/>
        <w:rPr>
          <w:b/>
          <w:sz w:val="28"/>
          <w:szCs w:val="28"/>
          <w:lang w:val="en-GB"/>
        </w:rPr>
      </w:pPr>
    </w:p>
    <w:p w14:paraId="0793A5DB" w14:textId="464E7DD4" w:rsidR="00FC331F" w:rsidRPr="0048465B" w:rsidRDefault="00FC331F">
      <w:pPr>
        <w:spacing w:line="360" w:lineRule="auto"/>
        <w:jc w:val="left"/>
        <w:rPr>
          <w:b/>
          <w:sz w:val="28"/>
          <w:szCs w:val="28"/>
          <w:lang w:val="en-GB"/>
        </w:rPr>
      </w:pPr>
    </w:p>
    <w:p w14:paraId="4C3DFB7E" w14:textId="68D2139E" w:rsidR="00FC331F" w:rsidRPr="001C47C6" w:rsidRDefault="001C47C6">
      <w:pPr>
        <w:spacing w:line="360" w:lineRule="auto"/>
        <w:jc w:val="left"/>
        <w:rPr>
          <w:bCs/>
          <w:lang w:val="en-GB"/>
        </w:rPr>
      </w:pPr>
      <w:r w:rsidRPr="001C47C6">
        <w:rPr>
          <w:bCs/>
          <w:lang w:val="en-GB"/>
        </w:rPr>
        <w:t xml:space="preserve">March </w:t>
      </w:r>
      <w:r>
        <w:rPr>
          <w:bCs/>
          <w:lang w:val="en-GB"/>
        </w:rPr>
        <w:t>2021</w:t>
      </w:r>
    </w:p>
    <w:p w14:paraId="0E5826DE" w14:textId="66D7C96C" w:rsidR="00FC331F" w:rsidRPr="0048465B" w:rsidRDefault="00FC331F">
      <w:pPr>
        <w:spacing w:line="360" w:lineRule="auto"/>
        <w:jc w:val="left"/>
        <w:rPr>
          <w:b/>
          <w:sz w:val="28"/>
          <w:szCs w:val="28"/>
          <w:lang w:val="en-GB"/>
        </w:rPr>
      </w:pPr>
    </w:p>
    <w:p w14:paraId="7F57111B" w14:textId="4A382B4C" w:rsidR="00FC331F" w:rsidRPr="0048465B" w:rsidRDefault="00FC331F">
      <w:pPr>
        <w:spacing w:line="360" w:lineRule="auto"/>
        <w:jc w:val="left"/>
        <w:rPr>
          <w:b/>
          <w:sz w:val="28"/>
          <w:szCs w:val="28"/>
          <w:lang w:val="en-GB"/>
        </w:rPr>
      </w:pPr>
    </w:p>
    <w:p w14:paraId="67E1F16D" w14:textId="61F7D53C" w:rsidR="00FC331F" w:rsidRPr="0048465B" w:rsidRDefault="00FC331F">
      <w:pPr>
        <w:spacing w:line="360" w:lineRule="auto"/>
        <w:jc w:val="left"/>
        <w:rPr>
          <w:b/>
          <w:sz w:val="28"/>
          <w:szCs w:val="28"/>
          <w:lang w:val="en-GB"/>
        </w:rPr>
      </w:pPr>
    </w:p>
    <w:p w14:paraId="7BBC5B8D" w14:textId="04111AA0" w:rsidR="00FC331F" w:rsidRPr="0048465B" w:rsidRDefault="00FC331F">
      <w:pPr>
        <w:spacing w:line="360" w:lineRule="auto"/>
        <w:jc w:val="left"/>
        <w:rPr>
          <w:b/>
          <w:sz w:val="28"/>
          <w:szCs w:val="28"/>
          <w:lang w:val="en-GB"/>
        </w:rPr>
      </w:pPr>
    </w:p>
    <w:p w14:paraId="22FD8B85" w14:textId="141B3BD2" w:rsidR="00FC331F" w:rsidRDefault="00FC331F">
      <w:pPr>
        <w:spacing w:line="360" w:lineRule="auto"/>
        <w:jc w:val="left"/>
        <w:rPr>
          <w:b/>
          <w:sz w:val="28"/>
          <w:szCs w:val="28"/>
          <w:lang w:val="en-GB"/>
        </w:rPr>
      </w:pPr>
    </w:p>
    <w:p w14:paraId="73D2B48A" w14:textId="6E3EF2D0" w:rsidR="001C47C6" w:rsidRDefault="001C47C6">
      <w:pPr>
        <w:spacing w:line="360" w:lineRule="auto"/>
        <w:jc w:val="left"/>
        <w:rPr>
          <w:b/>
          <w:sz w:val="28"/>
          <w:szCs w:val="28"/>
          <w:lang w:val="en-GB"/>
        </w:rPr>
      </w:pPr>
    </w:p>
    <w:p w14:paraId="7FF60F9E" w14:textId="1DC21C8F" w:rsidR="00261487" w:rsidRDefault="00261487">
      <w:pPr>
        <w:spacing w:line="360" w:lineRule="auto"/>
        <w:jc w:val="left"/>
        <w:rPr>
          <w:b/>
          <w:sz w:val="28"/>
          <w:szCs w:val="28"/>
          <w:lang w:val="en-GB"/>
        </w:rPr>
      </w:pPr>
    </w:p>
    <w:p w14:paraId="3ACE4CAD" w14:textId="17606191" w:rsidR="00261487" w:rsidRDefault="00261487">
      <w:pPr>
        <w:spacing w:line="360" w:lineRule="auto"/>
        <w:jc w:val="left"/>
        <w:rPr>
          <w:b/>
          <w:sz w:val="28"/>
          <w:szCs w:val="28"/>
          <w:lang w:val="en-GB"/>
        </w:rPr>
      </w:pPr>
    </w:p>
    <w:p w14:paraId="678BAD8C" w14:textId="77777777" w:rsidR="00261487" w:rsidRPr="0048465B" w:rsidRDefault="00261487">
      <w:pPr>
        <w:spacing w:line="360" w:lineRule="auto"/>
        <w:jc w:val="left"/>
        <w:rPr>
          <w:b/>
          <w:sz w:val="28"/>
          <w:szCs w:val="28"/>
          <w:lang w:val="en-GB"/>
        </w:rPr>
      </w:pPr>
    </w:p>
    <w:p w14:paraId="36EA645F" w14:textId="77777777" w:rsidR="001D59B9" w:rsidRPr="0048465B" w:rsidRDefault="001D59B9">
      <w:pPr>
        <w:spacing w:line="360" w:lineRule="auto"/>
        <w:jc w:val="left"/>
        <w:rPr>
          <w:b/>
          <w:sz w:val="28"/>
          <w:szCs w:val="28"/>
          <w:lang w:val="en-GB"/>
        </w:rPr>
      </w:pPr>
    </w:p>
    <w:p w14:paraId="5919500D" w14:textId="77777777" w:rsidR="001D59B9" w:rsidRPr="0048465B" w:rsidRDefault="00703A05">
      <w:pPr>
        <w:spacing w:line="360" w:lineRule="auto"/>
        <w:jc w:val="center"/>
        <w:rPr>
          <w:b/>
          <w:sz w:val="28"/>
          <w:szCs w:val="28"/>
          <w:lang w:val="en-GB"/>
        </w:rPr>
      </w:pPr>
      <w:r w:rsidRPr="0048465B">
        <w:rPr>
          <w:b/>
          <w:sz w:val="28"/>
          <w:szCs w:val="28"/>
          <w:lang w:val="en-GB"/>
        </w:rPr>
        <w:lastRenderedPageBreak/>
        <w:t>***</w:t>
      </w:r>
    </w:p>
    <w:p w14:paraId="3B20DDC3" w14:textId="77777777" w:rsidR="001D59B9" w:rsidRPr="0048465B" w:rsidRDefault="001D59B9">
      <w:pPr>
        <w:spacing w:line="360" w:lineRule="auto"/>
        <w:jc w:val="center"/>
        <w:rPr>
          <w:b/>
          <w:sz w:val="28"/>
          <w:szCs w:val="28"/>
          <w:lang w:val="en-GB"/>
        </w:rPr>
      </w:pPr>
    </w:p>
    <w:p w14:paraId="76E84FE9" w14:textId="77777777" w:rsidR="001D59B9" w:rsidRPr="0048465B" w:rsidRDefault="001D59B9">
      <w:pPr>
        <w:spacing w:line="360" w:lineRule="auto"/>
        <w:jc w:val="center"/>
        <w:rPr>
          <w:b/>
          <w:sz w:val="28"/>
          <w:szCs w:val="28"/>
          <w:lang w:val="en-GB"/>
        </w:rPr>
      </w:pPr>
    </w:p>
    <w:p w14:paraId="494EA830" w14:textId="77777777" w:rsidR="001D59B9" w:rsidRPr="0048465B" w:rsidRDefault="001D59B9">
      <w:pPr>
        <w:spacing w:line="360" w:lineRule="auto"/>
        <w:jc w:val="center"/>
        <w:rPr>
          <w:b/>
          <w:sz w:val="28"/>
          <w:szCs w:val="28"/>
          <w:lang w:val="en-GB"/>
        </w:rPr>
      </w:pPr>
    </w:p>
    <w:p w14:paraId="69970DBB" w14:textId="77777777" w:rsidR="001D59B9" w:rsidRPr="0048465B" w:rsidRDefault="001D59B9">
      <w:pPr>
        <w:spacing w:line="360" w:lineRule="auto"/>
        <w:jc w:val="center"/>
        <w:rPr>
          <w:b/>
          <w:sz w:val="28"/>
          <w:szCs w:val="28"/>
          <w:lang w:val="en-GB"/>
        </w:rPr>
      </w:pPr>
    </w:p>
    <w:p w14:paraId="62F6A608" w14:textId="77777777" w:rsidR="001D59B9" w:rsidRPr="0048465B" w:rsidRDefault="001D59B9">
      <w:pPr>
        <w:spacing w:line="360" w:lineRule="auto"/>
        <w:jc w:val="center"/>
        <w:rPr>
          <w:b/>
          <w:sz w:val="28"/>
          <w:szCs w:val="28"/>
          <w:lang w:val="en-GB"/>
        </w:rPr>
      </w:pPr>
    </w:p>
    <w:p w14:paraId="2B4C7EB6" w14:textId="77777777" w:rsidR="001D59B9" w:rsidRPr="0048465B" w:rsidRDefault="001D59B9">
      <w:pPr>
        <w:spacing w:line="360" w:lineRule="auto"/>
        <w:jc w:val="center"/>
        <w:rPr>
          <w:b/>
          <w:sz w:val="28"/>
          <w:szCs w:val="28"/>
          <w:lang w:val="en-GB"/>
        </w:rPr>
      </w:pPr>
    </w:p>
    <w:p w14:paraId="30A5E4FC" w14:textId="77777777" w:rsidR="001D59B9" w:rsidRPr="0048465B" w:rsidRDefault="001D59B9">
      <w:pPr>
        <w:spacing w:line="360" w:lineRule="auto"/>
        <w:jc w:val="center"/>
        <w:rPr>
          <w:b/>
          <w:sz w:val="28"/>
          <w:szCs w:val="28"/>
          <w:lang w:val="en-GB"/>
        </w:rPr>
      </w:pPr>
    </w:p>
    <w:p w14:paraId="674E5B5B" w14:textId="77777777" w:rsidR="001D59B9" w:rsidRPr="0048465B" w:rsidRDefault="001D59B9">
      <w:pPr>
        <w:spacing w:line="360" w:lineRule="auto"/>
        <w:jc w:val="center"/>
        <w:rPr>
          <w:b/>
          <w:sz w:val="28"/>
          <w:szCs w:val="28"/>
          <w:lang w:val="en-GB"/>
        </w:rPr>
      </w:pPr>
    </w:p>
    <w:p w14:paraId="44139AA9" w14:textId="77777777" w:rsidR="001D59B9" w:rsidRPr="0048465B" w:rsidRDefault="001D59B9">
      <w:pPr>
        <w:spacing w:line="360" w:lineRule="auto"/>
        <w:jc w:val="center"/>
        <w:rPr>
          <w:b/>
          <w:sz w:val="28"/>
          <w:szCs w:val="28"/>
          <w:lang w:val="en-GB"/>
        </w:rPr>
      </w:pPr>
    </w:p>
    <w:p w14:paraId="3F210EC0" w14:textId="77777777" w:rsidR="001D59B9" w:rsidRPr="0048465B" w:rsidRDefault="001D59B9">
      <w:pPr>
        <w:spacing w:line="360" w:lineRule="auto"/>
        <w:jc w:val="center"/>
        <w:rPr>
          <w:b/>
          <w:sz w:val="28"/>
          <w:szCs w:val="28"/>
          <w:lang w:val="en-GB"/>
        </w:rPr>
      </w:pPr>
    </w:p>
    <w:p w14:paraId="723FAEEB" w14:textId="77777777" w:rsidR="001D59B9" w:rsidRPr="0048465B" w:rsidRDefault="001D59B9">
      <w:pPr>
        <w:spacing w:line="360" w:lineRule="auto"/>
        <w:jc w:val="center"/>
        <w:rPr>
          <w:b/>
          <w:sz w:val="28"/>
          <w:szCs w:val="28"/>
          <w:lang w:val="en-GB"/>
        </w:rPr>
      </w:pPr>
    </w:p>
    <w:p w14:paraId="10265F0A" w14:textId="77777777" w:rsidR="001D59B9" w:rsidRPr="0048465B" w:rsidRDefault="001D59B9">
      <w:pPr>
        <w:spacing w:line="360" w:lineRule="auto"/>
        <w:jc w:val="center"/>
        <w:rPr>
          <w:b/>
          <w:sz w:val="28"/>
          <w:szCs w:val="28"/>
          <w:lang w:val="en-GB"/>
        </w:rPr>
      </w:pPr>
    </w:p>
    <w:p w14:paraId="2B18CB3D" w14:textId="77777777" w:rsidR="001D59B9" w:rsidRPr="0048465B" w:rsidRDefault="001D59B9">
      <w:pPr>
        <w:spacing w:line="360" w:lineRule="auto"/>
        <w:jc w:val="center"/>
        <w:rPr>
          <w:b/>
          <w:sz w:val="28"/>
          <w:szCs w:val="28"/>
          <w:lang w:val="en-GB"/>
        </w:rPr>
      </w:pPr>
    </w:p>
    <w:p w14:paraId="7139BD5F" w14:textId="77777777" w:rsidR="001D59B9" w:rsidRPr="0048465B" w:rsidRDefault="001D59B9">
      <w:pPr>
        <w:spacing w:line="360" w:lineRule="auto"/>
        <w:jc w:val="center"/>
        <w:rPr>
          <w:b/>
          <w:sz w:val="28"/>
          <w:szCs w:val="28"/>
          <w:lang w:val="en-GB"/>
        </w:rPr>
      </w:pPr>
    </w:p>
    <w:p w14:paraId="4F22DA06" w14:textId="77777777" w:rsidR="001D59B9" w:rsidRPr="0048465B" w:rsidRDefault="001D59B9">
      <w:pPr>
        <w:spacing w:line="360" w:lineRule="auto"/>
        <w:jc w:val="center"/>
        <w:rPr>
          <w:b/>
          <w:sz w:val="28"/>
          <w:szCs w:val="28"/>
          <w:lang w:val="en-GB"/>
        </w:rPr>
      </w:pPr>
    </w:p>
    <w:p w14:paraId="07130368" w14:textId="77777777" w:rsidR="001D59B9" w:rsidRPr="0048465B" w:rsidRDefault="001D59B9">
      <w:pPr>
        <w:spacing w:line="360" w:lineRule="auto"/>
        <w:jc w:val="center"/>
        <w:rPr>
          <w:b/>
          <w:sz w:val="28"/>
          <w:szCs w:val="28"/>
          <w:lang w:val="en-GB"/>
        </w:rPr>
      </w:pPr>
    </w:p>
    <w:p w14:paraId="7F765D7B" w14:textId="77777777" w:rsidR="001D59B9" w:rsidRPr="0048465B" w:rsidRDefault="001D59B9">
      <w:pPr>
        <w:spacing w:line="360" w:lineRule="auto"/>
        <w:jc w:val="center"/>
        <w:rPr>
          <w:b/>
          <w:sz w:val="28"/>
          <w:szCs w:val="28"/>
          <w:lang w:val="en-GB"/>
        </w:rPr>
      </w:pPr>
    </w:p>
    <w:p w14:paraId="7AED3A6E" w14:textId="77777777" w:rsidR="001D59B9" w:rsidRPr="0048465B" w:rsidRDefault="001D59B9">
      <w:pPr>
        <w:spacing w:line="360" w:lineRule="auto"/>
        <w:jc w:val="center"/>
        <w:rPr>
          <w:b/>
          <w:sz w:val="28"/>
          <w:szCs w:val="28"/>
          <w:lang w:val="en-GB"/>
        </w:rPr>
      </w:pPr>
    </w:p>
    <w:p w14:paraId="79E78CD0" w14:textId="77777777" w:rsidR="001D59B9" w:rsidRPr="0048465B" w:rsidRDefault="001D59B9">
      <w:pPr>
        <w:spacing w:line="360" w:lineRule="auto"/>
        <w:jc w:val="left"/>
        <w:rPr>
          <w:b/>
          <w:sz w:val="28"/>
          <w:szCs w:val="28"/>
          <w:lang w:val="en-GB"/>
        </w:rPr>
      </w:pPr>
    </w:p>
    <w:p w14:paraId="4311F555" w14:textId="77777777" w:rsidR="001D59B9" w:rsidRPr="0048465B" w:rsidRDefault="001D59B9">
      <w:pPr>
        <w:spacing w:line="360" w:lineRule="auto"/>
        <w:jc w:val="left"/>
        <w:rPr>
          <w:b/>
          <w:sz w:val="28"/>
          <w:szCs w:val="28"/>
          <w:lang w:val="en-GB"/>
        </w:rPr>
      </w:pPr>
    </w:p>
    <w:p w14:paraId="22FD9BC4" w14:textId="77777777" w:rsidR="001D59B9" w:rsidRPr="0048465B" w:rsidRDefault="001D59B9">
      <w:pPr>
        <w:spacing w:line="360" w:lineRule="auto"/>
        <w:jc w:val="left"/>
        <w:rPr>
          <w:b/>
          <w:sz w:val="28"/>
          <w:szCs w:val="28"/>
          <w:lang w:val="en-GB"/>
        </w:rPr>
      </w:pPr>
    </w:p>
    <w:p w14:paraId="764D7887" w14:textId="77777777" w:rsidR="001D59B9" w:rsidRPr="0048465B" w:rsidRDefault="001D59B9">
      <w:pPr>
        <w:spacing w:line="360" w:lineRule="auto"/>
        <w:jc w:val="left"/>
        <w:rPr>
          <w:b/>
          <w:sz w:val="28"/>
          <w:szCs w:val="28"/>
          <w:lang w:val="en-GB"/>
        </w:rPr>
      </w:pPr>
    </w:p>
    <w:p w14:paraId="1515DA71" w14:textId="77777777" w:rsidR="001D59B9" w:rsidRPr="0048465B" w:rsidRDefault="001D59B9">
      <w:pPr>
        <w:spacing w:line="360" w:lineRule="auto"/>
        <w:jc w:val="left"/>
        <w:rPr>
          <w:b/>
          <w:sz w:val="28"/>
          <w:szCs w:val="28"/>
          <w:lang w:val="en-GB"/>
        </w:rPr>
      </w:pPr>
    </w:p>
    <w:p w14:paraId="0269DD39" w14:textId="77777777" w:rsidR="001D59B9" w:rsidRPr="0048465B" w:rsidRDefault="001D59B9">
      <w:pPr>
        <w:spacing w:line="360" w:lineRule="auto"/>
        <w:jc w:val="left"/>
        <w:rPr>
          <w:b/>
          <w:sz w:val="28"/>
          <w:szCs w:val="28"/>
          <w:lang w:val="en-GB"/>
        </w:rPr>
      </w:pPr>
    </w:p>
    <w:p w14:paraId="325881B7" w14:textId="77777777" w:rsidR="001D59B9" w:rsidRPr="0048465B" w:rsidRDefault="001D59B9">
      <w:pPr>
        <w:spacing w:line="360" w:lineRule="auto"/>
        <w:jc w:val="left"/>
        <w:rPr>
          <w:b/>
          <w:sz w:val="28"/>
          <w:szCs w:val="28"/>
          <w:lang w:val="en-GB"/>
        </w:rPr>
      </w:pPr>
    </w:p>
    <w:p w14:paraId="08751131" w14:textId="77777777" w:rsidR="001D59B9" w:rsidRPr="0048465B" w:rsidRDefault="001D59B9">
      <w:pPr>
        <w:spacing w:line="360" w:lineRule="auto"/>
        <w:jc w:val="left"/>
        <w:rPr>
          <w:b/>
          <w:sz w:val="28"/>
          <w:szCs w:val="28"/>
          <w:lang w:val="en-GB"/>
        </w:rPr>
      </w:pPr>
    </w:p>
    <w:p w14:paraId="0E2148C4" w14:textId="77777777" w:rsidR="001D59B9" w:rsidRPr="0048465B" w:rsidRDefault="00703A05">
      <w:pPr>
        <w:spacing w:line="360" w:lineRule="auto"/>
        <w:jc w:val="center"/>
        <w:rPr>
          <w:b/>
          <w:sz w:val="28"/>
          <w:szCs w:val="28"/>
          <w:lang w:val="en-GB"/>
        </w:rPr>
      </w:pPr>
      <w:r w:rsidRPr="0048465B">
        <w:rPr>
          <w:b/>
          <w:sz w:val="28"/>
          <w:szCs w:val="28"/>
          <w:lang w:val="en-GB"/>
        </w:rPr>
        <w:lastRenderedPageBreak/>
        <w:t>Filmography</w:t>
      </w:r>
    </w:p>
    <w:p w14:paraId="2DF13104" w14:textId="77777777" w:rsidR="001D59B9" w:rsidRPr="0048465B" w:rsidRDefault="001D59B9">
      <w:pPr>
        <w:spacing w:line="360" w:lineRule="auto"/>
        <w:jc w:val="center"/>
        <w:rPr>
          <w:b/>
          <w:sz w:val="28"/>
          <w:szCs w:val="28"/>
          <w:lang w:val="en-GB"/>
        </w:rPr>
      </w:pPr>
    </w:p>
    <w:p w14:paraId="18F22792" w14:textId="28E3BB65" w:rsidR="001D59B9" w:rsidRPr="0048465B" w:rsidRDefault="00F13356" w:rsidP="003C3F71">
      <w:pPr>
        <w:widowControl w:val="0"/>
        <w:ind w:left="720"/>
        <w:jc w:val="left"/>
        <w:rPr>
          <w:lang w:val="en-GB"/>
        </w:rPr>
      </w:pPr>
      <w:r>
        <w:rPr>
          <w:lang w:val="en-GB"/>
        </w:rPr>
        <w:t>Apkon</w:t>
      </w:r>
      <w:r w:rsidR="00703A05" w:rsidRPr="0048465B">
        <w:rPr>
          <w:lang w:val="en-GB"/>
        </w:rPr>
        <w:t xml:space="preserve">, Stephen, </w:t>
      </w:r>
      <w:r w:rsidR="00703A05" w:rsidRPr="0048465B">
        <w:rPr>
          <w:i/>
          <w:lang w:val="en-GB"/>
        </w:rPr>
        <w:t>Disturbing the Peace</w:t>
      </w:r>
      <w:r w:rsidR="00703A05" w:rsidRPr="0048465B">
        <w:rPr>
          <w:lang w:val="en-GB"/>
        </w:rPr>
        <w:t>, 2016</w:t>
      </w:r>
    </w:p>
    <w:p w14:paraId="1CE4B999" w14:textId="7D449387" w:rsidR="001D59B9" w:rsidRPr="0048465B" w:rsidRDefault="00703A05" w:rsidP="003C3F71">
      <w:pPr>
        <w:widowControl w:val="0"/>
        <w:ind w:left="720"/>
        <w:jc w:val="left"/>
        <w:rPr>
          <w:lang w:val="en-GB"/>
        </w:rPr>
      </w:pPr>
      <w:r w:rsidRPr="0048465B">
        <w:rPr>
          <w:lang w:val="en-GB"/>
        </w:rPr>
        <w:t xml:space="preserve">Folman, Ari, </w:t>
      </w:r>
      <w:r w:rsidRPr="0048465B">
        <w:rPr>
          <w:i/>
          <w:lang w:val="en-GB"/>
        </w:rPr>
        <w:t>Waltz with Bashir</w:t>
      </w:r>
      <w:r w:rsidRPr="0048465B">
        <w:rPr>
          <w:lang w:val="en-GB"/>
        </w:rPr>
        <w:t>, 2008</w:t>
      </w:r>
    </w:p>
    <w:p w14:paraId="0DB0E6D8" w14:textId="77777777" w:rsidR="001D59B9" w:rsidRPr="0048465B" w:rsidRDefault="001D59B9">
      <w:pPr>
        <w:widowControl w:val="0"/>
        <w:spacing w:line="360" w:lineRule="auto"/>
        <w:ind w:left="720"/>
        <w:jc w:val="left"/>
        <w:rPr>
          <w:b/>
          <w:sz w:val="28"/>
          <w:szCs w:val="28"/>
          <w:lang w:val="en-GB"/>
        </w:rPr>
      </w:pPr>
    </w:p>
    <w:p w14:paraId="5694B227" w14:textId="77777777" w:rsidR="001D59B9" w:rsidRPr="0048465B" w:rsidRDefault="001D59B9">
      <w:pPr>
        <w:spacing w:line="360" w:lineRule="auto"/>
        <w:jc w:val="center"/>
        <w:rPr>
          <w:b/>
          <w:sz w:val="28"/>
          <w:szCs w:val="28"/>
          <w:lang w:val="en-GB"/>
        </w:rPr>
      </w:pPr>
    </w:p>
    <w:p w14:paraId="21835929" w14:textId="77777777" w:rsidR="001D59B9" w:rsidRPr="0048465B" w:rsidRDefault="001D59B9">
      <w:pPr>
        <w:spacing w:line="360" w:lineRule="auto"/>
        <w:jc w:val="center"/>
        <w:rPr>
          <w:b/>
          <w:sz w:val="28"/>
          <w:szCs w:val="28"/>
          <w:lang w:val="en-GB"/>
        </w:rPr>
      </w:pPr>
    </w:p>
    <w:p w14:paraId="47004F50" w14:textId="77777777" w:rsidR="001D59B9" w:rsidRPr="0048465B" w:rsidRDefault="001D59B9">
      <w:pPr>
        <w:spacing w:line="360" w:lineRule="auto"/>
        <w:jc w:val="center"/>
        <w:rPr>
          <w:b/>
          <w:sz w:val="28"/>
          <w:szCs w:val="28"/>
          <w:lang w:val="en-GB"/>
        </w:rPr>
      </w:pPr>
    </w:p>
    <w:p w14:paraId="71EF8C99" w14:textId="77777777" w:rsidR="001D59B9" w:rsidRPr="0048465B" w:rsidRDefault="001D59B9">
      <w:pPr>
        <w:spacing w:line="360" w:lineRule="auto"/>
        <w:jc w:val="center"/>
        <w:rPr>
          <w:b/>
          <w:sz w:val="28"/>
          <w:szCs w:val="28"/>
          <w:lang w:val="en-GB"/>
        </w:rPr>
      </w:pPr>
    </w:p>
    <w:p w14:paraId="0DF1AFF0" w14:textId="77777777" w:rsidR="001D59B9" w:rsidRPr="0048465B" w:rsidRDefault="001D59B9">
      <w:pPr>
        <w:spacing w:line="360" w:lineRule="auto"/>
        <w:jc w:val="center"/>
        <w:rPr>
          <w:b/>
          <w:sz w:val="28"/>
          <w:szCs w:val="28"/>
          <w:lang w:val="en-GB"/>
        </w:rPr>
      </w:pPr>
    </w:p>
    <w:p w14:paraId="0BF74276" w14:textId="77777777" w:rsidR="001D59B9" w:rsidRPr="0048465B" w:rsidRDefault="001D59B9">
      <w:pPr>
        <w:spacing w:line="360" w:lineRule="auto"/>
        <w:jc w:val="center"/>
        <w:rPr>
          <w:b/>
          <w:sz w:val="28"/>
          <w:szCs w:val="28"/>
          <w:lang w:val="en-GB"/>
        </w:rPr>
      </w:pPr>
    </w:p>
    <w:p w14:paraId="27BD6C28" w14:textId="77777777" w:rsidR="001D59B9" w:rsidRPr="0048465B" w:rsidRDefault="001D59B9">
      <w:pPr>
        <w:spacing w:line="360" w:lineRule="auto"/>
        <w:jc w:val="center"/>
        <w:rPr>
          <w:b/>
          <w:sz w:val="28"/>
          <w:szCs w:val="28"/>
          <w:lang w:val="en-GB"/>
        </w:rPr>
      </w:pPr>
    </w:p>
    <w:p w14:paraId="28EAF25B" w14:textId="77777777" w:rsidR="001D59B9" w:rsidRPr="0048465B" w:rsidRDefault="001D59B9">
      <w:pPr>
        <w:spacing w:line="360" w:lineRule="auto"/>
        <w:jc w:val="center"/>
        <w:rPr>
          <w:b/>
          <w:sz w:val="28"/>
          <w:szCs w:val="28"/>
          <w:lang w:val="en-GB"/>
        </w:rPr>
      </w:pPr>
    </w:p>
    <w:p w14:paraId="58604CE5" w14:textId="77777777" w:rsidR="001D59B9" w:rsidRPr="0048465B" w:rsidRDefault="001D59B9">
      <w:pPr>
        <w:spacing w:line="360" w:lineRule="auto"/>
        <w:jc w:val="center"/>
        <w:rPr>
          <w:b/>
          <w:sz w:val="28"/>
          <w:szCs w:val="28"/>
          <w:lang w:val="en-GB"/>
        </w:rPr>
      </w:pPr>
    </w:p>
    <w:p w14:paraId="0172E41B" w14:textId="77777777" w:rsidR="001D59B9" w:rsidRPr="0048465B" w:rsidRDefault="001D59B9">
      <w:pPr>
        <w:spacing w:line="360" w:lineRule="auto"/>
        <w:jc w:val="center"/>
        <w:rPr>
          <w:b/>
          <w:sz w:val="28"/>
          <w:szCs w:val="28"/>
          <w:lang w:val="en-GB"/>
        </w:rPr>
      </w:pPr>
    </w:p>
    <w:p w14:paraId="2FA59D67" w14:textId="77777777" w:rsidR="001D59B9" w:rsidRPr="0048465B" w:rsidRDefault="001D59B9">
      <w:pPr>
        <w:spacing w:line="360" w:lineRule="auto"/>
        <w:jc w:val="center"/>
        <w:rPr>
          <w:b/>
          <w:sz w:val="28"/>
          <w:szCs w:val="28"/>
          <w:lang w:val="en-GB"/>
        </w:rPr>
      </w:pPr>
    </w:p>
    <w:p w14:paraId="7F9437BB" w14:textId="77777777" w:rsidR="001D59B9" w:rsidRPr="0048465B" w:rsidRDefault="001D59B9">
      <w:pPr>
        <w:spacing w:line="360" w:lineRule="auto"/>
        <w:jc w:val="center"/>
        <w:rPr>
          <w:b/>
          <w:sz w:val="28"/>
          <w:szCs w:val="28"/>
          <w:lang w:val="en-GB"/>
        </w:rPr>
      </w:pPr>
    </w:p>
    <w:p w14:paraId="742AF8EE" w14:textId="77777777" w:rsidR="001D59B9" w:rsidRPr="0048465B" w:rsidRDefault="001D59B9">
      <w:pPr>
        <w:spacing w:line="360" w:lineRule="auto"/>
        <w:jc w:val="center"/>
        <w:rPr>
          <w:b/>
          <w:sz w:val="28"/>
          <w:szCs w:val="28"/>
          <w:lang w:val="en-GB"/>
        </w:rPr>
      </w:pPr>
    </w:p>
    <w:p w14:paraId="2F9CAB96" w14:textId="77777777" w:rsidR="001D59B9" w:rsidRPr="0048465B" w:rsidRDefault="001D59B9">
      <w:pPr>
        <w:spacing w:line="360" w:lineRule="auto"/>
        <w:jc w:val="center"/>
        <w:rPr>
          <w:b/>
          <w:sz w:val="28"/>
          <w:szCs w:val="28"/>
          <w:lang w:val="en-GB"/>
        </w:rPr>
      </w:pPr>
    </w:p>
    <w:p w14:paraId="286F6D57" w14:textId="77777777" w:rsidR="001D59B9" w:rsidRPr="0048465B" w:rsidRDefault="001D59B9">
      <w:pPr>
        <w:spacing w:line="360" w:lineRule="auto"/>
        <w:jc w:val="left"/>
        <w:rPr>
          <w:b/>
          <w:sz w:val="28"/>
          <w:szCs w:val="28"/>
          <w:lang w:val="en-GB"/>
        </w:rPr>
      </w:pPr>
    </w:p>
    <w:p w14:paraId="55C25FE5" w14:textId="77777777" w:rsidR="001D59B9" w:rsidRPr="0048465B" w:rsidRDefault="001D59B9">
      <w:pPr>
        <w:spacing w:line="360" w:lineRule="auto"/>
        <w:jc w:val="left"/>
        <w:rPr>
          <w:b/>
          <w:sz w:val="28"/>
          <w:szCs w:val="28"/>
          <w:lang w:val="en-GB"/>
        </w:rPr>
      </w:pPr>
    </w:p>
    <w:p w14:paraId="1CE5C45D" w14:textId="77777777" w:rsidR="001D59B9" w:rsidRPr="0048465B" w:rsidRDefault="001D59B9">
      <w:pPr>
        <w:spacing w:line="360" w:lineRule="auto"/>
        <w:jc w:val="left"/>
        <w:rPr>
          <w:b/>
          <w:sz w:val="28"/>
          <w:szCs w:val="28"/>
          <w:lang w:val="en-GB"/>
        </w:rPr>
      </w:pPr>
    </w:p>
    <w:p w14:paraId="35AAD40A" w14:textId="77777777" w:rsidR="001D59B9" w:rsidRPr="0048465B" w:rsidRDefault="001D59B9">
      <w:pPr>
        <w:spacing w:line="360" w:lineRule="auto"/>
        <w:jc w:val="left"/>
        <w:rPr>
          <w:b/>
          <w:sz w:val="28"/>
          <w:szCs w:val="28"/>
          <w:lang w:val="en-GB"/>
        </w:rPr>
      </w:pPr>
    </w:p>
    <w:p w14:paraId="75955C92" w14:textId="77777777" w:rsidR="001D59B9" w:rsidRPr="0048465B" w:rsidRDefault="001D59B9">
      <w:pPr>
        <w:spacing w:line="360" w:lineRule="auto"/>
        <w:jc w:val="left"/>
        <w:rPr>
          <w:b/>
          <w:sz w:val="28"/>
          <w:szCs w:val="28"/>
          <w:lang w:val="en-GB"/>
        </w:rPr>
      </w:pPr>
    </w:p>
    <w:p w14:paraId="624B9458" w14:textId="3892FE5A" w:rsidR="001D59B9" w:rsidRDefault="001D59B9">
      <w:pPr>
        <w:spacing w:line="360" w:lineRule="auto"/>
        <w:jc w:val="left"/>
        <w:rPr>
          <w:b/>
          <w:sz w:val="28"/>
          <w:szCs w:val="28"/>
          <w:lang w:val="en-GB"/>
        </w:rPr>
      </w:pPr>
    </w:p>
    <w:p w14:paraId="7A348335" w14:textId="77777777" w:rsidR="003C3F71" w:rsidRPr="0048465B" w:rsidRDefault="003C3F71">
      <w:pPr>
        <w:spacing w:line="360" w:lineRule="auto"/>
        <w:jc w:val="left"/>
        <w:rPr>
          <w:b/>
          <w:sz w:val="28"/>
          <w:szCs w:val="28"/>
          <w:lang w:val="en-GB"/>
        </w:rPr>
      </w:pPr>
    </w:p>
    <w:p w14:paraId="0886E8B6" w14:textId="77777777" w:rsidR="001D59B9" w:rsidRPr="0048465B" w:rsidRDefault="00703A05">
      <w:pPr>
        <w:spacing w:line="360" w:lineRule="auto"/>
        <w:jc w:val="center"/>
        <w:rPr>
          <w:b/>
          <w:sz w:val="28"/>
          <w:szCs w:val="28"/>
          <w:lang w:val="en-GB"/>
        </w:rPr>
      </w:pPr>
      <w:r w:rsidRPr="0048465B">
        <w:rPr>
          <w:b/>
          <w:sz w:val="28"/>
          <w:szCs w:val="28"/>
          <w:lang w:val="en-GB"/>
        </w:rPr>
        <w:lastRenderedPageBreak/>
        <w:t>Bibliography</w:t>
      </w:r>
    </w:p>
    <w:p w14:paraId="3A9A4172" w14:textId="77777777" w:rsidR="001D59B9" w:rsidRPr="0048465B" w:rsidRDefault="001D59B9">
      <w:pPr>
        <w:spacing w:line="360" w:lineRule="auto"/>
        <w:jc w:val="center"/>
        <w:rPr>
          <w:b/>
          <w:sz w:val="28"/>
          <w:szCs w:val="28"/>
          <w:lang w:val="en-GB"/>
        </w:rPr>
      </w:pPr>
    </w:p>
    <w:p w14:paraId="4ACD7626" w14:textId="77777777" w:rsidR="001D59B9" w:rsidRPr="001F7B7F" w:rsidRDefault="00703A05">
      <w:pPr>
        <w:spacing w:line="360" w:lineRule="auto"/>
        <w:ind w:left="720"/>
        <w:jc w:val="center"/>
        <w:rPr>
          <w:b/>
          <w:lang w:val="en-GB"/>
        </w:rPr>
      </w:pPr>
      <w:r w:rsidRPr="001F7B7F">
        <w:rPr>
          <w:b/>
          <w:lang w:val="en-GB"/>
        </w:rPr>
        <w:t>Works of Fiction and Testimony</w:t>
      </w:r>
    </w:p>
    <w:p w14:paraId="473A7170" w14:textId="77777777" w:rsidR="001D59B9" w:rsidRPr="0048465B" w:rsidRDefault="001D59B9">
      <w:pPr>
        <w:spacing w:line="360" w:lineRule="auto"/>
        <w:ind w:left="720"/>
        <w:jc w:val="center"/>
        <w:rPr>
          <w:b/>
          <w:lang w:val="en-GB"/>
        </w:rPr>
      </w:pPr>
    </w:p>
    <w:p w14:paraId="281EA32A" w14:textId="63194E80" w:rsidR="001D59B9" w:rsidRPr="0048465B" w:rsidRDefault="00703A05" w:rsidP="00714416">
      <w:pPr>
        <w:tabs>
          <w:tab w:val="left" w:pos="720"/>
          <w:tab w:val="left" w:pos="3131"/>
        </w:tabs>
        <w:spacing w:after="240" w:line="360" w:lineRule="auto"/>
        <w:ind w:left="720"/>
        <w:rPr>
          <w:lang w:val="en-GB"/>
        </w:rPr>
      </w:pPr>
      <w:r w:rsidRPr="0048465B">
        <w:rPr>
          <w:lang w:val="en-GB"/>
        </w:rPr>
        <w:t xml:space="preserve">Abulhawa, Susan, </w:t>
      </w:r>
      <w:r w:rsidRPr="0048465B">
        <w:rPr>
          <w:i/>
          <w:lang w:val="en-GB"/>
        </w:rPr>
        <w:t>Mornings in Jenin</w:t>
      </w:r>
      <w:r w:rsidRPr="0048465B">
        <w:rPr>
          <w:lang w:val="en-GB"/>
        </w:rPr>
        <w:t xml:space="preserve"> (Bloomsbury Publishing, 2010)</w:t>
      </w:r>
      <w:r w:rsidR="003C28AB">
        <w:rPr>
          <w:lang w:val="en-GB"/>
        </w:rPr>
        <w:t>.</w:t>
      </w:r>
    </w:p>
    <w:p w14:paraId="3A66550E" w14:textId="46C3805C" w:rsidR="001D59B9" w:rsidRPr="0048465B" w:rsidRDefault="00703A05" w:rsidP="00714416">
      <w:pPr>
        <w:widowControl w:val="0"/>
        <w:spacing w:after="240" w:line="360" w:lineRule="auto"/>
        <w:ind w:left="720"/>
        <w:jc w:val="left"/>
        <w:rPr>
          <w:lang w:val="en-GB"/>
        </w:rPr>
      </w:pPr>
      <w:r w:rsidRPr="0048465B">
        <w:rPr>
          <w:lang w:val="en-GB"/>
        </w:rPr>
        <w:t>al-</w:t>
      </w:r>
      <w:proofErr w:type="spellStart"/>
      <w:r w:rsidRPr="0048465B">
        <w:rPr>
          <w:lang w:val="en-GB"/>
        </w:rPr>
        <w:t>Madhoun</w:t>
      </w:r>
      <w:proofErr w:type="spellEnd"/>
      <w:r w:rsidRPr="0048465B">
        <w:rPr>
          <w:lang w:val="en-GB"/>
        </w:rPr>
        <w:t xml:space="preserve">, </w:t>
      </w:r>
      <w:proofErr w:type="spellStart"/>
      <w:r w:rsidRPr="0048465B">
        <w:rPr>
          <w:lang w:val="en-GB"/>
        </w:rPr>
        <w:t>Rabai</w:t>
      </w:r>
      <w:proofErr w:type="spellEnd"/>
      <w:r w:rsidRPr="0048465B">
        <w:rPr>
          <w:lang w:val="en-GB"/>
        </w:rPr>
        <w:t xml:space="preserve">, </w:t>
      </w:r>
      <w:r w:rsidRPr="0048465B">
        <w:rPr>
          <w:i/>
          <w:lang w:val="en-GB"/>
        </w:rPr>
        <w:t>Fractured Destinies</w:t>
      </w:r>
      <w:r w:rsidRPr="0048465B">
        <w:rPr>
          <w:lang w:val="en-GB"/>
        </w:rPr>
        <w:t>, trans. by Paul Starkey (Hoopoe, 2018)</w:t>
      </w:r>
      <w:r w:rsidR="003C28AB">
        <w:rPr>
          <w:lang w:val="en-GB"/>
        </w:rPr>
        <w:t>.</w:t>
      </w:r>
    </w:p>
    <w:p w14:paraId="02D9C8EA" w14:textId="10BCAA35" w:rsidR="001D59B9" w:rsidRPr="0048465B" w:rsidRDefault="00703A05" w:rsidP="00714416">
      <w:pPr>
        <w:widowControl w:val="0"/>
        <w:spacing w:after="240" w:line="360" w:lineRule="auto"/>
        <w:ind w:left="720"/>
        <w:jc w:val="left"/>
        <w:rPr>
          <w:lang w:val="en-GB"/>
        </w:rPr>
      </w:pPr>
      <w:r w:rsidRPr="0048465B">
        <w:rPr>
          <w:lang w:val="en-GB"/>
        </w:rPr>
        <w:t xml:space="preserve">Berdugo, Sami, </w:t>
      </w:r>
      <w:r w:rsidRPr="0048465B">
        <w:rPr>
          <w:i/>
          <w:lang w:val="en-GB"/>
        </w:rPr>
        <w:t>Orphans</w:t>
      </w:r>
      <w:r w:rsidRPr="0048465B">
        <w:rPr>
          <w:lang w:val="en-GB"/>
        </w:rPr>
        <w:t xml:space="preserve">, trans. by </w:t>
      </w:r>
      <w:proofErr w:type="spellStart"/>
      <w:r w:rsidRPr="0048465B">
        <w:rPr>
          <w:lang w:val="en-GB"/>
        </w:rPr>
        <w:t>Dalya</w:t>
      </w:r>
      <w:proofErr w:type="spellEnd"/>
      <w:r w:rsidRPr="0048465B">
        <w:rPr>
          <w:lang w:val="en-GB"/>
        </w:rPr>
        <w:t xml:space="preserve"> </w:t>
      </w:r>
      <w:proofErr w:type="spellStart"/>
      <w:r w:rsidRPr="0048465B">
        <w:rPr>
          <w:lang w:val="en-GB"/>
        </w:rPr>
        <w:t>Bilu</w:t>
      </w:r>
      <w:proofErr w:type="spellEnd"/>
      <w:r w:rsidRPr="0048465B">
        <w:rPr>
          <w:lang w:val="en-GB"/>
        </w:rPr>
        <w:t xml:space="preserve"> &lt;https://www.jewishfiction.net/index.php/publisher/articleview/frmArticleID/198&gt; [accessed 14 July 2020]</w:t>
      </w:r>
      <w:r w:rsidR="003C28AB">
        <w:rPr>
          <w:lang w:val="en-GB"/>
        </w:rPr>
        <w:t>.</w:t>
      </w:r>
    </w:p>
    <w:p w14:paraId="77FD6FC7" w14:textId="108AA2F3" w:rsidR="001D59B9" w:rsidRPr="0048465B" w:rsidRDefault="00703A05" w:rsidP="00714416">
      <w:pPr>
        <w:widowControl w:val="0"/>
        <w:spacing w:after="240" w:line="360" w:lineRule="auto"/>
        <w:ind w:left="720"/>
        <w:jc w:val="left"/>
        <w:rPr>
          <w:lang w:val="en-GB"/>
        </w:rPr>
      </w:pPr>
      <w:r w:rsidRPr="0048465B">
        <w:rPr>
          <w:lang w:val="en-GB"/>
        </w:rPr>
        <w:t xml:space="preserve">Castel-Bloom, </w:t>
      </w:r>
      <w:proofErr w:type="spellStart"/>
      <w:r w:rsidRPr="0048465B">
        <w:rPr>
          <w:lang w:val="en-GB"/>
        </w:rPr>
        <w:t>Orly</w:t>
      </w:r>
      <w:proofErr w:type="spellEnd"/>
      <w:r w:rsidRPr="0048465B">
        <w:rPr>
          <w:lang w:val="en-GB"/>
        </w:rPr>
        <w:t>, ‘</w:t>
      </w:r>
      <w:proofErr w:type="spellStart"/>
      <w:r w:rsidRPr="0048465B">
        <w:rPr>
          <w:lang w:val="en-GB"/>
        </w:rPr>
        <w:t>Ummi</w:t>
      </w:r>
      <w:proofErr w:type="spellEnd"/>
      <w:r w:rsidRPr="0048465B">
        <w:rPr>
          <w:lang w:val="en-GB"/>
        </w:rPr>
        <w:t xml:space="preserve"> Fi </w:t>
      </w:r>
      <w:proofErr w:type="spellStart"/>
      <w:r w:rsidRPr="0048465B">
        <w:rPr>
          <w:lang w:val="en-GB"/>
        </w:rPr>
        <w:t>Shurl</w:t>
      </w:r>
      <w:proofErr w:type="spellEnd"/>
      <w:r w:rsidRPr="0048465B">
        <w:rPr>
          <w:lang w:val="en-GB"/>
        </w:rPr>
        <w:t xml:space="preserve">’, in </w:t>
      </w:r>
      <w:r w:rsidRPr="0048465B">
        <w:rPr>
          <w:i/>
          <w:lang w:val="en-GB"/>
        </w:rPr>
        <w:t>Ribcage: Israeli Women’s Fiction : A Hadassah Study Guide</w:t>
      </w:r>
      <w:r w:rsidRPr="0048465B">
        <w:rPr>
          <w:lang w:val="en-GB"/>
        </w:rPr>
        <w:t xml:space="preserve">, ed. by Carol </w:t>
      </w:r>
      <w:proofErr w:type="spellStart"/>
      <w:r w:rsidRPr="0048465B">
        <w:rPr>
          <w:lang w:val="en-GB"/>
        </w:rPr>
        <w:t>Diament</w:t>
      </w:r>
      <w:proofErr w:type="spellEnd"/>
      <w:r w:rsidRPr="0048465B">
        <w:rPr>
          <w:lang w:val="en-GB"/>
        </w:rPr>
        <w:t xml:space="preserve"> and Lily </w:t>
      </w:r>
      <w:proofErr w:type="spellStart"/>
      <w:r w:rsidRPr="0048465B">
        <w:rPr>
          <w:lang w:val="en-GB"/>
        </w:rPr>
        <w:t>Rattok</w:t>
      </w:r>
      <w:proofErr w:type="spellEnd"/>
      <w:r w:rsidRPr="0048465B">
        <w:rPr>
          <w:lang w:val="en-GB"/>
        </w:rPr>
        <w:t xml:space="preserve">, trans. by </w:t>
      </w:r>
      <w:proofErr w:type="spellStart"/>
      <w:r w:rsidRPr="0048465B">
        <w:rPr>
          <w:lang w:val="en-GB"/>
        </w:rPr>
        <w:t>Dalya</w:t>
      </w:r>
      <w:proofErr w:type="spellEnd"/>
      <w:r w:rsidRPr="0048465B">
        <w:rPr>
          <w:lang w:val="en-GB"/>
        </w:rPr>
        <w:t xml:space="preserve"> </w:t>
      </w:r>
      <w:proofErr w:type="spellStart"/>
      <w:r w:rsidRPr="0048465B">
        <w:rPr>
          <w:lang w:val="en-GB"/>
        </w:rPr>
        <w:t>Bilu</w:t>
      </w:r>
      <w:proofErr w:type="spellEnd"/>
      <w:r w:rsidRPr="0048465B">
        <w:rPr>
          <w:lang w:val="en-GB"/>
        </w:rPr>
        <w:t xml:space="preserve"> (Hadassah, 1994), pp. 259–61</w:t>
      </w:r>
      <w:r w:rsidR="003C28AB">
        <w:rPr>
          <w:lang w:val="en-GB"/>
        </w:rPr>
        <w:t>.</w:t>
      </w:r>
    </w:p>
    <w:p w14:paraId="50B61D08" w14:textId="28D66EA6" w:rsidR="001D59B9" w:rsidRPr="0048465B" w:rsidRDefault="00703A05" w:rsidP="00714416">
      <w:pPr>
        <w:widowControl w:val="0"/>
        <w:spacing w:after="240" w:line="360" w:lineRule="auto"/>
        <w:ind w:left="720"/>
        <w:jc w:val="left"/>
        <w:rPr>
          <w:lang w:val="en-GB"/>
        </w:rPr>
      </w:pPr>
      <w:r w:rsidRPr="0048465B">
        <w:rPr>
          <w:lang w:val="en-GB"/>
        </w:rPr>
        <w:t xml:space="preserve">Chabon, Michael, </w:t>
      </w:r>
      <w:r w:rsidRPr="0048465B">
        <w:rPr>
          <w:i/>
          <w:lang w:val="en-GB"/>
        </w:rPr>
        <w:t>The Yiddish Policemen’s Union</w:t>
      </w:r>
      <w:r w:rsidRPr="0048465B">
        <w:rPr>
          <w:lang w:val="en-GB"/>
        </w:rPr>
        <w:t xml:space="preserve"> (London: Harper Perennial, 2008)</w:t>
      </w:r>
      <w:r w:rsidR="003C28AB">
        <w:rPr>
          <w:lang w:val="en-GB"/>
        </w:rPr>
        <w:t>.</w:t>
      </w:r>
    </w:p>
    <w:p w14:paraId="7584907F" w14:textId="6EA889E5" w:rsidR="001D59B9" w:rsidRPr="0048465B" w:rsidRDefault="00703A05" w:rsidP="00714416">
      <w:pPr>
        <w:widowControl w:val="0"/>
        <w:spacing w:after="240" w:line="360" w:lineRule="auto"/>
        <w:ind w:left="720"/>
        <w:jc w:val="left"/>
        <w:rPr>
          <w:lang w:val="en-GB"/>
        </w:rPr>
      </w:pPr>
      <w:proofErr w:type="spellStart"/>
      <w:r w:rsidRPr="0048465B">
        <w:rPr>
          <w:lang w:val="en-GB"/>
        </w:rPr>
        <w:t>Chayut</w:t>
      </w:r>
      <w:proofErr w:type="spellEnd"/>
      <w:r w:rsidRPr="0048465B">
        <w:rPr>
          <w:lang w:val="en-GB"/>
        </w:rPr>
        <w:t xml:space="preserve">, Noam, </w:t>
      </w:r>
      <w:r w:rsidRPr="0048465B">
        <w:rPr>
          <w:i/>
          <w:lang w:val="en-GB"/>
        </w:rPr>
        <w:t>The Girl Who Stole My Holocaust: A Memoir</w:t>
      </w:r>
      <w:r w:rsidRPr="0048465B">
        <w:rPr>
          <w:lang w:val="en-GB"/>
        </w:rPr>
        <w:t xml:space="preserve"> (London: Verso, 2013)</w:t>
      </w:r>
      <w:r w:rsidR="003C28AB">
        <w:rPr>
          <w:lang w:val="en-GB"/>
        </w:rPr>
        <w:t>.</w:t>
      </w:r>
    </w:p>
    <w:p w14:paraId="79A85B1C" w14:textId="1F5567AC" w:rsidR="001D59B9" w:rsidRPr="0048465B" w:rsidRDefault="00703A05" w:rsidP="00714416">
      <w:pPr>
        <w:widowControl w:val="0"/>
        <w:spacing w:after="240" w:line="360" w:lineRule="auto"/>
        <w:ind w:left="720"/>
        <w:jc w:val="left"/>
        <w:rPr>
          <w:lang w:val="en-GB"/>
        </w:rPr>
      </w:pPr>
      <w:r w:rsidRPr="0048465B">
        <w:rPr>
          <w:lang w:val="en-GB"/>
        </w:rPr>
        <w:t xml:space="preserve">Habibi, Emile, </w:t>
      </w:r>
      <w:r w:rsidRPr="0048465B">
        <w:rPr>
          <w:i/>
          <w:lang w:val="en-GB"/>
        </w:rPr>
        <w:t>The Secret Life of Saeed, The Ill-Fated Pessoptimist: A Palestinian Who Became a Citizen of Israel</w:t>
      </w:r>
      <w:r w:rsidRPr="0048465B">
        <w:rPr>
          <w:lang w:val="en-GB"/>
        </w:rPr>
        <w:t xml:space="preserve">, trans. by Salma Khadra </w:t>
      </w:r>
      <w:r w:rsidR="00D935C7">
        <w:rPr>
          <w:lang w:val="en-GB"/>
        </w:rPr>
        <w:t>J</w:t>
      </w:r>
      <w:r w:rsidRPr="0048465B">
        <w:rPr>
          <w:lang w:val="en-GB"/>
        </w:rPr>
        <w:t xml:space="preserve">ayyusi and Trevor Le </w:t>
      </w:r>
      <w:proofErr w:type="spellStart"/>
      <w:r w:rsidRPr="0048465B">
        <w:rPr>
          <w:lang w:val="en-GB"/>
        </w:rPr>
        <w:t>Gassick</w:t>
      </w:r>
      <w:proofErr w:type="spellEnd"/>
      <w:r w:rsidRPr="0048465B">
        <w:rPr>
          <w:lang w:val="en-GB"/>
        </w:rPr>
        <w:t xml:space="preserve"> (Columbia LA: Readers international, 1989)</w:t>
      </w:r>
      <w:r w:rsidR="003C28AB">
        <w:rPr>
          <w:lang w:val="en-GB"/>
        </w:rPr>
        <w:t>.</w:t>
      </w:r>
    </w:p>
    <w:p w14:paraId="4ABC2E7E" w14:textId="459D34C4" w:rsidR="001D59B9" w:rsidRPr="0048465B" w:rsidRDefault="00703A05" w:rsidP="00714416">
      <w:pPr>
        <w:widowControl w:val="0"/>
        <w:spacing w:after="240" w:line="360" w:lineRule="auto"/>
        <w:ind w:left="720"/>
        <w:jc w:val="left"/>
        <w:rPr>
          <w:lang w:val="en-GB"/>
        </w:rPr>
      </w:pPr>
      <w:r w:rsidRPr="0048465B">
        <w:rPr>
          <w:lang w:val="en-GB"/>
        </w:rPr>
        <w:t xml:space="preserve">Hajaj, Claire, </w:t>
      </w:r>
      <w:r w:rsidRPr="0048465B">
        <w:rPr>
          <w:i/>
          <w:lang w:val="en-GB"/>
        </w:rPr>
        <w:t>Ishmael’s Oranges</w:t>
      </w:r>
      <w:r w:rsidRPr="0048465B">
        <w:rPr>
          <w:lang w:val="en-GB"/>
        </w:rPr>
        <w:t xml:space="preserve"> (</w:t>
      </w:r>
      <w:r w:rsidR="003C28AB">
        <w:rPr>
          <w:lang w:val="en-GB"/>
        </w:rPr>
        <w:t xml:space="preserve">London: </w:t>
      </w:r>
      <w:proofErr w:type="spellStart"/>
      <w:r w:rsidRPr="0048465B">
        <w:rPr>
          <w:lang w:val="en-GB"/>
        </w:rPr>
        <w:t>Oneworld</w:t>
      </w:r>
      <w:proofErr w:type="spellEnd"/>
      <w:r w:rsidRPr="0048465B">
        <w:rPr>
          <w:lang w:val="en-GB"/>
        </w:rPr>
        <w:t xml:space="preserve"> Publications, 2014)</w:t>
      </w:r>
      <w:r w:rsidR="003C28AB">
        <w:rPr>
          <w:lang w:val="en-GB"/>
        </w:rPr>
        <w:t>.</w:t>
      </w:r>
    </w:p>
    <w:p w14:paraId="30507237" w14:textId="27091C09" w:rsidR="001D59B9" w:rsidRPr="0048465B" w:rsidRDefault="00703A05" w:rsidP="00714416">
      <w:pPr>
        <w:widowControl w:val="0"/>
        <w:spacing w:after="240" w:line="360" w:lineRule="auto"/>
        <w:ind w:left="720"/>
        <w:jc w:val="left"/>
        <w:rPr>
          <w:lang w:val="en-GB"/>
        </w:rPr>
      </w:pPr>
      <w:r w:rsidRPr="0048465B">
        <w:rPr>
          <w:lang w:val="en-GB"/>
        </w:rPr>
        <w:t xml:space="preserve">Hare, David, </w:t>
      </w:r>
      <w:r w:rsidRPr="0048465B">
        <w:rPr>
          <w:i/>
          <w:lang w:val="en-GB"/>
        </w:rPr>
        <w:t>Via Dolorosa</w:t>
      </w:r>
      <w:r w:rsidRPr="0048465B">
        <w:rPr>
          <w:lang w:val="en-GB"/>
        </w:rPr>
        <w:t xml:space="preserve"> (London: Faber &amp; Faber, 1998)</w:t>
      </w:r>
      <w:r w:rsidR="003C28AB">
        <w:rPr>
          <w:lang w:val="en-GB"/>
        </w:rPr>
        <w:t>.</w:t>
      </w:r>
    </w:p>
    <w:p w14:paraId="193A64AD" w14:textId="7B0E960F" w:rsidR="001D59B9" w:rsidRPr="0048465B" w:rsidRDefault="00703A05" w:rsidP="00714416">
      <w:pPr>
        <w:widowControl w:val="0"/>
        <w:spacing w:after="240" w:line="360" w:lineRule="auto"/>
        <w:ind w:left="720"/>
        <w:jc w:val="left"/>
        <w:rPr>
          <w:lang w:val="en-GB"/>
        </w:rPr>
      </w:pPr>
      <w:r w:rsidRPr="0048465B">
        <w:rPr>
          <w:lang w:val="en-GB"/>
        </w:rPr>
        <w:t xml:space="preserve">Kanafani, Ghassan, </w:t>
      </w:r>
      <w:r w:rsidRPr="0048465B">
        <w:rPr>
          <w:i/>
          <w:lang w:val="en-GB"/>
        </w:rPr>
        <w:t>Palestine’s Children: Returning to Haifa and Other Stories</w:t>
      </w:r>
      <w:r w:rsidRPr="0048465B">
        <w:rPr>
          <w:lang w:val="en-GB"/>
        </w:rPr>
        <w:t xml:space="preserve"> (Boulder, CO: Lynne </w:t>
      </w:r>
      <w:proofErr w:type="spellStart"/>
      <w:r w:rsidRPr="0048465B">
        <w:rPr>
          <w:lang w:val="en-GB"/>
        </w:rPr>
        <w:t>Rienner</w:t>
      </w:r>
      <w:proofErr w:type="spellEnd"/>
      <w:r w:rsidRPr="0048465B">
        <w:rPr>
          <w:lang w:val="en-GB"/>
        </w:rPr>
        <w:t xml:space="preserve"> Publishers, 2000)</w:t>
      </w:r>
      <w:r w:rsidR="003C28AB">
        <w:rPr>
          <w:lang w:val="en-GB"/>
        </w:rPr>
        <w:t>.</w:t>
      </w:r>
    </w:p>
    <w:p w14:paraId="7034F944" w14:textId="705116AF" w:rsidR="001D59B9" w:rsidRPr="0048465B" w:rsidRDefault="00703A05" w:rsidP="00714416">
      <w:pPr>
        <w:widowControl w:val="0"/>
        <w:spacing w:after="240" w:line="360" w:lineRule="auto"/>
        <w:ind w:left="720"/>
        <w:jc w:val="left"/>
        <w:rPr>
          <w:lang w:val="en-GB"/>
        </w:rPr>
      </w:pPr>
      <w:r w:rsidRPr="0048465B">
        <w:rPr>
          <w:lang w:val="en-GB"/>
        </w:rPr>
        <w:t xml:space="preserve">Levi, Primo, </w:t>
      </w:r>
      <w:r w:rsidRPr="0048465B">
        <w:rPr>
          <w:i/>
          <w:lang w:val="en-GB"/>
        </w:rPr>
        <w:t>If This Is a Man/The Truce</w:t>
      </w:r>
      <w:r w:rsidRPr="0048465B">
        <w:rPr>
          <w:lang w:val="en-GB"/>
        </w:rPr>
        <w:t>, Reprint (London: Abacus, 1987)</w:t>
      </w:r>
      <w:r w:rsidR="003C28AB">
        <w:rPr>
          <w:lang w:val="en-GB"/>
        </w:rPr>
        <w:t>.</w:t>
      </w:r>
    </w:p>
    <w:p w14:paraId="3B4B9D4A" w14:textId="7395E9E8" w:rsidR="001D59B9" w:rsidRPr="0048465B" w:rsidRDefault="00703A05" w:rsidP="00714416">
      <w:pPr>
        <w:widowControl w:val="0"/>
        <w:spacing w:after="240" w:line="360" w:lineRule="auto"/>
        <w:ind w:left="720"/>
        <w:jc w:val="left"/>
        <w:rPr>
          <w:lang w:val="en-GB"/>
        </w:rPr>
      </w:pPr>
      <w:r w:rsidRPr="0048465B">
        <w:rPr>
          <w:lang w:val="en-GB"/>
        </w:rPr>
        <w:t xml:space="preserve">Phillips, Caryl, </w:t>
      </w:r>
      <w:r w:rsidRPr="0048465B">
        <w:rPr>
          <w:i/>
          <w:lang w:val="en-GB"/>
        </w:rPr>
        <w:t>The Nature of Blood</w:t>
      </w:r>
      <w:r w:rsidRPr="0048465B">
        <w:rPr>
          <w:lang w:val="en-GB"/>
        </w:rPr>
        <w:t xml:space="preserve"> (London: Faber and Faber, 1997)</w:t>
      </w:r>
      <w:r w:rsidR="003C28AB">
        <w:rPr>
          <w:lang w:val="en-GB"/>
        </w:rPr>
        <w:t>.</w:t>
      </w:r>
    </w:p>
    <w:p w14:paraId="5EDDF5D3" w14:textId="02C92D77" w:rsidR="001D59B9" w:rsidRPr="0048465B" w:rsidRDefault="00703A05" w:rsidP="00714416">
      <w:pPr>
        <w:widowControl w:val="0"/>
        <w:spacing w:after="240" w:line="360" w:lineRule="auto"/>
        <w:ind w:left="720"/>
        <w:jc w:val="left"/>
        <w:rPr>
          <w:lang w:val="en-GB"/>
        </w:rPr>
      </w:pPr>
      <w:proofErr w:type="spellStart"/>
      <w:r w:rsidRPr="0048465B">
        <w:rPr>
          <w:lang w:val="en-GB"/>
        </w:rPr>
        <w:t>Rabinyan</w:t>
      </w:r>
      <w:proofErr w:type="spellEnd"/>
      <w:r w:rsidRPr="0048465B">
        <w:rPr>
          <w:lang w:val="en-GB"/>
        </w:rPr>
        <w:t xml:space="preserve">, Dorit, </w:t>
      </w:r>
      <w:r w:rsidRPr="0048465B">
        <w:rPr>
          <w:i/>
          <w:lang w:val="en-GB"/>
        </w:rPr>
        <w:t>All the Rivers: Are There Borders Love Cannot Cross?</w:t>
      </w:r>
      <w:r w:rsidRPr="0048465B">
        <w:rPr>
          <w:lang w:val="en-GB"/>
        </w:rPr>
        <w:t xml:space="preserve">, trans. by Jessica </w:t>
      </w:r>
      <w:r w:rsidRPr="0048465B">
        <w:rPr>
          <w:lang w:val="en-GB"/>
        </w:rPr>
        <w:lastRenderedPageBreak/>
        <w:t>Cohen, Main edition (Serpent’s Tail, 2017)</w:t>
      </w:r>
      <w:r w:rsidR="003C28AB">
        <w:rPr>
          <w:lang w:val="en-GB"/>
        </w:rPr>
        <w:t>.</w:t>
      </w:r>
    </w:p>
    <w:p w14:paraId="042C869C" w14:textId="6EE46692" w:rsidR="001D59B9" w:rsidRPr="0048465B" w:rsidRDefault="00703A05" w:rsidP="00714416">
      <w:pPr>
        <w:widowControl w:val="0"/>
        <w:spacing w:after="240" w:line="360" w:lineRule="auto"/>
        <w:ind w:left="720"/>
        <w:jc w:val="left"/>
        <w:rPr>
          <w:lang w:val="en-GB"/>
        </w:rPr>
      </w:pPr>
      <w:r w:rsidRPr="0048465B">
        <w:rPr>
          <w:lang w:val="en-GB"/>
        </w:rPr>
        <w:t xml:space="preserve">Raczymow, Henri, </w:t>
      </w:r>
      <w:r w:rsidRPr="0048465B">
        <w:rPr>
          <w:i/>
          <w:lang w:val="en-GB"/>
        </w:rPr>
        <w:t>Writing the Book of Esther</w:t>
      </w:r>
      <w:r w:rsidRPr="0048465B">
        <w:rPr>
          <w:lang w:val="en-GB"/>
        </w:rPr>
        <w:t>, trans. by Dori Katz (New York: Holmes &amp; Meier Publishers, 1995)</w:t>
      </w:r>
      <w:r w:rsidR="003C28AB">
        <w:rPr>
          <w:lang w:val="en-GB"/>
        </w:rPr>
        <w:t>.</w:t>
      </w:r>
    </w:p>
    <w:p w14:paraId="3B34B1D0" w14:textId="07FC042A" w:rsidR="001D59B9" w:rsidRPr="0048465B" w:rsidRDefault="00703A05" w:rsidP="00714416">
      <w:pPr>
        <w:widowControl w:val="0"/>
        <w:spacing w:after="240" w:line="360" w:lineRule="auto"/>
        <w:ind w:left="720"/>
        <w:jc w:val="left"/>
        <w:rPr>
          <w:lang w:val="en-GB"/>
        </w:rPr>
      </w:pPr>
      <w:r w:rsidRPr="0048465B">
        <w:rPr>
          <w:lang w:val="en-GB"/>
        </w:rPr>
        <w:t xml:space="preserve">Shibli, </w:t>
      </w:r>
      <w:proofErr w:type="spellStart"/>
      <w:r w:rsidRPr="0048465B">
        <w:rPr>
          <w:lang w:val="en-GB"/>
        </w:rPr>
        <w:t>Adania</w:t>
      </w:r>
      <w:proofErr w:type="spellEnd"/>
      <w:r w:rsidRPr="0048465B">
        <w:rPr>
          <w:lang w:val="en-GB"/>
        </w:rPr>
        <w:t xml:space="preserve">, </w:t>
      </w:r>
      <w:r w:rsidRPr="0048465B">
        <w:rPr>
          <w:i/>
          <w:lang w:val="en-GB"/>
        </w:rPr>
        <w:t>Minor Detail</w:t>
      </w:r>
      <w:r w:rsidRPr="0048465B">
        <w:rPr>
          <w:lang w:val="en-GB"/>
        </w:rPr>
        <w:t xml:space="preserve">, trans. by Elisabeth </w:t>
      </w:r>
      <w:proofErr w:type="spellStart"/>
      <w:r w:rsidRPr="0048465B">
        <w:rPr>
          <w:lang w:val="en-GB"/>
        </w:rPr>
        <w:t>Jaquette</w:t>
      </w:r>
      <w:proofErr w:type="spellEnd"/>
      <w:r w:rsidRPr="0048465B">
        <w:rPr>
          <w:lang w:val="en-GB"/>
        </w:rPr>
        <w:t xml:space="preserve"> (Fitzcarraldo Editions, 2020)</w:t>
      </w:r>
      <w:r w:rsidR="003C28AB">
        <w:rPr>
          <w:lang w:val="en-GB"/>
        </w:rPr>
        <w:t>.</w:t>
      </w:r>
    </w:p>
    <w:p w14:paraId="6F9659AB" w14:textId="7417B1B3" w:rsidR="001D59B9" w:rsidRPr="0048465B" w:rsidRDefault="00703A05" w:rsidP="00714416">
      <w:pPr>
        <w:widowControl w:val="0"/>
        <w:spacing w:after="240" w:line="360" w:lineRule="auto"/>
        <w:ind w:left="720"/>
        <w:jc w:val="left"/>
        <w:rPr>
          <w:lang w:val="en-GB"/>
        </w:rPr>
      </w:pPr>
      <w:r w:rsidRPr="0048465B">
        <w:rPr>
          <w:lang w:val="en-GB"/>
        </w:rPr>
        <w:t xml:space="preserve">Yizhar, S., </w:t>
      </w:r>
      <w:r w:rsidRPr="0048465B">
        <w:rPr>
          <w:i/>
          <w:lang w:val="en-GB"/>
        </w:rPr>
        <w:t>Khirbet Khizeh</w:t>
      </w:r>
      <w:r w:rsidRPr="0048465B">
        <w:rPr>
          <w:lang w:val="en-GB"/>
        </w:rPr>
        <w:t>, trans. by Nicholas De Lange and Yaacob Dweck (New York: Farrar, Straus and Giroux, 2014)</w:t>
      </w:r>
      <w:r w:rsidR="003C28AB">
        <w:rPr>
          <w:lang w:val="en-GB"/>
        </w:rPr>
        <w:t>.</w:t>
      </w:r>
    </w:p>
    <w:p w14:paraId="75FADE8B" w14:textId="77777777" w:rsidR="001D59B9" w:rsidRPr="0048465B" w:rsidRDefault="001D59B9" w:rsidP="003C3F71">
      <w:pPr>
        <w:widowControl w:val="0"/>
        <w:ind w:left="720"/>
        <w:jc w:val="left"/>
        <w:rPr>
          <w:lang w:val="en-GB"/>
        </w:rPr>
      </w:pPr>
    </w:p>
    <w:p w14:paraId="34386A37" w14:textId="77777777" w:rsidR="001D59B9" w:rsidRPr="001F7B7F" w:rsidRDefault="00703A05" w:rsidP="003C3F71">
      <w:pPr>
        <w:ind w:left="720"/>
        <w:jc w:val="center"/>
        <w:rPr>
          <w:b/>
          <w:lang w:val="en-GB"/>
        </w:rPr>
      </w:pPr>
      <w:r w:rsidRPr="001F7B7F">
        <w:rPr>
          <w:b/>
          <w:lang w:val="en-GB"/>
        </w:rPr>
        <w:t>Works of Nonfiction</w:t>
      </w:r>
    </w:p>
    <w:p w14:paraId="734F9339" w14:textId="77777777" w:rsidR="001D59B9" w:rsidRPr="0048465B" w:rsidRDefault="001D59B9" w:rsidP="00714416">
      <w:pPr>
        <w:spacing w:line="360" w:lineRule="auto"/>
        <w:ind w:left="720"/>
        <w:rPr>
          <w:lang w:val="en-GB"/>
        </w:rPr>
      </w:pPr>
    </w:p>
    <w:p w14:paraId="4ECFEA57" w14:textId="0A12E223" w:rsidR="001D59B9" w:rsidRPr="0048465B" w:rsidRDefault="00703A05" w:rsidP="00714416">
      <w:pPr>
        <w:spacing w:after="240" w:line="360" w:lineRule="auto"/>
        <w:ind w:left="720"/>
        <w:rPr>
          <w:lang w:val="en-GB"/>
        </w:rPr>
      </w:pPr>
      <w:r w:rsidRPr="0048465B">
        <w:rPr>
          <w:lang w:val="en-GB"/>
        </w:rPr>
        <w:t xml:space="preserve">‘Abbas Remarks on Holocaust Condemned’, </w:t>
      </w:r>
      <w:r w:rsidRPr="0048465B">
        <w:rPr>
          <w:i/>
          <w:lang w:val="en-GB"/>
        </w:rPr>
        <w:t>BBC News</w:t>
      </w:r>
      <w:r w:rsidRPr="0048465B">
        <w:rPr>
          <w:lang w:val="en-GB"/>
        </w:rPr>
        <w:t>, 1 May 2018, section Middle East &lt;https://www.bbc.com/news/world-middle-east-43967600&gt; [accessed 7 September 2018]</w:t>
      </w:r>
      <w:r w:rsidR="003C28AB">
        <w:rPr>
          <w:lang w:val="en-GB"/>
        </w:rPr>
        <w:t>.</w:t>
      </w:r>
    </w:p>
    <w:p w14:paraId="195DF688" w14:textId="00A3CD29" w:rsidR="001D59B9" w:rsidRPr="0048465B" w:rsidRDefault="00703A05" w:rsidP="00714416">
      <w:pPr>
        <w:spacing w:after="240" w:line="360" w:lineRule="auto"/>
        <w:ind w:left="720"/>
        <w:rPr>
          <w:lang w:val="en-GB"/>
        </w:rPr>
      </w:pPr>
      <w:r w:rsidRPr="0048465B">
        <w:rPr>
          <w:lang w:val="en-GB"/>
        </w:rPr>
        <w:t xml:space="preserve">Abunimah, Ali, ‘Palestinian Writers, Activists Disavow Racism, Anti-Semitism of Gilad Atzmon’, </w:t>
      </w:r>
      <w:r w:rsidRPr="0048465B">
        <w:rPr>
          <w:i/>
          <w:lang w:val="en-GB"/>
        </w:rPr>
        <w:t>The Electronic Intifada</w:t>
      </w:r>
      <w:r w:rsidRPr="0048465B">
        <w:rPr>
          <w:lang w:val="en-GB"/>
        </w:rPr>
        <w:t>, 2012 &lt;https://electronicintifada.net/blogs/ali-abunimah/palestinian-writers-activists-disavow-racism-anti-semitism-gilad-atzmon&gt; [accessed 2 December 2020]</w:t>
      </w:r>
      <w:r w:rsidR="003C28AB">
        <w:rPr>
          <w:lang w:val="en-GB"/>
        </w:rPr>
        <w:t>.</w:t>
      </w:r>
    </w:p>
    <w:p w14:paraId="44C77A9A" w14:textId="2A76F676" w:rsidR="001D59B9" w:rsidRPr="0048465B" w:rsidRDefault="00703A05" w:rsidP="00714416">
      <w:pPr>
        <w:widowControl w:val="0"/>
        <w:spacing w:after="240" w:line="360" w:lineRule="auto"/>
        <w:ind w:left="720"/>
        <w:jc w:val="left"/>
        <w:rPr>
          <w:lang w:val="en-GB"/>
        </w:rPr>
      </w:pPr>
      <w:r w:rsidRPr="0048465B">
        <w:rPr>
          <w:lang w:val="en-GB"/>
        </w:rPr>
        <w:t xml:space="preserve">Achcar, Gilbert, </w:t>
      </w:r>
      <w:r w:rsidRPr="0048465B">
        <w:rPr>
          <w:i/>
          <w:lang w:val="en-GB"/>
        </w:rPr>
        <w:t>The Arabs and the Holocaust: The Arab-Israeli War of Narratives</w:t>
      </w:r>
      <w:r w:rsidRPr="0048465B">
        <w:rPr>
          <w:lang w:val="en-GB"/>
        </w:rPr>
        <w:t xml:space="preserve"> (</w:t>
      </w:r>
      <w:proofErr w:type="spellStart"/>
      <w:r w:rsidRPr="0048465B">
        <w:rPr>
          <w:lang w:val="en-GB"/>
        </w:rPr>
        <w:t>Saqi</w:t>
      </w:r>
      <w:proofErr w:type="spellEnd"/>
      <w:r w:rsidRPr="0048465B">
        <w:rPr>
          <w:lang w:val="en-GB"/>
        </w:rPr>
        <w:t xml:space="preserve"> Books, 2012)</w:t>
      </w:r>
      <w:r w:rsidR="003C28AB">
        <w:rPr>
          <w:lang w:val="en-GB"/>
        </w:rPr>
        <w:t>.</w:t>
      </w:r>
    </w:p>
    <w:p w14:paraId="33B72C74" w14:textId="04F2B9A7" w:rsidR="001D59B9" w:rsidRPr="0048465B" w:rsidRDefault="00703A05" w:rsidP="00714416">
      <w:pPr>
        <w:widowControl w:val="0"/>
        <w:spacing w:after="240" w:line="360" w:lineRule="auto"/>
        <w:ind w:left="720"/>
        <w:jc w:val="left"/>
        <w:rPr>
          <w:lang w:val="en-GB"/>
        </w:rPr>
      </w:pPr>
      <w:r w:rsidRPr="0048465B">
        <w:rPr>
          <w:lang w:val="en-GB"/>
        </w:rPr>
        <w:t xml:space="preserve">Agamben, Giorgio, </w:t>
      </w:r>
      <w:r w:rsidRPr="0048465B">
        <w:rPr>
          <w:i/>
          <w:lang w:val="en-GB"/>
        </w:rPr>
        <w:t>State of Exception</w:t>
      </w:r>
      <w:r w:rsidRPr="0048465B">
        <w:rPr>
          <w:lang w:val="en-GB"/>
        </w:rPr>
        <w:t xml:space="preserve"> (University of Chicago Press, 2005)</w:t>
      </w:r>
      <w:r w:rsidR="003C28AB">
        <w:rPr>
          <w:lang w:val="en-GB"/>
        </w:rPr>
        <w:t>.</w:t>
      </w:r>
    </w:p>
    <w:p w14:paraId="1531350F" w14:textId="7E3FECE4" w:rsidR="001D59B9" w:rsidRPr="0048465B" w:rsidRDefault="00703A05" w:rsidP="00714416">
      <w:pPr>
        <w:widowControl w:val="0"/>
        <w:spacing w:after="240" w:line="360" w:lineRule="auto"/>
        <w:ind w:left="720"/>
        <w:jc w:val="left"/>
        <w:rPr>
          <w:lang w:val="en-GB"/>
        </w:rPr>
      </w:pPr>
      <w:r w:rsidRPr="0048465B">
        <w:rPr>
          <w:lang w:val="en-GB"/>
        </w:rPr>
        <w:t>Agha, Hussein, and Robert Malley, ‘Camp David: The Tragedy of Errors’ &lt;https://www.nybooks.com/articles/2001/08/09/camp-david-the-tragedy-of-errors/&gt; [accessed 30 November 2020]</w:t>
      </w:r>
      <w:r w:rsidR="003C28AB">
        <w:rPr>
          <w:lang w:val="en-GB"/>
        </w:rPr>
        <w:t>.</w:t>
      </w:r>
    </w:p>
    <w:p w14:paraId="1BCD4EE7" w14:textId="3323C7DD" w:rsidR="001D59B9" w:rsidRPr="0048465B" w:rsidRDefault="00703A05" w:rsidP="00714416">
      <w:pPr>
        <w:widowControl w:val="0"/>
        <w:spacing w:after="240" w:line="360" w:lineRule="auto"/>
        <w:ind w:left="720"/>
        <w:jc w:val="left"/>
        <w:rPr>
          <w:lang w:val="en-GB"/>
        </w:rPr>
      </w:pPr>
      <w:r w:rsidRPr="0048465B">
        <w:rPr>
          <w:lang w:val="en-GB"/>
        </w:rPr>
        <w:t xml:space="preserve">Ahmed, Sara, ‘Speaking Out’, </w:t>
      </w:r>
      <w:proofErr w:type="spellStart"/>
      <w:r w:rsidRPr="0048465B">
        <w:rPr>
          <w:i/>
          <w:lang w:val="en-GB"/>
        </w:rPr>
        <w:t>Feministkilljoys</w:t>
      </w:r>
      <w:proofErr w:type="spellEnd"/>
      <w:r w:rsidRPr="0048465B">
        <w:rPr>
          <w:lang w:val="en-GB"/>
        </w:rPr>
        <w:t>, 2016 &lt;https://feministkilljoys.com/2016/06/02/speaking-out/&gt; [accessed 4 September 2018]</w:t>
      </w:r>
      <w:r w:rsidR="003C28AB">
        <w:rPr>
          <w:lang w:val="en-GB"/>
        </w:rPr>
        <w:t>.</w:t>
      </w:r>
    </w:p>
    <w:p w14:paraId="2E58AE37" w14:textId="234F2FD7" w:rsidR="001D59B9" w:rsidRPr="0048465B" w:rsidRDefault="00703A05" w:rsidP="00714416">
      <w:pPr>
        <w:spacing w:after="240" w:line="360" w:lineRule="auto"/>
        <w:ind w:left="720"/>
        <w:rPr>
          <w:lang w:val="en-GB"/>
        </w:rPr>
      </w:pPr>
      <w:r w:rsidRPr="0048465B">
        <w:rPr>
          <w:lang w:val="en-GB"/>
        </w:rPr>
        <w:t xml:space="preserve">‘“A Huge and Timely BDS Victory”: Microsoft Divests from Israeli Tech Firm </w:t>
      </w:r>
      <w:proofErr w:type="spellStart"/>
      <w:r w:rsidRPr="0048465B">
        <w:rPr>
          <w:lang w:val="en-GB"/>
        </w:rPr>
        <w:t>AnyVision</w:t>
      </w:r>
      <w:proofErr w:type="spellEnd"/>
      <w:r w:rsidRPr="0048465B">
        <w:rPr>
          <w:lang w:val="en-GB"/>
        </w:rPr>
        <w:t xml:space="preserve">’, </w:t>
      </w:r>
      <w:proofErr w:type="spellStart"/>
      <w:r w:rsidRPr="0048465B">
        <w:rPr>
          <w:i/>
          <w:lang w:val="en-GB"/>
        </w:rPr>
        <w:t>Mondoweiss</w:t>
      </w:r>
      <w:proofErr w:type="spellEnd"/>
      <w:r w:rsidRPr="0048465B">
        <w:rPr>
          <w:lang w:val="en-GB"/>
        </w:rPr>
        <w:t>, 2020 &lt;https://mondoweiss.net/2020/03/a-huge-and-timely-bds-</w:t>
      </w:r>
      <w:r w:rsidRPr="0048465B">
        <w:rPr>
          <w:lang w:val="en-GB"/>
        </w:rPr>
        <w:lastRenderedPageBreak/>
        <w:t>victory-microsoft-divests-from-israeli-tech-firm-anyvision/&gt; [accessed 8 December 2020]</w:t>
      </w:r>
      <w:r w:rsidR="003C28AB">
        <w:rPr>
          <w:lang w:val="en-GB"/>
        </w:rPr>
        <w:t>.</w:t>
      </w:r>
    </w:p>
    <w:p w14:paraId="1B203399" w14:textId="111DB468" w:rsidR="001D59B9" w:rsidRPr="0048465B" w:rsidRDefault="00703A05" w:rsidP="00714416">
      <w:pPr>
        <w:widowControl w:val="0"/>
        <w:spacing w:after="240" w:line="360" w:lineRule="auto"/>
        <w:ind w:left="720"/>
        <w:jc w:val="left"/>
        <w:rPr>
          <w:lang w:val="en-GB"/>
        </w:rPr>
      </w:pPr>
      <w:proofErr w:type="spellStart"/>
      <w:r w:rsidRPr="0048465B">
        <w:rPr>
          <w:lang w:val="en-GB"/>
        </w:rPr>
        <w:t>Alam</w:t>
      </w:r>
      <w:proofErr w:type="spellEnd"/>
      <w:r w:rsidRPr="0048465B">
        <w:rPr>
          <w:lang w:val="en-GB"/>
        </w:rPr>
        <w:t xml:space="preserve">, M. Shahid, </w:t>
      </w:r>
      <w:r w:rsidRPr="0048465B">
        <w:rPr>
          <w:i/>
          <w:lang w:val="en-GB"/>
        </w:rPr>
        <w:t>Ishmael and Isaac: An Essay on the Moral Economies of the Qur’an and the Torah</w:t>
      </w:r>
      <w:r w:rsidRPr="0048465B">
        <w:rPr>
          <w:lang w:val="en-GB"/>
        </w:rPr>
        <w:t xml:space="preserve"> (Rochester, NY: Social Science Research Network, 1 July 2010) &lt;https://doi.org/10.2139/ssrn.1715104&gt;</w:t>
      </w:r>
      <w:r w:rsidR="003C28AB">
        <w:rPr>
          <w:lang w:val="en-GB"/>
        </w:rPr>
        <w:t>.</w:t>
      </w:r>
    </w:p>
    <w:p w14:paraId="3D68303A" w14:textId="36FC8209" w:rsidR="001D59B9" w:rsidRPr="0048465B" w:rsidRDefault="00703A05" w:rsidP="00714416">
      <w:pPr>
        <w:widowControl w:val="0"/>
        <w:spacing w:after="240" w:line="360" w:lineRule="auto"/>
        <w:ind w:left="720"/>
        <w:jc w:val="left"/>
        <w:rPr>
          <w:lang w:val="en-GB"/>
        </w:rPr>
      </w:pPr>
      <w:r w:rsidRPr="0048465B">
        <w:rPr>
          <w:lang w:val="en-GB"/>
        </w:rPr>
        <w:t xml:space="preserve">Alexander, Edward, </w:t>
      </w:r>
      <w:r w:rsidRPr="0048465B">
        <w:rPr>
          <w:i/>
          <w:lang w:val="en-GB"/>
        </w:rPr>
        <w:t>The Jewish Idea and Its Enemies: Personalities, Issues, Events</w:t>
      </w:r>
      <w:r w:rsidRPr="0048465B">
        <w:rPr>
          <w:lang w:val="en-GB"/>
        </w:rPr>
        <w:t xml:space="preserve"> (Transaction Publishers, 1988)</w:t>
      </w:r>
      <w:r w:rsidR="003C28AB">
        <w:rPr>
          <w:lang w:val="en-GB"/>
        </w:rPr>
        <w:t>.</w:t>
      </w:r>
    </w:p>
    <w:p w14:paraId="610EEB06" w14:textId="504AB943" w:rsidR="001D59B9" w:rsidRPr="0048465B" w:rsidRDefault="00703A05" w:rsidP="00714416">
      <w:pPr>
        <w:widowControl w:val="0"/>
        <w:spacing w:after="240" w:line="360" w:lineRule="auto"/>
        <w:ind w:left="720"/>
        <w:jc w:val="left"/>
        <w:rPr>
          <w:lang w:val="en-GB"/>
        </w:rPr>
      </w:pPr>
      <w:r w:rsidRPr="0048465B">
        <w:rPr>
          <w:lang w:val="en-GB"/>
        </w:rPr>
        <w:t>al-</w:t>
      </w:r>
      <w:proofErr w:type="spellStart"/>
      <w:r w:rsidRPr="0048465B">
        <w:rPr>
          <w:lang w:val="en-GB"/>
        </w:rPr>
        <w:t>Mughrabi</w:t>
      </w:r>
      <w:proofErr w:type="spellEnd"/>
      <w:r w:rsidRPr="0048465B">
        <w:rPr>
          <w:lang w:val="en-GB"/>
        </w:rPr>
        <w:t xml:space="preserve">, Nidal, ‘Israel Warns Gaza of “Shoah”’, </w:t>
      </w:r>
      <w:r w:rsidRPr="0048465B">
        <w:rPr>
          <w:i/>
          <w:lang w:val="en-GB"/>
        </w:rPr>
        <w:t>Reuters</w:t>
      </w:r>
      <w:r w:rsidRPr="0048465B">
        <w:rPr>
          <w:lang w:val="en-GB"/>
        </w:rPr>
        <w:t>, 29 February 2008 &lt;https://www.reuters.com/article/us-palestinians-israel/israel-unleashes-strikes-on-gaza-strip-idUSL2868601720080229&gt; [accessed 4 September 2018]</w:t>
      </w:r>
      <w:r w:rsidR="003C28AB">
        <w:rPr>
          <w:lang w:val="en-GB"/>
        </w:rPr>
        <w:t>.</w:t>
      </w:r>
    </w:p>
    <w:p w14:paraId="10EF8FCA" w14:textId="3B316E45" w:rsidR="00714416" w:rsidRDefault="00714416" w:rsidP="00714416">
      <w:pPr>
        <w:widowControl w:val="0"/>
        <w:spacing w:after="240" w:line="360" w:lineRule="auto"/>
        <w:ind w:left="720"/>
        <w:jc w:val="left"/>
        <w:rPr>
          <w:lang w:val="en-GB"/>
        </w:rPr>
      </w:pPr>
      <w:proofErr w:type="spellStart"/>
      <w:r w:rsidRPr="00714416">
        <w:t>Allwork</w:t>
      </w:r>
      <w:proofErr w:type="spellEnd"/>
      <w:r w:rsidRPr="00714416">
        <w:t>,</w:t>
      </w:r>
      <w:r>
        <w:t xml:space="preserve"> Larissa,</w:t>
      </w:r>
      <w:r w:rsidRPr="00714416">
        <w:t xml:space="preserve"> ‘Holocaust Remembrance as “Civil Religion”: The Case of the Stockholm Declaration (2000)’, in Revisiting Holocaust Representation in the Post-Witness Era, ed. by Diana I. Popescu and Tanja </w:t>
      </w:r>
      <w:proofErr w:type="spellStart"/>
      <w:r w:rsidRPr="00714416">
        <w:t>Schult</w:t>
      </w:r>
      <w:proofErr w:type="spellEnd"/>
      <w:r w:rsidRPr="00714416">
        <w:t>, The Holocaust and Its Contexts (London: Palgrave Macmillan UK, 2015), pp. 288–304</w:t>
      </w:r>
      <w:r w:rsidR="003C28AB">
        <w:t>.</w:t>
      </w:r>
    </w:p>
    <w:p w14:paraId="145B29BD" w14:textId="08836F49" w:rsidR="001D59B9" w:rsidRPr="0048465B" w:rsidRDefault="00703A05" w:rsidP="00714416">
      <w:pPr>
        <w:widowControl w:val="0"/>
        <w:spacing w:after="240" w:line="360" w:lineRule="auto"/>
        <w:ind w:left="720"/>
        <w:jc w:val="left"/>
        <w:rPr>
          <w:lang w:val="en-GB"/>
        </w:rPr>
      </w:pPr>
      <w:proofErr w:type="spellStart"/>
      <w:r w:rsidRPr="0048465B">
        <w:rPr>
          <w:lang w:val="en-GB"/>
        </w:rPr>
        <w:t>Alsaafin</w:t>
      </w:r>
      <w:proofErr w:type="spellEnd"/>
      <w:r w:rsidRPr="0048465B">
        <w:rPr>
          <w:lang w:val="en-GB"/>
        </w:rPr>
        <w:t xml:space="preserve">, </w:t>
      </w:r>
      <w:proofErr w:type="spellStart"/>
      <w:r w:rsidRPr="0048465B">
        <w:rPr>
          <w:lang w:val="en-GB"/>
        </w:rPr>
        <w:t>Linah</w:t>
      </w:r>
      <w:proofErr w:type="spellEnd"/>
      <w:r w:rsidRPr="0048465B">
        <w:rPr>
          <w:lang w:val="en-GB"/>
        </w:rPr>
        <w:t xml:space="preserve">, ‘Joe Biden “No Saviour” of the Palestinians’, </w:t>
      </w:r>
      <w:r w:rsidRPr="0048465B">
        <w:rPr>
          <w:i/>
          <w:lang w:val="en-GB"/>
        </w:rPr>
        <w:t>Al Jazeera</w:t>
      </w:r>
      <w:r w:rsidRPr="0048465B">
        <w:rPr>
          <w:lang w:val="en-GB"/>
        </w:rPr>
        <w:t xml:space="preserve"> &lt;https://www.aljazeera.com/news/2020/11/8/joe-biden-no-savior-to-the-palestinians&gt; [accessed 23 November 2020]</w:t>
      </w:r>
      <w:r w:rsidR="003C28AB">
        <w:rPr>
          <w:lang w:val="en-GB"/>
        </w:rPr>
        <w:t>.</w:t>
      </w:r>
    </w:p>
    <w:p w14:paraId="085CE200" w14:textId="7862B5B2" w:rsidR="001D59B9" w:rsidRPr="0048465B" w:rsidRDefault="00703A05" w:rsidP="00714416">
      <w:pPr>
        <w:widowControl w:val="0"/>
        <w:spacing w:after="240" w:line="360" w:lineRule="auto"/>
        <w:ind w:left="720"/>
        <w:jc w:val="left"/>
        <w:rPr>
          <w:lang w:val="en-GB"/>
        </w:rPr>
      </w:pPr>
      <w:r w:rsidRPr="0048465B">
        <w:rPr>
          <w:lang w:val="en-GB"/>
        </w:rPr>
        <w:t xml:space="preserve">‘Anger at Netanyahu Claim Palestinian Grand Mufti Inspired Holocaust’, </w:t>
      </w:r>
      <w:r w:rsidRPr="0048465B">
        <w:rPr>
          <w:i/>
          <w:lang w:val="en-GB"/>
        </w:rPr>
        <w:t>The Guardian</w:t>
      </w:r>
      <w:r w:rsidRPr="0048465B">
        <w:rPr>
          <w:lang w:val="en-GB"/>
        </w:rPr>
        <w:t>, 2015 &lt;http://www.theguardian.com/world/2015/oct/21/netanyahu-under-fire-for-palestinian-grand-mufti-holocaust-claim&gt; [accessed 29 January 2021]</w:t>
      </w:r>
      <w:r w:rsidR="003C28AB">
        <w:rPr>
          <w:lang w:val="en-GB"/>
        </w:rPr>
        <w:t>.</w:t>
      </w:r>
    </w:p>
    <w:p w14:paraId="6E56BF29" w14:textId="7AABEFCA" w:rsidR="001D59B9" w:rsidRPr="0048465B" w:rsidRDefault="00703A05" w:rsidP="00714416">
      <w:pPr>
        <w:widowControl w:val="0"/>
        <w:spacing w:after="240" w:line="360" w:lineRule="auto"/>
        <w:ind w:left="720"/>
        <w:jc w:val="left"/>
        <w:rPr>
          <w:lang w:val="en-GB"/>
        </w:rPr>
      </w:pPr>
      <w:r w:rsidRPr="0048465B">
        <w:rPr>
          <w:lang w:val="en-GB"/>
        </w:rPr>
        <w:t>‘Arab Normalisation with Israel’ &lt;https://www.aljazeera.com/news/2020/11/23/the-normalisation-of-ties-between-israel-and-arab-countries&gt; [accessed 24 November 2020]</w:t>
      </w:r>
      <w:r w:rsidR="003C28AB">
        <w:rPr>
          <w:lang w:val="en-GB"/>
        </w:rPr>
        <w:t>.</w:t>
      </w:r>
    </w:p>
    <w:p w14:paraId="10F08BB2" w14:textId="02073A10" w:rsidR="001D59B9" w:rsidRPr="0048465B" w:rsidRDefault="00703A05" w:rsidP="00714416">
      <w:pPr>
        <w:widowControl w:val="0"/>
        <w:spacing w:after="240" w:line="360" w:lineRule="auto"/>
        <w:ind w:left="720"/>
        <w:jc w:val="left"/>
        <w:rPr>
          <w:lang w:val="en-GB"/>
        </w:rPr>
      </w:pPr>
      <w:r w:rsidRPr="0048465B">
        <w:rPr>
          <w:lang w:val="en-GB"/>
        </w:rPr>
        <w:t xml:space="preserve">Barrow, Bill, ‘Biden Calls Sanders’ Pitch to Leverage Israel Aid “Bizarre”’, </w:t>
      </w:r>
      <w:r w:rsidRPr="0048465B">
        <w:rPr>
          <w:i/>
          <w:lang w:val="en-GB"/>
        </w:rPr>
        <w:t>AP NEWS</w:t>
      </w:r>
      <w:r w:rsidRPr="0048465B">
        <w:rPr>
          <w:lang w:val="en-GB"/>
        </w:rPr>
        <w:t>, 2019 &lt;https://apnews.com/article/f78dd392f8250caf2c8a9f9655e6fef2&gt; [accessed 23 November 2020]</w:t>
      </w:r>
      <w:r w:rsidR="003C28AB">
        <w:rPr>
          <w:lang w:val="en-GB"/>
        </w:rPr>
        <w:t>.</w:t>
      </w:r>
    </w:p>
    <w:p w14:paraId="772BF29E" w14:textId="0451B9E6" w:rsidR="001D59B9" w:rsidRPr="0048465B" w:rsidRDefault="00703A05" w:rsidP="00714416">
      <w:pPr>
        <w:widowControl w:val="0"/>
        <w:spacing w:after="240" w:line="360" w:lineRule="auto"/>
        <w:ind w:left="720"/>
        <w:jc w:val="left"/>
        <w:rPr>
          <w:lang w:val="en-GB"/>
        </w:rPr>
      </w:pPr>
      <w:r w:rsidRPr="0048465B">
        <w:rPr>
          <w:lang w:val="en-GB"/>
        </w:rPr>
        <w:t xml:space="preserve">Baruch, </w:t>
      </w:r>
      <w:proofErr w:type="spellStart"/>
      <w:r w:rsidRPr="0048465B">
        <w:rPr>
          <w:lang w:val="en-GB"/>
        </w:rPr>
        <w:t>Ilan</w:t>
      </w:r>
      <w:proofErr w:type="spellEnd"/>
      <w:r w:rsidRPr="0048465B">
        <w:rPr>
          <w:lang w:val="en-GB"/>
        </w:rPr>
        <w:t xml:space="preserve">, ‘PIJ.ORG: The Case for Namibia in Palestine’, </w:t>
      </w:r>
      <w:r w:rsidRPr="0048465B">
        <w:rPr>
          <w:i/>
          <w:lang w:val="en-GB"/>
        </w:rPr>
        <w:t>PIJ.ORG</w:t>
      </w:r>
      <w:r w:rsidRPr="0048465B">
        <w:rPr>
          <w:lang w:val="en-GB"/>
        </w:rPr>
        <w:t xml:space="preserve"> </w:t>
      </w:r>
      <w:r w:rsidRPr="0048465B">
        <w:rPr>
          <w:lang w:val="en-GB"/>
        </w:rPr>
        <w:lastRenderedPageBreak/>
        <w:t>&lt;https://pij.org/articles/1605/the-case-for-namibia-in-palestine&gt; [accessed 26 October 2020]</w:t>
      </w:r>
      <w:r w:rsidR="003C28AB">
        <w:rPr>
          <w:lang w:val="en-GB"/>
        </w:rPr>
        <w:t>.</w:t>
      </w:r>
    </w:p>
    <w:p w14:paraId="6C07981F" w14:textId="60BF7258" w:rsidR="001D59B9" w:rsidRPr="0048465B" w:rsidRDefault="00703A05" w:rsidP="00714416">
      <w:pPr>
        <w:widowControl w:val="0"/>
        <w:spacing w:after="240" w:line="360" w:lineRule="auto"/>
        <w:ind w:left="720"/>
        <w:jc w:val="left"/>
        <w:rPr>
          <w:lang w:val="en-GB"/>
        </w:rPr>
      </w:pPr>
      <w:r w:rsidRPr="0048465B">
        <w:rPr>
          <w:lang w:val="en-GB"/>
        </w:rPr>
        <w:t xml:space="preserve">Bashir, Bashir, and Amos Goldberg, eds., </w:t>
      </w:r>
      <w:r w:rsidRPr="0048465B">
        <w:rPr>
          <w:i/>
          <w:lang w:val="en-GB"/>
        </w:rPr>
        <w:t>The Holocaust and the Nakba: A New Grammar of Trauma and History</w:t>
      </w:r>
      <w:r w:rsidRPr="0048465B">
        <w:rPr>
          <w:lang w:val="en-GB"/>
        </w:rPr>
        <w:t xml:space="preserve"> (Columbia University Press, 2018)</w:t>
      </w:r>
      <w:r w:rsidR="003C28AB">
        <w:rPr>
          <w:lang w:val="en-GB"/>
        </w:rPr>
        <w:t>.</w:t>
      </w:r>
    </w:p>
    <w:p w14:paraId="7A63DFDC" w14:textId="2156809A" w:rsidR="001D59B9" w:rsidRPr="0048465B" w:rsidRDefault="00703A05" w:rsidP="00714416">
      <w:pPr>
        <w:widowControl w:val="0"/>
        <w:spacing w:after="240" w:line="360" w:lineRule="auto"/>
        <w:ind w:left="720"/>
        <w:jc w:val="left"/>
        <w:rPr>
          <w:lang w:val="en-GB"/>
        </w:rPr>
      </w:pPr>
      <w:r w:rsidRPr="0048465B">
        <w:rPr>
          <w:lang w:val="en-GB"/>
        </w:rPr>
        <w:t xml:space="preserve">Bashir, Bashir, and </w:t>
      </w:r>
      <w:proofErr w:type="spellStart"/>
      <w:r w:rsidRPr="0048465B">
        <w:rPr>
          <w:lang w:val="en-GB"/>
        </w:rPr>
        <w:t>Dakwar</w:t>
      </w:r>
      <w:proofErr w:type="spellEnd"/>
      <w:r w:rsidRPr="0048465B">
        <w:rPr>
          <w:lang w:val="en-GB"/>
        </w:rPr>
        <w:t xml:space="preserve"> Azar, eds., </w:t>
      </w:r>
      <w:r w:rsidRPr="0048465B">
        <w:rPr>
          <w:i/>
          <w:lang w:val="en-GB"/>
        </w:rPr>
        <w:t>Rethinking the Politics of Israel/Palestine: Partition and Its Alternatives</w:t>
      </w:r>
      <w:r w:rsidRPr="0048465B">
        <w:rPr>
          <w:lang w:val="en-GB"/>
        </w:rPr>
        <w:t>, 2014</w:t>
      </w:r>
      <w:r w:rsidR="003C28AB">
        <w:rPr>
          <w:lang w:val="en-GB"/>
        </w:rPr>
        <w:t>.</w:t>
      </w:r>
    </w:p>
    <w:p w14:paraId="648FEBD6" w14:textId="083F07E6" w:rsidR="001D59B9" w:rsidRDefault="00703A05" w:rsidP="00714416">
      <w:pPr>
        <w:widowControl w:val="0"/>
        <w:spacing w:after="240" w:line="360" w:lineRule="auto"/>
        <w:ind w:left="720"/>
        <w:jc w:val="left"/>
        <w:rPr>
          <w:lang w:val="en-GB"/>
        </w:rPr>
      </w:pPr>
      <w:r w:rsidRPr="0048465B">
        <w:rPr>
          <w:lang w:val="en-GB"/>
        </w:rPr>
        <w:t xml:space="preserve">Bashir, Bashir, and Leila </w:t>
      </w:r>
      <w:proofErr w:type="spellStart"/>
      <w:r w:rsidRPr="0048465B">
        <w:rPr>
          <w:lang w:val="en-GB"/>
        </w:rPr>
        <w:t>Farsakh</w:t>
      </w:r>
      <w:proofErr w:type="spellEnd"/>
      <w:r w:rsidRPr="0048465B">
        <w:rPr>
          <w:lang w:val="en-GB"/>
        </w:rPr>
        <w:t xml:space="preserve">, eds., </w:t>
      </w:r>
      <w:r w:rsidRPr="0048465B">
        <w:rPr>
          <w:i/>
          <w:lang w:val="en-GB"/>
        </w:rPr>
        <w:t>The Arab and Jewish Questions: Geographies of Engagement in Palestine and Beyond</w:t>
      </w:r>
      <w:r w:rsidRPr="0048465B">
        <w:rPr>
          <w:lang w:val="en-GB"/>
        </w:rPr>
        <w:t xml:space="preserve"> (Columbia University Press, 2020)</w:t>
      </w:r>
      <w:r w:rsidR="003C28AB">
        <w:rPr>
          <w:lang w:val="en-GB"/>
        </w:rPr>
        <w:t>.</w:t>
      </w:r>
    </w:p>
    <w:p w14:paraId="751EAE4F" w14:textId="0D429522" w:rsidR="00762A11" w:rsidRPr="0048465B" w:rsidRDefault="00762A11" w:rsidP="00762A11">
      <w:pPr>
        <w:widowControl w:val="0"/>
        <w:spacing w:after="240" w:line="360" w:lineRule="auto"/>
        <w:ind w:left="720"/>
        <w:jc w:val="left"/>
        <w:rPr>
          <w:lang w:val="en-GB"/>
        </w:rPr>
      </w:pPr>
      <w:r w:rsidRPr="00762A11">
        <w:rPr>
          <w:lang w:val="en-GB"/>
        </w:rPr>
        <w:t>Bauer, Yehuda, "From Cooperation To Resistance: The Haganah 1938–1946", </w:t>
      </w:r>
      <w:r w:rsidRPr="00762A11">
        <w:rPr>
          <w:i/>
          <w:iCs/>
          <w:lang w:val="en-GB"/>
        </w:rPr>
        <w:t>Middle Eastern Studies</w:t>
      </w:r>
      <w:r w:rsidRPr="00762A11">
        <w:rPr>
          <w:lang w:val="en-GB"/>
        </w:rPr>
        <w:t>, 2 (1966), 182-210 &lt;https://doi.org/10.1080/00263206608700044&gt;</w:t>
      </w:r>
      <w:r>
        <w:rPr>
          <w:lang w:val="en-GB"/>
        </w:rPr>
        <w:t>.</w:t>
      </w:r>
    </w:p>
    <w:p w14:paraId="005766C2" w14:textId="45D7E1C1" w:rsidR="001D59B9" w:rsidRPr="0048465B" w:rsidRDefault="006779F4" w:rsidP="00714416">
      <w:pPr>
        <w:widowControl w:val="0"/>
        <w:spacing w:after="240" w:line="360" w:lineRule="auto"/>
        <w:ind w:left="720"/>
        <w:jc w:val="left"/>
        <w:rPr>
          <w:lang w:val="en-GB"/>
        </w:rPr>
      </w:pPr>
      <w:r w:rsidRPr="0048465B">
        <w:rPr>
          <w:lang w:val="en-GB"/>
        </w:rPr>
        <w:t>Beinart</w:t>
      </w:r>
      <w:r w:rsidR="00703A05" w:rsidRPr="0048465B">
        <w:rPr>
          <w:lang w:val="en-GB"/>
        </w:rPr>
        <w:t xml:space="preserve">, Peter, ‘Yavne: A Jewish Case for Equality in Israel-Palestine’, </w:t>
      </w:r>
      <w:r w:rsidR="00703A05" w:rsidRPr="0048465B">
        <w:rPr>
          <w:i/>
          <w:lang w:val="en-GB"/>
        </w:rPr>
        <w:t>Jewish Currents</w:t>
      </w:r>
      <w:r w:rsidR="00703A05" w:rsidRPr="0048465B">
        <w:rPr>
          <w:lang w:val="en-GB"/>
        </w:rPr>
        <w:t>, 2020 &lt;https://jewishcurrents.org/yavne-a-jewish-case-for-equality-in-israel-palestine/&gt; [accessed 20 October 2020]</w:t>
      </w:r>
      <w:r w:rsidR="003C28AB">
        <w:rPr>
          <w:lang w:val="en-GB"/>
        </w:rPr>
        <w:t>.</w:t>
      </w:r>
    </w:p>
    <w:p w14:paraId="340DD72D" w14:textId="78D1CDC6" w:rsidR="001D59B9" w:rsidRPr="0048465B" w:rsidRDefault="00703A05" w:rsidP="00714416">
      <w:pPr>
        <w:widowControl w:val="0"/>
        <w:spacing w:after="240" w:line="360" w:lineRule="auto"/>
        <w:ind w:left="720"/>
        <w:jc w:val="left"/>
        <w:rPr>
          <w:lang w:val="en-GB"/>
        </w:rPr>
      </w:pPr>
      <w:r w:rsidRPr="0048465B">
        <w:rPr>
          <w:lang w:val="en-GB"/>
        </w:rPr>
        <w:t xml:space="preserve">Beinart, Peter, ‘Opinion | I No Longer Believe in a Jewish State’, </w:t>
      </w:r>
      <w:r w:rsidRPr="0048465B">
        <w:rPr>
          <w:i/>
          <w:lang w:val="en-GB"/>
        </w:rPr>
        <w:t>The New York Times</w:t>
      </w:r>
      <w:r w:rsidRPr="0048465B">
        <w:rPr>
          <w:lang w:val="en-GB"/>
        </w:rPr>
        <w:t>, 8 July 2020, section Opinion &lt;https://www.nytimes.com/2020/07/08/opinion/israel-annexation-two-state-solution.html&gt; [accessed 19 October 2020]</w:t>
      </w:r>
      <w:r w:rsidR="003C28AB">
        <w:rPr>
          <w:lang w:val="en-GB"/>
        </w:rPr>
        <w:t>.</w:t>
      </w:r>
    </w:p>
    <w:p w14:paraId="1204A3C2" w14:textId="3F893743" w:rsidR="001D59B9" w:rsidRPr="0048465B" w:rsidRDefault="00703A05" w:rsidP="00714416">
      <w:pPr>
        <w:widowControl w:val="0"/>
        <w:spacing w:after="240" w:line="360" w:lineRule="auto"/>
        <w:ind w:left="720"/>
        <w:jc w:val="left"/>
        <w:rPr>
          <w:lang w:val="en-GB"/>
        </w:rPr>
      </w:pPr>
      <w:r w:rsidRPr="0048465B">
        <w:rPr>
          <w:lang w:val="en-GB"/>
        </w:rPr>
        <w:t>‘Beinart’s Final Solution: End Israel as Nation-State of the Jewish People | Opinion</w:t>
      </w:r>
      <w:r w:rsidR="00093B5F">
        <w:rPr>
          <w:lang w:val="en-GB"/>
        </w:rPr>
        <w:t xml:space="preserve"> </w:t>
      </w:r>
      <w:r w:rsidR="00093B5F" w:rsidRPr="0048465B">
        <w:rPr>
          <w:lang w:val="en-GB"/>
        </w:rPr>
        <w:t>|</w:t>
      </w:r>
      <w:r w:rsidR="00093B5F">
        <w:rPr>
          <w:lang w:val="en-GB"/>
        </w:rPr>
        <w:t xml:space="preserve"> Alan Dershowitz</w:t>
      </w:r>
      <w:r w:rsidRPr="0048465B">
        <w:rPr>
          <w:lang w:val="en-GB"/>
        </w:rPr>
        <w:t xml:space="preserve">’, </w:t>
      </w:r>
      <w:r w:rsidRPr="0048465B">
        <w:rPr>
          <w:i/>
          <w:lang w:val="en-GB"/>
        </w:rPr>
        <w:t>Newsweek</w:t>
      </w:r>
      <w:r w:rsidRPr="0048465B">
        <w:rPr>
          <w:lang w:val="en-GB"/>
        </w:rPr>
        <w:t>, 2020 &lt;https://www.newsweek.com/beinarts-final-solution-end-israel-nation-state-jewish-people-opinion-1517437&gt; [accessed 15 December 2020]</w:t>
      </w:r>
      <w:r w:rsidR="003C28AB">
        <w:rPr>
          <w:lang w:val="en-GB"/>
        </w:rPr>
        <w:t>.</w:t>
      </w:r>
    </w:p>
    <w:p w14:paraId="570AF323" w14:textId="70D1924E" w:rsidR="001D59B9" w:rsidRPr="0048465B" w:rsidRDefault="00703A05" w:rsidP="00714416">
      <w:pPr>
        <w:widowControl w:val="0"/>
        <w:spacing w:after="240" w:line="360" w:lineRule="auto"/>
        <w:ind w:left="720"/>
        <w:jc w:val="left"/>
        <w:rPr>
          <w:lang w:val="en-GB"/>
        </w:rPr>
      </w:pPr>
      <w:r w:rsidRPr="0048465B">
        <w:rPr>
          <w:lang w:val="en-GB"/>
        </w:rPr>
        <w:t xml:space="preserve">Benn, </w:t>
      </w:r>
      <w:proofErr w:type="spellStart"/>
      <w:r w:rsidRPr="0048465B">
        <w:rPr>
          <w:lang w:val="en-GB"/>
        </w:rPr>
        <w:t>Aluf</w:t>
      </w:r>
      <w:proofErr w:type="spellEnd"/>
      <w:r w:rsidRPr="0048465B">
        <w:rPr>
          <w:lang w:val="en-GB"/>
        </w:rPr>
        <w:t xml:space="preserve">, ‘PA Rejects Olmert’s Offer to Withdraw from 93% of West Bank’, </w:t>
      </w:r>
      <w:r w:rsidRPr="0048465B">
        <w:rPr>
          <w:i/>
          <w:lang w:val="en-GB"/>
        </w:rPr>
        <w:t>Haaretz &lt;</w:t>
      </w:r>
      <w:r w:rsidRPr="0048465B">
        <w:rPr>
          <w:lang w:val="en-GB"/>
        </w:rPr>
        <w:t>https://www.haaretz.com/1.5014018?v=1606754970017&gt; [accessed 30 November 2020]</w:t>
      </w:r>
      <w:r w:rsidR="003C28AB">
        <w:rPr>
          <w:lang w:val="en-GB"/>
        </w:rPr>
        <w:t>.</w:t>
      </w:r>
    </w:p>
    <w:p w14:paraId="5A1E5F41" w14:textId="2DDD50E2" w:rsidR="001D59B9" w:rsidRPr="0048465B" w:rsidRDefault="00703A05" w:rsidP="00714416">
      <w:pPr>
        <w:widowControl w:val="0"/>
        <w:spacing w:after="240" w:line="360" w:lineRule="auto"/>
        <w:ind w:left="720"/>
        <w:jc w:val="left"/>
        <w:rPr>
          <w:lang w:val="en-GB"/>
        </w:rPr>
      </w:pPr>
      <w:proofErr w:type="spellStart"/>
      <w:r w:rsidRPr="0048465B">
        <w:rPr>
          <w:lang w:val="en-GB"/>
        </w:rPr>
        <w:t>Boxerman</w:t>
      </w:r>
      <w:proofErr w:type="spellEnd"/>
      <w:r w:rsidRPr="0048465B">
        <w:rPr>
          <w:lang w:val="en-GB"/>
        </w:rPr>
        <w:t>, Aaron, ‘Israel Blocks Delivery of Truckload of Coronavirus Vaccines Sent by PA to Gaza’ &lt;https://www.timesofisrael.com/israel-holds-up-shipment-of-palestinian-coronavirus-vaccines-to-gaza/&gt; [accessed 23 February 2021]</w:t>
      </w:r>
      <w:r w:rsidR="003C28AB">
        <w:rPr>
          <w:lang w:val="en-GB"/>
        </w:rPr>
        <w:t>.</w:t>
      </w:r>
    </w:p>
    <w:p w14:paraId="43087F48" w14:textId="4E4F7F2C" w:rsidR="00063791" w:rsidRPr="00063791" w:rsidRDefault="00063791" w:rsidP="00063791">
      <w:pPr>
        <w:widowControl w:val="0"/>
        <w:spacing w:after="240" w:line="360" w:lineRule="auto"/>
        <w:ind w:left="720"/>
        <w:jc w:val="left"/>
        <w:rPr>
          <w:lang w:val="en-GB"/>
        </w:rPr>
      </w:pPr>
      <w:proofErr w:type="spellStart"/>
      <w:r w:rsidRPr="00063791">
        <w:rPr>
          <w:lang w:val="en-GB"/>
        </w:rPr>
        <w:lastRenderedPageBreak/>
        <w:t>Bouris</w:t>
      </w:r>
      <w:proofErr w:type="spellEnd"/>
      <w:r w:rsidRPr="00063791">
        <w:rPr>
          <w:lang w:val="en-GB"/>
        </w:rPr>
        <w:t>, Dimitris, </w:t>
      </w:r>
      <w:r w:rsidRPr="00063791">
        <w:rPr>
          <w:i/>
          <w:iCs/>
          <w:lang w:val="en-GB"/>
        </w:rPr>
        <w:t>The European Union And Occupied Palestinian Territories: State-Building Without A State</w:t>
      </w:r>
      <w:r w:rsidRPr="00063791">
        <w:rPr>
          <w:lang w:val="en-GB"/>
        </w:rPr>
        <w:t> (Abingdon: Routledge, 2014)</w:t>
      </w:r>
      <w:r>
        <w:rPr>
          <w:lang w:val="en-GB"/>
        </w:rPr>
        <w:t>.</w:t>
      </w:r>
    </w:p>
    <w:p w14:paraId="5A391CC6" w14:textId="17248E57" w:rsidR="001D59B9" w:rsidRPr="0048465B" w:rsidRDefault="00703A05" w:rsidP="00714416">
      <w:pPr>
        <w:widowControl w:val="0"/>
        <w:spacing w:after="240" w:line="360" w:lineRule="auto"/>
        <w:ind w:left="720"/>
        <w:jc w:val="left"/>
        <w:rPr>
          <w:lang w:val="en-GB"/>
        </w:rPr>
      </w:pPr>
      <w:proofErr w:type="spellStart"/>
      <w:r w:rsidRPr="0048465B">
        <w:rPr>
          <w:lang w:val="en-GB"/>
        </w:rPr>
        <w:t>Buttu</w:t>
      </w:r>
      <w:proofErr w:type="spellEnd"/>
      <w:r w:rsidRPr="0048465B">
        <w:rPr>
          <w:lang w:val="en-GB"/>
        </w:rPr>
        <w:t xml:space="preserve">, Diane, </w:t>
      </w:r>
      <w:proofErr w:type="spellStart"/>
      <w:r w:rsidRPr="0048465B">
        <w:rPr>
          <w:lang w:val="en-GB"/>
        </w:rPr>
        <w:t>Mouin</w:t>
      </w:r>
      <w:proofErr w:type="spellEnd"/>
      <w:r w:rsidRPr="0048465B">
        <w:rPr>
          <w:lang w:val="en-GB"/>
        </w:rPr>
        <w:t xml:space="preserve"> Rabbani, and Rami G. </w:t>
      </w:r>
      <w:proofErr w:type="spellStart"/>
      <w:r w:rsidRPr="0048465B">
        <w:rPr>
          <w:lang w:val="en-GB"/>
        </w:rPr>
        <w:t>Kouri</w:t>
      </w:r>
      <w:proofErr w:type="spellEnd"/>
      <w:r w:rsidRPr="0048465B">
        <w:rPr>
          <w:lang w:val="en-GB"/>
        </w:rPr>
        <w:t>, Expert Q&amp;A: The Iran Nuclear Deal &amp; Palestine/Israel | IMEU &lt;https://imeu.org/article/expert-qa-the-iran-nuclear-deal-palestine-israel&gt; [accessed 26 November 2020]</w:t>
      </w:r>
      <w:r w:rsidR="003C28AB">
        <w:rPr>
          <w:lang w:val="en-GB"/>
        </w:rPr>
        <w:t>.</w:t>
      </w:r>
    </w:p>
    <w:p w14:paraId="5C11C1CD" w14:textId="58CE0E5B" w:rsidR="001D59B9" w:rsidRPr="0048465B" w:rsidRDefault="00703A05" w:rsidP="00714416">
      <w:pPr>
        <w:widowControl w:val="0"/>
        <w:spacing w:after="240" w:line="360" w:lineRule="auto"/>
        <w:ind w:left="720"/>
        <w:jc w:val="left"/>
        <w:rPr>
          <w:lang w:val="en-GB"/>
        </w:rPr>
      </w:pPr>
      <w:r w:rsidRPr="0048465B">
        <w:rPr>
          <w:lang w:val="en-GB"/>
        </w:rPr>
        <w:t xml:space="preserve">Cannon, Benjy, ‘The Upside of Intermarriage’, </w:t>
      </w:r>
      <w:r w:rsidRPr="0048465B">
        <w:rPr>
          <w:i/>
          <w:lang w:val="en-GB"/>
        </w:rPr>
        <w:t>Haaretz &lt;</w:t>
      </w:r>
      <w:r w:rsidRPr="0048465B">
        <w:rPr>
          <w:lang w:val="en-GB"/>
        </w:rPr>
        <w:t>https://www.haaretz.com/jewish/.premium-the-upside-of-intermarriage-1.5319150&gt; [accessed 10 September 2020]</w:t>
      </w:r>
      <w:r w:rsidR="003C28AB">
        <w:rPr>
          <w:lang w:val="en-GB"/>
        </w:rPr>
        <w:t>.</w:t>
      </w:r>
    </w:p>
    <w:p w14:paraId="3044C890" w14:textId="3ADAA8EE" w:rsidR="001D59B9" w:rsidRPr="0048465B" w:rsidRDefault="00703A05" w:rsidP="00714416">
      <w:pPr>
        <w:widowControl w:val="0"/>
        <w:spacing w:after="240" w:line="360" w:lineRule="auto"/>
        <w:ind w:left="720"/>
        <w:jc w:val="left"/>
        <w:rPr>
          <w:lang w:val="en-GB"/>
        </w:rPr>
      </w:pPr>
      <w:r w:rsidRPr="0048465B">
        <w:rPr>
          <w:lang w:val="en-GB"/>
        </w:rPr>
        <w:t xml:space="preserve">Chetrit, Sami Shalom, ‘Mizrahi Politics in Israel: Between Integration and Alternative’, </w:t>
      </w:r>
      <w:r w:rsidRPr="0048465B">
        <w:rPr>
          <w:i/>
          <w:lang w:val="en-GB"/>
        </w:rPr>
        <w:t>Journal of Palestine Studies</w:t>
      </w:r>
      <w:r w:rsidRPr="0048465B">
        <w:rPr>
          <w:lang w:val="en-GB"/>
        </w:rPr>
        <w:t>, 29.4 (2000), 51–65 &lt;https://doi.org/10.2307/2676561&gt;</w:t>
      </w:r>
      <w:r w:rsidR="003C28AB">
        <w:rPr>
          <w:lang w:val="en-GB"/>
        </w:rPr>
        <w:t>.</w:t>
      </w:r>
    </w:p>
    <w:p w14:paraId="59CF1626" w14:textId="02D70A0C" w:rsidR="001D59B9" w:rsidRPr="0048465B" w:rsidRDefault="00703A05" w:rsidP="00714416">
      <w:pPr>
        <w:widowControl w:val="0"/>
        <w:spacing w:after="240" w:line="360" w:lineRule="auto"/>
        <w:ind w:left="720"/>
        <w:jc w:val="left"/>
        <w:rPr>
          <w:lang w:val="en-GB"/>
        </w:rPr>
      </w:pPr>
      <w:proofErr w:type="spellStart"/>
      <w:r w:rsidRPr="0048465B">
        <w:rPr>
          <w:lang w:val="en-GB"/>
        </w:rPr>
        <w:t>Christison</w:t>
      </w:r>
      <w:proofErr w:type="spellEnd"/>
      <w:r w:rsidRPr="0048465B">
        <w:rPr>
          <w:lang w:val="en-GB"/>
        </w:rPr>
        <w:t xml:space="preserve">, Kathleen M., ‘Myths about Palestinians’, </w:t>
      </w:r>
      <w:r w:rsidRPr="0048465B">
        <w:rPr>
          <w:i/>
          <w:lang w:val="en-GB"/>
        </w:rPr>
        <w:t>Foreign Policy</w:t>
      </w:r>
      <w:r w:rsidRPr="0048465B">
        <w:rPr>
          <w:lang w:val="en-GB"/>
        </w:rPr>
        <w:t>, 66, 1987, 109–27 &lt;https://doi.org/10.2307/1148667&gt;</w:t>
      </w:r>
      <w:r w:rsidR="003C28AB">
        <w:rPr>
          <w:lang w:val="en-GB"/>
        </w:rPr>
        <w:t>.</w:t>
      </w:r>
    </w:p>
    <w:p w14:paraId="7891A7D6" w14:textId="2ADBB532" w:rsidR="001D59B9" w:rsidRPr="0048465B" w:rsidRDefault="00703A05" w:rsidP="00714416">
      <w:pPr>
        <w:widowControl w:val="0"/>
        <w:spacing w:after="240" w:line="360" w:lineRule="auto"/>
        <w:ind w:left="720"/>
        <w:jc w:val="left"/>
        <w:rPr>
          <w:lang w:val="en-GB"/>
        </w:rPr>
      </w:pPr>
      <w:r w:rsidRPr="0048465B">
        <w:rPr>
          <w:lang w:val="en-GB"/>
        </w:rPr>
        <w:t xml:space="preserve">CNN, Sara </w:t>
      </w:r>
      <w:proofErr w:type="spellStart"/>
      <w:r w:rsidRPr="0048465B">
        <w:rPr>
          <w:lang w:val="en-GB"/>
        </w:rPr>
        <w:t>Mazloumsaki</w:t>
      </w:r>
      <w:proofErr w:type="spellEnd"/>
      <w:r w:rsidRPr="0048465B">
        <w:rPr>
          <w:lang w:val="en-GB"/>
        </w:rPr>
        <w:t xml:space="preserve"> and </w:t>
      </w:r>
      <w:proofErr w:type="spellStart"/>
      <w:r w:rsidRPr="0048465B">
        <w:rPr>
          <w:lang w:val="en-GB"/>
        </w:rPr>
        <w:t>Eliott</w:t>
      </w:r>
      <w:proofErr w:type="spellEnd"/>
      <w:r w:rsidRPr="0048465B">
        <w:rPr>
          <w:lang w:val="en-GB"/>
        </w:rPr>
        <w:t xml:space="preserve"> C. McLaughlin, ‘Assassinated Iranian Nuclear Scientist Shot with Remote-Controlled Machine Gun, News Agency Says’, </w:t>
      </w:r>
      <w:r w:rsidRPr="0048465B">
        <w:rPr>
          <w:i/>
          <w:lang w:val="en-GB"/>
        </w:rPr>
        <w:t>CNN</w:t>
      </w:r>
      <w:r w:rsidRPr="0048465B">
        <w:rPr>
          <w:lang w:val="en-GB"/>
        </w:rPr>
        <w:t xml:space="preserve"> &lt;https://www.cnn.com/2020/11/29/middleeast/iran-mohsen-fakhrizadeh-remote-control-machine-gun/index.html&gt; [accessed 30 November 2020]</w:t>
      </w:r>
      <w:r w:rsidR="003C28AB">
        <w:rPr>
          <w:lang w:val="en-GB"/>
        </w:rPr>
        <w:t>.</w:t>
      </w:r>
    </w:p>
    <w:p w14:paraId="06E0BC80" w14:textId="0D5421E9" w:rsidR="001D59B9" w:rsidRPr="0048465B" w:rsidRDefault="00703A05" w:rsidP="00714416">
      <w:pPr>
        <w:widowControl w:val="0"/>
        <w:spacing w:after="240" w:line="360" w:lineRule="auto"/>
        <w:ind w:left="720"/>
        <w:jc w:val="left"/>
        <w:rPr>
          <w:lang w:val="en-GB"/>
        </w:rPr>
      </w:pPr>
      <w:r w:rsidRPr="0048465B">
        <w:rPr>
          <w:lang w:val="en-GB"/>
        </w:rPr>
        <w:t xml:space="preserve">Cohen, </w:t>
      </w:r>
      <w:proofErr w:type="spellStart"/>
      <w:r w:rsidRPr="0048465B">
        <w:rPr>
          <w:lang w:val="en-GB"/>
        </w:rPr>
        <w:t>Dudi</w:t>
      </w:r>
      <w:proofErr w:type="spellEnd"/>
      <w:r w:rsidRPr="0048465B">
        <w:rPr>
          <w:lang w:val="en-GB"/>
        </w:rPr>
        <w:t xml:space="preserve">, ‘Iran Says Can Destroy Israel in Week’, </w:t>
      </w:r>
      <w:r w:rsidRPr="0048465B">
        <w:rPr>
          <w:i/>
          <w:lang w:val="en-GB"/>
        </w:rPr>
        <w:t>Ynetnews</w:t>
      </w:r>
      <w:r w:rsidRPr="0048465B">
        <w:rPr>
          <w:lang w:val="en-GB"/>
        </w:rPr>
        <w:t>, 2010 &lt;https://www.ynetnews.com/articles/0,7340,L-3891781,00.html&gt; [accessed 25 November 2020]</w:t>
      </w:r>
      <w:r w:rsidR="003C28AB">
        <w:rPr>
          <w:lang w:val="en-GB"/>
        </w:rPr>
        <w:t>.</w:t>
      </w:r>
    </w:p>
    <w:p w14:paraId="76AC226F" w14:textId="71161F57" w:rsidR="001D59B9" w:rsidRPr="0048465B" w:rsidRDefault="00703A05" w:rsidP="00714416">
      <w:pPr>
        <w:widowControl w:val="0"/>
        <w:spacing w:after="240" w:line="360" w:lineRule="auto"/>
        <w:ind w:left="720"/>
        <w:jc w:val="left"/>
        <w:rPr>
          <w:lang w:val="en-GB"/>
        </w:rPr>
      </w:pPr>
      <w:r w:rsidRPr="0048465B">
        <w:rPr>
          <w:lang w:val="en-GB"/>
        </w:rPr>
        <w:t xml:space="preserve">‘“Complete Disaster”: Trump’s Fraught Ties with Native Americans on Display at Mount Rushmore’, </w:t>
      </w:r>
      <w:r w:rsidRPr="0048465B">
        <w:rPr>
          <w:i/>
          <w:lang w:val="en-GB"/>
        </w:rPr>
        <w:t>POLITICO</w:t>
      </w:r>
      <w:r w:rsidRPr="0048465B">
        <w:rPr>
          <w:lang w:val="en-GB"/>
        </w:rPr>
        <w:t xml:space="preserve"> &lt;https://www.politico.com/news/2020/07/03/trump-mount-rushmore-347982&gt; [accessed 20 July 2020]</w:t>
      </w:r>
      <w:r w:rsidR="003C28AB">
        <w:rPr>
          <w:lang w:val="en-GB"/>
        </w:rPr>
        <w:t>.</w:t>
      </w:r>
    </w:p>
    <w:p w14:paraId="44B1F569" w14:textId="0525BFAF" w:rsidR="001D59B9" w:rsidRPr="0048465B" w:rsidRDefault="00703A05" w:rsidP="00714416">
      <w:pPr>
        <w:widowControl w:val="0"/>
        <w:spacing w:after="240" w:line="360" w:lineRule="auto"/>
        <w:ind w:left="720"/>
        <w:jc w:val="left"/>
        <w:rPr>
          <w:lang w:val="en-GB"/>
        </w:rPr>
      </w:pPr>
      <w:r w:rsidRPr="0048465B">
        <w:rPr>
          <w:lang w:val="en-GB"/>
        </w:rPr>
        <w:t xml:space="preserve">Cook, Jonathan, ‘Social Media’s Erasure of Palestinians Is a Grim Warning For Our Future’, </w:t>
      </w:r>
      <w:r w:rsidRPr="0048465B">
        <w:rPr>
          <w:i/>
          <w:lang w:val="en-GB"/>
        </w:rPr>
        <w:t>Middle East Eye</w:t>
      </w:r>
      <w:r w:rsidRPr="0048465B">
        <w:rPr>
          <w:lang w:val="en-GB"/>
        </w:rPr>
        <w:t xml:space="preserve"> &lt;http://www.middleeasteye.net/opinion/palestine-facebook-twitter-google-erasure-warning&gt; [accessed 1 February 2021]</w:t>
      </w:r>
      <w:r w:rsidR="003C28AB">
        <w:rPr>
          <w:lang w:val="en-GB"/>
        </w:rPr>
        <w:t>.</w:t>
      </w:r>
    </w:p>
    <w:p w14:paraId="7A2084FF" w14:textId="36249FE4" w:rsidR="001D59B9" w:rsidRPr="0048465B" w:rsidRDefault="00703A05" w:rsidP="00714416">
      <w:pPr>
        <w:widowControl w:val="0"/>
        <w:spacing w:after="240" w:line="360" w:lineRule="auto"/>
        <w:ind w:left="720"/>
        <w:jc w:val="left"/>
        <w:rPr>
          <w:lang w:val="en-GB"/>
        </w:rPr>
      </w:pPr>
      <w:proofErr w:type="spellStart"/>
      <w:r w:rsidRPr="0048465B">
        <w:rPr>
          <w:lang w:val="en-GB"/>
        </w:rPr>
        <w:t>Dabbagh</w:t>
      </w:r>
      <w:proofErr w:type="spellEnd"/>
      <w:r w:rsidRPr="0048465B">
        <w:rPr>
          <w:lang w:val="en-GB"/>
        </w:rPr>
        <w:t xml:space="preserve">, Selma, Ahmed Masoud, Samir El-Youssef, Anwar Hamed, Saleem Haddad, </w:t>
      </w:r>
      <w:r w:rsidRPr="0048465B">
        <w:rPr>
          <w:lang w:val="en-GB"/>
        </w:rPr>
        <w:lastRenderedPageBreak/>
        <w:t xml:space="preserve">Talal Abu Shawish, and others, </w:t>
      </w:r>
      <w:r w:rsidRPr="0048465B">
        <w:rPr>
          <w:i/>
          <w:lang w:val="en-GB"/>
        </w:rPr>
        <w:t>Palestine +100: Stories From a Century After the Nakba</w:t>
      </w:r>
      <w:r w:rsidRPr="0048465B">
        <w:rPr>
          <w:lang w:val="en-GB"/>
        </w:rPr>
        <w:t xml:space="preserve">, ed. by Basma </w:t>
      </w:r>
      <w:proofErr w:type="spellStart"/>
      <w:r w:rsidRPr="0048465B">
        <w:rPr>
          <w:lang w:val="en-GB"/>
        </w:rPr>
        <w:t>Ghalayini</w:t>
      </w:r>
      <w:proofErr w:type="spellEnd"/>
      <w:r w:rsidRPr="0048465B">
        <w:rPr>
          <w:lang w:val="en-GB"/>
        </w:rPr>
        <w:t xml:space="preserve"> (Manchester: Comma Press, 2019)</w:t>
      </w:r>
      <w:r w:rsidR="003C28AB">
        <w:rPr>
          <w:lang w:val="en-GB"/>
        </w:rPr>
        <w:t>.</w:t>
      </w:r>
    </w:p>
    <w:p w14:paraId="4C9B3242" w14:textId="4998B363" w:rsidR="001D59B9" w:rsidRPr="0048465B" w:rsidRDefault="00703A05" w:rsidP="00714416">
      <w:pPr>
        <w:widowControl w:val="0"/>
        <w:spacing w:after="240" w:line="360" w:lineRule="auto"/>
        <w:ind w:left="720"/>
        <w:jc w:val="left"/>
        <w:rPr>
          <w:lang w:val="en-GB"/>
        </w:rPr>
      </w:pPr>
      <w:r w:rsidRPr="0048465B">
        <w:rPr>
          <w:lang w:val="en-GB"/>
        </w:rPr>
        <w:t xml:space="preserve">‘Data on Annexation and Populated Land Swaps under the Trump Plan’, </w:t>
      </w:r>
      <w:r w:rsidRPr="0048465B">
        <w:rPr>
          <w:i/>
          <w:lang w:val="en-GB"/>
        </w:rPr>
        <w:t>Peace Now</w:t>
      </w:r>
      <w:r w:rsidRPr="0048465B">
        <w:rPr>
          <w:lang w:val="en-GB"/>
        </w:rPr>
        <w:t>, 2020 &lt;https://peacenow.org.il/en/data-on-annexation-and-populated-land-swaps-under-the-trump-plan&gt; [accessed 22 December 2020]</w:t>
      </w:r>
      <w:r w:rsidR="003C28AB">
        <w:rPr>
          <w:lang w:val="en-GB"/>
        </w:rPr>
        <w:t>.</w:t>
      </w:r>
    </w:p>
    <w:p w14:paraId="78E3DF1F" w14:textId="251EE005" w:rsidR="001D59B9" w:rsidRPr="0048465B" w:rsidRDefault="00703A05" w:rsidP="00714416">
      <w:pPr>
        <w:widowControl w:val="0"/>
        <w:spacing w:after="240" w:line="360" w:lineRule="auto"/>
        <w:ind w:left="720"/>
        <w:jc w:val="left"/>
        <w:rPr>
          <w:lang w:val="en-GB"/>
        </w:rPr>
      </w:pPr>
      <w:r w:rsidRPr="0048465B">
        <w:rPr>
          <w:lang w:val="en-GB"/>
        </w:rPr>
        <w:t xml:space="preserve">Davidson, Ian, </w:t>
      </w:r>
      <w:r w:rsidRPr="0048465B">
        <w:rPr>
          <w:i/>
          <w:lang w:val="en-GB"/>
        </w:rPr>
        <w:t>Voltaire in Exile: The Last Years</w:t>
      </w:r>
      <w:r w:rsidRPr="0048465B">
        <w:rPr>
          <w:lang w:val="en-GB"/>
        </w:rPr>
        <w:t>, 1st American ed (New York: Grove Press, 2004)</w:t>
      </w:r>
      <w:r w:rsidR="003C28AB">
        <w:rPr>
          <w:lang w:val="en-GB"/>
        </w:rPr>
        <w:t>.</w:t>
      </w:r>
    </w:p>
    <w:p w14:paraId="58F39D99" w14:textId="07C26BE4" w:rsidR="001D59B9" w:rsidRPr="0048465B" w:rsidRDefault="00703A05" w:rsidP="00714416">
      <w:pPr>
        <w:widowControl w:val="0"/>
        <w:spacing w:after="240" w:line="360" w:lineRule="auto"/>
        <w:ind w:left="720"/>
        <w:jc w:val="left"/>
        <w:rPr>
          <w:lang w:val="en-GB"/>
        </w:rPr>
      </w:pPr>
      <w:r w:rsidRPr="0048465B">
        <w:rPr>
          <w:lang w:val="en-GB"/>
        </w:rPr>
        <w:t xml:space="preserve">Davis, Colin, ‘Traumatic Hermeneutics: Reading and Overreading the Pain of Others’, in </w:t>
      </w:r>
      <w:r w:rsidRPr="0048465B">
        <w:rPr>
          <w:i/>
          <w:lang w:val="en-GB"/>
        </w:rPr>
        <w:t>Traces of War</w:t>
      </w:r>
      <w:r w:rsidRPr="0048465B">
        <w:rPr>
          <w:lang w:val="en-GB"/>
        </w:rPr>
        <w:t>, Interpreting Ethics and Trauma in Twentieth-Century French Writing (Liverpool University Press, 2018), pp. 29–46 &lt;https://doi.org/10.2307/j.ctt1ps33bb.6&gt;</w:t>
      </w:r>
      <w:r w:rsidR="003C28AB">
        <w:rPr>
          <w:lang w:val="en-GB"/>
        </w:rPr>
        <w:t>.</w:t>
      </w:r>
    </w:p>
    <w:p w14:paraId="2D9D974D" w14:textId="54700C48" w:rsidR="00FB3A93" w:rsidRPr="00FB3A93" w:rsidRDefault="00FB3A93" w:rsidP="00FB3A93">
      <w:pPr>
        <w:widowControl w:val="0"/>
        <w:spacing w:after="240" w:line="360" w:lineRule="auto"/>
        <w:ind w:left="720"/>
        <w:jc w:val="left"/>
      </w:pPr>
      <w:r w:rsidRPr="0048465B">
        <w:rPr>
          <w:lang w:val="en-GB"/>
        </w:rPr>
        <w:t xml:space="preserve">‘Definition of </w:t>
      </w:r>
      <w:r>
        <w:rPr>
          <w:lang w:val="en-GB"/>
        </w:rPr>
        <w:t xml:space="preserve">anti-Semitism, </w:t>
      </w:r>
      <w:r>
        <w:rPr>
          <w:i/>
          <w:iCs/>
          <w:lang w:val="en-GB"/>
        </w:rPr>
        <w:t>n.</w:t>
      </w:r>
      <w:r w:rsidRPr="0048465B">
        <w:rPr>
          <w:lang w:val="en-GB"/>
        </w:rPr>
        <w:t xml:space="preserve">’, </w:t>
      </w:r>
      <w:hyperlink r:id="rId15" w:history="1">
        <w:r w:rsidRPr="006D4C22">
          <w:rPr>
            <w:rStyle w:val="Hyperlink"/>
            <w:iCs/>
            <w:lang w:val="en-GB"/>
          </w:rPr>
          <w:t>www.oed.com</w:t>
        </w:r>
      </w:hyperlink>
      <w:r>
        <w:rPr>
          <w:iCs/>
          <w:lang w:val="en-GB"/>
        </w:rPr>
        <w:t xml:space="preserve"> </w:t>
      </w:r>
      <w:r w:rsidRPr="00FB3A93">
        <w:t>&lt;https://www.oed.com/view/Entry/8854?redirectedFrom=anti-Semitism#eid&gt; [accessed 8 September 2018].</w:t>
      </w:r>
    </w:p>
    <w:p w14:paraId="7A4361BC" w14:textId="00A35328" w:rsidR="00057474" w:rsidRPr="0048465B" w:rsidRDefault="00703A05" w:rsidP="00057474">
      <w:pPr>
        <w:widowControl w:val="0"/>
        <w:spacing w:after="240" w:line="360" w:lineRule="auto"/>
        <w:ind w:left="720"/>
        <w:jc w:val="left"/>
        <w:rPr>
          <w:lang w:val="en-GB"/>
        </w:rPr>
      </w:pPr>
      <w:r w:rsidRPr="0048465B">
        <w:rPr>
          <w:lang w:val="en-GB"/>
        </w:rPr>
        <w:t xml:space="preserve">‘Definition of </w:t>
      </w:r>
      <w:r w:rsidR="00057474">
        <w:rPr>
          <w:lang w:val="en-GB"/>
        </w:rPr>
        <w:t>q</w:t>
      </w:r>
      <w:r w:rsidRPr="0048465B">
        <w:rPr>
          <w:lang w:val="en-GB"/>
        </w:rPr>
        <w:t>uasi</w:t>
      </w:r>
      <w:r w:rsidR="00057474">
        <w:rPr>
          <w:lang w:val="en-GB"/>
        </w:rPr>
        <w:t xml:space="preserve">-, </w:t>
      </w:r>
      <w:r w:rsidR="00057474">
        <w:rPr>
          <w:i/>
          <w:iCs/>
          <w:lang w:val="en-GB"/>
        </w:rPr>
        <w:t>comb. form</w:t>
      </w:r>
      <w:r w:rsidRPr="0048465B">
        <w:rPr>
          <w:lang w:val="en-GB"/>
        </w:rPr>
        <w:t xml:space="preserve">’, </w:t>
      </w:r>
      <w:r w:rsidR="00057474" w:rsidRPr="00057474">
        <w:rPr>
          <w:iCs/>
          <w:lang w:val="en-GB"/>
        </w:rPr>
        <w:t>www.oed.com</w:t>
      </w:r>
      <w:r w:rsidR="00057474">
        <w:rPr>
          <w:iCs/>
          <w:lang w:val="en-GB"/>
        </w:rPr>
        <w:t xml:space="preserve"> </w:t>
      </w:r>
      <w:r w:rsidRPr="0048465B">
        <w:rPr>
          <w:lang w:val="en-GB"/>
        </w:rPr>
        <w:t xml:space="preserve"> </w:t>
      </w:r>
      <w:r w:rsidR="00057474" w:rsidRPr="00057474">
        <w:t xml:space="preserve">&lt;https://www-oed-com.sheffield.idm.oclc.org/view/Entry/268293?rskey=WflA0u&amp;result=2#eid&gt; </w:t>
      </w:r>
      <w:r w:rsidRPr="0048465B">
        <w:rPr>
          <w:lang w:val="en-GB"/>
        </w:rPr>
        <w:t>[accessed 1 March 2021]</w:t>
      </w:r>
      <w:r w:rsidR="003C28AB">
        <w:rPr>
          <w:lang w:val="en-GB"/>
        </w:rPr>
        <w:t>.</w:t>
      </w:r>
    </w:p>
    <w:p w14:paraId="1E7072E8" w14:textId="16F4270C" w:rsidR="001D59B9" w:rsidRPr="0048465B" w:rsidRDefault="00703A05" w:rsidP="00714416">
      <w:pPr>
        <w:widowControl w:val="0"/>
        <w:spacing w:after="240" w:line="360" w:lineRule="auto"/>
        <w:ind w:left="720"/>
        <w:jc w:val="left"/>
        <w:rPr>
          <w:lang w:val="en-GB"/>
        </w:rPr>
      </w:pPr>
      <w:proofErr w:type="spellStart"/>
      <w:r w:rsidRPr="0048465B">
        <w:rPr>
          <w:lang w:val="en-GB"/>
        </w:rPr>
        <w:t>DellaPergola</w:t>
      </w:r>
      <w:proofErr w:type="spellEnd"/>
      <w:r w:rsidRPr="0048465B">
        <w:rPr>
          <w:lang w:val="en-GB"/>
        </w:rPr>
        <w:t xml:space="preserve">, Sergio, ‘Jews in the European Community: Sociodemographic Trends and Challenges’, </w:t>
      </w:r>
      <w:r w:rsidRPr="0048465B">
        <w:rPr>
          <w:i/>
          <w:lang w:val="en-GB"/>
        </w:rPr>
        <w:t>American Jewish Yearbook</w:t>
      </w:r>
      <w:r w:rsidRPr="0048465B">
        <w:rPr>
          <w:lang w:val="en-GB"/>
        </w:rPr>
        <w:t>, 93 (1993), 25–84</w:t>
      </w:r>
      <w:r w:rsidR="003C28AB">
        <w:rPr>
          <w:lang w:val="en-GB"/>
        </w:rPr>
        <w:t>.</w:t>
      </w:r>
    </w:p>
    <w:p w14:paraId="5AF4E44E" w14:textId="55C2385C" w:rsidR="001D59B9" w:rsidRPr="0048465B" w:rsidRDefault="00703A05" w:rsidP="00714416">
      <w:pPr>
        <w:widowControl w:val="0"/>
        <w:spacing w:after="240" w:line="360" w:lineRule="auto"/>
        <w:ind w:left="720"/>
        <w:jc w:val="left"/>
        <w:rPr>
          <w:lang w:val="en-GB"/>
        </w:rPr>
      </w:pPr>
      <w:r w:rsidRPr="0048465B">
        <w:rPr>
          <w:lang w:val="en-GB"/>
        </w:rPr>
        <w:t xml:space="preserve">Dershowitz, Alan M., ‘Ten Reasons Why BDS Is Immoral and Hinders Peace’, </w:t>
      </w:r>
      <w:r w:rsidRPr="0048465B">
        <w:rPr>
          <w:i/>
          <w:lang w:val="en-GB"/>
        </w:rPr>
        <w:t>Haaretz &lt;</w:t>
      </w:r>
      <w:r w:rsidRPr="0048465B">
        <w:rPr>
          <w:lang w:val="en-GB"/>
        </w:rPr>
        <w:t>https://www.haaretz.com/opinion/.premium-ten-reasons-why-bds-is-immoral-1.5321568&gt; [accessed 27 November 2020]</w:t>
      </w:r>
      <w:r w:rsidR="003C28AB">
        <w:rPr>
          <w:lang w:val="en-GB"/>
        </w:rPr>
        <w:t>.</w:t>
      </w:r>
    </w:p>
    <w:p w14:paraId="7FE75CBF" w14:textId="3B3E1C13" w:rsidR="001D59B9" w:rsidRPr="0048465B" w:rsidRDefault="00703A05" w:rsidP="00714416">
      <w:pPr>
        <w:widowControl w:val="0"/>
        <w:spacing w:after="240" w:line="360" w:lineRule="auto"/>
        <w:ind w:left="720"/>
        <w:jc w:val="left"/>
        <w:rPr>
          <w:lang w:val="en-GB"/>
        </w:rPr>
      </w:pPr>
      <w:r w:rsidRPr="0048465B">
        <w:rPr>
          <w:lang w:val="en-GB"/>
        </w:rPr>
        <w:t xml:space="preserve">‘Discriminatory Laws in Israel - </w:t>
      </w:r>
      <w:proofErr w:type="spellStart"/>
      <w:r w:rsidRPr="0048465B">
        <w:rPr>
          <w:lang w:val="en-GB"/>
        </w:rPr>
        <w:t>Adalah</w:t>
      </w:r>
      <w:proofErr w:type="spellEnd"/>
      <w:r w:rsidRPr="0048465B">
        <w:rPr>
          <w:lang w:val="en-GB"/>
        </w:rPr>
        <w:t>’ &lt;https://www.adalah.org/en/law/index?page=4&gt; [accessed 27 November 2020]</w:t>
      </w:r>
      <w:r w:rsidR="003C28AB">
        <w:rPr>
          <w:lang w:val="en-GB"/>
        </w:rPr>
        <w:t>.</w:t>
      </w:r>
    </w:p>
    <w:p w14:paraId="69DE1879" w14:textId="3A6AB57A" w:rsidR="001D59B9" w:rsidRPr="0048465B" w:rsidRDefault="00703A05" w:rsidP="00714416">
      <w:pPr>
        <w:widowControl w:val="0"/>
        <w:spacing w:after="240" w:line="360" w:lineRule="auto"/>
        <w:ind w:left="720"/>
        <w:jc w:val="left"/>
        <w:rPr>
          <w:lang w:val="en-GB"/>
        </w:rPr>
      </w:pPr>
      <w:r w:rsidRPr="0048465B">
        <w:rPr>
          <w:lang w:val="en-GB"/>
        </w:rPr>
        <w:t>Djerejian, Edward P., Marwan Muasher, and Nathan J. Brown, ‘Two States or One? Reappraising the Israeli-Palestinian Impasse’ (Rice University’s Baker Institute for Public Policy and Carnegie Endowment for International Peace, 2018)</w:t>
      </w:r>
      <w:r w:rsidR="003C28AB">
        <w:rPr>
          <w:lang w:val="en-GB"/>
        </w:rPr>
        <w:t>.</w:t>
      </w:r>
    </w:p>
    <w:p w14:paraId="19F42E91" w14:textId="60B12F7C" w:rsidR="00AE6CF0" w:rsidRPr="0048465B" w:rsidRDefault="00703A05" w:rsidP="00AE6CF0">
      <w:pPr>
        <w:widowControl w:val="0"/>
        <w:spacing w:after="240" w:line="360" w:lineRule="auto"/>
        <w:ind w:left="720"/>
        <w:jc w:val="left"/>
        <w:rPr>
          <w:lang w:val="en-GB"/>
        </w:rPr>
      </w:pPr>
      <w:r w:rsidRPr="0048465B">
        <w:rPr>
          <w:lang w:val="en-GB"/>
        </w:rPr>
        <w:lastRenderedPageBreak/>
        <w:t xml:space="preserve">Du </w:t>
      </w:r>
      <w:proofErr w:type="spellStart"/>
      <w:r w:rsidRPr="0048465B">
        <w:rPr>
          <w:lang w:val="en-GB"/>
        </w:rPr>
        <w:t>Bois</w:t>
      </w:r>
      <w:proofErr w:type="spellEnd"/>
      <w:r w:rsidRPr="0048465B">
        <w:rPr>
          <w:lang w:val="en-GB"/>
        </w:rPr>
        <w:t xml:space="preserve">, W. E. Burghardt, ‘Strivings of the Negro People’, </w:t>
      </w:r>
      <w:r w:rsidRPr="0048465B">
        <w:rPr>
          <w:i/>
          <w:lang w:val="en-GB"/>
        </w:rPr>
        <w:t>The Atlantic</w:t>
      </w:r>
      <w:r w:rsidRPr="0048465B">
        <w:rPr>
          <w:lang w:val="en-GB"/>
        </w:rPr>
        <w:t>, 1897 &lt;https://www.theatlantic.com/magazine/archive/1897/08/strivings-of-the-negro-people/305446/&gt; [accessed 6 January 2021]</w:t>
      </w:r>
      <w:r w:rsidR="003C28AB">
        <w:rPr>
          <w:lang w:val="en-GB"/>
        </w:rPr>
        <w:t>.</w:t>
      </w:r>
    </w:p>
    <w:p w14:paraId="13B52680" w14:textId="34AC894D" w:rsidR="001D59B9" w:rsidRPr="0048465B" w:rsidRDefault="00703A05" w:rsidP="00714416">
      <w:pPr>
        <w:widowControl w:val="0"/>
        <w:spacing w:after="240" w:line="360" w:lineRule="auto"/>
        <w:ind w:left="720"/>
        <w:jc w:val="left"/>
        <w:rPr>
          <w:lang w:val="en-GB"/>
        </w:rPr>
      </w:pPr>
      <w:r w:rsidRPr="0048465B">
        <w:rPr>
          <w:lang w:val="en-GB"/>
        </w:rPr>
        <w:t>Ducker, Clare Louise, ‘Jews, Arabs and Arab Jews: The Politics of Identity and Reproduction in Israel’</w:t>
      </w:r>
      <w:r w:rsidR="00AE6CF0">
        <w:rPr>
          <w:lang w:val="en-GB"/>
        </w:rPr>
        <w:t xml:space="preserve">, </w:t>
      </w:r>
      <w:r w:rsidR="00AE6CF0">
        <w:rPr>
          <w:i/>
          <w:iCs/>
          <w:lang w:val="en-GB"/>
        </w:rPr>
        <w:t>ISS Working Papers – General Series</w:t>
      </w:r>
      <w:r w:rsidR="00AE6CF0">
        <w:rPr>
          <w:lang w:val="en-GB"/>
        </w:rPr>
        <w:t>, 421 (2006), 1-58.</w:t>
      </w:r>
    </w:p>
    <w:p w14:paraId="2792BA51" w14:textId="6B73189E" w:rsidR="001D59B9" w:rsidRPr="0048465B" w:rsidRDefault="00703A05" w:rsidP="00714416">
      <w:pPr>
        <w:widowControl w:val="0"/>
        <w:spacing w:after="240" w:line="360" w:lineRule="auto"/>
        <w:ind w:left="720"/>
        <w:jc w:val="left"/>
        <w:rPr>
          <w:lang w:val="en-GB"/>
        </w:rPr>
      </w:pPr>
      <w:r w:rsidRPr="0048465B">
        <w:rPr>
          <w:lang w:val="en-GB"/>
        </w:rPr>
        <w:t xml:space="preserve">Edelman, Ofra, ‘Children From Mixed Marriages Look for Answers in Complex Israeli Reality’, </w:t>
      </w:r>
      <w:r w:rsidRPr="0048465B">
        <w:rPr>
          <w:i/>
          <w:lang w:val="en-GB"/>
        </w:rPr>
        <w:t>Haaretz &lt;</w:t>
      </w:r>
      <w:r w:rsidRPr="0048465B">
        <w:rPr>
          <w:lang w:val="en-GB"/>
        </w:rPr>
        <w:t>https://www.haaretz.com/.premium-the-kids-are-alright-confused-but-alright-1.5262284&gt; [accessed 13 August 2020]</w:t>
      </w:r>
      <w:r w:rsidR="003C28AB">
        <w:rPr>
          <w:lang w:val="en-GB"/>
        </w:rPr>
        <w:t>.</w:t>
      </w:r>
    </w:p>
    <w:p w14:paraId="430289A5" w14:textId="277A11DC" w:rsidR="001D59B9" w:rsidRPr="0048465B" w:rsidRDefault="00703A05" w:rsidP="00714416">
      <w:pPr>
        <w:widowControl w:val="0"/>
        <w:spacing w:after="240" w:line="360" w:lineRule="auto"/>
        <w:ind w:left="720"/>
        <w:jc w:val="left"/>
        <w:rPr>
          <w:lang w:val="en-GB"/>
        </w:rPr>
      </w:pPr>
      <w:r w:rsidRPr="0048465B">
        <w:rPr>
          <w:lang w:val="en-GB"/>
        </w:rPr>
        <w:t xml:space="preserve">Erakat, Noura, </w:t>
      </w:r>
      <w:r w:rsidRPr="0048465B">
        <w:rPr>
          <w:i/>
          <w:lang w:val="en-GB"/>
        </w:rPr>
        <w:t>Justice for Some: Law and the Question of Palestine</w:t>
      </w:r>
      <w:r w:rsidRPr="0048465B">
        <w:rPr>
          <w:lang w:val="en-GB"/>
        </w:rPr>
        <w:t>, 1st edition (Stanford University Press, 2019)</w:t>
      </w:r>
      <w:r w:rsidR="003C28AB">
        <w:rPr>
          <w:lang w:val="en-GB"/>
        </w:rPr>
        <w:t>.</w:t>
      </w:r>
    </w:p>
    <w:p w14:paraId="3FB73777" w14:textId="748DC4B3" w:rsidR="001D59B9" w:rsidRPr="0048465B" w:rsidRDefault="00703A05" w:rsidP="003C28AB">
      <w:pPr>
        <w:widowControl w:val="0"/>
        <w:spacing w:after="240" w:line="360" w:lineRule="auto"/>
        <w:ind w:left="720"/>
        <w:jc w:val="left"/>
        <w:rPr>
          <w:lang w:val="en-GB"/>
        </w:rPr>
      </w:pPr>
      <w:r w:rsidRPr="0048465B">
        <w:rPr>
          <w:lang w:val="en-GB"/>
        </w:rPr>
        <w:t xml:space="preserve">Farber, Seth, ‘The Real Reason Intermarriage Is Bad for the Jews’, </w:t>
      </w:r>
      <w:r w:rsidRPr="0048465B">
        <w:rPr>
          <w:i/>
          <w:lang w:val="en-GB"/>
        </w:rPr>
        <w:t>Haaretz</w:t>
      </w:r>
      <w:r w:rsidR="003C28AB">
        <w:rPr>
          <w:lang w:val="en-GB"/>
        </w:rPr>
        <w:t xml:space="preserve"> </w:t>
      </w:r>
      <w:r w:rsidRPr="0048465B">
        <w:rPr>
          <w:lang w:val="en-GB"/>
        </w:rPr>
        <w:t>&lt;https://www.haaretz.com/jewish/.premium-why-intermarriage-is-bad-for-jews-1.5250565&gt; [accessed 10 August 2020]</w:t>
      </w:r>
      <w:r w:rsidR="003C28AB">
        <w:rPr>
          <w:lang w:val="en-GB"/>
        </w:rPr>
        <w:t>.</w:t>
      </w:r>
    </w:p>
    <w:p w14:paraId="72D7A8B8" w14:textId="750AED8A" w:rsidR="001D59B9" w:rsidRPr="0048465B" w:rsidRDefault="00703A05" w:rsidP="00714416">
      <w:pPr>
        <w:widowControl w:val="0"/>
        <w:spacing w:after="240" w:line="360" w:lineRule="auto"/>
        <w:ind w:left="720"/>
        <w:jc w:val="left"/>
        <w:rPr>
          <w:lang w:val="en-GB"/>
        </w:rPr>
      </w:pPr>
      <w:r w:rsidRPr="0048465B">
        <w:rPr>
          <w:lang w:val="en-GB"/>
        </w:rPr>
        <w:t xml:space="preserve">Fisher, Ian, ‘It’s Complicated: The Path of an Israeli-Palestinian Love Story’, </w:t>
      </w:r>
      <w:r w:rsidRPr="0048465B">
        <w:rPr>
          <w:i/>
          <w:lang w:val="en-GB"/>
        </w:rPr>
        <w:t>The New York Times</w:t>
      </w:r>
      <w:r w:rsidRPr="0048465B">
        <w:rPr>
          <w:lang w:val="en-GB"/>
        </w:rPr>
        <w:t>, 3 May 2017, section Books &lt;https://www.nytimes.com/2017/05/03/books/its-complicated-the-path-of-an-israeli-palestinian-love-story.html&gt; [accessed 9 February 2021]</w:t>
      </w:r>
      <w:r w:rsidR="003C28AB">
        <w:rPr>
          <w:lang w:val="en-GB"/>
        </w:rPr>
        <w:t>.</w:t>
      </w:r>
    </w:p>
    <w:p w14:paraId="5670888A" w14:textId="4043B760" w:rsidR="001D59B9" w:rsidRPr="0048465B" w:rsidRDefault="00703A05" w:rsidP="00714416">
      <w:pPr>
        <w:widowControl w:val="0"/>
        <w:spacing w:after="240" w:line="360" w:lineRule="auto"/>
        <w:ind w:left="720"/>
        <w:jc w:val="left"/>
        <w:rPr>
          <w:lang w:val="en-GB"/>
        </w:rPr>
      </w:pPr>
      <w:r w:rsidRPr="0048465B">
        <w:rPr>
          <w:lang w:val="en-GB"/>
        </w:rPr>
        <w:t>Fogiel-Bijaoui, Sylvie, ‘Sleeping with the “Enemy”: Mixed Marriages in the Israeli Media: Journal of Israeli History: Vol 36, No 2’ &lt;https://www.tandfonline.com/doi/full/10.1080/13531042.2018.1545820&gt; [accessed 20 July 2020]</w:t>
      </w:r>
      <w:r w:rsidR="003C28AB">
        <w:rPr>
          <w:lang w:val="en-GB"/>
        </w:rPr>
        <w:t>.</w:t>
      </w:r>
    </w:p>
    <w:p w14:paraId="3632ECFA" w14:textId="08E80576" w:rsidR="001D59B9" w:rsidRPr="0048465B" w:rsidRDefault="00703A05" w:rsidP="00714416">
      <w:pPr>
        <w:widowControl w:val="0"/>
        <w:spacing w:after="240" w:line="360" w:lineRule="auto"/>
        <w:ind w:left="720"/>
        <w:jc w:val="left"/>
        <w:rPr>
          <w:lang w:val="en-GB"/>
        </w:rPr>
      </w:pPr>
      <w:proofErr w:type="spellStart"/>
      <w:r w:rsidRPr="0048465B">
        <w:rPr>
          <w:lang w:val="en-GB"/>
        </w:rPr>
        <w:t>Frantzman</w:t>
      </w:r>
      <w:proofErr w:type="spellEnd"/>
      <w:r w:rsidRPr="0048465B">
        <w:rPr>
          <w:lang w:val="en-GB"/>
        </w:rPr>
        <w:t>, Seth, ‘The Outrage of Comparing Israel to the Nazis’ &lt;http://genocidewatch.net/2016/05/12/the-outrage-of-comparing-israel-to-the-nazis/&gt; [accessed 4 September 2018]</w:t>
      </w:r>
      <w:r w:rsidR="003C28AB">
        <w:rPr>
          <w:lang w:val="en-GB"/>
        </w:rPr>
        <w:t>.</w:t>
      </w:r>
    </w:p>
    <w:p w14:paraId="6DBF6EEB" w14:textId="6604FBC4" w:rsidR="00360C05" w:rsidRPr="00360C05" w:rsidRDefault="00F76E25" w:rsidP="00360C05">
      <w:pPr>
        <w:widowControl w:val="0"/>
        <w:spacing w:after="240" w:line="360" w:lineRule="auto"/>
        <w:ind w:left="720"/>
        <w:jc w:val="left"/>
        <w:rPr>
          <w:lang w:val="en-GB"/>
        </w:rPr>
      </w:pPr>
      <w:r>
        <w:rPr>
          <w:lang w:val="en-GB"/>
        </w:rPr>
        <w:t>“</w:t>
      </w:r>
      <w:r w:rsidR="00360C05" w:rsidRPr="00360C05">
        <w:rPr>
          <w:lang w:val="en-GB"/>
        </w:rPr>
        <w:t>Freedom Of Marriage World Table | Freedom Of Marriage World Map</w:t>
      </w:r>
      <w:r>
        <w:rPr>
          <w:lang w:val="en-GB"/>
        </w:rPr>
        <w:t>”</w:t>
      </w:r>
      <w:r w:rsidR="00360C05" w:rsidRPr="00360C05">
        <w:rPr>
          <w:lang w:val="en-GB"/>
        </w:rPr>
        <w:t>, </w:t>
      </w:r>
      <w:r w:rsidR="00360C05" w:rsidRPr="00360C05">
        <w:rPr>
          <w:i/>
          <w:iCs/>
          <w:lang w:val="en-GB"/>
        </w:rPr>
        <w:t>Marriage.Hiddush.Org</w:t>
      </w:r>
      <w:r w:rsidR="00360C05" w:rsidRPr="00360C05">
        <w:rPr>
          <w:lang w:val="en-GB"/>
        </w:rPr>
        <w:t>, 2021 &lt;https://marriage.hiddush.org/table&gt; [Accessed 10 September 2021]</w:t>
      </w:r>
      <w:r w:rsidR="00360C05">
        <w:rPr>
          <w:lang w:val="en-GB"/>
        </w:rPr>
        <w:t>.</w:t>
      </w:r>
    </w:p>
    <w:p w14:paraId="6378CF93" w14:textId="417A52CF" w:rsidR="008B458E" w:rsidRDefault="008B458E" w:rsidP="00714416">
      <w:pPr>
        <w:widowControl w:val="0"/>
        <w:spacing w:after="240" w:line="360" w:lineRule="auto"/>
        <w:ind w:left="720"/>
        <w:jc w:val="left"/>
        <w:rPr>
          <w:lang w:val="en-GB"/>
        </w:rPr>
      </w:pPr>
      <w:r w:rsidRPr="008B458E">
        <w:lastRenderedPageBreak/>
        <w:t>Garfinkle, Adam M.</w:t>
      </w:r>
      <w:r>
        <w:t>,</w:t>
      </w:r>
      <w:r w:rsidRPr="008B458E">
        <w:t xml:space="preserve"> ‘On the Origin, Meaning, Use and Abuse Of A Phrase’, </w:t>
      </w:r>
      <w:r w:rsidRPr="008B458E">
        <w:rPr>
          <w:i/>
          <w:iCs/>
        </w:rPr>
        <w:t>Middle Eastern Studies</w:t>
      </w:r>
      <w:r w:rsidRPr="008B458E">
        <w:t>, 27 (1991), 539-550 &lt;https://doi.org/10.1080/00263209108700876&gt;.</w:t>
      </w:r>
    </w:p>
    <w:p w14:paraId="5AB9FA4D" w14:textId="56D5CF26" w:rsidR="001D59B9" w:rsidRPr="0048465B" w:rsidRDefault="00703A05" w:rsidP="00714416">
      <w:pPr>
        <w:widowControl w:val="0"/>
        <w:spacing w:after="240" w:line="360" w:lineRule="auto"/>
        <w:ind w:left="720"/>
        <w:jc w:val="left"/>
        <w:rPr>
          <w:lang w:val="en-GB"/>
        </w:rPr>
      </w:pPr>
      <w:r w:rsidRPr="0048465B">
        <w:rPr>
          <w:lang w:val="en-GB"/>
        </w:rPr>
        <w:t xml:space="preserve">‘Gaza: The World’s Largest Open-Air Prison’, </w:t>
      </w:r>
      <w:r w:rsidRPr="0048465B">
        <w:rPr>
          <w:i/>
          <w:lang w:val="en-GB"/>
        </w:rPr>
        <w:t>NRC</w:t>
      </w:r>
      <w:r w:rsidRPr="0048465B">
        <w:rPr>
          <w:lang w:val="en-GB"/>
        </w:rPr>
        <w:t xml:space="preserve"> &lt;https://www.nrc.no/news/2018/april/gaza-the-worlds-largest-open-air-prison/&gt; [accessed 7 September 2018]</w:t>
      </w:r>
      <w:r w:rsidR="003C28AB">
        <w:rPr>
          <w:lang w:val="en-GB"/>
        </w:rPr>
        <w:t>.</w:t>
      </w:r>
    </w:p>
    <w:p w14:paraId="2BC440C1" w14:textId="7395D9C3" w:rsidR="001D59B9" w:rsidRPr="0048465B" w:rsidRDefault="00703A05" w:rsidP="00714416">
      <w:pPr>
        <w:widowControl w:val="0"/>
        <w:spacing w:after="240" w:line="360" w:lineRule="auto"/>
        <w:ind w:left="720"/>
        <w:jc w:val="left"/>
        <w:rPr>
          <w:lang w:val="en-GB"/>
        </w:rPr>
      </w:pPr>
      <w:r w:rsidRPr="0048465B">
        <w:rPr>
          <w:lang w:val="en-GB"/>
        </w:rPr>
        <w:t xml:space="preserve">Ginor, Zvia Ben-Yoseph, ‘Involuntary Myths: Mania, Mother, and Zion in </w:t>
      </w:r>
      <w:proofErr w:type="spellStart"/>
      <w:r w:rsidRPr="0048465B">
        <w:rPr>
          <w:lang w:val="en-GB"/>
        </w:rPr>
        <w:t>Orly</w:t>
      </w:r>
      <w:proofErr w:type="spellEnd"/>
      <w:r w:rsidRPr="0048465B">
        <w:rPr>
          <w:lang w:val="en-GB"/>
        </w:rPr>
        <w:t xml:space="preserve"> Castel-Bloom’s “</w:t>
      </w:r>
      <w:proofErr w:type="spellStart"/>
      <w:r w:rsidRPr="0048465B">
        <w:rPr>
          <w:lang w:val="en-GB"/>
        </w:rPr>
        <w:t>Ummi</w:t>
      </w:r>
      <w:proofErr w:type="spellEnd"/>
      <w:r w:rsidRPr="0048465B">
        <w:rPr>
          <w:lang w:val="en-GB"/>
        </w:rPr>
        <w:t xml:space="preserve"> Fi </w:t>
      </w:r>
      <w:proofErr w:type="spellStart"/>
      <w:r w:rsidRPr="0048465B">
        <w:rPr>
          <w:lang w:val="en-GB"/>
        </w:rPr>
        <w:t>Shurl</w:t>
      </w:r>
      <w:proofErr w:type="spellEnd"/>
      <w:r w:rsidRPr="0048465B">
        <w:rPr>
          <w:lang w:val="en-GB"/>
        </w:rPr>
        <w:t xml:space="preserve">”’, </w:t>
      </w:r>
      <w:r w:rsidRPr="0048465B">
        <w:rPr>
          <w:i/>
          <w:lang w:val="en-GB"/>
        </w:rPr>
        <w:t>Prooftexts</w:t>
      </w:r>
      <w:r w:rsidRPr="0048465B">
        <w:rPr>
          <w:lang w:val="en-GB"/>
        </w:rPr>
        <w:t>, 25.3 (2005), 235–57 &lt;https://doi.org/10.2979/pft.2005.25.3.235&gt;</w:t>
      </w:r>
      <w:r w:rsidR="003C28AB">
        <w:rPr>
          <w:lang w:val="en-GB"/>
        </w:rPr>
        <w:t>.</w:t>
      </w:r>
    </w:p>
    <w:p w14:paraId="22F4EB5B" w14:textId="79CCF251" w:rsidR="001D59B9" w:rsidRPr="0048465B" w:rsidRDefault="00703A05" w:rsidP="00714416">
      <w:pPr>
        <w:widowControl w:val="0"/>
        <w:spacing w:after="240" w:line="360" w:lineRule="auto"/>
        <w:ind w:left="720"/>
        <w:jc w:val="left"/>
        <w:rPr>
          <w:lang w:val="en-GB"/>
        </w:rPr>
      </w:pPr>
      <w:r w:rsidRPr="0048465B">
        <w:rPr>
          <w:lang w:val="en-GB"/>
        </w:rPr>
        <w:t>‘Google Books Ngram Search For: Jewish History, Palestinian History’ &lt;https://rb.gy/nsfmzs&gt; [accessed 1 February 2021]</w:t>
      </w:r>
      <w:r w:rsidR="003C28AB">
        <w:rPr>
          <w:lang w:val="en-GB"/>
        </w:rPr>
        <w:t>.</w:t>
      </w:r>
    </w:p>
    <w:p w14:paraId="28F5C13A" w14:textId="77777777" w:rsidR="001D59B9" w:rsidRPr="0048465B" w:rsidRDefault="00703A05" w:rsidP="00714416">
      <w:pPr>
        <w:widowControl w:val="0"/>
        <w:spacing w:after="240" w:line="360" w:lineRule="auto"/>
        <w:ind w:left="720"/>
        <w:jc w:val="left"/>
        <w:rPr>
          <w:lang w:val="en-GB"/>
        </w:rPr>
      </w:pPr>
      <w:r w:rsidRPr="0048465B">
        <w:rPr>
          <w:lang w:val="en-GB"/>
        </w:rPr>
        <w:t>‘Google Books Ngram Search For: The Holocaust, The Nakba, Al Nakba’ &lt;https://rb.gy/4imykg&gt; [accessed 1 February 2021].</w:t>
      </w:r>
    </w:p>
    <w:p w14:paraId="77028643" w14:textId="51CC8619" w:rsidR="001D59B9" w:rsidRPr="0048465B" w:rsidRDefault="00703A05" w:rsidP="00714416">
      <w:pPr>
        <w:widowControl w:val="0"/>
        <w:spacing w:after="240" w:line="360" w:lineRule="auto"/>
        <w:ind w:left="720"/>
        <w:jc w:val="left"/>
        <w:rPr>
          <w:lang w:val="en-GB"/>
        </w:rPr>
      </w:pPr>
      <w:proofErr w:type="spellStart"/>
      <w:r w:rsidRPr="0048465B">
        <w:rPr>
          <w:lang w:val="en-GB"/>
        </w:rPr>
        <w:t>Gopstein</w:t>
      </w:r>
      <w:proofErr w:type="spellEnd"/>
      <w:r w:rsidRPr="0048465B">
        <w:rPr>
          <w:lang w:val="en-GB"/>
        </w:rPr>
        <w:t xml:space="preserve">, </w:t>
      </w:r>
      <w:proofErr w:type="spellStart"/>
      <w:r w:rsidRPr="0048465B">
        <w:rPr>
          <w:lang w:val="en-GB"/>
        </w:rPr>
        <w:t>Bentzi</w:t>
      </w:r>
      <w:proofErr w:type="spellEnd"/>
      <w:r w:rsidRPr="0048465B">
        <w:rPr>
          <w:lang w:val="en-GB"/>
        </w:rPr>
        <w:t xml:space="preserve">, ‘Interview with </w:t>
      </w:r>
      <w:proofErr w:type="spellStart"/>
      <w:r w:rsidRPr="0048465B">
        <w:rPr>
          <w:lang w:val="en-GB"/>
        </w:rPr>
        <w:t>Lahava</w:t>
      </w:r>
      <w:proofErr w:type="spellEnd"/>
      <w:r w:rsidRPr="0048465B">
        <w:rPr>
          <w:lang w:val="en-GB"/>
        </w:rPr>
        <w:t xml:space="preserve"> CEO </w:t>
      </w:r>
      <w:proofErr w:type="spellStart"/>
      <w:r w:rsidRPr="0048465B">
        <w:rPr>
          <w:lang w:val="en-GB"/>
        </w:rPr>
        <w:t>Bentzi</w:t>
      </w:r>
      <w:proofErr w:type="spellEnd"/>
      <w:r w:rsidRPr="0048465B">
        <w:rPr>
          <w:lang w:val="en-GB"/>
        </w:rPr>
        <w:t xml:space="preserve"> </w:t>
      </w:r>
      <w:proofErr w:type="spellStart"/>
      <w:r w:rsidRPr="0048465B">
        <w:rPr>
          <w:lang w:val="en-GB"/>
        </w:rPr>
        <w:t>Gopstein</w:t>
      </w:r>
      <w:proofErr w:type="spellEnd"/>
      <w:r w:rsidRPr="0048465B">
        <w:rPr>
          <w:lang w:val="en-GB"/>
        </w:rPr>
        <w:t xml:space="preserve">’, </w:t>
      </w:r>
      <w:r w:rsidRPr="0048465B">
        <w:rPr>
          <w:i/>
          <w:lang w:val="en-GB"/>
        </w:rPr>
        <w:t>Lehava Us</w:t>
      </w:r>
      <w:r w:rsidRPr="0048465B">
        <w:rPr>
          <w:lang w:val="en-GB"/>
        </w:rPr>
        <w:t>, 2019 &lt;https://www.lehava-us.com/interview-with-lahava-ceo-bentzi-gopstein/&gt; [accessed 22 July 2020]</w:t>
      </w:r>
      <w:r w:rsidR="003C28AB">
        <w:rPr>
          <w:lang w:val="en-GB"/>
        </w:rPr>
        <w:t>.</w:t>
      </w:r>
    </w:p>
    <w:p w14:paraId="36E5C162" w14:textId="540BE121" w:rsidR="001D59B9" w:rsidRPr="0048465B" w:rsidRDefault="00703A05" w:rsidP="00714416">
      <w:pPr>
        <w:widowControl w:val="0"/>
        <w:spacing w:after="240" w:line="360" w:lineRule="auto"/>
        <w:ind w:left="720"/>
        <w:jc w:val="left"/>
        <w:rPr>
          <w:lang w:val="en-GB"/>
        </w:rPr>
      </w:pPr>
      <w:proofErr w:type="spellStart"/>
      <w:r w:rsidRPr="0048465B">
        <w:rPr>
          <w:lang w:val="en-GB"/>
        </w:rPr>
        <w:t>Gopstein</w:t>
      </w:r>
      <w:proofErr w:type="spellEnd"/>
      <w:r w:rsidRPr="0048465B">
        <w:rPr>
          <w:lang w:val="en-GB"/>
        </w:rPr>
        <w:t xml:space="preserve">, </w:t>
      </w:r>
      <w:proofErr w:type="spellStart"/>
      <w:r w:rsidRPr="0048465B">
        <w:rPr>
          <w:lang w:val="en-GB"/>
        </w:rPr>
        <w:t>Bentzi</w:t>
      </w:r>
      <w:proofErr w:type="spellEnd"/>
      <w:r w:rsidRPr="0048465B">
        <w:rPr>
          <w:lang w:val="en-GB"/>
        </w:rPr>
        <w:t>, ‘The War of Assimilation Is Not Racism, It Is Judaism! - Lehava Us’ &lt;https://www.lehava-us.com/the-war-of-assimilation-is-not-racism-it-is-judaism/&gt; [accessed 22 July 2020]</w:t>
      </w:r>
      <w:r w:rsidR="003C28AB">
        <w:rPr>
          <w:lang w:val="en-GB"/>
        </w:rPr>
        <w:t>.</w:t>
      </w:r>
    </w:p>
    <w:p w14:paraId="2738AEFC" w14:textId="2DB22389" w:rsidR="001D59B9" w:rsidRPr="0048465B" w:rsidRDefault="00703A05" w:rsidP="00714416">
      <w:pPr>
        <w:widowControl w:val="0"/>
        <w:spacing w:after="240" w:line="360" w:lineRule="auto"/>
        <w:ind w:left="720"/>
        <w:jc w:val="left"/>
        <w:rPr>
          <w:lang w:val="en-GB"/>
        </w:rPr>
      </w:pPr>
      <w:r w:rsidRPr="0048465B">
        <w:rPr>
          <w:lang w:val="en-GB"/>
        </w:rPr>
        <w:t xml:space="preserve">Gross, </w:t>
      </w:r>
      <w:proofErr w:type="spellStart"/>
      <w:r w:rsidRPr="0048465B">
        <w:rPr>
          <w:lang w:val="en-GB"/>
        </w:rPr>
        <w:t>Aeyal</w:t>
      </w:r>
      <w:proofErr w:type="spellEnd"/>
      <w:r w:rsidRPr="0048465B">
        <w:rPr>
          <w:lang w:val="en-GB"/>
        </w:rPr>
        <w:t xml:space="preserve">, ‘Israel’s Mixed Marriage Controversy: How Low Have We Sunk?’, </w:t>
      </w:r>
      <w:r w:rsidRPr="0048465B">
        <w:rPr>
          <w:i/>
          <w:lang w:val="en-GB"/>
        </w:rPr>
        <w:t>Haaretz &lt;</w:t>
      </w:r>
      <w:r w:rsidRPr="0048465B">
        <w:rPr>
          <w:lang w:val="en-GB"/>
        </w:rPr>
        <w:t>https://www.haaretz.com/.premium-how-low-we-have-sunk-1.5259975&gt; [accessed 22 July 2020]</w:t>
      </w:r>
      <w:r w:rsidR="003C28AB">
        <w:rPr>
          <w:lang w:val="en-GB"/>
        </w:rPr>
        <w:t>.</w:t>
      </w:r>
    </w:p>
    <w:p w14:paraId="449DBFFB" w14:textId="079CB14C" w:rsidR="001D59B9" w:rsidRPr="0048465B" w:rsidRDefault="00703A05" w:rsidP="00714416">
      <w:pPr>
        <w:widowControl w:val="0"/>
        <w:spacing w:after="240" w:line="360" w:lineRule="auto"/>
        <w:ind w:left="720"/>
        <w:jc w:val="left"/>
        <w:rPr>
          <w:lang w:val="en-GB"/>
        </w:rPr>
      </w:pPr>
      <w:r w:rsidRPr="0048465B">
        <w:rPr>
          <w:lang w:val="en-GB"/>
        </w:rPr>
        <w:t xml:space="preserve">Gur, </w:t>
      </w:r>
      <w:proofErr w:type="spellStart"/>
      <w:r w:rsidRPr="0048465B">
        <w:rPr>
          <w:lang w:val="en-GB"/>
        </w:rPr>
        <w:t>Haviv</w:t>
      </w:r>
      <w:proofErr w:type="spellEnd"/>
      <w:r w:rsidRPr="0048465B">
        <w:rPr>
          <w:lang w:val="en-GB"/>
        </w:rPr>
        <w:t xml:space="preserve"> Rettig, ‘Study Finds Huge Wage Gap between Ashkenazim, Mizrahim’ &lt;http://www.timesofisrael.com/study-finds-huge-wage-gap-between-ashkenazim-mizrahim/&gt; [accessed 17 July 2020]</w:t>
      </w:r>
      <w:r w:rsidR="003C28AB">
        <w:rPr>
          <w:lang w:val="en-GB"/>
        </w:rPr>
        <w:t>.</w:t>
      </w:r>
    </w:p>
    <w:p w14:paraId="72DAD021" w14:textId="4C128AD3" w:rsidR="001D59B9" w:rsidRPr="0048465B" w:rsidRDefault="00703A05" w:rsidP="00714416">
      <w:pPr>
        <w:widowControl w:val="0"/>
        <w:spacing w:after="240" w:line="360" w:lineRule="auto"/>
        <w:ind w:left="720"/>
        <w:jc w:val="left"/>
        <w:rPr>
          <w:lang w:val="en-GB"/>
        </w:rPr>
      </w:pPr>
      <w:r w:rsidRPr="0048465B">
        <w:rPr>
          <w:lang w:val="en-GB"/>
        </w:rPr>
        <w:t xml:space="preserve">Gur-Ze’ev, I., </w:t>
      </w:r>
      <w:r w:rsidRPr="0048465B">
        <w:rPr>
          <w:i/>
          <w:lang w:val="en-GB"/>
        </w:rPr>
        <w:t>Diasporic Philosophy and Counter-Education</w:t>
      </w:r>
      <w:r w:rsidRPr="0048465B">
        <w:rPr>
          <w:lang w:val="en-GB"/>
        </w:rPr>
        <w:t xml:space="preserve"> (</w:t>
      </w:r>
      <w:r w:rsidR="003C28AB">
        <w:rPr>
          <w:lang w:val="en-GB"/>
        </w:rPr>
        <w:t xml:space="preserve">Rotterdam: </w:t>
      </w:r>
      <w:r w:rsidRPr="0048465B">
        <w:rPr>
          <w:lang w:val="en-GB"/>
        </w:rPr>
        <w:t>Springer Science &amp; Business Media, 2011)</w:t>
      </w:r>
      <w:r w:rsidR="003C28AB">
        <w:rPr>
          <w:lang w:val="en-GB"/>
        </w:rPr>
        <w:t>.</w:t>
      </w:r>
    </w:p>
    <w:p w14:paraId="4F6F7AEC" w14:textId="357AA25A" w:rsidR="001D59B9" w:rsidRPr="0048465B" w:rsidRDefault="00703A05" w:rsidP="00714416">
      <w:pPr>
        <w:widowControl w:val="0"/>
        <w:spacing w:after="240" w:line="360" w:lineRule="auto"/>
        <w:ind w:left="720"/>
        <w:jc w:val="left"/>
        <w:rPr>
          <w:lang w:val="en-GB"/>
        </w:rPr>
      </w:pPr>
      <w:r w:rsidRPr="0048465B">
        <w:rPr>
          <w:lang w:val="en-GB"/>
        </w:rPr>
        <w:lastRenderedPageBreak/>
        <w:t xml:space="preserve">Habib, Jasmin, ‘Memorializing the Holocaust in Israel: Diasporic Encounters’, </w:t>
      </w:r>
      <w:proofErr w:type="spellStart"/>
      <w:r w:rsidRPr="0048465B">
        <w:rPr>
          <w:i/>
          <w:lang w:val="en-GB"/>
        </w:rPr>
        <w:t>Anthropologica</w:t>
      </w:r>
      <w:proofErr w:type="spellEnd"/>
      <w:r w:rsidRPr="0048465B">
        <w:rPr>
          <w:lang w:val="en-GB"/>
        </w:rPr>
        <w:t>, 49.2 (2007), 245–56</w:t>
      </w:r>
      <w:r w:rsidR="003C28AB">
        <w:rPr>
          <w:lang w:val="en-GB"/>
        </w:rPr>
        <w:t>.</w:t>
      </w:r>
    </w:p>
    <w:p w14:paraId="02CB902C" w14:textId="37A5F530" w:rsidR="001D59B9" w:rsidRPr="0048465B" w:rsidRDefault="00703A05" w:rsidP="00714416">
      <w:pPr>
        <w:widowControl w:val="0"/>
        <w:spacing w:after="240" w:line="360" w:lineRule="auto"/>
        <w:ind w:left="720"/>
        <w:jc w:val="left"/>
        <w:rPr>
          <w:lang w:val="en-GB"/>
        </w:rPr>
      </w:pPr>
      <w:proofErr w:type="spellStart"/>
      <w:r w:rsidRPr="0048465B">
        <w:rPr>
          <w:lang w:val="en-GB"/>
        </w:rPr>
        <w:t>HaCohen</w:t>
      </w:r>
      <w:proofErr w:type="spellEnd"/>
      <w:r w:rsidRPr="0048465B">
        <w:rPr>
          <w:lang w:val="en-GB"/>
        </w:rPr>
        <w:t xml:space="preserve">, Ran, ‘The “Jewish Blackness” Thesis Revisited’, </w:t>
      </w:r>
      <w:r w:rsidRPr="0048465B">
        <w:rPr>
          <w:i/>
          <w:lang w:val="en-GB"/>
        </w:rPr>
        <w:t>Religions</w:t>
      </w:r>
      <w:r w:rsidRPr="0048465B">
        <w:rPr>
          <w:lang w:val="en-GB"/>
        </w:rPr>
        <w:t>, 9.7 (2018), 222 &lt;https://doi.org/10.3390/rel9070222&gt;</w:t>
      </w:r>
      <w:r w:rsidR="003C28AB">
        <w:rPr>
          <w:lang w:val="en-GB"/>
        </w:rPr>
        <w:t>.</w:t>
      </w:r>
    </w:p>
    <w:p w14:paraId="566692B1" w14:textId="4B2F97CC" w:rsidR="001D59B9" w:rsidRPr="0048465B" w:rsidRDefault="00703A05" w:rsidP="00714416">
      <w:pPr>
        <w:widowControl w:val="0"/>
        <w:spacing w:after="240" w:line="360" w:lineRule="auto"/>
        <w:ind w:left="720"/>
        <w:jc w:val="left"/>
        <w:rPr>
          <w:lang w:val="en-GB"/>
        </w:rPr>
      </w:pPr>
      <w:r w:rsidRPr="0048465B">
        <w:rPr>
          <w:lang w:val="en-GB"/>
        </w:rPr>
        <w:t xml:space="preserve">Hajaj, Claire, ‘What Is It like to Grow up Half Jewish and Half Palestinian?’, </w:t>
      </w:r>
      <w:r w:rsidRPr="0048465B">
        <w:rPr>
          <w:i/>
          <w:lang w:val="en-GB"/>
        </w:rPr>
        <w:t>The Telegraph</w:t>
      </w:r>
      <w:r w:rsidRPr="0048465B">
        <w:rPr>
          <w:lang w:val="en-GB"/>
        </w:rPr>
        <w:t xml:space="preserve"> &lt;https://www.telegraph.co.uk/comment/personal-view/11061569/What-is-it-like-to-grow-up-half-Jewish-and-half-Palestinian.html&gt; [accessed 17 August 2020]</w:t>
      </w:r>
      <w:r w:rsidR="003C28AB">
        <w:rPr>
          <w:lang w:val="en-GB"/>
        </w:rPr>
        <w:t>.</w:t>
      </w:r>
    </w:p>
    <w:p w14:paraId="38167EAC" w14:textId="5DA38C2D" w:rsidR="001D59B9" w:rsidRPr="0048465B" w:rsidRDefault="00703A05" w:rsidP="00714416">
      <w:pPr>
        <w:widowControl w:val="0"/>
        <w:spacing w:after="240" w:line="360" w:lineRule="auto"/>
        <w:ind w:left="720"/>
        <w:jc w:val="left"/>
        <w:rPr>
          <w:lang w:val="en-GB"/>
        </w:rPr>
      </w:pPr>
      <w:r w:rsidRPr="0048465B">
        <w:rPr>
          <w:lang w:val="en-GB"/>
        </w:rPr>
        <w:t xml:space="preserve">Halbfinger, David M., Michael Wines, and Steven Erlanger, ‘Is B.D.S. Anti-Semitic? A Closer Look at the Boycott Israel Campaign’, </w:t>
      </w:r>
      <w:r w:rsidRPr="0048465B">
        <w:rPr>
          <w:i/>
          <w:lang w:val="en-GB"/>
        </w:rPr>
        <w:t>The New York Times</w:t>
      </w:r>
      <w:r w:rsidRPr="0048465B">
        <w:rPr>
          <w:lang w:val="en-GB"/>
        </w:rPr>
        <w:t>, 27 July 2019, section World &lt;https://www.nytimes.com/2019/07/27/world/middleeast/bds-israel-boycott-antisemitic.html&gt; [accessed 30 November 2020]</w:t>
      </w:r>
      <w:r w:rsidR="003C28AB">
        <w:rPr>
          <w:lang w:val="en-GB"/>
        </w:rPr>
        <w:t>.</w:t>
      </w:r>
    </w:p>
    <w:p w14:paraId="6D2AF4E1" w14:textId="0B8601B5" w:rsidR="00856E35" w:rsidRPr="00856E35" w:rsidRDefault="00856E35" w:rsidP="00856E35">
      <w:pPr>
        <w:widowControl w:val="0"/>
        <w:spacing w:after="240" w:line="360" w:lineRule="auto"/>
        <w:ind w:left="720"/>
        <w:jc w:val="left"/>
        <w:rPr>
          <w:lang w:val="en-GB"/>
        </w:rPr>
      </w:pPr>
      <w:r>
        <w:rPr>
          <w:lang w:val="en-GB"/>
        </w:rPr>
        <w:t>“</w:t>
      </w:r>
      <w:r w:rsidRPr="00856E35">
        <w:rPr>
          <w:lang w:val="en-GB"/>
        </w:rPr>
        <w:t>Hamas Covenant 1988</w:t>
      </w:r>
      <w:r>
        <w:rPr>
          <w:lang w:val="en-GB"/>
        </w:rPr>
        <w:t>”</w:t>
      </w:r>
      <w:r w:rsidRPr="00856E35">
        <w:rPr>
          <w:lang w:val="en-GB"/>
        </w:rPr>
        <w:t>, </w:t>
      </w:r>
      <w:r w:rsidRPr="00856E35">
        <w:rPr>
          <w:i/>
          <w:iCs/>
          <w:lang w:val="en-GB"/>
        </w:rPr>
        <w:t>Avalon.Law.Yale.Edu</w:t>
      </w:r>
      <w:r w:rsidRPr="00856E35">
        <w:rPr>
          <w:lang w:val="en-GB"/>
        </w:rPr>
        <w:t>, 1988 &lt;https://avalon.law.yale.edu/20th_century/hamas.asp&gt; [Accessed 9 September 2021]</w:t>
      </w:r>
      <w:r>
        <w:rPr>
          <w:lang w:val="en-GB"/>
        </w:rPr>
        <w:t>.</w:t>
      </w:r>
    </w:p>
    <w:p w14:paraId="52066C51" w14:textId="12BAAB73" w:rsidR="001D59B9" w:rsidRPr="0048465B" w:rsidRDefault="00703A05" w:rsidP="00714416">
      <w:pPr>
        <w:widowControl w:val="0"/>
        <w:spacing w:after="240" w:line="360" w:lineRule="auto"/>
        <w:ind w:left="720"/>
        <w:jc w:val="left"/>
        <w:rPr>
          <w:lang w:val="en-GB"/>
        </w:rPr>
      </w:pPr>
      <w:r w:rsidRPr="0048465B">
        <w:rPr>
          <w:lang w:val="en-GB"/>
        </w:rPr>
        <w:t xml:space="preserve">Harari, </w:t>
      </w:r>
      <w:proofErr w:type="spellStart"/>
      <w:r w:rsidRPr="0048465B">
        <w:rPr>
          <w:lang w:val="en-GB"/>
        </w:rPr>
        <w:t>Orly</w:t>
      </w:r>
      <w:proofErr w:type="spellEnd"/>
      <w:r w:rsidRPr="0048465B">
        <w:rPr>
          <w:lang w:val="en-GB"/>
        </w:rPr>
        <w:t xml:space="preserve">, ‘One More Precious Soul Has Been Rescued.’, </w:t>
      </w:r>
      <w:r w:rsidRPr="0048465B">
        <w:rPr>
          <w:i/>
          <w:lang w:val="en-GB"/>
        </w:rPr>
        <w:t>Lehava Us</w:t>
      </w:r>
      <w:r w:rsidRPr="0048465B">
        <w:rPr>
          <w:lang w:val="en-GB"/>
        </w:rPr>
        <w:t>, 2019 &lt;https://www.lehava-us.com/one-more-precious-soul-has-been-rescued/&gt; [accessed 22 July 2020]</w:t>
      </w:r>
      <w:r w:rsidR="003C28AB">
        <w:rPr>
          <w:lang w:val="en-GB"/>
        </w:rPr>
        <w:t>.</w:t>
      </w:r>
    </w:p>
    <w:p w14:paraId="5B76457A" w14:textId="2C427E92" w:rsidR="001D59B9" w:rsidRPr="0048465B" w:rsidRDefault="00703A05" w:rsidP="00714416">
      <w:pPr>
        <w:widowControl w:val="0"/>
        <w:spacing w:after="240" w:line="360" w:lineRule="auto"/>
        <w:ind w:left="720"/>
        <w:jc w:val="left"/>
        <w:rPr>
          <w:lang w:val="en-GB"/>
        </w:rPr>
      </w:pPr>
      <w:proofErr w:type="spellStart"/>
      <w:r w:rsidRPr="0048465B">
        <w:rPr>
          <w:lang w:val="en-GB"/>
        </w:rPr>
        <w:t>Harb</w:t>
      </w:r>
      <w:proofErr w:type="spellEnd"/>
      <w:r w:rsidRPr="0048465B">
        <w:rPr>
          <w:lang w:val="en-GB"/>
        </w:rPr>
        <w:t xml:space="preserve">, Ali, ‘Kamala Harris Pledges Unconditional Support for Israel’, </w:t>
      </w:r>
      <w:r w:rsidRPr="0048465B">
        <w:rPr>
          <w:i/>
          <w:lang w:val="en-GB"/>
        </w:rPr>
        <w:t>Middle East Eye</w:t>
      </w:r>
      <w:r w:rsidRPr="0048465B">
        <w:rPr>
          <w:lang w:val="en-GB"/>
        </w:rPr>
        <w:t xml:space="preserve"> &lt;http://www.middleeasteye.net/news/kamala-harris-pledges-unconditional-support-israel&gt; [accessed 23 November 2020]</w:t>
      </w:r>
      <w:r w:rsidR="003C28AB">
        <w:rPr>
          <w:lang w:val="en-GB"/>
        </w:rPr>
        <w:t>.</w:t>
      </w:r>
    </w:p>
    <w:p w14:paraId="6354424B" w14:textId="3D6D69E4" w:rsidR="001D59B9" w:rsidRPr="0048465B" w:rsidRDefault="00703A05" w:rsidP="00714416">
      <w:pPr>
        <w:widowControl w:val="0"/>
        <w:spacing w:after="240" w:line="360" w:lineRule="auto"/>
        <w:ind w:left="720"/>
        <w:jc w:val="left"/>
        <w:rPr>
          <w:lang w:val="en-GB"/>
        </w:rPr>
      </w:pPr>
      <w:r w:rsidRPr="0048465B">
        <w:rPr>
          <w:lang w:val="en-GB"/>
        </w:rPr>
        <w:t>Harvard Law Review Staff, ‘Wielding Antidiscrimination Law to Suppress the Movement for Palestinian Rights’ &lt;https://harvardlawreview.org/2020/02/wielding-antidiscrimination-law-to-suppress-the-movement-for-palestinian-rights/&gt; [accessed 3 December 2020]</w:t>
      </w:r>
      <w:r w:rsidR="003C28AB">
        <w:rPr>
          <w:lang w:val="en-GB"/>
        </w:rPr>
        <w:t>.</w:t>
      </w:r>
    </w:p>
    <w:p w14:paraId="32802372" w14:textId="5475EC79" w:rsidR="001D59B9" w:rsidRPr="0048465B" w:rsidRDefault="00703A05" w:rsidP="00714416">
      <w:pPr>
        <w:widowControl w:val="0"/>
        <w:spacing w:after="240" w:line="360" w:lineRule="auto"/>
        <w:ind w:left="720"/>
        <w:jc w:val="left"/>
        <w:rPr>
          <w:lang w:val="en-GB"/>
        </w:rPr>
      </w:pPr>
      <w:r w:rsidRPr="0048465B">
        <w:rPr>
          <w:lang w:val="en-GB"/>
        </w:rPr>
        <w:t xml:space="preserve">Hass, Amira, ‘Making Stupid Comparisons’, </w:t>
      </w:r>
      <w:r w:rsidRPr="0048465B">
        <w:rPr>
          <w:i/>
          <w:lang w:val="en-GB"/>
        </w:rPr>
        <w:t>Haaretz</w:t>
      </w:r>
      <w:r w:rsidRPr="0048465B">
        <w:rPr>
          <w:lang w:val="en-GB"/>
        </w:rPr>
        <w:t>, 9 July 2003 &lt;https://www.haaretz.com/1.5494283&gt; [accessed 4 September 2018]</w:t>
      </w:r>
      <w:r w:rsidR="003C28AB">
        <w:rPr>
          <w:lang w:val="en-GB"/>
        </w:rPr>
        <w:t>.</w:t>
      </w:r>
    </w:p>
    <w:p w14:paraId="78DC8AFA" w14:textId="5C5AD832" w:rsidR="001D59B9" w:rsidRPr="0048465B" w:rsidRDefault="00703A05" w:rsidP="00714416">
      <w:pPr>
        <w:widowControl w:val="0"/>
        <w:spacing w:after="240" w:line="360" w:lineRule="auto"/>
        <w:ind w:left="720"/>
        <w:jc w:val="left"/>
        <w:rPr>
          <w:lang w:val="en-GB"/>
        </w:rPr>
      </w:pPr>
      <w:r w:rsidRPr="0048465B">
        <w:rPr>
          <w:lang w:val="en-GB"/>
        </w:rPr>
        <w:t xml:space="preserve">Hesse, Isabelle, ‘Colonizing Jewishness? Minority, Exile, and Belonging in Anita Desai’s </w:t>
      </w:r>
      <w:r w:rsidRPr="0048465B">
        <w:rPr>
          <w:lang w:val="en-GB"/>
        </w:rPr>
        <w:lastRenderedPageBreak/>
        <w:t xml:space="preserve">Baumgartner’s Bombay and Caryl Phillips’s The Nature of Blood’, </w:t>
      </w:r>
      <w:r w:rsidRPr="0048465B">
        <w:rPr>
          <w:i/>
          <w:lang w:val="en-GB"/>
        </w:rPr>
        <w:t>Textual Practice</w:t>
      </w:r>
      <w:r w:rsidRPr="0048465B">
        <w:rPr>
          <w:lang w:val="en-GB"/>
        </w:rPr>
        <w:t>, 28.5 (2014), 881–99 &lt;https://doi.org/10.1080/0950236X.2013.858072&gt;</w:t>
      </w:r>
      <w:r w:rsidR="003C28AB">
        <w:rPr>
          <w:lang w:val="en-GB"/>
        </w:rPr>
        <w:t>.</w:t>
      </w:r>
    </w:p>
    <w:p w14:paraId="3FCC8C5C" w14:textId="2F3A37FF" w:rsidR="001D59B9" w:rsidRPr="0048465B" w:rsidRDefault="00703A05" w:rsidP="00714416">
      <w:pPr>
        <w:widowControl w:val="0"/>
        <w:spacing w:after="240" w:line="360" w:lineRule="auto"/>
        <w:ind w:left="720"/>
        <w:jc w:val="left"/>
        <w:rPr>
          <w:lang w:val="en-GB"/>
        </w:rPr>
      </w:pPr>
      <w:proofErr w:type="spellStart"/>
      <w:r w:rsidRPr="0048465B">
        <w:rPr>
          <w:lang w:val="en-GB"/>
        </w:rPr>
        <w:t>Hever</w:t>
      </w:r>
      <w:proofErr w:type="spellEnd"/>
      <w:r w:rsidRPr="0048465B">
        <w:rPr>
          <w:lang w:val="en-GB"/>
        </w:rPr>
        <w:t xml:space="preserve">, Hannan, ‘“The Two Gaze Directly into One Another’s Face”: </w:t>
      </w:r>
      <w:proofErr w:type="spellStart"/>
      <w:r w:rsidRPr="0048465B">
        <w:rPr>
          <w:lang w:val="en-GB"/>
        </w:rPr>
        <w:t>Avot</w:t>
      </w:r>
      <w:proofErr w:type="spellEnd"/>
      <w:r w:rsidRPr="0048465B">
        <w:rPr>
          <w:lang w:val="en-GB"/>
        </w:rPr>
        <w:t xml:space="preserve"> Yeshurun between the Nakba and the Shoah—An Israeli Perspective’, </w:t>
      </w:r>
      <w:r w:rsidRPr="0048465B">
        <w:rPr>
          <w:i/>
          <w:lang w:val="en-GB"/>
        </w:rPr>
        <w:t>Jewish Social Studies</w:t>
      </w:r>
      <w:r w:rsidRPr="0048465B">
        <w:rPr>
          <w:lang w:val="en-GB"/>
        </w:rPr>
        <w:t>, 18.3 (2012), 153–63 &lt;https://doi.org/10.2979/jewisocistud.18.3.153&gt;</w:t>
      </w:r>
      <w:r w:rsidR="003C28AB">
        <w:rPr>
          <w:lang w:val="en-GB"/>
        </w:rPr>
        <w:t>.</w:t>
      </w:r>
    </w:p>
    <w:p w14:paraId="253182DC" w14:textId="7C02EF26" w:rsidR="001D59B9" w:rsidRPr="0048465B" w:rsidRDefault="00703A05" w:rsidP="00714416">
      <w:pPr>
        <w:widowControl w:val="0"/>
        <w:spacing w:after="240" w:line="360" w:lineRule="auto"/>
        <w:ind w:left="720"/>
        <w:jc w:val="left"/>
        <w:rPr>
          <w:lang w:val="en-GB"/>
        </w:rPr>
      </w:pPr>
      <w:r w:rsidRPr="0048465B">
        <w:rPr>
          <w:lang w:val="en-GB"/>
        </w:rPr>
        <w:t xml:space="preserve">Hirsch, Marianne, </w:t>
      </w:r>
      <w:r w:rsidRPr="0048465B">
        <w:rPr>
          <w:i/>
          <w:lang w:val="en-GB"/>
        </w:rPr>
        <w:t>The Generation of Postmemory: Writing and Visual Culture After the Holocaust</w:t>
      </w:r>
      <w:r w:rsidRPr="0048465B">
        <w:rPr>
          <w:lang w:val="en-GB"/>
        </w:rPr>
        <w:t xml:space="preserve"> (New York: Columbia University Press, 2012)</w:t>
      </w:r>
      <w:r w:rsidR="003C28AB">
        <w:rPr>
          <w:lang w:val="en-GB"/>
        </w:rPr>
        <w:t>.</w:t>
      </w:r>
    </w:p>
    <w:p w14:paraId="7775F8CD" w14:textId="67CED27E" w:rsidR="001D59B9" w:rsidRPr="0048465B" w:rsidRDefault="00703A05" w:rsidP="00714416">
      <w:pPr>
        <w:widowControl w:val="0"/>
        <w:spacing w:after="240" w:line="360" w:lineRule="auto"/>
        <w:ind w:left="720"/>
        <w:jc w:val="left"/>
        <w:rPr>
          <w:lang w:val="en-GB"/>
        </w:rPr>
      </w:pPr>
      <w:r w:rsidRPr="0048465B">
        <w:rPr>
          <w:lang w:val="en-GB"/>
        </w:rPr>
        <w:t xml:space="preserve">Hirst, David, </w:t>
      </w:r>
      <w:r w:rsidRPr="0048465B">
        <w:rPr>
          <w:i/>
          <w:lang w:val="en-GB"/>
        </w:rPr>
        <w:t>Beware of Small States: Lebanon, Battleground of the Middle East</w:t>
      </w:r>
      <w:r w:rsidRPr="0048465B">
        <w:rPr>
          <w:lang w:val="en-GB"/>
        </w:rPr>
        <w:t xml:space="preserve"> (London: Faber &amp; Faber, 2011)</w:t>
      </w:r>
      <w:r w:rsidR="003C28AB">
        <w:rPr>
          <w:lang w:val="en-GB"/>
        </w:rPr>
        <w:t>.</w:t>
      </w:r>
    </w:p>
    <w:p w14:paraId="03D6CA3C" w14:textId="44E01F78" w:rsidR="001D59B9" w:rsidRPr="0048465B" w:rsidRDefault="00703A05" w:rsidP="00714416">
      <w:pPr>
        <w:widowControl w:val="0"/>
        <w:spacing w:after="240" w:line="360" w:lineRule="auto"/>
        <w:ind w:left="720"/>
        <w:jc w:val="left"/>
        <w:rPr>
          <w:lang w:val="en-GB"/>
        </w:rPr>
      </w:pPr>
      <w:r w:rsidRPr="0048465B">
        <w:rPr>
          <w:lang w:val="en-GB"/>
        </w:rPr>
        <w:t xml:space="preserve">Hochberg, Gil Z., </w:t>
      </w:r>
      <w:r w:rsidRPr="0048465B">
        <w:rPr>
          <w:i/>
          <w:lang w:val="en-GB"/>
        </w:rPr>
        <w:t>In Spite of Partition: Jews, Arabs, and the Limits of Separatist Imagination</w:t>
      </w:r>
      <w:r w:rsidRPr="0048465B">
        <w:rPr>
          <w:lang w:val="en-GB"/>
        </w:rPr>
        <w:t xml:space="preserve"> (Princeton University Press, 2010)</w:t>
      </w:r>
      <w:r w:rsidR="003C28AB">
        <w:rPr>
          <w:lang w:val="en-GB"/>
        </w:rPr>
        <w:t>.</w:t>
      </w:r>
    </w:p>
    <w:p w14:paraId="621919B7" w14:textId="5C081492" w:rsidR="001D59B9" w:rsidRPr="0048465B" w:rsidRDefault="00703A05" w:rsidP="00714416">
      <w:pPr>
        <w:widowControl w:val="0"/>
        <w:spacing w:after="240" w:line="360" w:lineRule="auto"/>
        <w:ind w:left="720"/>
        <w:jc w:val="left"/>
        <w:rPr>
          <w:lang w:val="en-GB"/>
        </w:rPr>
      </w:pPr>
      <w:r w:rsidRPr="0048465B">
        <w:rPr>
          <w:lang w:val="en-GB"/>
        </w:rPr>
        <w:t xml:space="preserve">Holmes, Oliver, Hazem </w:t>
      </w:r>
      <w:proofErr w:type="spellStart"/>
      <w:r w:rsidRPr="0048465B">
        <w:rPr>
          <w:lang w:val="en-GB"/>
        </w:rPr>
        <w:t>Balousha</w:t>
      </w:r>
      <w:proofErr w:type="spellEnd"/>
      <w:r w:rsidRPr="0048465B">
        <w:rPr>
          <w:lang w:val="en-GB"/>
        </w:rPr>
        <w:t xml:space="preserve">, and </w:t>
      </w:r>
      <w:proofErr w:type="spellStart"/>
      <w:r w:rsidRPr="0048465B">
        <w:rPr>
          <w:lang w:val="en-GB"/>
        </w:rPr>
        <w:t>Sufian</w:t>
      </w:r>
      <w:proofErr w:type="spellEnd"/>
      <w:r w:rsidRPr="0048465B">
        <w:rPr>
          <w:lang w:val="en-GB"/>
        </w:rPr>
        <w:t xml:space="preserve"> Taha, ‘“It’s a Game and We Lost”: Palestinians Decry Gulf Moves towards Israel’, </w:t>
      </w:r>
      <w:r w:rsidRPr="0048465B">
        <w:rPr>
          <w:i/>
          <w:lang w:val="en-GB"/>
        </w:rPr>
        <w:t>The Guardian</w:t>
      </w:r>
      <w:r w:rsidRPr="0048465B">
        <w:rPr>
          <w:lang w:val="en-GB"/>
        </w:rPr>
        <w:t xml:space="preserve"> &lt;https://amp.theguardian.com/world/2020/aug/14/its-a-game-and-we-lost-palestinians-decry-gulf-moves-towards-israel&gt; [accessed 24 November 2020]</w:t>
      </w:r>
      <w:r w:rsidR="003C28AB">
        <w:rPr>
          <w:lang w:val="en-GB"/>
        </w:rPr>
        <w:t>.</w:t>
      </w:r>
    </w:p>
    <w:p w14:paraId="77FC6AFA" w14:textId="322528F3" w:rsidR="001D59B9" w:rsidRPr="0048465B" w:rsidRDefault="00703A05" w:rsidP="00714416">
      <w:pPr>
        <w:widowControl w:val="0"/>
        <w:spacing w:after="240" w:line="360" w:lineRule="auto"/>
        <w:ind w:left="720"/>
        <w:jc w:val="left"/>
        <w:rPr>
          <w:lang w:val="en-GB"/>
        </w:rPr>
      </w:pPr>
      <w:r w:rsidRPr="0048465B">
        <w:rPr>
          <w:lang w:val="en-GB"/>
        </w:rPr>
        <w:t xml:space="preserve">Howard, Allan, ‘Palestine Speech Suppression – A Statement’, </w:t>
      </w:r>
      <w:r w:rsidRPr="0048465B">
        <w:rPr>
          <w:i/>
          <w:lang w:val="en-GB"/>
        </w:rPr>
        <w:t>Jewish Voice for Labour</w:t>
      </w:r>
      <w:r w:rsidRPr="0048465B">
        <w:rPr>
          <w:lang w:val="en-GB"/>
        </w:rPr>
        <w:t xml:space="preserve"> &lt;https://www.jewishvoiceforlabour.org.uk/article/palestine-speech-suppression-a-statement/&gt; [accessed 1 February 2021]</w:t>
      </w:r>
      <w:r w:rsidR="003C28AB">
        <w:rPr>
          <w:lang w:val="en-GB"/>
        </w:rPr>
        <w:t>.</w:t>
      </w:r>
    </w:p>
    <w:p w14:paraId="1E0E3D7C" w14:textId="54F7AA9F" w:rsidR="001D59B9" w:rsidRPr="0048465B" w:rsidRDefault="00703A05" w:rsidP="00714416">
      <w:pPr>
        <w:widowControl w:val="0"/>
        <w:spacing w:after="240" w:line="360" w:lineRule="auto"/>
        <w:ind w:left="720"/>
        <w:jc w:val="left"/>
        <w:rPr>
          <w:lang w:val="en-GB"/>
        </w:rPr>
      </w:pPr>
      <w:r w:rsidRPr="0048465B">
        <w:rPr>
          <w:lang w:val="en-GB"/>
        </w:rPr>
        <w:t xml:space="preserve">‘ICC Opens Investigation into War Crimes in Palestinian Territories’, </w:t>
      </w:r>
      <w:r w:rsidRPr="0048465B">
        <w:rPr>
          <w:i/>
          <w:lang w:val="en-GB"/>
        </w:rPr>
        <w:t>The Guardian</w:t>
      </w:r>
      <w:r w:rsidRPr="0048465B">
        <w:rPr>
          <w:lang w:val="en-GB"/>
        </w:rPr>
        <w:t>, 2021 &lt;http://www.theguardian.com/law/2021/mar/03/icc-open-formal-investigation-war-crimes-palestine&gt; [accessed 8 March 2021]</w:t>
      </w:r>
      <w:r w:rsidR="003C28AB">
        <w:rPr>
          <w:lang w:val="en-GB"/>
        </w:rPr>
        <w:t>.</w:t>
      </w:r>
    </w:p>
    <w:p w14:paraId="23596E74" w14:textId="158BC5BE" w:rsidR="001D59B9" w:rsidRPr="0048465B" w:rsidRDefault="00703A05" w:rsidP="00714416">
      <w:pPr>
        <w:widowControl w:val="0"/>
        <w:spacing w:after="240" w:line="360" w:lineRule="auto"/>
        <w:ind w:left="720"/>
        <w:jc w:val="left"/>
        <w:rPr>
          <w:lang w:val="en-GB"/>
        </w:rPr>
      </w:pPr>
      <w:r w:rsidRPr="0048465B">
        <w:rPr>
          <w:lang w:val="en-GB"/>
        </w:rPr>
        <w:t xml:space="preserve">‘Israel Anger at Turkey “Hitler” Remarks’, </w:t>
      </w:r>
      <w:r w:rsidRPr="0048465B">
        <w:rPr>
          <w:i/>
          <w:lang w:val="en-GB"/>
        </w:rPr>
        <w:t>BBC News</w:t>
      </w:r>
      <w:r w:rsidRPr="0048465B">
        <w:rPr>
          <w:lang w:val="en-GB"/>
        </w:rPr>
        <w:t>, 24 July 2018, section Middle East &lt;https://www.bbc.com/news/world-middle-east-44938472&gt; [accessed 4 September 2018]</w:t>
      </w:r>
      <w:r w:rsidR="003C28AB">
        <w:rPr>
          <w:lang w:val="en-GB"/>
        </w:rPr>
        <w:t>.</w:t>
      </w:r>
    </w:p>
    <w:p w14:paraId="38EF18A8" w14:textId="39408066" w:rsidR="001D59B9" w:rsidRPr="0048465B" w:rsidRDefault="00703A05" w:rsidP="00714416">
      <w:pPr>
        <w:widowControl w:val="0"/>
        <w:spacing w:after="240" w:line="360" w:lineRule="auto"/>
        <w:ind w:left="720"/>
        <w:jc w:val="left"/>
        <w:rPr>
          <w:lang w:val="en-GB"/>
        </w:rPr>
      </w:pPr>
      <w:r w:rsidRPr="0048465B">
        <w:rPr>
          <w:lang w:val="en-GB"/>
        </w:rPr>
        <w:t xml:space="preserve">‘“Israel Approves “Jewish Nation State” Law’, </w:t>
      </w:r>
      <w:r w:rsidRPr="0048465B">
        <w:rPr>
          <w:i/>
          <w:lang w:val="en-GB"/>
        </w:rPr>
        <w:t>BBC News</w:t>
      </w:r>
      <w:r w:rsidRPr="0048465B">
        <w:rPr>
          <w:lang w:val="en-GB"/>
        </w:rPr>
        <w:t xml:space="preserve">, 19 July 2018, section Middle East &lt;https://www.bbc.com/news/world-middle-east-44881554&gt; [accessed 4 September </w:t>
      </w:r>
      <w:r w:rsidRPr="0048465B">
        <w:rPr>
          <w:lang w:val="en-GB"/>
        </w:rPr>
        <w:lastRenderedPageBreak/>
        <w:t>2018]</w:t>
      </w:r>
      <w:r w:rsidR="003C28AB">
        <w:rPr>
          <w:lang w:val="en-GB"/>
        </w:rPr>
        <w:t>.</w:t>
      </w:r>
    </w:p>
    <w:p w14:paraId="4791A791" w14:textId="0DA5650A" w:rsidR="001D59B9" w:rsidRPr="0048465B" w:rsidRDefault="00703A05" w:rsidP="00714416">
      <w:pPr>
        <w:widowControl w:val="0"/>
        <w:spacing w:after="240" w:line="360" w:lineRule="auto"/>
        <w:ind w:left="720"/>
        <w:jc w:val="left"/>
        <w:rPr>
          <w:lang w:val="en-GB"/>
        </w:rPr>
      </w:pPr>
      <w:r w:rsidRPr="0048465B">
        <w:rPr>
          <w:lang w:val="en-GB"/>
        </w:rPr>
        <w:t xml:space="preserve">‘Israel Faces Backlash over Gaza Killings’, </w:t>
      </w:r>
      <w:r w:rsidRPr="0048465B">
        <w:rPr>
          <w:i/>
          <w:lang w:val="en-GB"/>
        </w:rPr>
        <w:t>Global Village Space</w:t>
      </w:r>
      <w:r w:rsidRPr="0048465B">
        <w:rPr>
          <w:lang w:val="en-GB"/>
        </w:rPr>
        <w:t>, 2018 &lt;https://www.globalvillagespace.com/israel-faces-backlash-over-gaza-killings/&gt; [accessed 7 September 2018]</w:t>
      </w:r>
      <w:r w:rsidR="003C28AB">
        <w:rPr>
          <w:lang w:val="en-GB"/>
        </w:rPr>
        <w:t>.</w:t>
      </w:r>
    </w:p>
    <w:p w14:paraId="39D64AE8" w14:textId="1AE4BA58" w:rsidR="001D59B9" w:rsidRPr="0048465B" w:rsidRDefault="00703A05" w:rsidP="00714416">
      <w:pPr>
        <w:widowControl w:val="0"/>
        <w:spacing w:after="240" w:line="360" w:lineRule="auto"/>
        <w:ind w:left="720"/>
        <w:jc w:val="left"/>
        <w:rPr>
          <w:lang w:val="en-GB"/>
        </w:rPr>
      </w:pPr>
      <w:r w:rsidRPr="0048465B">
        <w:rPr>
          <w:lang w:val="en-GB"/>
        </w:rPr>
        <w:t xml:space="preserve">‘Israeli Facial Recognition Co </w:t>
      </w:r>
      <w:proofErr w:type="spellStart"/>
      <w:r w:rsidRPr="0048465B">
        <w:rPr>
          <w:lang w:val="en-GB"/>
        </w:rPr>
        <w:t>AnyVision</w:t>
      </w:r>
      <w:proofErr w:type="spellEnd"/>
      <w:r w:rsidRPr="0048465B">
        <w:rPr>
          <w:lang w:val="en-GB"/>
        </w:rPr>
        <w:t xml:space="preserve"> Raises $43m’, </w:t>
      </w:r>
      <w:r w:rsidRPr="0048465B">
        <w:rPr>
          <w:i/>
          <w:lang w:val="en-GB"/>
        </w:rPr>
        <w:t>Globes</w:t>
      </w:r>
      <w:r w:rsidRPr="0048465B">
        <w:rPr>
          <w:lang w:val="en-GB"/>
        </w:rPr>
        <w:t>, 9 April 2020, section News &lt;https://en.globes.co.il/en/article-israeli-facial-recognition-co-anyvision-raises-43m-1001341654&gt; [accessed 8 December 2020]</w:t>
      </w:r>
      <w:r w:rsidR="003C28AB">
        <w:rPr>
          <w:lang w:val="en-GB"/>
        </w:rPr>
        <w:t>.</w:t>
      </w:r>
    </w:p>
    <w:p w14:paraId="6D0468F7" w14:textId="12C8EDFF" w:rsidR="001D59B9" w:rsidRPr="0048465B" w:rsidRDefault="00703A05" w:rsidP="00714416">
      <w:pPr>
        <w:widowControl w:val="0"/>
        <w:spacing w:after="240" w:line="360" w:lineRule="auto"/>
        <w:ind w:left="720"/>
        <w:jc w:val="left"/>
        <w:rPr>
          <w:lang w:val="en-GB"/>
        </w:rPr>
      </w:pPr>
      <w:r w:rsidRPr="0048465B">
        <w:rPr>
          <w:lang w:val="en-GB"/>
        </w:rPr>
        <w:t xml:space="preserve">‘Israeli Health Minister Says Not Country’s Job to Give Vaccine to Palestinians in Occupied Territory’, </w:t>
      </w:r>
      <w:r w:rsidRPr="0048465B">
        <w:rPr>
          <w:i/>
          <w:lang w:val="en-GB"/>
        </w:rPr>
        <w:t>The Independent</w:t>
      </w:r>
      <w:r w:rsidRPr="0048465B">
        <w:rPr>
          <w:lang w:val="en-GB"/>
        </w:rPr>
        <w:t>, 2021 &lt;https://www.independent.co.uk/news/world/middle-east/coronavirus-vaccine-israel-palestinians-b1791884.html&gt; [accessed 23 February 2021]</w:t>
      </w:r>
      <w:r w:rsidR="003C28AB">
        <w:rPr>
          <w:lang w:val="en-GB"/>
        </w:rPr>
        <w:t>.</w:t>
      </w:r>
    </w:p>
    <w:p w14:paraId="5D3BBEE5" w14:textId="7C972747" w:rsidR="001D59B9" w:rsidRPr="0048465B" w:rsidRDefault="00703A05" w:rsidP="00714416">
      <w:pPr>
        <w:widowControl w:val="0"/>
        <w:spacing w:after="240" w:line="360" w:lineRule="auto"/>
        <w:ind w:left="720"/>
        <w:jc w:val="left"/>
        <w:rPr>
          <w:lang w:val="en-GB"/>
        </w:rPr>
      </w:pPr>
      <w:r w:rsidRPr="0048465B">
        <w:rPr>
          <w:lang w:val="en-GB"/>
        </w:rPr>
        <w:t xml:space="preserve">‘Israeli Minister Warns of Palestinian “Holocaust”’, </w:t>
      </w:r>
      <w:r w:rsidRPr="0048465B">
        <w:rPr>
          <w:i/>
          <w:lang w:val="en-GB"/>
        </w:rPr>
        <w:t>The Guardian</w:t>
      </w:r>
      <w:r w:rsidRPr="0048465B">
        <w:rPr>
          <w:lang w:val="en-GB"/>
        </w:rPr>
        <w:t>, 29 February 2008 &lt;https://www.theguardian.com/world/2008/feb/29/israelandthepalestinians1&gt; [accessed 4 September 2018]</w:t>
      </w:r>
      <w:r w:rsidR="003C28AB">
        <w:rPr>
          <w:lang w:val="en-GB"/>
        </w:rPr>
        <w:t>.</w:t>
      </w:r>
    </w:p>
    <w:p w14:paraId="58173813" w14:textId="15950909" w:rsidR="001D59B9" w:rsidRPr="0048465B" w:rsidRDefault="00703A05" w:rsidP="00714416">
      <w:pPr>
        <w:widowControl w:val="0"/>
        <w:spacing w:after="240" w:line="360" w:lineRule="auto"/>
        <w:ind w:left="720"/>
        <w:jc w:val="left"/>
        <w:rPr>
          <w:lang w:val="en-GB"/>
        </w:rPr>
      </w:pPr>
      <w:r w:rsidRPr="0048465B">
        <w:rPr>
          <w:lang w:val="en-GB"/>
        </w:rPr>
        <w:t>‘Israel May Not Be Part of Strategy If US Returns to Nuclear Deal’ &lt;https://www.aljazeera.com/news/2021/2/16/israel-may-halt-future-cooperation-if-us-returns-to-nuclear-deal&gt; [accessed 18 February 2021]</w:t>
      </w:r>
      <w:r w:rsidR="003C28AB">
        <w:rPr>
          <w:lang w:val="en-GB"/>
        </w:rPr>
        <w:t>.</w:t>
      </w:r>
    </w:p>
    <w:p w14:paraId="0DCF056D" w14:textId="5E51641F" w:rsidR="001D59B9" w:rsidRPr="0048465B" w:rsidRDefault="00703A05" w:rsidP="00714416">
      <w:pPr>
        <w:widowControl w:val="0"/>
        <w:spacing w:after="240" w:line="360" w:lineRule="auto"/>
        <w:ind w:left="720"/>
        <w:jc w:val="left"/>
        <w:rPr>
          <w:lang w:val="en-GB"/>
        </w:rPr>
      </w:pPr>
      <w:r w:rsidRPr="0048465B">
        <w:rPr>
          <w:lang w:val="en-GB"/>
        </w:rPr>
        <w:t>‘Israel Okays $72 Million Anti-BDS Project | The Times of Israel’ &lt;https://www.timesofisrael.com/israel-okays-72-million-anti-bds-project/&gt; [accessed 27 November 2020]</w:t>
      </w:r>
      <w:r w:rsidR="003C28AB">
        <w:rPr>
          <w:lang w:val="en-GB"/>
        </w:rPr>
        <w:t>.</w:t>
      </w:r>
    </w:p>
    <w:p w14:paraId="5A0FD5E0" w14:textId="68B10B16" w:rsidR="001D59B9" w:rsidRPr="0048465B" w:rsidRDefault="00703A05" w:rsidP="00714416">
      <w:pPr>
        <w:widowControl w:val="0"/>
        <w:spacing w:after="240" w:line="360" w:lineRule="auto"/>
        <w:ind w:left="720"/>
        <w:jc w:val="left"/>
        <w:rPr>
          <w:lang w:val="en-GB"/>
        </w:rPr>
      </w:pPr>
      <w:r w:rsidRPr="0048465B">
        <w:rPr>
          <w:lang w:val="en-GB"/>
        </w:rPr>
        <w:t xml:space="preserve">‘“Israel’s Obliteration Is Certain”’, </w:t>
      </w:r>
      <w:r w:rsidRPr="0048465B">
        <w:rPr>
          <w:i/>
          <w:lang w:val="en-GB"/>
        </w:rPr>
        <w:t>The Jerusalem Post | JPost.Com</w:t>
      </w:r>
      <w:r w:rsidRPr="0048465B">
        <w:rPr>
          <w:lang w:val="en-GB"/>
        </w:rPr>
        <w:t xml:space="preserve"> &lt;https://www.jpost.com/iranian-threat/news/israels-obliteration-is-certain&gt; [accessed 25 November 2020]</w:t>
      </w:r>
      <w:r w:rsidR="003C28AB">
        <w:rPr>
          <w:lang w:val="en-GB"/>
        </w:rPr>
        <w:t>.</w:t>
      </w:r>
    </w:p>
    <w:p w14:paraId="2C8CE3D1" w14:textId="17AB62DC" w:rsidR="001D59B9" w:rsidRPr="0048465B" w:rsidRDefault="00703A05" w:rsidP="00714416">
      <w:pPr>
        <w:widowControl w:val="0"/>
        <w:spacing w:after="240" w:line="360" w:lineRule="auto"/>
        <w:ind w:left="720"/>
        <w:jc w:val="left"/>
        <w:rPr>
          <w:lang w:val="en-GB"/>
        </w:rPr>
      </w:pPr>
      <w:r w:rsidRPr="0048465B">
        <w:rPr>
          <w:lang w:val="en-GB"/>
        </w:rPr>
        <w:t>‘Israel’s Settlements Have No Legal Validity, Constitute Flagrant Violation of International Law, Security Council Reaffirms | Meetings Coverage and Press Releases’ &lt;https://www.un.org/press/en/2016/sc12657.doc.htm&gt; [accessed 27 November 2020]</w:t>
      </w:r>
      <w:r w:rsidR="003C28AB">
        <w:rPr>
          <w:lang w:val="en-GB"/>
        </w:rPr>
        <w:t>.</w:t>
      </w:r>
    </w:p>
    <w:p w14:paraId="340CA2EA" w14:textId="68FC820A" w:rsidR="001D59B9" w:rsidRPr="0048465B" w:rsidRDefault="00703A05" w:rsidP="00714416">
      <w:pPr>
        <w:widowControl w:val="0"/>
        <w:spacing w:after="240" w:line="360" w:lineRule="auto"/>
        <w:ind w:left="720"/>
        <w:jc w:val="left"/>
        <w:rPr>
          <w:lang w:val="en-GB"/>
        </w:rPr>
      </w:pPr>
      <w:proofErr w:type="spellStart"/>
      <w:r w:rsidRPr="0048465B">
        <w:rPr>
          <w:lang w:val="en-GB"/>
        </w:rPr>
        <w:lastRenderedPageBreak/>
        <w:t>Jassat</w:t>
      </w:r>
      <w:proofErr w:type="spellEnd"/>
      <w:r w:rsidRPr="0048465B">
        <w:rPr>
          <w:lang w:val="en-GB"/>
        </w:rPr>
        <w:t>, Iqbal, ‘Israel Is on Edge as the George Floyd Murder Sparks Global Demands for Justice – Middle East Monitor’ &lt;https://www.middleeastmonitor.com/20200608-israel-is-on-edge-as-the-george-floyd-murder-sparks-global-demands-for-justice/&gt; [accessed 21 December 2020]</w:t>
      </w:r>
      <w:r w:rsidR="003C28AB">
        <w:rPr>
          <w:lang w:val="en-GB"/>
        </w:rPr>
        <w:t>.</w:t>
      </w:r>
    </w:p>
    <w:p w14:paraId="63D2CA9D" w14:textId="7471A0B9" w:rsidR="001D59B9" w:rsidRPr="0048465B" w:rsidRDefault="00703A05" w:rsidP="00714416">
      <w:pPr>
        <w:widowControl w:val="0"/>
        <w:spacing w:after="240" w:line="360" w:lineRule="auto"/>
        <w:ind w:left="720"/>
        <w:jc w:val="left"/>
        <w:rPr>
          <w:lang w:val="en-GB"/>
        </w:rPr>
      </w:pPr>
      <w:r w:rsidRPr="0048465B">
        <w:rPr>
          <w:lang w:val="en-GB"/>
        </w:rPr>
        <w:t xml:space="preserve">Jerusalem Post Staff, ‘AOC Annexation Letter: Full Letter on Israel’s West Bank Annexation’, </w:t>
      </w:r>
      <w:r w:rsidRPr="0048465B">
        <w:rPr>
          <w:i/>
          <w:lang w:val="en-GB"/>
        </w:rPr>
        <w:t>The Jerusalem Post | JPost.Com</w:t>
      </w:r>
      <w:r w:rsidRPr="0048465B">
        <w:rPr>
          <w:lang w:val="en-GB"/>
        </w:rPr>
        <w:t xml:space="preserve"> &lt;https://www.jpost.com/arab-israeli-conflict/full-letter-submitted-by-democrats-opposing-annexation-633396&gt; [accessed 21 December 2020]</w:t>
      </w:r>
      <w:r w:rsidR="003C28AB">
        <w:rPr>
          <w:lang w:val="en-GB"/>
        </w:rPr>
        <w:t>.</w:t>
      </w:r>
    </w:p>
    <w:p w14:paraId="28B3E08C" w14:textId="6D64502F" w:rsidR="001D59B9" w:rsidRPr="0048465B" w:rsidRDefault="00703A05" w:rsidP="00714416">
      <w:pPr>
        <w:widowControl w:val="0"/>
        <w:spacing w:after="240" w:line="360" w:lineRule="auto"/>
        <w:ind w:left="720"/>
        <w:jc w:val="left"/>
        <w:rPr>
          <w:lang w:val="en-GB"/>
        </w:rPr>
      </w:pPr>
      <w:r w:rsidRPr="0048465B">
        <w:rPr>
          <w:lang w:val="en-GB"/>
        </w:rPr>
        <w:t xml:space="preserve">Johansen, Henriette, ‘Special Report - Palestinian Cries Fall on Deaf Ears’, </w:t>
      </w:r>
      <w:r w:rsidRPr="0048465B">
        <w:rPr>
          <w:i/>
          <w:lang w:val="en-GB"/>
        </w:rPr>
        <w:t>Middle East Monitor</w:t>
      </w:r>
      <w:r w:rsidRPr="0048465B">
        <w:rPr>
          <w:lang w:val="en-GB"/>
        </w:rPr>
        <w:t xml:space="preserve"> &lt;https://www.memopublishers.com/images/uploads/documents/20140301_PalestinianCriesFallOnDeafEars-web.pdf&gt;</w:t>
      </w:r>
      <w:r w:rsidR="003C28AB">
        <w:rPr>
          <w:lang w:val="en-GB"/>
        </w:rPr>
        <w:t>.</w:t>
      </w:r>
    </w:p>
    <w:p w14:paraId="17BA29D6" w14:textId="3598F570" w:rsidR="001D59B9" w:rsidRPr="0048465B" w:rsidRDefault="00703A05" w:rsidP="00714416">
      <w:pPr>
        <w:widowControl w:val="0"/>
        <w:spacing w:after="240" w:line="360" w:lineRule="auto"/>
        <w:ind w:left="720"/>
        <w:jc w:val="left"/>
        <w:rPr>
          <w:lang w:val="en-GB"/>
        </w:rPr>
      </w:pPr>
      <w:r w:rsidRPr="0048465B">
        <w:rPr>
          <w:lang w:val="en-GB"/>
        </w:rPr>
        <w:t xml:space="preserve">‘Joint Statement by Microsoft &amp; </w:t>
      </w:r>
      <w:proofErr w:type="spellStart"/>
      <w:r w:rsidRPr="0048465B">
        <w:rPr>
          <w:lang w:val="en-GB"/>
        </w:rPr>
        <w:t>AnyVision</w:t>
      </w:r>
      <w:proofErr w:type="spellEnd"/>
      <w:r w:rsidRPr="0048465B">
        <w:rPr>
          <w:lang w:val="en-GB"/>
        </w:rPr>
        <w:t xml:space="preserve"> – </w:t>
      </w:r>
      <w:proofErr w:type="spellStart"/>
      <w:r w:rsidRPr="0048465B">
        <w:rPr>
          <w:lang w:val="en-GB"/>
        </w:rPr>
        <w:t>AnyVision</w:t>
      </w:r>
      <w:proofErr w:type="spellEnd"/>
      <w:r w:rsidRPr="0048465B">
        <w:rPr>
          <w:lang w:val="en-GB"/>
        </w:rPr>
        <w:t xml:space="preserve"> Audit’, </w:t>
      </w:r>
      <w:r w:rsidRPr="0048465B">
        <w:rPr>
          <w:i/>
          <w:lang w:val="en-GB"/>
        </w:rPr>
        <w:t>M12</w:t>
      </w:r>
      <w:r w:rsidRPr="0048465B">
        <w:rPr>
          <w:lang w:val="en-GB"/>
        </w:rPr>
        <w:t xml:space="preserve"> &lt;https://m12.vc/news/joint-statement-by-microsoft-anyvision-anyvision-audit/&gt; [accessed 8 December 2020]</w:t>
      </w:r>
      <w:r w:rsidR="003C28AB">
        <w:rPr>
          <w:lang w:val="en-GB"/>
        </w:rPr>
        <w:t>.</w:t>
      </w:r>
    </w:p>
    <w:p w14:paraId="5BE3BB73" w14:textId="1C5620BA" w:rsidR="001D59B9" w:rsidRPr="0048465B" w:rsidRDefault="00703A05" w:rsidP="00714416">
      <w:pPr>
        <w:widowControl w:val="0"/>
        <w:spacing w:after="240" w:line="360" w:lineRule="auto"/>
        <w:ind w:left="720"/>
        <w:jc w:val="left"/>
        <w:rPr>
          <w:lang w:val="en-GB"/>
        </w:rPr>
      </w:pPr>
      <w:r w:rsidRPr="0048465B">
        <w:rPr>
          <w:lang w:val="en-GB"/>
        </w:rPr>
        <w:t xml:space="preserve">Kalman, Matthew, ‘Jewish Mother, Palestinian Father - and a Book That Had to Be Written’, </w:t>
      </w:r>
      <w:r w:rsidRPr="0048465B">
        <w:rPr>
          <w:i/>
          <w:lang w:val="en-GB"/>
        </w:rPr>
        <w:t>Haaretz &lt;</w:t>
      </w:r>
      <w:r w:rsidRPr="0048465B">
        <w:rPr>
          <w:lang w:val="en-GB"/>
        </w:rPr>
        <w:t>https://www.haaretz.com/.premium-jewish-mother-palestinian-father-1.5260957&gt; [accessed 17 August 2020]</w:t>
      </w:r>
      <w:r w:rsidR="003C28AB">
        <w:rPr>
          <w:lang w:val="en-GB"/>
        </w:rPr>
        <w:t>.</w:t>
      </w:r>
    </w:p>
    <w:p w14:paraId="7C5B3A38" w14:textId="67885C68" w:rsidR="00B760E0" w:rsidRPr="0048465B" w:rsidRDefault="00B760E0" w:rsidP="00B760E0">
      <w:pPr>
        <w:widowControl w:val="0"/>
        <w:spacing w:after="240" w:line="360" w:lineRule="auto"/>
        <w:ind w:left="720"/>
        <w:jc w:val="left"/>
        <w:rPr>
          <w:lang w:val="en-GB"/>
        </w:rPr>
      </w:pPr>
      <w:proofErr w:type="spellStart"/>
      <w:r w:rsidRPr="0048465B">
        <w:rPr>
          <w:lang w:val="en-GB"/>
        </w:rPr>
        <w:t>Karkab</w:t>
      </w:r>
      <w:r>
        <w:rPr>
          <w:lang w:val="en-GB"/>
        </w:rPr>
        <w:t>i-Sabbah</w:t>
      </w:r>
      <w:proofErr w:type="spellEnd"/>
      <w:r w:rsidRPr="0048465B">
        <w:rPr>
          <w:lang w:val="en-GB"/>
        </w:rPr>
        <w:t xml:space="preserve">, Maha, ‘Ethnoreligious Mixed Marriages among Palestinian 1 Women and Jewish Men in Israel: Negotiating the Breaking of Barriers’, </w:t>
      </w:r>
      <w:r w:rsidRPr="0048465B">
        <w:rPr>
          <w:i/>
          <w:lang w:val="en-GB"/>
        </w:rPr>
        <w:t>Journal of Israeli History</w:t>
      </w:r>
      <w:r w:rsidRPr="0048465B">
        <w:rPr>
          <w:lang w:val="en-GB"/>
        </w:rPr>
        <w:t>, 36 (2018), 1</w:t>
      </w:r>
      <w:r>
        <w:rPr>
          <w:lang w:val="en-GB"/>
        </w:rPr>
        <w:t>89</w:t>
      </w:r>
      <w:r w:rsidRPr="0048465B">
        <w:rPr>
          <w:lang w:val="en-GB"/>
        </w:rPr>
        <w:t>–2</w:t>
      </w:r>
      <w:r>
        <w:rPr>
          <w:lang w:val="en-GB"/>
        </w:rPr>
        <w:t>11</w:t>
      </w:r>
      <w:r w:rsidRPr="0048465B">
        <w:rPr>
          <w:lang w:val="en-GB"/>
        </w:rPr>
        <w:t xml:space="preserve"> &lt;https://doi.org/10.1080/13531042.2018.1541530&gt;</w:t>
      </w:r>
      <w:r w:rsidR="003C28AB">
        <w:rPr>
          <w:lang w:val="en-GB"/>
        </w:rPr>
        <w:t>.</w:t>
      </w:r>
    </w:p>
    <w:p w14:paraId="4A9B1A45" w14:textId="580A322C" w:rsidR="001D59B9" w:rsidRPr="0048465B" w:rsidRDefault="00703A05" w:rsidP="00714416">
      <w:pPr>
        <w:widowControl w:val="0"/>
        <w:spacing w:after="240" w:line="360" w:lineRule="auto"/>
        <w:ind w:left="720"/>
        <w:jc w:val="left"/>
        <w:rPr>
          <w:lang w:val="en-GB"/>
        </w:rPr>
      </w:pPr>
      <w:proofErr w:type="spellStart"/>
      <w:r w:rsidRPr="0048465B">
        <w:rPr>
          <w:lang w:val="en-GB"/>
        </w:rPr>
        <w:t>Karmi</w:t>
      </w:r>
      <w:proofErr w:type="spellEnd"/>
      <w:r w:rsidRPr="0048465B">
        <w:rPr>
          <w:lang w:val="en-GB"/>
        </w:rPr>
        <w:t xml:space="preserve">, </w:t>
      </w:r>
      <w:proofErr w:type="spellStart"/>
      <w:r w:rsidRPr="0048465B">
        <w:rPr>
          <w:lang w:val="en-GB"/>
        </w:rPr>
        <w:t>Ghada</w:t>
      </w:r>
      <w:proofErr w:type="spellEnd"/>
      <w:r w:rsidRPr="0048465B">
        <w:rPr>
          <w:lang w:val="en-GB"/>
        </w:rPr>
        <w:t xml:space="preserve">, ‘Only One Way out: A Unitary State with Equal Rights in Palestine-Israel’, </w:t>
      </w:r>
      <w:proofErr w:type="spellStart"/>
      <w:r w:rsidRPr="0048465B">
        <w:rPr>
          <w:i/>
          <w:lang w:val="en-GB"/>
        </w:rPr>
        <w:t>OpenDemocracy</w:t>
      </w:r>
      <w:proofErr w:type="spellEnd"/>
      <w:r w:rsidRPr="0048465B">
        <w:rPr>
          <w:lang w:val="en-GB"/>
        </w:rPr>
        <w:t xml:space="preserve"> &lt;https://www.opendemocracy.net/en/north-africa-west-asia/only-one-way-out-unitary-state-equal-rights-palestine-israel/&gt; [accessed 14 December 2020]</w:t>
      </w:r>
      <w:r w:rsidR="003C28AB">
        <w:rPr>
          <w:lang w:val="en-GB"/>
        </w:rPr>
        <w:t>.</w:t>
      </w:r>
    </w:p>
    <w:p w14:paraId="3B4BADB2" w14:textId="09D1B92E" w:rsidR="001D59B9" w:rsidRPr="0048465B" w:rsidRDefault="00703A05" w:rsidP="00714416">
      <w:pPr>
        <w:widowControl w:val="0"/>
        <w:spacing w:after="240" w:line="360" w:lineRule="auto"/>
        <w:ind w:left="720"/>
        <w:jc w:val="left"/>
        <w:rPr>
          <w:lang w:val="en-GB"/>
        </w:rPr>
      </w:pPr>
      <w:proofErr w:type="spellStart"/>
      <w:r w:rsidRPr="0048465B">
        <w:rPr>
          <w:lang w:val="en-GB"/>
        </w:rPr>
        <w:t>Kashti</w:t>
      </w:r>
      <w:proofErr w:type="spellEnd"/>
      <w:r w:rsidRPr="0048465B">
        <w:rPr>
          <w:lang w:val="en-GB"/>
        </w:rPr>
        <w:t xml:space="preserve">, Or, ‘Israel Bans Novel on Arab-Jewish Romance from Schools for “Threatening Jewish Identity”’, </w:t>
      </w:r>
      <w:r w:rsidRPr="0048465B">
        <w:rPr>
          <w:i/>
          <w:lang w:val="en-GB"/>
        </w:rPr>
        <w:t>Haaretz &lt;</w:t>
      </w:r>
      <w:r w:rsidRPr="0048465B">
        <w:rPr>
          <w:lang w:val="en-GB"/>
        </w:rPr>
        <w:t>https://www.haaretz.com/israel-news/.premium-israel-bans-</w:t>
      </w:r>
      <w:r w:rsidRPr="0048465B">
        <w:rPr>
          <w:lang w:val="en-GB"/>
        </w:rPr>
        <w:lastRenderedPageBreak/>
        <w:t>novel-depicting-arab-jewish-romance-from-schools-1.5383970&gt; [accessed 24 July 2020]</w:t>
      </w:r>
      <w:r w:rsidR="003C28AB">
        <w:rPr>
          <w:lang w:val="en-GB"/>
        </w:rPr>
        <w:t>.</w:t>
      </w:r>
    </w:p>
    <w:p w14:paraId="61535D54" w14:textId="70C3FF89" w:rsidR="001D59B9" w:rsidRPr="0048465B" w:rsidRDefault="00703A05" w:rsidP="00714416">
      <w:pPr>
        <w:widowControl w:val="0"/>
        <w:spacing w:after="240" w:line="360" w:lineRule="auto"/>
        <w:ind w:left="720"/>
        <w:jc w:val="left"/>
        <w:rPr>
          <w:lang w:val="en-GB"/>
        </w:rPr>
      </w:pPr>
      <w:proofErr w:type="spellStart"/>
      <w:r w:rsidRPr="0048465B">
        <w:rPr>
          <w:lang w:val="en-GB"/>
        </w:rPr>
        <w:t>Keinon</w:t>
      </w:r>
      <w:proofErr w:type="spellEnd"/>
      <w:r w:rsidRPr="0048465B">
        <w:rPr>
          <w:lang w:val="en-GB"/>
        </w:rPr>
        <w:t xml:space="preserve">, Herb, Michael </w:t>
      </w:r>
      <w:proofErr w:type="spellStart"/>
      <w:r w:rsidRPr="0048465B">
        <w:rPr>
          <w:lang w:val="en-GB"/>
        </w:rPr>
        <w:t>Wilner</w:t>
      </w:r>
      <w:proofErr w:type="spellEnd"/>
      <w:r w:rsidRPr="0048465B">
        <w:rPr>
          <w:lang w:val="en-GB"/>
        </w:rPr>
        <w:t xml:space="preserve">, and Danielle </w:t>
      </w:r>
      <w:proofErr w:type="spellStart"/>
      <w:r w:rsidRPr="0048465B">
        <w:rPr>
          <w:lang w:val="en-GB"/>
        </w:rPr>
        <w:t>Ziri</w:t>
      </w:r>
      <w:proofErr w:type="spellEnd"/>
      <w:r w:rsidRPr="0048465B">
        <w:rPr>
          <w:lang w:val="en-GB"/>
        </w:rPr>
        <w:t xml:space="preserve">, ‘Netanyahu: It May Take Time, but Resolution Will Be Rescinded’, </w:t>
      </w:r>
      <w:r w:rsidRPr="0048465B">
        <w:rPr>
          <w:i/>
          <w:lang w:val="en-GB"/>
        </w:rPr>
        <w:t>The Jerusalem Post | JPost.Com</w:t>
      </w:r>
      <w:r w:rsidRPr="0048465B">
        <w:rPr>
          <w:lang w:val="en-GB"/>
        </w:rPr>
        <w:t xml:space="preserve"> &lt;https://www.jpost.com/israel-news/politics-and-diplomacy/netanyahu-it-may-take-time-but-resolution-will-be-rescinded-476426&gt; [accessed 18 November 2020]</w:t>
      </w:r>
      <w:r w:rsidR="003C28AB">
        <w:rPr>
          <w:lang w:val="en-GB"/>
        </w:rPr>
        <w:t>.</w:t>
      </w:r>
    </w:p>
    <w:p w14:paraId="56304D49" w14:textId="4B0599A1" w:rsidR="001D59B9" w:rsidRPr="0048465B" w:rsidRDefault="00703A05" w:rsidP="00714416">
      <w:pPr>
        <w:widowControl w:val="0"/>
        <w:spacing w:after="240" w:line="360" w:lineRule="auto"/>
        <w:ind w:left="720"/>
        <w:jc w:val="left"/>
        <w:rPr>
          <w:lang w:val="en-GB"/>
        </w:rPr>
      </w:pPr>
      <w:proofErr w:type="spellStart"/>
      <w:r w:rsidRPr="0048465B">
        <w:rPr>
          <w:lang w:val="en-GB"/>
        </w:rPr>
        <w:t>Khazzoom</w:t>
      </w:r>
      <w:proofErr w:type="spellEnd"/>
      <w:r w:rsidRPr="0048465B">
        <w:rPr>
          <w:lang w:val="en-GB"/>
        </w:rPr>
        <w:t xml:space="preserve">, Aziza, ‘The Great Chain of Orientalism: Jewish Identity, Stigma Management, and Ethnic Exclusion in Israel’, </w:t>
      </w:r>
      <w:r w:rsidRPr="0048465B">
        <w:rPr>
          <w:i/>
          <w:lang w:val="en-GB"/>
        </w:rPr>
        <w:t>American Sociological Review</w:t>
      </w:r>
      <w:r w:rsidRPr="0048465B">
        <w:rPr>
          <w:lang w:val="en-GB"/>
        </w:rPr>
        <w:t>, 68.4 (2003), 481–510 &lt;https://doi.org/10.2307/1519736&gt;</w:t>
      </w:r>
      <w:r w:rsidR="003C28AB">
        <w:rPr>
          <w:lang w:val="en-GB"/>
        </w:rPr>
        <w:t>.</w:t>
      </w:r>
    </w:p>
    <w:p w14:paraId="1611C755" w14:textId="446FEF80" w:rsidR="001D59B9" w:rsidRPr="0048465B" w:rsidRDefault="00703A05" w:rsidP="00714416">
      <w:pPr>
        <w:widowControl w:val="0"/>
        <w:spacing w:after="240" w:line="360" w:lineRule="auto"/>
        <w:ind w:left="720"/>
        <w:jc w:val="left"/>
        <w:rPr>
          <w:lang w:val="en-GB"/>
        </w:rPr>
      </w:pPr>
      <w:r w:rsidRPr="0048465B">
        <w:rPr>
          <w:lang w:val="en-GB"/>
        </w:rPr>
        <w:t xml:space="preserve">knesset.gov.il, ‘Basic Law: Israel - The Nation State of the Jewish People’, trans. by Susan </w:t>
      </w:r>
      <w:proofErr w:type="spellStart"/>
      <w:r w:rsidRPr="0048465B">
        <w:rPr>
          <w:lang w:val="en-GB"/>
        </w:rPr>
        <w:t>Hattis</w:t>
      </w:r>
      <w:proofErr w:type="spellEnd"/>
      <w:r w:rsidRPr="0048465B">
        <w:rPr>
          <w:lang w:val="en-GB"/>
        </w:rPr>
        <w:t xml:space="preserve"> </w:t>
      </w:r>
      <w:proofErr w:type="spellStart"/>
      <w:r w:rsidRPr="0048465B">
        <w:rPr>
          <w:lang w:val="en-GB"/>
        </w:rPr>
        <w:t>Rolef</w:t>
      </w:r>
      <w:proofErr w:type="spellEnd"/>
      <w:r w:rsidRPr="0048465B">
        <w:rPr>
          <w:lang w:val="en-GB"/>
        </w:rPr>
        <w:t xml:space="preserve"> &lt;https://knesset.gov.il/laws/special/eng/BasicLawNationState.pdf&gt;</w:t>
      </w:r>
      <w:r w:rsidR="003C28AB">
        <w:rPr>
          <w:lang w:val="en-GB"/>
        </w:rPr>
        <w:t>.</w:t>
      </w:r>
    </w:p>
    <w:p w14:paraId="4318CB3D" w14:textId="41AF0A9D" w:rsidR="001D59B9" w:rsidRPr="0048465B" w:rsidRDefault="00703A05" w:rsidP="00714416">
      <w:pPr>
        <w:widowControl w:val="0"/>
        <w:spacing w:after="240" w:line="360" w:lineRule="auto"/>
        <w:ind w:left="720"/>
        <w:jc w:val="left"/>
        <w:rPr>
          <w:lang w:val="en-GB"/>
        </w:rPr>
      </w:pPr>
      <w:r w:rsidRPr="0048465B">
        <w:rPr>
          <w:lang w:val="en-GB"/>
        </w:rPr>
        <w:t>Kumar, Narendra, ‘Cosmopolitanism, Inter-Narrativity and Cultural Empathy: Caryl Phillips’ The Nature of Blood and Zadie Smith’s White Teeth’ &lt;http://rupkatha.com/V4/n2/12_Inter-narrativity_Cultural_Empathy.pdf&gt;</w:t>
      </w:r>
      <w:r w:rsidR="003C28AB">
        <w:rPr>
          <w:lang w:val="en-GB"/>
        </w:rPr>
        <w:t>.</w:t>
      </w:r>
    </w:p>
    <w:p w14:paraId="2939C851" w14:textId="49373267" w:rsidR="001D59B9" w:rsidRPr="0048465B" w:rsidRDefault="00703A05" w:rsidP="00714416">
      <w:pPr>
        <w:widowControl w:val="0"/>
        <w:spacing w:after="240" w:line="360" w:lineRule="auto"/>
        <w:ind w:left="720"/>
        <w:jc w:val="left"/>
        <w:rPr>
          <w:lang w:val="en-GB"/>
        </w:rPr>
      </w:pPr>
      <w:r w:rsidRPr="0048465B">
        <w:rPr>
          <w:lang w:val="en-GB"/>
        </w:rPr>
        <w:t>‘Latest Developments | Legal Consequences of the Construction of a Wall in the Occupied Palestinian Territory | International Court of Justice’ &lt;https://www.icj-cij.org/en/case/131&gt; [accessed 27 November 2020]</w:t>
      </w:r>
      <w:r w:rsidR="003C28AB">
        <w:rPr>
          <w:lang w:val="en-GB"/>
        </w:rPr>
        <w:t>.</w:t>
      </w:r>
    </w:p>
    <w:p w14:paraId="28C68725" w14:textId="719F81F9" w:rsidR="001D59B9" w:rsidRPr="0048465B" w:rsidRDefault="00703A05" w:rsidP="00714416">
      <w:pPr>
        <w:widowControl w:val="0"/>
        <w:spacing w:after="240" w:line="360" w:lineRule="auto"/>
        <w:ind w:left="720"/>
        <w:jc w:val="left"/>
        <w:rPr>
          <w:lang w:val="en-GB"/>
        </w:rPr>
      </w:pPr>
      <w:r w:rsidRPr="0048465B">
        <w:rPr>
          <w:lang w:val="en-GB"/>
        </w:rPr>
        <w:t xml:space="preserve">Lee, </w:t>
      </w:r>
      <w:proofErr w:type="spellStart"/>
      <w:r w:rsidRPr="0048465B">
        <w:rPr>
          <w:lang w:val="en-GB"/>
        </w:rPr>
        <w:t>Vered</w:t>
      </w:r>
      <w:proofErr w:type="spellEnd"/>
      <w:r w:rsidRPr="0048465B">
        <w:rPr>
          <w:lang w:val="en-GB"/>
        </w:rPr>
        <w:t xml:space="preserve">, ‘Love in the Time of Racism: The New, Dangerous Low in the Campaign to Stop Interracial Relationships’, </w:t>
      </w:r>
      <w:r w:rsidRPr="0048465B">
        <w:rPr>
          <w:i/>
          <w:lang w:val="en-GB"/>
        </w:rPr>
        <w:t>Haaretz &lt;</w:t>
      </w:r>
      <w:r w:rsidRPr="0048465B">
        <w:rPr>
          <w:lang w:val="en-GB"/>
        </w:rPr>
        <w:t>https://www.haaretz.com/.premium-love-in-the-time-of-racism-1.5239669&gt; [accessed 20 July 2020]</w:t>
      </w:r>
      <w:r w:rsidR="003C28AB">
        <w:rPr>
          <w:lang w:val="en-GB"/>
        </w:rPr>
        <w:t>.</w:t>
      </w:r>
    </w:p>
    <w:p w14:paraId="633B675D" w14:textId="7DBFF5FE" w:rsidR="001D59B9" w:rsidRPr="0048465B" w:rsidRDefault="00703A05" w:rsidP="00714416">
      <w:pPr>
        <w:widowControl w:val="0"/>
        <w:spacing w:after="240" w:line="360" w:lineRule="auto"/>
        <w:ind w:left="720"/>
        <w:jc w:val="left"/>
        <w:rPr>
          <w:lang w:val="en-GB"/>
        </w:rPr>
      </w:pPr>
      <w:r w:rsidRPr="0048465B">
        <w:rPr>
          <w:lang w:val="en-GB"/>
        </w:rPr>
        <w:t xml:space="preserve">Lenga, Ruth-Anne, ‘Seeing Things Differently: The Use of Atrocity Images in Teaching about the Holocaust’, in </w:t>
      </w:r>
      <w:r w:rsidRPr="0048465B">
        <w:rPr>
          <w:i/>
          <w:lang w:val="en-GB"/>
        </w:rPr>
        <w:t>Holocaust Education</w:t>
      </w:r>
      <w:r w:rsidRPr="0048465B">
        <w:rPr>
          <w:lang w:val="en-GB"/>
        </w:rPr>
        <w:t>, ed. by Stuart Foster, Andy Pearce, and Alice Pettigrew, Contemporary Challenges and Controversies (UCL Press, 2020), pp. 195–220 &lt;https://doi.org/10.2307/j.ctv15d7zpf.16&gt;</w:t>
      </w:r>
      <w:r w:rsidR="003C28AB">
        <w:rPr>
          <w:lang w:val="en-GB"/>
        </w:rPr>
        <w:t>.</w:t>
      </w:r>
    </w:p>
    <w:p w14:paraId="78F93B37" w14:textId="099CC27B" w:rsidR="001D59B9" w:rsidRPr="0048465B" w:rsidRDefault="00703A05" w:rsidP="00714416">
      <w:pPr>
        <w:widowControl w:val="0"/>
        <w:spacing w:after="240" w:line="360" w:lineRule="auto"/>
        <w:ind w:left="720"/>
        <w:jc w:val="left"/>
        <w:rPr>
          <w:lang w:val="en-GB"/>
        </w:rPr>
      </w:pPr>
      <w:proofErr w:type="spellStart"/>
      <w:r w:rsidRPr="0048465B">
        <w:rPr>
          <w:lang w:val="en-GB"/>
        </w:rPr>
        <w:t>LeVine</w:t>
      </w:r>
      <w:proofErr w:type="spellEnd"/>
      <w:r w:rsidRPr="0048465B">
        <w:rPr>
          <w:lang w:val="en-GB"/>
        </w:rPr>
        <w:t>, Mark, ‘Gaza Is No Warsaw Ghetto’ &lt;https://www.aljazeera.com/focus/crisisingaza/2009/02/20092191518941246.html&gt; [accessed 4 September 2018]</w:t>
      </w:r>
      <w:r w:rsidR="003C28AB">
        <w:rPr>
          <w:lang w:val="en-GB"/>
        </w:rPr>
        <w:t>.</w:t>
      </w:r>
    </w:p>
    <w:p w14:paraId="0C61A46B" w14:textId="423470C9" w:rsidR="001D59B9" w:rsidRPr="0048465B" w:rsidRDefault="00703A05" w:rsidP="00714416">
      <w:pPr>
        <w:widowControl w:val="0"/>
        <w:spacing w:after="240" w:line="360" w:lineRule="auto"/>
        <w:ind w:left="720"/>
        <w:jc w:val="left"/>
        <w:rPr>
          <w:lang w:val="en-GB"/>
        </w:rPr>
      </w:pPr>
      <w:r w:rsidRPr="0048465B">
        <w:rPr>
          <w:lang w:val="en-GB"/>
        </w:rPr>
        <w:lastRenderedPageBreak/>
        <w:t xml:space="preserve">‘Lieberman: Right of Return Makes Arab Plan Unacceptable’, </w:t>
      </w:r>
      <w:r w:rsidRPr="0048465B">
        <w:rPr>
          <w:i/>
          <w:lang w:val="en-GB"/>
        </w:rPr>
        <w:t>Haaretz &lt;</w:t>
      </w:r>
      <w:r w:rsidRPr="0048465B">
        <w:rPr>
          <w:lang w:val="en-GB"/>
        </w:rPr>
        <w:t>https://www.haaretz.com/1.5041235&gt; [accessed 24 November 2020]</w:t>
      </w:r>
      <w:r w:rsidR="003C28AB">
        <w:rPr>
          <w:lang w:val="en-GB"/>
        </w:rPr>
        <w:t>.</w:t>
      </w:r>
    </w:p>
    <w:p w14:paraId="18ED6508" w14:textId="575CF01C" w:rsidR="001D59B9" w:rsidRPr="0048465B" w:rsidRDefault="00703A05" w:rsidP="00714416">
      <w:pPr>
        <w:widowControl w:val="0"/>
        <w:spacing w:after="240" w:line="360" w:lineRule="auto"/>
        <w:ind w:left="720"/>
        <w:jc w:val="left"/>
        <w:rPr>
          <w:lang w:val="en-GB"/>
        </w:rPr>
      </w:pPr>
      <w:r w:rsidRPr="0048465B">
        <w:rPr>
          <w:lang w:val="en-GB"/>
        </w:rPr>
        <w:t xml:space="preserve">Litvak, Meir, and Esther </w:t>
      </w:r>
      <w:proofErr w:type="spellStart"/>
      <w:r w:rsidRPr="0048465B">
        <w:rPr>
          <w:lang w:val="en-GB"/>
        </w:rPr>
        <w:t>Webman</w:t>
      </w:r>
      <w:proofErr w:type="spellEnd"/>
      <w:r w:rsidRPr="0048465B">
        <w:rPr>
          <w:lang w:val="en-GB"/>
        </w:rPr>
        <w:t xml:space="preserve">, ‘Perceptions of the Holocaust in Palestinian Public Discourse’, </w:t>
      </w:r>
      <w:r w:rsidRPr="0048465B">
        <w:rPr>
          <w:i/>
          <w:lang w:val="en-GB"/>
        </w:rPr>
        <w:t>Israel Studies</w:t>
      </w:r>
      <w:r w:rsidRPr="0048465B">
        <w:rPr>
          <w:lang w:val="en-GB"/>
        </w:rPr>
        <w:t>, 8.3 (2003), 123–40</w:t>
      </w:r>
      <w:r w:rsidR="003C28AB">
        <w:rPr>
          <w:lang w:val="en-GB"/>
        </w:rPr>
        <w:t>.</w:t>
      </w:r>
    </w:p>
    <w:p w14:paraId="6649944F" w14:textId="23CDA1B6" w:rsidR="001D59B9" w:rsidRPr="0048465B" w:rsidRDefault="00703A05" w:rsidP="00714416">
      <w:pPr>
        <w:widowControl w:val="0"/>
        <w:spacing w:after="240" w:line="360" w:lineRule="auto"/>
        <w:ind w:left="720"/>
        <w:jc w:val="left"/>
        <w:rPr>
          <w:lang w:val="en-GB"/>
        </w:rPr>
      </w:pPr>
      <w:r w:rsidRPr="0048465B">
        <w:rPr>
          <w:lang w:val="en-GB"/>
        </w:rPr>
        <w:t>Lynk, S. Michael, ‘Situation of Human Rights in the Palestinian Territories Occupied since 1967 (Advance Unedited Version)’, 2019</w:t>
      </w:r>
      <w:r w:rsidR="003C28AB">
        <w:rPr>
          <w:lang w:val="en-GB"/>
        </w:rPr>
        <w:t>.</w:t>
      </w:r>
    </w:p>
    <w:p w14:paraId="2FCB8194" w14:textId="146EF6CD" w:rsidR="001D59B9" w:rsidRPr="0048465B" w:rsidRDefault="00703A05" w:rsidP="00714416">
      <w:pPr>
        <w:widowControl w:val="0"/>
        <w:spacing w:after="240" w:line="360" w:lineRule="auto"/>
        <w:ind w:left="720"/>
        <w:jc w:val="left"/>
        <w:rPr>
          <w:lang w:val="en-GB"/>
        </w:rPr>
      </w:pPr>
      <w:r w:rsidRPr="0048465B">
        <w:rPr>
          <w:lang w:val="en-GB"/>
        </w:rPr>
        <w:t xml:space="preserve">Macdonald, David Bruce, ‘Instrumentalising the Holocaust: From Universalisation to Relativism’, in </w:t>
      </w:r>
      <w:r w:rsidRPr="0048465B">
        <w:rPr>
          <w:i/>
          <w:lang w:val="en-GB"/>
        </w:rPr>
        <w:t>Balkan Holocausts?</w:t>
      </w:r>
      <w:r w:rsidRPr="0048465B">
        <w:rPr>
          <w:lang w:val="en-GB"/>
        </w:rPr>
        <w:t>, Serbian and Croatian Victim Centred Propaganda and the War in Yugoslavia (Manchester University Press, 2002), pp. 39–62 &lt;https://www.jstor.org/stable/j.ctt155jbrm.7&gt; [accessed 26 January 2021]</w:t>
      </w:r>
      <w:r w:rsidR="003C28AB">
        <w:rPr>
          <w:lang w:val="en-GB"/>
        </w:rPr>
        <w:t>.</w:t>
      </w:r>
    </w:p>
    <w:p w14:paraId="2D36CD4E" w14:textId="68B0BAED" w:rsidR="001D59B9" w:rsidRPr="0048465B" w:rsidRDefault="00703A05" w:rsidP="00714416">
      <w:pPr>
        <w:widowControl w:val="0"/>
        <w:spacing w:after="240" w:line="360" w:lineRule="auto"/>
        <w:ind w:left="720"/>
        <w:jc w:val="left"/>
        <w:rPr>
          <w:lang w:val="en-GB"/>
        </w:rPr>
      </w:pPr>
      <w:proofErr w:type="spellStart"/>
      <w:r w:rsidRPr="0048465B">
        <w:rPr>
          <w:lang w:val="en-GB"/>
        </w:rPr>
        <w:t>Magid</w:t>
      </w:r>
      <w:proofErr w:type="spellEnd"/>
      <w:r w:rsidRPr="0048465B">
        <w:rPr>
          <w:lang w:val="en-GB"/>
        </w:rPr>
        <w:t>, Jacob, ‘Biden Breaks from Predecessors by Taking It Slow on Israeli-Palestinian Peace’ &lt;https://www.timesofisrael.com/biden-breaks-from-predecessors-by-taking-it-slow-on-israeli-palestinian-peace/&gt; [accessed 18 February 2021]</w:t>
      </w:r>
      <w:r w:rsidR="003C28AB">
        <w:rPr>
          <w:lang w:val="en-GB"/>
        </w:rPr>
        <w:t>.</w:t>
      </w:r>
    </w:p>
    <w:p w14:paraId="2A6EE834" w14:textId="68051112" w:rsidR="001D59B9" w:rsidRPr="0048465B" w:rsidRDefault="00703A05" w:rsidP="00714416">
      <w:pPr>
        <w:widowControl w:val="0"/>
        <w:spacing w:after="240" w:line="360" w:lineRule="auto"/>
        <w:ind w:left="720"/>
        <w:jc w:val="left"/>
        <w:rPr>
          <w:lang w:val="en-GB"/>
        </w:rPr>
      </w:pPr>
      <w:proofErr w:type="spellStart"/>
      <w:r w:rsidRPr="0048465B">
        <w:rPr>
          <w:lang w:val="en-GB"/>
        </w:rPr>
        <w:t>Magid</w:t>
      </w:r>
      <w:proofErr w:type="spellEnd"/>
      <w:r w:rsidRPr="0048465B">
        <w:rPr>
          <w:lang w:val="en-GB"/>
        </w:rPr>
        <w:t>, Jacob, ‘“It’s a War Crime”: Thousands Rally in Tel Aviv against Netanyahu Annexation Bid’ &lt;https://www.timesofisrael.com/thousands-rally-in-tel-aviv-against-netanyahus-annexation-plans/&gt; [accessed 21 December 2020]</w:t>
      </w:r>
      <w:r w:rsidR="003C28AB">
        <w:rPr>
          <w:lang w:val="en-GB"/>
        </w:rPr>
        <w:t>.</w:t>
      </w:r>
    </w:p>
    <w:p w14:paraId="7BCED593" w14:textId="19B5D5B5" w:rsidR="001D59B9" w:rsidRPr="0048465B" w:rsidRDefault="00703A05" w:rsidP="00714416">
      <w:pPr>
        <w:widowControl w:val="0"/>
        <w:spacing w:after="240" w:line="360" w:lineRule="auto"/>
        <w:ind w:left="720"/>
        <w:jc w:val="left"/>
        <w:rPr>
          <w:lang w:val="en-GB"/>
        </w:rPr>
      </w:pPr>
      <w:proofErr w:type="spellStart"/>
      <w:r w:rsidRPr="0048465B">
        <w:rPr>
          <w:lang w:val="en-GB"/>
        </w:rPr>
        <w:t>Maltz</w:t>
      </w:r>
      <w:proofErr w:type="spellEnd"/>
      <w:r w:rsidRPr="0048465B">
        <w:rPr>
          <w:lang w:val="en-GB"/>
        </w:rPr>
        <w:t xml:space="preserve">, Judy, ‘Why Interfaith Marriage Is on the Rise in Israel - and Why It’s a Problem’, </w:t>
      </w:r>
      <w:r w:rsidRPr="0048465B">
        <w:rPr>
          <w:i/>
          <w:lang w:val="en-GB"/>
        </w:rPr>
        <w:t>Haaretz &lt;</w:t>
      </w:r>
      <w:r w:rsidRPr="0048465B">
        <w:rPr>
          <w:lang w:val="en-GB"/>
        </w:rPr>
        <w:t>https://www.haaretz.com/jewish/.premium-why-interfaith-marriage-is-on-the-rise-1.5250507&gt; [accessed 12 August 2020]</w:t>
      </w:r>
      <w:r w:rsidR="003C28AB">
        <w:rPr>
          <w:lang w:val="en-GB"/>
        </w:rPr>
        <w:t>.</w:t>
      </w:r>
    </w:p>
    <w:p w14:paraId="48E45B91" w14:textId="4BE6C3CA" w:rsidR="001D59B9" w:rsidRPr="0048465B" w:rsidRDefault="00703A05" w:rsidP="00714416">
      <w:pPr>
        <w:widowControl w:val="0"/>
        <w:spacing w:after="240" w:line="360" w:lineRule="auto"/>
        <w:ind w:left="720"/>
        <w:jc w:val="left"/>
        <w:rPr>
          <w:lang w:val="en-GB"/>
        </w:rPr>
      </w:pPr>
      <w:proofErr w:type="spellStart"/>
      <w:r w:rsidRPr="0048465B">
        <w:rPr>
          <w:lang w:val="en-GB"/>
        </w:rPr>
        <w:t>Maxouris</w:t>
      </w:r>
      <w:proofErr w:type="spellEnd"/>
      <w:r w:rsidRPr="0048465B">
        <w:rPr>
          <w:lang w:val="en-GB"/>
        </w:rPr>
        <w:t xml:space="preserve">, Christina, and Doug Criss, ‘Everything You Wanted to Know About Yom Kippur’, </w:t>
      </w:r>
      <w:r w:rsidRPr="0048465B">
        <w:rPr>
          <w:i/>
          <w:lang w:val="en-GB"/>
        </w:rPr>
        <w:t>CNN</w:t>
      </w:r>
      <w:r w:rsidRPr="0048465B">
        <w:rPr>
          <w:lang w:val="en-GB"/>
        </w:rPr>
        <w:t xml:space="preserve"> &lt;https://www.cnn.com/2019/10/08/us/yom-kippur-meaning-trnd/index.html&gt; [accessed 15 July 2020]</w:t>
      </w:r>
      <w:r w:rsidR="003C28AB">
        <w:rPr>
          <w:lang w:val="en-GB"/>
        </w:rPr>
        <w:t>.</w:t>
      </w:r>
    </w:p>
    <w:p w14:paraId="7B99AA8E" w14:textId="64E0DFE3" w:rsidR="001D59B9" w:rsidRPr="0048465B" w:rsidRDefault="00703A05" w:rsidP="00714416">
      <w:pPr>
        <w:widowControl w:val="0"/>
        <w:spacing w:after="240" w:line="360" w:lineRule="auto"/>
        <w:ind w:left="720"/>
        <w:jc w:val="left"/>
        <w:rPr>
          <w:lang w:val="en-GB"/>
        </w:rPr>
      </w:pPr>
      <w:proofErr w:type="spellStart"/>
      <w:r w:rsidRPr="0048465B">
        <w:rPr>
          <w:lang w:val="en-GB"/>
        </w:rPr>
        <w:t>Mayzer</w:t>
      </w:r>
      <w:proofErr w:type="spellEnd"/>
      <w:r w:rsidRPr="0048465B">
        <w:rPr>
          <w:lang w:val="en-GB"/>
        </w:rPr>
        <w:t xml:space="preserve">, Rami Ayyub, Sinan Abu, ‘Arabs in Israeli Border Towns Fear Trump Plan Will Transfer Them to West Bank’, </w:t>
      </w:r>
      <w:r w:rsidRPr="0048465B">
        <w:rPr>
          <w:i/>
          <w:lang w:val="en-GB"/>
        </w:rPr>
        <w:t>Reuters</w:t>
      </w:r>
      <w:r w:rsidRPr="0048465B">
        <w:rPr>
          <w:lang w:val="en-GB"/>
        </w:rPr>
        <w:t>, 3 February 2020 &lt;https://www.reuters.com/article/us-israel-palestinians-plan-swap-idUSKBN1ZX26N&gt; [accessed 20 January 2021]</w:t>
      </w:r>
      <w:r w:rsidR="003C28AB">
        <w:rPr>
          <w:lang w:val="en-GB"/>
        </w:rPr>
        <w:t>.</w:t>
      </w:r>
    </w:p>
    <w:p w14:paraId="51310478" w14:textId="4E66481C" w:rsidR="001D59B9" w:rsidRDefault="00703A05" w:rsidP="00714416">
      <w:pPr>
        <w:widowControl w:val="0"/>
        <w:spacing w:after="240" w:line="360" w:lineRule="auto"/>
        <w:ind w:left="720"/>
        <w:jc w:val="left"/>
        <w:rPr>
          <w:lang w:val="en-GB"/>
        </w:rPr>
      </w:pPr>
      <w:proofErr w:type="spellStart"/>
      <w:r w:rsidRPr="0048465B">
        <w:rPr>
          <w:lang w:val="en-GB"/>
        </w:rPr>
        <w:lastRenderedPageBreak/>
        <w:t>Mazzig</w:t>
      </w:r>
      <w:proofErr w:type="spellEnd"/>
      <w:r w:rsidRPr="0048465B">
        <w:rPr>
          <w:lang w:val="en-GB"/>
        </w:rPr>
        <w:t xml:space="preserve">, Hen, ‘Op-Ed: No, Israel Isn’t a Country of Privileged and Powerful White Europeans’, </w:t>
      </w:r>
      <w:r w:rsidRPr="0048465B">
        <w:rPr>
          <w:i/>
          <w:lang w:val="en-GB"/>
        </w:rPr>
        <w:t>Los Angeles Times</w:t>
      </w:r>
      <w:r w:rsidRPr="0048465B">
        <w:rPr>
          <w:lang w:val="en-GB"/>
        </w:rPr>
        <w:t>, 2019 &lt;https://www.latimes.com/opinion/op-ed/la-oe-mazzig-mizrahi-jews-israel-20190520-story.html&gt; [accessed 17 July 2020]</w:t>
      </w:r>
      <w:r w:rsidR="003C28AB">
        <w:rPr>
          <w:lang w:val="en-GB"/>
        </w:rPr>
        <w:t>.</w:t>
      </w:r>
    </w:p>
    <w:p w14:paraId="44E94312" w14:textId="4584B4EA" w:rsidR="00F76E25" w:rsidRPr="0048465B" w:rsidRDefault="00F76E25" w:rsidP="00F76E25">
      <w:pPr>
        <w:widowControl w:val="0"/>
        <w:spacing w:after="240" w:line="360" w:lineRule="auto"/>
        <w:ind w:left="720"/>
        <w:jc w:val="left"/>
        <w:rPr>
          <w:lang w:val="en-GB"/>
        </w:rPr>
      </w:pPr>
      <w:proofErr w:type="spellStart"/>
      <w:r w:rsidRPr="00F76E25">
        <w:rPr>
          <w:lang w:val="en-GB"/>
        </w:rPr>
        <w:t>McTague</w:t>
      </w:r>
      <w:proofErr w:type="spellEnd"/>
      <w:r w:rsidRPr="00F76E25">
        <w:rPr>
          <w:lang w:val="en-GB"/>
        </w:rPr>
        <w:t xml:space="preserve">, John J., </w:t>
      </w:r>
      <w:r>
        <w:rPr>
          <w:lang w:val="en-GB"/>
        </w:rPr>
        <w:t>“</w:t>
      </w:r>
      <w:r w:rsidRPr="00F76E25">
        <w:rPr>
          <w:lang w:val="en-GB"/>
        </w:rPr>
        <w:t>Zionist-British Negotiations Over The Draft Mandate For Palestine, 1920</w:t>
      </w:r>
      <w:r>
        <w:rPr>
          <w:lang w:val="en-GB"/>
        </w:rPr>
        <w:t>”</w:t>
      </w:r>
      <w:r w:rsidRPr="00F76E25">
        <w:rPr>
          <w:lang w:val="en-GB"/>
        </w:rPr>
        <w:t>, </w:t>
      </w:r>
      <w:r w:rsidRPr="00F76E25">
        <w:rPr>
          <w:i/>
          <w:iCs/>
          <w:lang w:val="en-GB"/>
        </w:rPr>
        <w:t>Jewish Social Studies</w:t>
      </w:r>
      <w:r w:rsidRPr="00F76E25">
        <w:rPr>
          <w:lang w:val="en-GB"/>
        </w:rPr>
        <w:t>, 42 (1980), 281-292</w:t>
      </w:r>
      <w:r>
        <w:rPr>
          <w:lang w:val="en-GB"/>
        </w:rPr>
        <w:t>.</w:t>
      </w:r>
    </w:p>
    <w:p w14:paraId="6085453C" w14:textId="0C3341FF" w:rsidR="001D59B9" w:rsidRPr="0048465B" w:rsidRDefault="00703A05" w:rsidP="00714416">
      <w:pPr>
        <w:widowControl w:val="0"/>
        <w:spacing w:after="240" w:line="360" w:lineRule="auto"/>
        <w:ind w:left="720"/>
        <w:jc w:val="left"/>
        <w:rPr>
          <w:lang w:val="en-GB"/>
        </w:rPr>
      </w:pPr>
      <w:proofErr w:type="spellStart"/>
      <w:r w:rsidRPr="0048465B">
        <w:rPr>
          <w:lang w:val="en-GB"/>
        </w:rPr>
        <w:t>Mehager</w:t>
      </w:r>
      <w:proofErr w:type="spellEnd"/>
      <w:r w:rsidRPr="0048465B">
        <w:rPr>
          <w:lang w:val="en-GB"/>
        </w:rPr>
        <w:t xml:space="preserve">, Tom, ‘How the Israeli Education System Has Failed Mizrahi Jews’, </w:t>
      </w:r>
      <w:r w:rsidRPr="0048465B">
        <w:rPr>
          <w:i/>
          <w:lang w:val="en-GB"/>
        </w:rPr>
        <w:t>Middle East Eye</w:t>
      </w:r>
      <w:r w:rsidRPr="0048465B">
        <w:rPr>
          <w:lang w:val="en-GB"/>
        </w:rPr>
        <w:t xml:space="preserve"> &lt;http://www.middleeasteye.net/opinion/how-israeli-education-system-has-failed-mizrahi-jews&gt; [accessed 17 July 2020]</w:t>
      </w:r>
      <w:r w:rsidR="003C28AB">
        <w:rPr>
          <w:lang w:val="en-GB"/>
        </w:rPr>
        <w:t>.</w:t>
      </w:r>
    </w:p>
    <w:p w14:paraId="73BE003C" w14:textId="4A1907BE" w:rsidR="001D59B9" w:rsidRPr="0048465B" w:rsidRDefault="00703A05" w:rsidP="00714416">
      <w:pPr>
        <w:widowControl w:val="0"/>
        <w:spacing w:after="240" w:line="360" w:lineRule="auto"/>
        <w:ind w:left="720"/>
        <w:jc w:val="left"/>
        <w:rPr>
          <w:lang w:val="en-GB"/>
        </w:rPr>
      </w:pPr>
      <w:r w:rsidRPr="0048465B">
        <w:rPr>
          <w:lang w:val="en-GB"/>
        </w:rPr>
        <w:t>‘Middle East :: Gaza Strip — The World Factbook - Central Intelligence Agency’ &lt;https://www.cia.gov/library/publications/the-world-factbook/geos/gz.html&gt; [accessed 14 December 2020]</w:t>
      </w:r>
      <w:r w:rsidR="003C28AB">
        <w:rPr>
          <w:lang w:val="en-GB"/>
        </w:rPr>
        <w:t>.</w:t>
      </w:r>
    </w:p>
    <w:p w14:paraId="5B1BFE26" w14:textId="3C87BDD0" w:rsidR="001D59B9" w:rsidRPr="0048465B" w:rsidRDefault="00703A05" w:rsidP="00714416">
      <w:pPr>
        <w:widowControl w:val="0"/>
        <w:spacing w:after="240" w:line="360" w:lineRule="auto"/>
        <w:ind w:left="720"/>
        <w:jc w:val="left"/>
        <w:rPr>
          <w:lang w:val="en-GB"/>
        </w:rPr>
      </w:pPr>
      <w:r w:rsidRPr="0048465B">
        <w:rPr>
          <w:lang w:val="en-GB"/>
        </w:rPr>
        <w:t>‘Middle East :: Israel — The World Factbook - Central Intelligence Agency’ &lt;https://www.cia.gov/library/publications/the-world-factbook/geos/is.html&gt; [accessed 14 December 2020]</w:t>
      </w:r>
      <w:r w:rsidR="003C28AB">
        <w:rPr>
          <w:lang w:val="en-GB"/>
        </w:rPr>
        <w:t>.</w:t>
      </w:r>
    </w:p>
    <w:p w14:paraId="5BF1D77D" w14:textId="02CF34A1" w:rsidR="001D59B9" w:rsidRPr="0048465B" w:rsidRDefault="00703A05" w:rsidP="00714416">
      <w:pPr>
        <w:widowControl w:val="0"/>
        <w:spacing w:after="240" w:line="360" w:lineRule="auto"/>
        <w:ind w:left="720"/>
        <w:jc w:val="left"/>
        <w:rPr>
          <w:lang w:val="en-GB"/>
        </w:rPr>
      </w:pPr>
      <w:r w:rsidRPr="0048465B">
        <w:rPr>
          <w:lang w:val="en-GB"/>
        </w:rPr>
        <w:t>‘Middle East :: West Bank — The World Factbook - Central Intelligence Agency’ &lt;https://www.cia.gov/library/publications/the-world-factbook/geos/we.html&gt; [accessed 14 December 2020]</w:t>
      </w:r>
      <w:r w:rsidR="003C28AB">
        <w:rPr>
          <w:lang w:val="en-GB"/>
        </w:rPr>
        <w:t>.</w:t>
      </w:r>
    </w:p>
    <w:p w14:paraId="67E4AE86" w14:textId="6887F498" w:rsidR="001D59B9" w:rsidRPr="0048465B" w:rsidRDefault="00703A05" w:rsidP="00714416">
      <w:pPr>
        <w:widowControl w:val="0"/>
        <w:spacing w:after="240" w:line="360" w:lineRule="auto"/>
        <w:ind w:left="720"/>
        <w:jc w:val="left"/>
        <w:rPr>
          <w:lang w:val="en-GB"/>
        </w:rPr>
      </w:pPr>
      <w:r w:rsidRPr="0048465B">
        <w:rPr>
          <w:lang w:val="en-GB"/>
        </w:rPr>
        <w:t xml:space="preserve">Miller, Aaron David, ‘Opinion: Biden Is Hitting the Reset Button with Israel’, </w:t>
      </w:r>
      <w:r w:rsidRPr="0048465B">
        <w:rPr>
          <w:i/>
          <w:lang w:val="en-GB"/>
        </w:rPr>
        <w:t>CNN</w:t>
      </w:r>
      <w:r w:rsidRPr="0048465B">
        <w:rPr>
          <w:lang w:val="en-GB"/>
        </w:rPr>
        <w:t xml:space="preserve"> &lt;https://www.cnn.com/2021/02/15/opinions/biden-netanyahu-israel-reset-button-miller/index.html&gt; [accessed 18 February 2021]</w:t>
      </w:r>
      <w:r w:rsidR="003C28AB">
        <w:rPr>
          <w:lang w:val="en-GB"/>
        </w:rPr>
        <w:t>.</w:t>
      </w:r>
    </w:p>
    <w:p w14:paraId="4B083BE5" w14:textId="4063C14D" w:rsidR="001D59B9" w:rsidRPr="0048465B" w:rsidRDefault="00703A05" w:rsidP="00714416">
      <w:pPr>
        <w:widowControl w:val="0"/>
        <w:spacing w:after="240" w:line="360" w:lineRule="auto"/>
        <w:ind w:left="720"/>
        <w:jc w:val="left"/>
        <w:rPr>
          <w:lang w:val="en-GB"/>
        </w:rPr>
      </w:pPr>
      <w:r w:rsidRPr="0048465B">
        <w:rPr>
          <w:lang w:val="en-GB"/>
        </w:rPr>
        <w:t xml:space="preserve">Miller, Ana, ‘The Silence of Palestinians in Caryl Phillips’s The Nature of Blood’, </w:t>
      </w:r>
      <w:r w:rsidRPr="0048465B">
        <w:rPr>
          <w:i/>
          <w:lang w:val="en-GB"/>
        </w:rPr>
        <w:t>Journal of Postcolonial Writing</w:t>
      </w:r>
      <w:r w:rsidRPr="0048465B">
        <w:rPr>
          <w:lang w:val="en-GB"/>
        </w:rPr>
        <w:t>, 50.5 (2014), 509–21 &lt;https://doi.org/10.1080/17449855.2013.778896&gt;</w:t>
      </w:r>
      <w:r w:rsidR="003C28AB">
        <w:rPr>
          <w:lang w:val="en-GB"/>
        </w:rPr>
        <w:t>.</w:t>
      </w:r>
    </w:p>
    <w:p w14:paraId="15EEABA4" w14:textId="0A1EC551" w:rsidR="001D59B9" w:rsidRPr="0048465B" w:rsidRDefault="00703A05" w:rsidP="00714416">
      <w:pPr>
        <w:widowControl w:val="0"/>
        <w:spacing w:after="240" w:line="360" w:lineRule="auto"/>
        <w:ind w:left="720"/>
        <w:jc w:val="left"/>
        <w:rPr>
          <w:lang w:val="en-GB"/>
        </w:rPr>
      </w:pPr>
      <w:r w:rsidRPr="0048465B">
        <w:rPr>
          <w:lang w:val="en-GB"/>
        </w:rPr>
        <w:t xml:space="preserve">‘Miscegenation; the Theory of the Blending of the Races, Applied to the American White Man and Negro.’, </w:t>
      </w:r>
      <w:r w:rsidRPr="0048465B">
        <w:rPr>
          <w:i/>
          <w:lang w:val="en-GB"/>
        </w:rPr>
        <w:t>Library of Congress, Washington, D.C. 20540 USA</w:t>
      </w:r>
      <w:r w:rsidRPr="0048465B">
        <w:rPr>
          <w:lang w:val="en-GB"/>
        </w:rPr>
        <w:t xml:space="preserve"> &lt;https://www.loc.gov/item/05009520/&gt; [accessed 24 July 2020]</w:t>
      </w:r>
      <w:r w:rsidR="003C28AB">
        <w:rPr>
          <w:lang w:val="en-GB"/>
        </w:rPr>
        <w:t>.</w:t>
      </w:r>
    </w:p>
    <w:p w14:paraId="003B7831" w14:textId="60E74A4C" w:rsidR="001D59B9" w:rsidRPr="0048465B" w:rsidRDefault="00703A05" w:rsidP="00714416">
      <w:pPr>
        <w:widowControl w:val="0"/>
        <w:spacing w:after="240" w:line="360" w:lineRule="auto"/>
        <w:ind w:left="720"/>
        <w:jc w:val="left"/>
        <w:rPr>
          <w:lang w:val="en-GB"/>
        </w:rPr>
      </w:pPr>
      <w:proofErr w:type="spellStart"/>
      <w:r w:rsidRPr="0048465B">
        <w:rPr>
          <w:lang w:val="en-GB"/>
        </w:rPr>
        <w:lastRenderedPageBreak/>
        <w:t>Moshman</w:t>
      </w:r>
      <w:proofErr w:type="spellEnd"/>
      <w:r w:rsidRPr="0048465B">
        <w:rPr>
          <w:lang w:val="en-GB"/>
        </w:rPr>
        <w:t xml:space="preserve">, David, ‘Israel, Palestine and the Teaching of History’, </w:t>
      </w:r>
      <w:r w:rsidRPr="0048465B">
        <w:rPr>
          <w:i/>
          <w:lang w:val="en-GB"/>
        </w:rPr>
        <w:t>HuffPost</w:t>
      </w:r>
      <w:r w:rsidRPr="0048465B">
        <w:rPr>
          <w:lang w:val="en-GB"/>
        </w:rPr>
        <w:t xml:space="preserve"> &lt;https://www.huffpost.com/entry/israel-palestine-and-the-_1_b_1659731&gt; [accessed 11 September 2019]</w:t>
      </w:r>
      <w:r w:rsidR="003C28AB">
        <w:rPr>
          <w:lang w:val="en-GB"/>
        </w:rPr>
        <w:t>.</w:t>
      </w:r>
    </w:p>
    <w:p w14:paraId="047E9977" w14:textId="7A2CE533" w:rsidR="001D59B9" w:rsidRDefault="00703A05" w:rsidP="00714416">
      <w:pPr>
        <w:widowControl w:val="0"/>
        <w:spacing w:after="240" w:line="360" w:lineRule="auto"/>
        <w:ind w:left="720"/>
        <w:jc w:val="left"/>
        <w:rPr>
          <w:lang w:val="en-GB"/>
        </w:rPr>
      </w:pPr>
      <w:r w:rsidRPr="0048465B">
        <w:rPr>
          <w:lang w:val="en-GB"/>
        </w:rPr>
        <w:t>Munayyer, Yousef, ‘There Will Be a One-State Solution’, 16 April 2020 &lt;https://www.foreignaffairs.com/articles/israel/2019-10-15/there-will-be-one-state-solution&gt; [accessed 23 October 2020]</w:t>
      </w:r>
      <w:r w:rsidR="003C28AB">
        <w:rPr>
          <w:lang w:val="en-GB"/>
        </w:rPr>
        <w:t>.</w:t>
      </w:r>
    </w:p>
    <w:p w14:paraId="2761CFAA" w14:textId="25BDC788" w:rsidR="00EE62DA" w:rsidRPr="0048465B" w:rsidRDefault="00EE62DA" w:rsidP="00EE62DA">
      <w:pPr>
        <w:widowControl w:val="0"/>
        <w:spacing w:after="240" w:line="360" w:lineRule="auto"/>
        <w:ind w:left="720"/>
        <w:jc w:val="left"/>
        <w:rPr>
          <w:lang w:val="en-GB"/>
        </w:rPr>
      </w:pPr>
      <w:r w:rsidRPr="00EE62DA">
        <w:rPr>
          <w:lang w:val="en-GB"/>
        </w:rPr>
        <w:t xml:space="preserve">Murphy, </w:t>
      </w:r>
      <w:proofErr w:type="spellStart"/>
      <w:r w:rsidRPr="00EE62DA">
        <w:rPr>
          <w:lang w:val="en-GB"/>
        </w:rPr>
        <w:t>Caryle</w:t>
      </w:r>
      <w:proofErr w:type="spellEnd"/>
      <w:r w:rsidRPr="00EE62DA">
        <w:rPr>
          <w:lang w:val="en-GB"/>
        </w:rPr>
        <w:t xml:space="preserve">, ‘Religious Groups In Israel Keep To Themselves When It Comes To Marriages And Friendships’, </w:t>
      </w:r>
      <w:r w:rsidRPr="00EE62DA">
        <w:rPr>
          <w:i/>
          <w:iCs/>
          <w:lang w:val="en-GB"/>
        </w:rPr>
        <w:t xml:space="preserve">Pew Research </w:t>
      </w:r>
      <w:proofErr w:type="spellStart"/>
      <w:r w:rsidRPr="00EE62DA">
        <w:rPr>
          <w:i/>
          <w:iCs/>
          <w:lang w:val="en-GB"/>
        </w:rPr>
        <w:t>Center</w:t>
      </w:r>
      <w:proofErr w:type="spellEnd"/>
      <w:r w:rsidRPr="00EE62DA">
        <w:rPr>
          <w:lang w:val="en-GB"/>
        </w:rPr>
        <w:t>, 2016 &lt;https://www.pewresearch.org/fact-tank/2016/04/04/religious-groups-in-israel-keep-to-themselves-when-it-comes-to-marriages-and-friendships-2/&gt; [Accessed 15 July 2021]</w:t>
      </w:r>
      <w:r>
        <w:rPr>
          <w:lang w:val="en-GB"/>
        </w:rPr>
        <w:t>.</w:t>
      </w:r>
    </w:p>
    <w:p w14:paraId="07D21D69" w14:textId="36DC7283" w:rsidR="001D59B9" w:rsidRPr="0048465B" w:rsidRDefault="00703A05" w:rsidP="00714416">
      <w:pPr>
        <w:widowControl w:val="0"/>
        <w:spacing w:after="240" w:line="360" w:lineRule="auto"/>
        <w:ind w:left="720"/>
        <w:jc w:val="left"/>
        <w:rPr>
          <w:lang w:val="en-GB"/>
        </w:rPr>
      </w:pPr>
      <w:r w:rsidRPr="0048465B">
        <w:rPr>
          <w:lang w:val="en-GB"/>
        </w:rPr>
        <w:t>‘New Year - JewishEncyclopedia.Com’ &lt;http://www.jewishencyclopedia.com/articles/11499-new-year&gt; [accessed 15 July 2020]</w:t>
      </w:r>
      <w:r w:rsidR="003C28AB">
        <w:rPr>
          <w:lang w:val="en-GB"/>
        </w:rPr>
        <w:t>.</w:t>
      </w:r>
    </w:p>
    <w:p w14:paraId="22BF0951" w14:textId="0B62A705" w:rsidR="001D59B9" w:rsidRPr="0048465B" w:rsidRDefault="00703A05" w:rsidP="00714416">
      <w:pPr>
        <w:widowControl w:val="0"/>
        <w:spacing w:after="240" w:line="360" w:lineRule="auto"/>
        <w:ind w:left="720"/>
        <w:jc w:val="left"/>
        <w:rPr>
          <w:lang w:val="en-GB"/>
        </w:rPr>
      </w:pPr>
      <w:r w:rsidRPr="0048465B">
        <w:rPr>
          <w:lang w:val="en-GB"/>
        </w:rPr>
        <w:t>‘Nuclear Weapons: Who Has What at a Glance | Arms Control Association’ &lt;https://www.armscontrol.org/factsheets/Nuclearweaponswhohaswhat&gt; [accessed 19 February 2021]</w:t>
      </w:r>
      <w:r w:rsidR="003C28AB">
        <w:rPr>
          <w:lang w:val="en-GB"/>
        </w:rPr>
        <w:t>.</w:t>
      </w:r>
    </w:p>
    <w:p w14:paraId="15D5369E" w14:textId="00CB19FA" w:rsidR="001D59B9" w:rsidRPr="0048465B" w:rsidRDefault="00703A05" w:rsidP="00714416">
      <w:pPr>
        <w:widowControl w:val="0"/>
        <w:spacing w:after="240" w:line="360" w:lineRule="auto"/>
        <w:ind w:left="720"/>
        <w:jc w:val="left"/>
        <w:rPr>
          <w:lang w:val="en-GB"/>
        </w:rPr>
      </w:pPr>
      <w:r w:rsidRPr="0048465B">
        <w:rPr>
          <w:lang w:val="en-GB"/>
        </w:rPr>
        <w:t xml:space="preserve">Ofir, Jonathan, ‘Israeli Politicians Condemn Marriage of Jewish and Muslim Celebrities as Effort to “Hurt Our State” – </w:t>
      </w:r>
      <w:proofErr w:type="spellStart"/>
      <w:r w:rsidRPr="0048465B">
        <w:rPr>
          <w:lang w:val="en-GB"/>
        </w:rPr>
        <w:t>Mondoweiss</w:t>
      </w:r>
      <w:proofErr w:type="spellEnd"/>
      <w:r w:rsidRPr="0048465B">
        <w:rPr>
          <w:lang w:val="en-GB"/>
        </w:rPr>
        <w:t>’ &lt;https://mondoweiss.net/2018/10/politicians-marriage-celebrities/&gt; [accessed 12 August 2020]</w:t>
      </w:r>
      <w:r w:rsidR="003C28AB">
        <w:rPr>
          <w:lang w:val="en-GB"/>
        </w:rPr>
        <w:t>.</w:t>
      </w:r>
    </w:p>
    <w:p w14:paraId="2F9D007D" w14:textId="2E6E1D16" w:rsidR="001D59B9" w:rsidRPr="0048465B" w:rsidRDefault="00703A05" w:rsidP="00714416">
      <w:pPr>
        <w:widowControl w:val="0"/>
        <w:spacing w:after="240" w:line="360" w:lineRule="auto"/>
        <w:ind w:left="720"/>
        <w:jc w:val="left"/>
        <w:rPr>
          <w:lang w:val="en-GB"/>
        </w:rPr>
      </w:pPr>
      <w:r w:rsidRPr="0048465B">
        <w:rPr>
          <w:lang w:val="en-GB"/>
        </w:rPr>
        <w:t xml:space="preserve">Ofir, Jonathan, ‘Israelis Don’t Exist’, </w:t>
      </w:r>
      <w:proofErr w:type="spellStart"/>
      <w:r w:rsidRPr="0048465B">
        <w:rPr>
          <w:i/>
          <w:lang w:val="en-GB"/>
        </w:rPr>
        <w:t>Mondoweiss</w:t>
      </w:r>
      <w:proofErr w:type="spellEnd"/>
      <w:r w:rsidRPr="0048465B">
        <w:rPr>
          <w:lang w:val="en-GB"/>
        </w:rPr>
        <w:t>, 2016 &lt;https://mondoweiss.net/2016/03/israelis-dont-exist/&gt; [accessed 20 July 2020]</w:t>
      </w:r>
      <w:r w:rsidR="003C28AB">
        <w:rPr>
          <w:lang w:val="en-GB"/>
        </w:rPr>
        <w:t>.</w:t>
      </w:r>
    </w:p>
    <w:p w14:paraId="35287644" w14:textId="3FD24F2B" w:rsidR="001D59B9" w:rsidRPr="0048465B" w:rsidRDefault="00703A05" w:rsidP="00714416">
      <w:pPr>
        <w:widowControl w:val="0"/>
        <w:spacing w:after="240" w:line="360" w:lineRule="auto"/>
        <w:ind w:left="720"/>
        <w:jc w:val="left"/>
        <w:rPr>
          <w:lang w:val="en-GB"/>
        </w:rPr>
      </w:pPr>
      <w:r w:rsidRPr="0048465B">
        <w:rPr>
          <w:lang w:val="en-GB"/>
        </w:rPr>
        <w:t>Olsen, Gunnar, ‘Why International Law Can’t Save Palestine’ &lt;</w:t>
      </w:r>
      <w:r w:rsidR="008644FE" w:rsidRPr="008644FE">
        <w:rPr>
          <w:lang w:val="en-GB"/>
        </w:rPr>
        <w:t>https://jacobinmag.com/2019/11/israel-palestine-international-law-justice-for-some-review</w:t>
      </w:r>
      <w:r w:rsidRPr="0048465B">
        <w:rPr>
          <w:lang w:val="en-GB"/>
        </w:rPr>
        <w:t>&gt; [accessed 13 November 2020]</w:t>
      </w:r>
      <w:r w:rsidR="003C28AB">
        <w:rPr>
          <w:lang w:val="en-GB"/>
        </w:rPr>
        <w:t>.</w:t>
      </w:r>
    </w:p>
    <w:p w14:paraId="6C4DEF65" w14:textId="0C7A4B76" w:rsidR="001D59B9" w:rsidRPr="0048465B" w:rsidRDefault="00703A05" w:rsidP="00714416">
      <w:pPr>
        <w:widowControl w:val="0"/>
        <w:spacing w:after="240" w:line="360" w:lineRule="auto"/>
        <w:ind w:left="720"/>
        <w:jc w:val="left"/>
        <w:rPr>
          <w:lang w:val="en-GB"/>
        </w:rPr>
      </w:pPr>
      <w:r w:rsidRPr="0048465B">
        <w:rPr>
          <w:lang w:val="en-GB"/>
        </w:rPr>
        <w:t xml:space="preserve">‘Opinion: Boris Johnson’s BDS Bill Brings Britain Closer to America and Israel Further from Peace’, </w:t>
      </w:r>
      <w:r w:rsidRPr="0048465B">
        <w:rPr>
          <w:i/>
          <w:lang w:val="en-GB"/>
        </w:rPr>
        <w:t>The Independent</w:t>
      </w:r>
      <w:r w:rsidRPr="0048465B">
        <w:rPr>
          <w:lang w:val="en-GB"/>
        </w:rPr>
        <w:t xml:space="preserve">, 2020 &lt;https://www.independent.co.uk/voices/bds-boris-johnson-israel-palestine-boycott-occupation-netanyahu-a9268721.html&gt; [accessed 27 </w:t>
      </w:r>
      <w:r w:rsidRPr="0048465B">
        <w:rPr>
          <w:lang w:val="en-GB"/>
        </w:rPr>
        <w:lastRenderedPageBreak/>
        <w:t>November 2020]</w:t>
      </w:r>
      <w:r w:rsidR="003C28AB">
        <w:rPr>
          <w:lang w:val="en-GB"/>
        </w:rPr>
        <w:t>.</w:t>
      </w:r>
    </w:p>
    <w:p w14:paraId="04E5F257" w14:textId="23AB12F8" w:rsidR="001D59B9" w:rsidRPr="0048465B" w:rsidRDefault="00703A05" w:rsidP="00714416">
      <w:pPr>
        <w:widowControl w:val="0"/>
        <w:spacing w:after="240" w:line="360" w:lineRule="auto"/>
        <w:ind w:left="720"/>
        <w:jc w:val="left"/>
        <w:rPr>
          <w:lang w:val="en-GB"/>
        </w:rPr>
      </w:pPr>
      <w:r w:rsidRPr="0048465B">
        <w:rPr>
          <w:lang w:val="en-GB"/>
        </w:rPr>
        <w:t xml:space="preserve">Oppenheimer, Yochai, ‘The Holocaust: A Mizrahi Perspective’, </w:t>
      </w:r>
      <w:r w:rsidRPr="0048465B">
        <w:rPr>
          <w:i/>
          <w:lang w:val="en-GB"/>
        </w:rPr>
        <w:t>Hebrew Studies</w:t>
      </w:r>
      <w:r w:rsidRPr="0048465B">
        <w:rPr>
          <w:lang w:val="en-GB"/>
        </w:rPr>
        <w:t>, 51 (2010), 303–28</w:t>
      </w:r>
      <w:r w:rsidR="003C28AB">
        <w:rPr>
          <w:lang w:val="en-GB"/>
        </w:rPr>
        <w:t>.</w:t>
      </w:r>
    </w:p>
    <w:p w14:paraId="048E9A0C" w14:textId="64AD6127" w:rsidR="001D59B9" w:rsidRPr="0048465B" w:rsidRDefault="00703A05" w:rsidP="00714416">
      <w:pPr>
        <w:widowControl w:val="0"/>
        <w:spacing w:after="240" w:line="360" w:lineRule="auto"/>
        <w:ind w:left="720"/>
        <w:jc w:val="left"/>
        <w:rPr>
          <w:lang w:val="en-GB"/>
        </w:rPr>
      </w:pPr>
      <w:r w:rsidRPr="0048465B">
        <w:rPr>
          <w:lang w:val="en-GB"/>
        </w:rPr>
        <w:t xml:space="preserve">Osborne, Peter, </w:t>
      </w:r>
      <w:r w:rsidRPr="0048465B">
        <w:rPr>
          <w:i/>
          <w:lang w:val="en-GB"/>
        </w:rPr>
        <w:t>Walter Benjamin: Philosophy</w:t>
      </w:r>
      <w:r w:rsidRPr="0048465B">
        <w:rPr>
          <w:lang w:val="en-GB"/>
        </w:rPr>
        <w:t xml:space="preserve"> (Taylor &amp; Francis, 2005)</w:t>
      </w:r>
      <w:r w:rsidR="003C28AB">
        <w:rPr>
          <w:lang w:val="en-GB"/>
        </w:rPr>
        <w:t>.</w:t>
      </w:r>
    </w:p>
    <w:p w14:paraId="6DB878CD" w14:textId="1DF59F1B" w:rsidR="001D59B9" w:rsidRPr="0048465B" w:rsidRDefault="00703A05" w:rsidP="00714416">
      <w:pPr>
        <w:widowControl w:val="0"/>
        <w:spacing w:after="240" w:line="360" w:lineRule="auto"/>
        <w:ind w:left="720"/>
        <w:jc w:val="left"/>
        <w:rPr>
          <w:lang w:val="en-GB"/>
        </w:rPr>
      </w:pPr>
      <w:r w:rsidRPr="0048465B">
        <w:rPr>
          <w:lang w:val="en-GB"/>
        </w:rPr>
        <w:t xml:space="preserve">‘Palestine Refugees’, </w:t>
      </w:r>
      <w:r w:rsidRPr="0048465B">
        <w:rPr>
          <w:i/>
          <w:lang w:val="en-GB"/>
        </w:rPr>
        <w:t>UNRWA</w:t>
      </w:r>
      <w:r w:rsidRPr="0048465B">
        <w:rPr>
          <w:lang w:val="en-GB"/>
        </w:rPr>
        <w:t xml:space="preserve"> &lt;https://www.unrwa.org/palestine-refugees&gt; [accessed 17 December 2020]</w:t>
      </w:r>
      <w:r w:rsidR="003C28AB">
        <w:rPr>
          <w:lang w:val="en-GB"/>
        </w:rPr>
        <w:t>.</w:t>
      </w:r>
    </w:p>
    <w:p w14:paraId="4AE49616" w14:textId="1930F7E2" w:rsidR="00160BF6" w:rsidRPr="00160BF6" w:rsidRDefault="00160BF6" w:rsidP="00160BF6">
      <w:pPr>
        <w:widowControl w:val="0"/>
        <w:spacing w:after="240" w:line="360" w:lineRule="auto"/>
        <w:ind w:left="720"/>
        <w:jc w:val="left"/>
        <w:rPr>
          <w:lang w:val="en-GB"/>
        </w:rPr>
      </w:pPr>
      <w:r>
        <w:rPr>
          <w:lang w:val="en-GB"/>
        </w:rPr>
        <w:t>“</w:t>
      </w:r>
      <w:r w:rsidRPr="00160BF6">
        <w:rPr>
          <w:lang w:val="en-GB"/>
        </w:rPr>
        <w:t>Palestine (State Of) 2020 Archives</w:t>
      </w:r>
      <w:r>
        <w:rPr>
          <w:lang w:val="en-GB"/>
        </w:rPr>
        <w:t>”</w:t>
      </w:r>
      <w:r w:rsidRPr="00160BF6">
        <w:rPr>
          <w:lang w:val="en-GB"/>
        </w:rPr>
        <w:t>, </w:t>
      </w:r>
      <w:r w:rsidRPr="00160BF6">
        <w:rPr>
          <w:i/>
          <w:iCs/>
          <w:lang w:val="en-GB"/>
        </w:rPr>
        <w:t>Amnesty International</w:t>
      </w:r>
      <w:r w:rsidRPr="00160BF6">
        <w:rPr>
          <w:lang w:val="en-GB"/>
        </w:rPr>
        <w:t>, 2021 &lt;https://www.amnesty.org/en/location/middle-east-and-north-africa/palestine-state-of/report-palestine-state-of/&gt; [Accessed 12 September 2021]</w:t>
      </w:r>
      <w:r>
        <w:rPr>
          <w:lang w:val="en-GB"/>
        </w:rPr>
        <w:t>.</w:t>
      </w:r>
    </w:p>
    <w:p w14:paraId="58FF4463" w14:textId="075E4232" w:rsidR="001D59B9" w:rsidRPr="0048465B" w:rsidRDefault="00703A05" w:rsidP="00714416">
      <w:pPr>
        <w:widowControl w:val="0"/>
        <w:spacing w:after="240" w:line="360" w:lineRule="auto"/>
        <w:ind w:left="720"/>
        <w:jc w:val="left"/>
        <w:rPr>
          <w:lang w:val="en-GB"/>
        </w:rPr>
      </w:pPr>
      <w:r w:rsidRPr="0048465B">
        <w:rPr>
          <w:lang w:val="en-GB"/>
        </w:rPr>
        <w:t xml:space="preserve">‘Palestinian Territories - Timeline’, </w:t>
      </w:r>
      <w:r w:rsidRPr="0048465B">
        <w:rPr>
          <w:i/>
          <w:lang w:val="en-GB"/>
        </w:rPr>
        <w:t>BBC News</w:t>
      </w:r>
      <w:r w:rsidRPr="0048465B">
        <w:rPr>
          <w:lang w:val="en-GB"/>
        </w:rPr>
        <w:t>, 8 April 2019, section Middle East &lt;https://www.bbc.com/news/world-middle-east-29362505&gt; [accessed 17 February 2021]</w:t>
      </w:r>
      <w:r w:rsidR="003C28AB">
        <w:rPr>
          <w:lang w:val="en-GB"/>
        </w:rPr>
        <w:t>.</w:t>
      </w:r>
    </w:p>
    <w:p w14:paraId="53EF63CE" w14:textId="511A4EED" w:rsidR="001D59B9" w:rsidRPr="0048465B" w:rsidRDefault="00703A05" w:rsidP="00714416">
      <w:pPr>
        <w:widowControl w:val="0"/>
        <w:spacing w:after="240" w:line="360" w:lineRule="auto"/>
        <w:ind w:left="720"/>
        <w:jc w:val="left"/>
        <w:rPr>
          <w:lang w:val="en-GB"/>
        </w:rPr>
      </w:pPr>
      <w:r w:rsidRPr="0048465B">
        <w:rPr>
          <w:lang w:val="en-GB"/>
        </w:rPr>
        <w:t xml:space="preserve">Parsi, </w:t>
      </w:r>
      <w:proofErr w:type="spellStart"/>
      <w:r w:rsidRPr="0048465B">
        <w:rPr>
          <w:lang w:val="en-GB"/>
        </w:rPr>
        <w:t>Trita</w:t>
      </w:r>
      <w:proofErr w:type="spellEnd"/>
      <w:r w:rsidRPr="0048465B">
        <w:rPr>
          <w:lang w:val="en-GB"/>
        </w:rPr>
        <w:t>, ‘To Save the Iran Nuclear Deal, Think Bigger’, 10 November 2020 &lt;https://www.foreignaffairs.com/articles/iran/2020-11-10/save-iran-nuclear-deal-think-bigger&gt; [accessed 25 November 2020]</w:t>
      </w:r>
      <w:r w:rsidR="003C28AB">
        <w:rPr>
          <w:lang w:val="en-GB"/>
        </w:rPr>
        <w:t>.</w:t>
      </w:r>
    </w:p>
    <w:p w14:paraId="21D4A783" w14:textId="7A8F1BA6" w:rsidR="001D59B9" w:rsidRPr="0048465B" w:rsidRDefault="00703A05" w:rsidP="00714416">
      <w:pPr>
        <w:widowControl w:val="0"/>
        <w:spacing w:after="240" w:line="360" w:lineRule="auto"/>
        <w:ind w:left="720"/>
        <w:jc w:val="left"/>
        <w:rPr>
          <w:lang w:val="en-GB"/>
        </w:rPr>
      </w:pPr>
      <w:proofErr w:type="spellStart"/>
      <w:r w:rsidRPr="0048465B">
        <w:rPr>
          <w:lang w:val="en-GB"/>
        </w:rPr>
        <w:t>Pfingst</w:t>
      </w:r>
      <w:proofErr w:type="spellEnd"/>
      <w:r w:rsidRPr="0048465B">
        <w:rPr>
          <w:lang w:val="en-GB"/>
        </w:rPr>
        <w:t xml:space="preserve">, Annie, ‘The Presence of Palestinian Absence in Narrating the Zionist Nation into Being’, </w:t>
      </w:r>
      <w:r w:rsidRPr="0048465B">
        <w:rPr>
          <w:i/>
          <w:lang w:val="en-GB"/>
        </w:rPr>
        <w:t>Cultural Studies Review</w:t>
      </w:r>
      <w:r w:rsidRPr="0048465B">
        <w:rPr>
          <w:lang w:val="en-GB"/>
        </w:rPr>
        <w:t>, 14 (2008) &lt;https://doi.org/10.5130/csr.v14i1.2102&gt;</w:t>
      </w:r>
      <w:r w:rsidR="003C28AB">
        <w:rPr>
          <w:lang w:val="en-GB"/>
        </w:rPr>
        <w:t>.</w:t>
      </w:r>
    </w:p>
    <w:p w14:paraId="762AFF9D" w14:textId="16DF471C" w:rsidR="001D59B9" w:rsidRPr="0048465B" w:rsidRDefault="00703A05" w:rsidP="00714416">
      <w:pPr>
        <w:widowControl w:val="0"/>
        <w:spacing w:after="240" w:line="360" w:lineRule="auto"/>
        <w:ind w:left="720"/>
        <w:jc w:val="left"/>
        <w:rPr>
          <w:lang w:val="en-GB"/>
        </w:rPr>
      </w:pPr>
      <w:r w:rsidRPr="0048465B">
        <w:rPr>
          <w:lang w:val="en-GB"/>
        </w:rPr>
        <w:t>‘Pompeo: US No Longer Considers Israeli Settlements Illegal’ &lt;https://www.aljazeera.com/news/2019/11/18/pompeo-us-no-longer-considers-israeli-settlements-illegal&gt; [accessed 18 November 2020]</w:t>
      </w:r>
      <w:r w:rsidR="003C28AB">
        <w:rPr>
          <w:lang w:val="en-GB"/>
        </w:rPr>
        <w:t>.</w:t>
      </w:r>
    </w:p>
    <w:p w14:paraId="6A9D1E9F" w14:textId="25C6E88F" w:rsidR="001D59B9" w:rsidRPr="0048465B" w:rsidRDefault="00703A05" w:rsidP="00714416">
      <w:pPr>
        <w:widowControl w:val="0"/>
        <w:spacing w:after="240" w:line="360" w:lineRule="auto"/>
        <w:ind w:left="720"/>
        <w:jc w:val="left"/>
        <w:rPr>
          <w:lang w:val="en-GB"/>
        </w:rPr>
      </w:pPr>
      <w:r w:rsidRPr="0048465B">
        <w:rPr>
          <w:lang w:val="en-GB"/>
        </w:rPr>
        <w:t>‘President Reagan and the Indians | Native American Netroots’ &lt;http://nativeamericannetroots.net/diary/1262&gt; [accessed 20 July 2020]</w:t>
      </w:r>
      <w:r w:rsidR="003C28AB">
        <w:rPr>
          <w:lang w:val="en-GB"/>
        </w:rPr>
        <w:t>.</w:t>
      </w:r>
    </w:p>
    <w:p w14:paraId="28ACABE1" w14:textId="1E1B4E19" w:rsidR="001D59B9" w:rsidRPr="0048465B" w:rsidRDefault="00703A05" w:rsidP="00714416">
      <w:pPr>
        <w:widowControl w:val="0"/>
        <w:spacing w:after="240" w:line="360" w:lineRule="auto"/>
        <w:ind w:left="720"/>
        <w:jc w:val="left"/>
        <w:rPr>
          <w:lang w:val="en-GB"/>
        </w:rPr>
      </w:pPr>
      <w:r w:rsidRPr="0048465B">
        <w:rPr>
          <w:lang w:val="en-GB"/>
        </w:rPr>
        <w:t xml:space="preserve">Pressman, Jeremy, ‘Visions in Collision: What Happened at Camp David and </w:t>
      </w:r>
      <w:proofErr w:type="spellStart"/>
      <w:r w:rsidRPr="0048465B">
        <w:rPr>
          <w:lang w:val="en-GB"/>
        </w:rPr>
        <w:t>Taba</w:t>
      </w:r>
      <w:proofErr w:type="spellEnd"/>
      <w:r w:rsidRPr="0048465B">
        <w:rPr>
          <w:lang w:val="en-GB"/>
        </w:rPr>
        <w:t xml:space="preserve">?’, </w:t>
      </w:r>
      <w:proofErr w:type="spellStart"/>
      <w:r w:rsidRPr="0048465B">
        <w:rPr>
          <w:i/>
          <w:lang w:val="en-GB"/>
        </w:rPr>
        <w:t>Belfer</w:t>
      </w:r>
      <w:proofErr w:type="spellEnd"/>
      <w:r w:rsidRPr="0048465B">
        <w:rPr>
          <w:i/>
          <w:lang w:val="en-GB"/>
        </w:rPr>
        <w:t xml:space="preserve"> </w:t>
      </w:r>
      <w:proofErr w:type="spellStart"/>
      <w:r w:rsidRPr="0048465B">
        <w:rPr>
          <w:i/>
          <w:lang w:val="en-GB"/>
        </w:rPr>
        <w:t>Center</w:t>
      </w:r>
      <w:proofErr w:type="spellEnd"/>
      <w:r w:rsidRPr="0048465B">
        <w:rPr>
          <w:i/>
          <w:lang w:val="en-GB"/>
        </w:rPr>
        <w:t xml:space="preserve"> for Science and International Affairs</w:t>
      </w:r>
      <w:r w:rsidRPr="0048465B">
        <w:rPr>
          <w:lang w:val="en-GB"/>
        </w:rPr>
        <w:t>, Quarterly Journal: International Security, 28.2 (2003), 5–43</w:t>
      </w:r>
      <w:r w:rsidR="003C28AB">
        <w:rPr>
          <w:lang w:val="en-GB"/>
        </w:rPr>
        <w:t>.</w:t>
      </w:r>
    </w:p>
    <w:p w14:paraId="034AA2B8" w14:textId="52DC2206" w:rsidR="001D59B9" w:rsidRPr="0048465B" w:rsidRDefault="00703A05" w:rsidP="00714416">
      <w:pPr>
        <w:widowControl w:val="0"/>
        <w:spacing w:after="240" w:line="360" w:lineRule="auto"/>
        <w:ind w:left="720"/>
        <w:jc w:val="left"/>
        <w:rPr>
          <w:lang w:val="en-GB"/>
        </w:rPr>
      </w:pPr>
      <w:r w:rsidRPr="0048465B">
        <w:rPr>
          <w:lang w:val="en-GB"/>
        </w:rPr>
        <w:lastRenderedPageBreak/>
        <w:t xml:space="preserve">Price, Noah, ‘TGI Mid-2016 Survey: “Israel Today” Widens the Gap’, </w:t>
      </w:r>
      <w:r w:rsidRPr="0048465B">
        <w:rPr>
          <w:i/>
          <w:lang w:val="en-GB"/>
        </w:rPr>
        <w:t>Walla News</w:t>
      </w:r>
      <w:r w:rsidRPr="0048465B">
        <w:rPr>
          <w:lang w:val="en-GB"/>
        </w:rPr>
        <w:t xml:space="preserve"> &lt;https://b.walla.co.il/item/2982163&gt; [accessed 22 July 2020]</w:t>
      </w:r>
      <w:r w:rsidR="003C28AB">
        <w:rPr>
          <w:lang w:val="en-GB"/>
        </w:rPr>
        <w:t>.</w:t>
      </w:r>
    </w:p>
    <w:p w14:paraId="2842D8E5" w14:textId="23E7AEF0" w:rsidR="00F66FE3" w:rsidRDefault="00F66FE3" w:rsidP="00F66FE3">
      <w:pPr>
        <w:widowControl w:val="0"/>
        <w:spacing w:after="240" w:line="360" w:lineRule="auto"/>
        <w:ind w:left="720"/>
        <w:jc w:val="left"/>
      </w:pPr>
      <w:proofErr w:type="spellStart"/>
      <w:r w:rsidRPr="00F66FE3">
        <w:t>Qualey</w:t>
      </w:r>
      <w:proofErr w:type="spellEnd"/>
      <w:r w:rsidRPr="00F66FE3">
        <w:t>, Marcia Lynx</w:t>
      </w:r>
      <w:r>
        <w:t>,</w:t>
      </w:r>
      <w:r w:rsidRPr="00F66FE3">
        <w:t xml:space="preserve"> Susan Abulhawa </w:t>
      </w:r>
      <w:r>
        <w:tab/>
      </w:r>
      <w:r>
        <w:tab/>
      </w:r>
      <w:r>
        <w:tab/>
      </w:r>
      <w:r>
        <w:tab/>
        <w:t xml:space="preserve">        </w:t>
      </w:r>
      <w:r w:rsidRPr="00F66FE3">
        <w:t>&lt;http://www.full-stop.net/2012/04/16/interviews/marcia-lynx-qualey/susan-abulhawa/&gt; [accessed 12 May 2021].</w:t>
      </w:r>
    </w:p>
    <w:p w14:paraId="6151275C" w14:textId="36A35972" w:rsidR="001D59B9" w:rsidRPr="0048465B" w:rsidRDefault="00703A05" w:rsidP="00714416">
      <w:pPr>
        <w:widowControl w:val="0"/>
        <w:spacing w:after="240" w:line="360" w:lineRule="auto"/>
        <w:ind w:left="720"/>
        <w:jc w:val="left"/>
        <w:rPr>
          <w:lang w:val="en-GB"/>
        </w:rPr>
      </w:pPr>
      <w:proofErr w:type="spellStart"/>
      <w:r w:rsidRPr="0048465B">
        <w:rPr>
          <w:lang w:val="en-GB"/>
        </w:rPr>
        <w:t>Rabinyan</w:t>
      </w:r>
      <w:proofErr w:type="spellEnd"/>
      <w:r w:rsidRPr="0048465B">
        <w:rPr>
          <w:lang w:val="en-GB"/>
        </w:rPr>
        <w:t xml:space="preserve">, Dorit, ‘Israeli Novelist Writes a Farewell Letter to Palestinian Friend’, </w:t>
      </w:r>
      <w:r w:rsidRPr="0048465B">
        <w:rPr>
          <w:i/>
          <w:lang w:val="en-GB"/>
        </w:rPr>
        <w:t>The Guardian</w:t>
      </w:r>
      <w:r w:rsidRPr="0048465B">
        <w:rPr>
          <w:lang w:val="en-GB"/>
        </w:rPr>
        <w:t>, 3 April 2004 &lt;https://www.theguardian.com/books/2004/apr/03/fiction.israelandthepalestinians&gt; [accessed 25 July 2020]</w:t>
      </w:r>
      <w:r w:rsidR="003C28AB">
        <w:rPr>
          <w:lang w:val="en-GB"/>
        </w:rPr>
        <w:t>.</w:t>
      </w:r>
    </w:p>
    <w:p w14:paraId="015FEF50" w14:textId="1BDC8CCB" w:rsidR="001D59B9" w:rsidRPr="0048465B" w:rsidRDefault="00703A05" w:rsidP="00714416">
      <w:pPr>
        <w:widowControl w:val="0"/>
        <w:spacing w:after="240" w:line="360" w:lineRule="auto"/>
        <w:ind w:left="720"/>
        <w:jc w:val="left"/>
        <w:rPr>
          <w:lang w:val="en-GB"/>
        </w:rPr>
      </w:pPr>
      <w:r w:rsidRPr="0048465B">
        <w:rPr>
          <w:lang w:val="en-GB"/>
        </w:rPr>
        <w:t xml:space="preserve">Raczymow, Henri, and Alan Astro, ‘Memory Shot Through With Holes’, </w:t>
      </w:r>
      <w:r w:rsidRPr="0048465B">
        <w:rPr>
          <w:i/>
          <w:lang w:val="en-GB"/>
        </w:rPr>
        <w:t>Yale French Studies</w:t>
      </w:r>
      <w:r w:rsidRPr="0048465B">
        <w:rPr>
          <w:lang w:val="en-GB"/>
        </w:rPr>
        <w:t>, 85, 1994, 98–105 &lt;https://doi.org/10.2307/2930067&gt;</w:t>
      </w:r>
      <w:r w:rsidR="003C28AB">
        <w:rPr>
          <w:lang w:val="en-GB"/>
        </w:rPr>
        <w:t>.</w:t>
      </w:r>
    </w:p>
    <w:p w14:paraId="586C6FFB" w14:textId="03E4C1AF" w:rsidR="001D59B9" w:rsidRPr="0048465B" w:rsidRDefault="00703A05" w:rsidP="00714416">
      <w:pPr>
        <w:widowControl w:val="0"/>
        <w:spacing w:after="240" w:line="360" w:lineRule="auto"/>
        <w:ind w:left="720"/>
        <w:jc w:val="left"/>
        <w:rPr>
          <w:lang w:val="en-GB"/>
        </w:rPr>
      </w:pPr>
      <w:proofErr w:type="spellStart"/>
      <w:r w:rsidRPr="0048465B">
        <w:rPr>
          <w:lang w:val="en-GB"/>
        </w:rPr>
        <w:t>Rasgon</w:t>
      </w:r>
      <w:proofErr w:type="spellEnd"/>
      <w:r w:rsidRPr="0048465B">
        <w:rPr>
          <w:lang w:val="en-GB"/>
        </w:rPr>
        <w:t xml:space="preserve">, Adam, ‘Israel Quietly Opens Its Borders, and Palestinians Have a Beach Day’, </w:t>
      </w:r>
      <w:r w:rsidRPr="0048465B">
        <w:rPr>
          <w:i/>
          <w:lang w:val="en-GB"/>
        </w:rPr>
        <w:t>The New York Times</w:t>
      </w:r>
      <w:r w:rsidRPr="0048465B">
        <w:rPr>
          <w:lang w:val="en-GB"/>
        </w:rPr>
        <w:t>, 11 August 2020, section World &lt;https://www.nytimes.com/2020/08/11/world/middleeast/israel-palestinian-border-beach.html&gt; [accessed 23 November 2020]</w:t>
      </w:r>
      <w:r w:rsidR="003C28AB">
        <w:rPr>
          <w:lang w:val="en-GB"/>
        </w:rPr>
        <w:t>.</w:t>
      </w:r>
    </w:p>
    <w:p w14:paraId="5310D88F" w14:textId="1373B489" w:rsidR="001D59B9" w:rsidRPr="0048465B" w:rsidRDefault="00703A05" w:rsidP="00714416">
      <w:pPr>
        <w:widowControl w:val="0"/>
        <w:spacing w:after="240" w:line="360" w:lineRule="auto"/>
        <w:ind w:left="720"/>
        <w:jc w:val="left"/>
        <w:rPr>
          <w:lang w:val="en-GB"/>
        </w:rPr>
      </w:pPr>
      <w:proofErr w:type="spellStart"/>
      <w:r w:rsidRPr="0048465B">
        <w:rPr>
          <w:lang w:val="en-GB"/>
        </w:rPr>
        <w:t>Ravid</w:t>
      </w:r>
      <w:proofErr w:type="spellEnd"/>
      <w:r w:rsidRPr="0048465B">
        <w:rPr>
          <w:lang w:val="en-GB"/>
        </w:rPr>
        <w:t xml:space="preserve">, Barak, ‘Israeli Military Prepares for Possibility Trump Will Strike Iran’, </w:t>
      </w:r>
      <w:proofErr w:type="spellStart"/>
      <w:r w:rsidRPr="0048465B">
        <w:rPr>
          <w:i/>
          <w:lang w:val="en-GB"/>
        </w:rPr>
        <w:t>Axios</w:t>
      </w:r>
      <w:proofErr w:type="spellEnd"/>
      <w:r w:rsidRPr="0048465B">
        <w:rPr>
          <w:lang w:val="en-GB"/>
        </w:rPr>
        <w:t xml:space="preserve"> &lt;https://www.axios.com/israeli-military-prepares-trump-iran-0d0a5725-c410-4f5c-a0ea-9c6f9add4966.html&gt; [accessed 25 November 2020]</w:t>
      </w:r>
      <w:r w:rsidR="003C28AB">
        <w:rPr>
          <w:lang w:val="en-GB"/>
        </w:rPr>
        <w:t>.</w:t>
      </w:r>
    </w:p>
    <w:p w14:paraId="4850CC3A" w14:textId="654D5EFD" w:rsidR="001D59B9" w:rsidRPr="0048465B" w:rsidRDefault="00703A05" w:rsidP="00714416">
      <w:pPr>
        <w:widowControl w:val="0"/>
        <w:spacing w:after="240" w:line="360" w:lineRule="auto"/>
        <w:ind w:left="720"/>
        <w:jc w:val="left"/>
        <w:rPr>
          <w:lang w:val="en-GB"/>
        </w:rPr>
      </w:pPr>
      <w:proofErr w:type="spellStart"/>
      <w:r w:rsidRPr="0048465B">
        <w:rPr>
          <w:lang w:val="en-GB"/>
        </w:rPr>
        <w:t>Ravid</w:t>
      </w:r>
      <w:proofErr w:type="spellEnd"/>
      <w:r w:rsidRPr="0048465B">
        <w:rPr>
          <w:lang w:val="en-GB"/>
        </w:rPr>
        <w:t xml:space="preserve">, Barak, ‘Trump Administration Plans “Flood” of Sanctions on Iran by Jan. 20’, </w:t>
      </w:r>
      <w:proofErr w:type="spellStart"/>
      <w:r w:rsidRPr="0048465B">
        <w:rPr>
          <w:i/>
          <w:lang w:val="en-GB"/>
        </w:rPr>
        <w:t>Axios</w:t>
      </w:r>
      <w:proofErr w:type="spellEnd"/>
      <w:r w:rsidRPr="0048465B">
        <w:rPr>
          <w:lang w:val="en-GB"/>
        </w:rPr>
        <w:t xml:space="preserve"> &lt;https://www.axios.com/trump-administration-iran-sanctions-january-3951f776-09c9-4e55-b0f5-4a9c80e9e974.html&gt; [accessed 25 November 2020]</w:t>
      </w:r>
      <w:r w:rsidR="003C28AB">
        <w:rPr>
          <w:lang w:val="en-GB"/>
        </w:rPr>
        <w:t>.</w:t>
      </w:r>
    </w:p>
    <w:p w14:paraId="5EB7A496" w14:textId="6C4A6D2D" w:rsidR="001D59B9" w:rsidRPr="0048465B" w:rsidRDefault="00703A05" w:rsidP="00714416">
      <w:pPr>
        <w:widowControl w:val="0"/>
        <w:spacing w:after="240" w:line="360" w:lineRule="auto"/>
        <w:ind w:left="720"/>
        <w:jc w:val="left"/>
        <w:rPr>
          <w:lang w:val="en-GB"/>
        </w:rPr>
      </w:pPr>
      <w:r w:rsidRPr="0048465B">
        <w:rPr>
          <w:lang w:val="en-GB"/>
        </w:rPr>
        <w:t xml:space="preserve">‘Report: Since Inception, UNHRC Condemned Israel More Than Rest of World’s Countries Combined’, </w:t>
      </w:r>
      <w:r w:rsidRPr="0048465B">
        <w:rPr>
          <w:i/>
          <w:lang w:val="en-GB"/>
        </w:rPr>
        <w:t>Algemeiner.Com</w:t>
      </w:r>
      <w:r w:rsidRPr="0048465B">
        <w:rPr>
          <w:lang w:val="en-GB"/>
        </w:rPr>
        <w:t xml:space="preserve"> &lt;http://www.algemeiner.com/2015/06/25/report-since-inception-unhrc-condemned-israel-more-than-rest-of-worlds-countries-combined/&gt; [accessed 21 December 2020]</w:t>
      </w:r>
      <w:r w:rsidR="003C28AB">
        <w:rPr>
          <w:lang w:val="en-GB"/>
        </w:rPr>
        <w:t>.</w:t>
      </w:r>
    </w:p>
    <w:p w14:paraId="4631EE53" w14:textId="0C39E57F" w:rsidR="001D59B9" w:rsidRPr="0048465B" w:rsidRDefault="00703A05" w:rsidP="00714416">
      <w:pPr>
        <w:widowControl w:val="0"/>
        <w:spacing w:after="240" w:line="360" w:lineRule="auto"/>
        <w:ind w:left="720"/>
        <w:jc w:val="left"/>
        <w:rPr>
          <w:lang w:val="en-GB"/>
        </w:rPr>
      </w:pPr>
      <w:r w:rsidRPr="0048465B">
        <w:rPr>
          <w:lang w:val="en-GB"/>
        </w:rPr>
        <w:t xml:space="preserve">‘Research Guides: Security Council - Veto List’, </w:t>
      </w:r>
      <w:r w:rsidRPr="0048465B">
        <w:rPr>
          <w:i/>
          <w:lang w:val="en-GB"/>
        </w:rPr>
        <w:t>Dag Hammarskjöld Library</w:t>
      </w:r>
      <w:r w:rsidRPr="0048465B">
        <w:rPr>
          <w:lang w:val="en-GB"/>
        </w:rPr>
        <w:t xml:space="preserve"> (United Nations. Dag Hammarskjöld Library) &lt;https://research.un.org/en/docs/sc/quick/veto&gt; </w:t>
      </w:r>
      <w:r w:rsidRPr="0048465B">
        <w:rPr>
          <w:lang w:val="en-GB"/>
        </w:rPr>
        <w:lastRenderedPageBreak/>
        <w:t>[accessed 21 December 2020]</w:t>
      </w:r>
      <w:r w:rsidR="003C28AB">
        <w:rPr>
          <w:lang w:val="en-GB"/>
        </w:rPr>
        <w:t>.</w:t>
      </w:r>
    </w:p>
    <w:p w14:paraId="0490CC35" w14:textId="3883172A" w:rsidR="001D59B9" w:rsidRPr="0048465B" w:rsidRDefault="00703A05" w:rsidP="00714416">
      <w:pPr>
        <w:widowControl w:val="0"/>
        <w:spacing w:after="240" w:line="360" w:lineRule="auto"/>
        <w:ind w:left="720"/>
        <w:jc w:val="left"/>
        <w:rPr>
          <w:lang w:val="en-GB"/>
        </w:rPr>
      </w:pPr>
      <w:r w:rsidRPr="0048465B">
        <w:rPr>
          <w:lang w:val="en-GB"/>
        </w:rPr>
        <w:t xml:space="preserve">‘Resolution 194’, </w:t>
      </w:r>
      <w:r w:rsidRPr="0048465B">
        <w:rPr>
          <w:i/>
          <w:lang w:val="en-GB"/>
        </w:rPr>
        <w:t>UNRWA</w:t>
      </w:r>
      <w:r w:rsidRPr="0048465B">
        <w:rPr>
          <w:lang w:val="en-GB"/>
        </w:rPr>
        <w:t xml:space="preserve"> &lt;https://www.unrwa.org/content/resolution-194&gt; [accessed 27 November 2020]</w:t>
      </w:r>
      <w:r w:rsidR="003C28AB">
        <w:rPr>
          <w:lang w:val="en-GB"/>
        </w:rPr>
        <w:t>.</w:t>
      </w:r>
    </w:p>
    <w:p w14:paraId="41F6CFDE" w14:textId="0F27EDDC" w:rsidR="001D59B9" w:rsidRDefault="00703A05" w:rsidP="00714416">
      <w:pPr>
        <w:widowControl w:val="0"/>
        <w:spacing w:after="240" w:line="360" w:lineRule="auto"/>
        <w:ind w:left="720"/>
        <w:jc w:val="left"/>
        <w:rPr>
          <w:lang w:val="en-GB"/>
        </w:rPr>
      </w:pPr>
      <w:r w:rsidRPr="0048465B">
        <w:rPr>
          <w:lang w:val="en-GB"/>
        </w:rPr>
        <w:t xml:space="preserve">‘Restrictions on Movement’, </w:t>
      </w:r>
      <w:proofErr w:type="spellStart"/>
      <w:r w:rsidRPr="0048465B">
        <w:rPr>
          <w:i/>
          <w:lang w:val="en-GB"/>
        </w:rPr>
        <w:t>B’Tselem</w:t>
      </w:r>
      <w:proofErr w:type="spellEnd"/>
      <w:r w:rsidRPr="0048465B">
        <w:rPr>
          <w:lang w:val="en-GB"/>
        </w:rPr>
        <w:t xml:space="preserve"> &lt;http://www.btselem.org/freedom_of_movement&gt; [accessed 4 September 2018]</w:t>
      </w:r>
      <w:r w:rsidR="003C28AB">
        <w:rPr>
          <w:lang w:val="en-GB"/>
        </w:rPr>
        <w:t>.</w:t>
      </w:r>
    </w:p>
    <w:p w14:paraId="09DCD7F5" w14:textId="3C5909FB" w:rsidR="00360C05" w:rsidRPr="0048465B" w:rsidRDefault="00360C05" w:rsidP="00360C05">
      <w:pPr>
        <w:widowControl w:val="0"/>
        <w:spacing w:after="240" w:line="360" w:lineRule="auto"/>
        <w:ind w:left="720"/>
        <w:jc w:val="left"/>
        <w:rPr>
          <w:lang w:val="en-GB"/>
        </w:rPr>
      </w:pPr>
      <w:proofErr w:type="spellStart"/>
      <w:r w:rsidRPr="00360C05">
        <w:rPr>
          <w:lang w:val="en-GB"/>
        </w:rPr>
        <w:t>Roer-Strier</w:t>
      </w:r>
      <w:proofErr w:type="spellEnd"/>
      <w:r w:rsidRPr="00360C05">
        <w:rPr>
          <w:lang w:val="en-GB"/>
        </w:rPr>
        <w:t xml:space="preserve">, Dorit, and Dina Ben Ezra, </w:t>
      </w:r>
      <w:r w:rsidR="00F76E25">
        <w:rPr>
          <w:lang w:val="en-GB"/>
        </w:rPr>
        <w:t>“</w:t>
      </w:r>
      <w:r w:rsidRPr="00360C05">
        <w:rPr>
          <w:lang w:val="en-GB"/>
        </w:rPr>
        <w:t>Intermarriages Between Western Women And Palestinian Men: Multidirectional Adaptation Processes</w:t>
      </w:r>
      <w:r w:rsidR="00F76E25">
        <w:rPr>
          <w:lang w:val="en-GB"/>
        </w:rPr>
        <w:t>”</w:t>
      </w:r>
      <w:r w:rsidRPr="00360C05">
        <w:rPr>
          <w:lang w:val="en-GB"/>
        </w:rPr>
        <w:t>, </w:t>
      </w:r>
      <w:r w:rsidRPr="00360C05">
        <w:rPr>
          <w:i/>
          <w:iCs/>
          <w:lang w:val="en-GB"/>
        </w:rPr>
        <w:t>Journal Of Marriage And Family</w:t>
      </w:r>
      <w:r w:rsidRPr="00360C05">
        <w:rPr>
          <w:lang w:val="en-GB"/>
        </w:rPr>
        <w:t>, 68 (2006), 41-55 &lt;https://doi.org/10.1111/j.1741-3737.2006.00232.x&gt;</w:t>
      </w:r>
      <w:r>
        <w:rPr>
          <w:lang w:val="en-GB"/>
        </w:rPr>
        <w:t>.</w:t>
      </w:r>
    </w:p>
    <w:p w14:paraId="34913D7C" w14:textId="3F35B568" w:rsidR="001D59B9" w:rsidRPr="0048465B" w:rsidRDefault="00703A05" w:rsidP="00714416">
      <w:pPr>
        <w:widowControl w:val="0"/>
        <w:spacing w:after="240" w:line="360" w:lineRule="auto"/>
        <w:ind w:left="720"/>
        <w:jc w:val="left"/>
        <w:rPr>
          <w:lang w:val="en-GB"/>
        </w:rPr>
      </w:pPr>
      <w:r w:rsidRPr="0048465B">
        <w:rPr>
          <w:lang w:val="en-GB"/>
        </w:rPr>
        <w:t xml:space="preserve">Rothberg, Michael, </w:t>
      </w:r>
      <w:r w:rsidRPr="0048465B">
        <w:rPr>
          <w:i/>
          <w:lang w:val="en-GB"/>
        </w:rPr>
        <w:t>Multidirectional Memory: Remembering the Holocaust in the Age of Decolonization</w:t>
      </w:r>
      <w:r w:rsidRPr="0048465B">
        <w:rPr>
          <w:lang w:val="en-GB"/>
        </w:rPr>
        <w:t>, 1st Edition (Stanford, Calif: Stanford University Press, 2009)</w:t>
      </w:r>
      <w:r w:rsidR="003C28AB">
        <w:rPr>
          <w:lang w:val="en-GB"/>
        </w:rPr>
        <w:t>.</w:t>
      </w:r>
    </w:p>
    <w:p w14:paraId="42F07C9D" w14:textId="5E747A82" w:rsidR="001D59B9" w:rsidRPr="0048465B" w:rsidRDefault="00703A05" w:rsidP="00714416">
      <w:pPr>
        <w:widowControl w:val="0"/>
        <w:spacing w:after="240" w:line="360" w:lineRule="auto"/>
        <w:ind w:left="720"/>
        <w:jc w:val="left"/>
        <w:rPr>
          <w:lang w:val="en-GB"/>
        </w:rPr>
      </w:pPr>
      <w:r w:rsidRPr="0048465B">
        <w:rPr>
          <w:lang w:val="en-GB"/>
        </w:rPr>
        <w:t xml:space="preserve">Rothberg, Michael, </w:t>
      </w:r>
      <w:r w:rsidRPr="0048465B">
        <w:rPr>
          <w:i/>
          <w:lang w:val="en-GB"/>
        </w:rPr>
        <w:t>The Implicated Subject: Beyond Victims and Perpetrators</w:t>
      </w:r>
      <w:r w:rsidRPr="0048465B">
        <w:rPr>
          <w:lang w:val="en-GB"/>
        </w:rPr>
        <w:t>, 1st edition (Stanford University Press, 2019)</w:t>
      </w:r>
      <w:r w:rsidR="003C28AB">
        <w:rPr>
          <w:lang w:val="en-GB"/>
        </w:rPr>
        <w:t>.</w:t>
      </w:r>
    </w:p>
    <w:p w14:paraId="1EE96037" w14:textId="5AC9DAE3" w:rsidR="001D59B9" w:rsidRPr="0048465B" w:rsidRDefault="00703A05" w:rsidP="00714416">
      <w:pPr>
        <w:widowControl w:val="0"/>
        <w:spacing w:after="240" w:line="360" w:lineRule="auto"/>
        <w:ind w:left="720"/>
        <w:jc w:val="left"/>
        <w:rPr>
          <w:lang w:val="en-GB"/>
        </w:rPr>
      </w:pPr>
      <w:r w:rsidRPr="0048465B">
        <w:rPr>
          <w:lang w:val="en-GB"/>
        </w:rPr>
        <w:t xml:space="preserve">Rothberg, Michael, ‘From Gaza to Warsaw: Mapping Multidirectional Memory’, </w:t>
      </w:r>
      <w:r w:rsidRPr="0048465B">
        <w:rPr>
          <w:i/>
          <w:lang w:val="en-GB"/>
        </w:rPr>
        <w:t>Criticism</w:t>
      </w:r>
      <w:r w:rsidRPr="0048465B">
        <w:rPr>
          <w:lang w:val="en-GB"/>
        </w:rPr>
        <w:t>, 53.4 (2011), 523–48</w:t>
      </w:r>
      <w:r w:rsidR="003C28AB">
        <w:rPr>
          <w:lang w:val="en-GB"/>
        </w:rPr>
        <w:t>.</w:t>
      </w:r>
    </w:p>
    <w:p w14:paraId="7A1CD4E6" w14:textId="6C2F9193" w:rsidR="001D59B9" w:rsidRPr="0048465B" w:rsidRDefault="00703A05" w:rsidP="00714416">
      <w:pPr>
        <w:widowControl w:val="0"/>
        <w:spacing w:after="240" w:line="360" w:lineRule="auto"/>
        <w:ind w:left="720"/>
        <w:jc w:val="left"/>
        <w:rPr>
          <w:lang w:val="en-GB"/>
        </w:rPr>
      </w:pPr>
      <w:r w:rsidRPr="0048465B">
        <w:rPr>
          <w:lang w:val="en-GB"/>
        </w:rPr>
        <w:t xml:space="preserve">Rothberg, Michael, ‘W.E.B. DuBois in Warsaw: Holocaust Memory and the </w:t>
      </w:r>
      <w:proofErr w:type="spellStart"/>
      <w:r w:rsidRPr="0048465B">
        <w:rPr>
          <w:lang w:val="en-GB"/>
        </w:rPr>
        <w:t>Color</w:t>
      </w:r>
      <w:proofErr w:type="spellEnd"/>
      <w:r w:rsidRPr="0048465B">
        <w:rPr>
          <w:lang w:val="en-GB"/>
        </w:rPr>
        <w:t xml:space="preserve"> Line, 1949-1952’, </w:t>
      </w:r>
      <w:r w:rsidRPr="0048465B">
        <w:rPr>
          <w:i/>
          <w:lang w:val="en-GB"/>
        </w:rPr>
        <w:t>The Yale Journal of Criticism</w:t>
      </w:r>
      <w:r w:rsidRPr="0048465B">
        <w:rPr>
          <w:lang w:val="en-GB"/>
        </w:rPr>
        <w:t>, 14.1 (2001), 169–89 &lt;https://doi.org/10.1353/yale.2001.0012&gt;</w:t>
      </w:r>
      <w:r w:rsidR="003C28AB">
        <w:rPr>
          <w:lang w:val="en-GB"/>
        </w:rPr>
        <w:t>.</w:t>
      </w:r>
    </w:p>
    <w:p w14:paraId="5D0A69B5" w14:textId="27BEB1E5" w:rsidR="001D59B9" w:rsidRPr="0048465B" w:rsidRDefault="00703A05" w:rsidP="00714416">
      <w:pPr>
        <w:widowControl w:val="0"/>
        <w:spacing w:after="240" w:line="360" w:lineRule="auto"/>
        <w:ind w:left="720"/>
        <w:jc w:val="left"/>
        <w:rPr>
          <w:lang w:val="en-GB"/>
        </w:rPr>
      </w:pPr>
      <w:r w:rsidRPr="0048465B">
        <w:rPr>
          <w:lang w:val="en-GB"/>
        </w:rPr>
        <w:t xml:space="preserve">Said, Edward W., </w:t>
      </w:r>
      <w:r w:rsidRPr="0048465B">
        <w:rPr>
          <w:i/>
          <w:lang w:val="en-GB"/>
        </w:rPr>
        <w:t>Orientalism</w:t>
      </w:r>
      <w:r w:rsidRPr="0048465B">
        <w:rPr>
          <w:lang w:val="en-GB"/>
        </w:rPr>
        <w:t xml:space="preserve"> (Knopf Doubleday Publishing Group, 2014)</w:t>
      </w:r>
      <w:r w:rsidR="003C28AB">
        <w:rPr>
          <w:lang w:val="en-GB"/>
        </w:rPr>
        <w:t>.</w:t>
      </w:r>
    </w:p>
    <w:p w14:paraId="73862436" w14:textId="6E8467DE" w:rsidR="001D59B9" w:rsidRPr="0048465B" w:rsidRDefault="00703A05" w:rsidP="00714416">
      <w:pPr>
        <w:widowControl w:val="0"/>
        <w:spacing w:after="240" w:line="360" w:lineRule="auto"/>
        <w:ind w:left="720"/>
        <w:jc w:val="left"/>
        <w:rPr>
          <w:lang w:val="en-GB"/>
        </w:rPr>
      </w:pPr>
      <w:r w:rsidRPr="0048465B">
        <w:rPr>
          <w:lang w:val="en-GB"/>
        </w:rPr>
        <w:t xml:space="preserve">Said, Edward W., </w:t>
      </w:r>
      <w:r w:rsidRPr="0048465B">
        <w:rPr>
          <w:i/>
          <w:lang w:val="en-GB"/>
        </w:rPr>
        <w:t>The Question of Palestine</w:t>
      </w:r>
      <w:r w:rsidRPr="0048465B">
        <w:rPr>
          <w:lang w:val="en-GB"/>
        </w:rPr>
        <w:t>, Vintage Books Edition (New York: Random House USA Inc, 2003)</w:t>
      </w:r>
      <w:r w:rsidR="003C28AB">
        <w:rPr>
          <w:lang w:val="en-GB"/>
        </w:rPr>
        <w:t>.</w:t>
      </w:r>
    </w:p>
    <w:p w14:paraId="7C281530" w14:textId="4F73DE39" w:rsidR="001D59B9" w:rsidRPr="0048465B" w:rsidRDefault="00703A05" w:rsidP="00714416">
      <w:pPr>
        <w:widowControl w:val="0"/>
        <w:spacing w:after="240" w:line="360" w:lineRule="auto"/>
        <w:ind w:left="720"/>
        <w:jc w:val="left"/>
        <w:rPr>
          <w:lang w:val="en-GB"/>
        </w:rPr>
      </w:pPr>
      <w:r w:rsidRPr="0048465B">
        <w:rPr>
          <w:lang w:val="en-GB"/>
        </w:rPr>
        <w:t xml:space="preserve">Sanchez, Raf, ‘Israel Passes Divisive Law Declaring Only Jews Have Right to “National Self-Determination”’, </w:t>
      </w:r>
      <w:r w:rsidRPr="0048465B">
        <w:rPr>
          <w:i/>
          <w:lang w:val="en-GB"/>
        </w:rPr>
        <w:t>The Telegraph</w:t>
      </w:r>
      <w:r w:rsidRPr="0048465B">
        <w:rPr>
          <w:lang w:val="en-GB"/>
        </w:rPr>
        <w:t>, 19 July 2018 &lt;https://www.telegraph.co.uk/news/2018/07/19/israel-passes-divisive-law-declaring-jews-have-right-national/&gt; [accessed 7 October 2019]</w:t>
      </w:r>
      <w:r w:rsidR="003C28AB">
        <w:rPr>
          <w:lang w:val="en-GB"/>
        </w:rPr>
        <w:t>.</w:t>
      </w:r>
    </w:p>
    <w:p w14:paraId="28C1D018" w14:textId="64C2C026" w:rsidR="001D59B9" w:rsidRPr="0048465B" w:rsidRDefault="00703A05" w:rsidP="00714416">
      <w:pPr>
        <w:widowControl w:val="0"/>
        <w:spacing w:after="240" w:line="360" w:lineRule="auto"/>
        <w:ind w:left="720"/>
        <w:jc w:val="left"/>
        <w:rPr>
          <w:lang w:val="en-GB"/>
        </w:rPr>
      </w:pPr>
      <w:r w:rsidRPr="0048465B">
        <w:rPr>
          <w:lang w:val="en-GB"/>
        </w:rPr>
        <w:t xml:space="preserve">Sanchez, Raf, ‘What Is It like to Be a Jew Married to an Arab in Israel?’, </w:t>
      </w:r>
      <w:r w:rsidRPr="0048465B">
        <w:rPr>
          <w:i/>
          <w:lang w:val="en-GB"/>
        </w:rPr>
        <w:t>The Telegraph</w:t>
      </w:r>
      <w:r w:rsidRPr="0048465B">
        <w:rPr>
          <w:lang w:val="en-GB"/>
        </w:rPr>
        <w:t xml:space="preserve"> </w:t>
      </w:r>
      <w:r w:rsidRPr="0048465B">
        <w:rPr>
          <w:lang w:val="en-GB"/>
        </w:rPr>
        <w:lastRenderedPageBreak/>
        <w:t>&lt;https://www.telegraph.co.uk/news/worldnews/middleeast/israel/12090439/What-is-it-like-to-be-a-Jew-married-to-an-Arab-in-Israel.html&gt; [accessed 14 August 2020]</w:t>
      </w:r>
      <w:r w:rsidR="003C28AB">
        <w:rPr>
          <w:lang w:val="en-GB"/>
        </w:rPr>
        <w:t>.</w:t>
      </w:r>
    </w:p>
    <w:p w14:paraId="2E58F3B9" w14:textId="7550403A" w:rsidR="001D59B9" w:rsidRPr="0048465B" w:rsidRDefault="00703A05" w:rsidP="00714416">
      <w:pPr>
        <w:widowControl w:val="0"/>
        <w:spacing w:after="240" w:line="360" w:lineRule="auto"/>
        <w:ind w:left="720"/>
        <w:jc w:val="left"/>
        <w:rPr>
          <w:lang w:val="en-GB"/>
        </w:rPr>
      </w:pPr>
      <w:r w:rsidRPr="0048465B">
        <w:rPr>
          <w:lang w:val="en-GB"/>
        </w:rPr>
        <w:t xml:space="preserve">Sartre, Jean-Paul, </w:t>
      </w:r>
      <w:r w:rsidRPr="0048465B">
        <w:rPr>
          <w:i/>
          <w:lang w:val="en-GB"/>
        </w:rPr>
        <w:t>Anti-Semite and Jew</w:t>
      </w:r>
      <w:r w:rsidRPr="0048465B">
        <w:rPr>
          <w:lang w:val="en-GB"/>
        </w:rPr>
        <w:t xml:space="preserve"> (New York: Schocken Books: distributed by Pantheon Books, 1995)</w:t>
      </w:r>
      <w:r w:rsidR="003C28AB">
        <w:rPr>
          <w:lang w:val="en-GB"/>
        </w:rPr>
        <w:t>.</w:t>
      </w:r>
    </w:p>
    <w:p w14:paraId="258AD33B" w14:textId="5B68020B" w:rsidR="001D59B9" w:rsidRPr="0048465B" w:rsidRDefault="00703A05" w:rsidP="00714416">
      <w:pPr>
        <w:widowControl w:val="0"/>
        <w:spacing w:after="240" w:line="360" w:lineRule="auto"/>
        <w:ind w:left="720"/>
        <w:jc w:val="left"/>
        <w:rPr>
          <w:lang w:val="en-GB"/>
        </w:rPr>
      </w:pPr>
      <w:proofErr w:type="spellStart"/>
      <w:r w:rsidRPr="0048465B">
        <w:rPr>
          <w:lang w:val="en-GB"/>
        </w:rPr>
        <w:t>Sasley</w:t>
      </w:r>
      <w:proofErr w:type="spellEnd"/>
      <w:r w:rsidRPr="0048465B">
        <w:rPr>
          <w:lang w:val="en-GB"/>
        </w:rPr>
        <w:t xml:space="preserve">, Brent, ‘The White House Peace Plan Puts Israel’s Concerns First — and </w:t>
      </w:r>
      <w:proofErr w:type="spellStart"/>
      <w:r w:rsidRPr="0048465B">
        <w:rPr>
          <w:lang w:val="en-GB"/>
        </w:rPr>
        <w:t>Shortchanges</w:t>
      </w:r>
      <w:proofErr w:type="spellEnd"/>
      <w:r w:rsidRPr="0048465B">
        <w:rPr>
          <w:lang w:val="en-GB"/>
        </w:rPr>
        <w:t xml:space="preserve"> Palestinians’, </w:t>
      </w:r>
      <w:r w:rsidRPr="0048465B">
        <w:rPr>
          <w:i/>
          <w:lang w:val="en-GB"/>
        </w:rPr>
        <w:t>The Washington Post</w:t>
      </w:r>
      <w:r w:rsidRPr="0048465B">
        <w:rPr>
          <w:lang w:val="en-GB"/>
        </w:rPr>
        <w:t xml:space="preserve"> &lt;https://www.washingtonpost.com/politics/2020/01/30/white-house-peace-plan-puts-israels-concerns-first-shortchanges-palestinians/&gt; [accessed 23 November 2020]</w:t>
      </w:r>
      <w:r w:rsidR="003C28AB">
        <w:rPr>
          <w:lang w:val="en-GB"/>
        </w:rPr>
        <w:t>.</w:t>
      </w:r>
    </w:p>
    <w:p w14:paraId="59D63BCC" w14:textId="5CEF082F" w:rsidR="001D59B9" w:rsidRPr="0048465B" w:rsidRDefault="00703A05" w:rsidP="00714416">
      <w:pPr>
        <w:widowControl w:val="0"/>
        <w:spacing w:after="240" w:line="360" w:lineRule="auto"/>
        <w:ind w:left="720"/>
        <w:jc w:val="left"/>
        <w:rPr>
          <w:lang w:val="en-GB"/>
        </w:rPr>
      </w:pPr>
      <w:r w:rsidRPr="0048465B">
        <w:rPr>
          <w:lang w:val="en-GB"/>
        </w:rPr>
        <w:t>‘Saudi Arabia Will Soon Move to Normalize Ties with Israel, Official Predicts | The Times of Israel’ &lt;https://www.timesofisrael.com/saudi-arabia-will-soon-move-to-normalize-ties-with-israel-official-predicts/&gt; [accessed 24 November 2020]</w:t>
      </w:r>
      <w:r w:rsidR="003C28AB">
        <w:rPr>
          <w:lang w:val="en-GB"/>
        </w:rPr>
        <w:t>.</w:t>
      </w:r>
    </w:p>
    <w:p w14:paraId="0AC0F840" w14:textId="79E64B90" w:rsidR="001D59B9" w:rsidRPr="0048465B" w:rsidRDefault="00703A05" w:rsidP="00714416">
      <w:pPr>
        <w:widowControl w:val="0"/>
        <w:spacing w:after="240" w:line="360" w:lineRule="auto"/>
        <w:ind w:left="720"/>
        <w:jc w:val="left"/>
        <w:rPr>
          <w:lang w:val="en-GB"/>
        </w:rPr>
      </w:pPr>
      <w:r w:rsidRPr="0048465B">
        <w:rPr>
          <w:lang w:val="en-GB"/>
        </w:rPr>
        <w:t xml:space="preserve">Schechter, Asher, ‘Book Ban Mere Battle in Israel’s War on Intermarriage’, </w:t>
      </w:r>
      <w:r w:rsidRPr="0048465B">
        <w:rPr>
          <w:i/>
          <w:lang w:val="en-GB"/>
        </w:rPr>
        <w:t>Haaretz &lt;</w:t>
      </w:r>
      <w:r w:rsidRPr="0048465B">
        <w:rPr>
          <w:lang w:val="en-GB"/>
        </w:rPr>
        <w:t>https://www.haaretz.com/opinion/book-ban-a-battle-in-israel-s-war-on-intermarriage-1.5386781&gt; [accessed 24 July 2020]</w:t>
      </w:r>
      <w:r w:rsidR="003C28AB">
        <w:rPr>
          <w:lang w:val="en-GB"/>
        </w:rPr>
        <w:t>.</w:t>
      </w:r>
    </w:p>
    <w:p w14:paraId="28005B62" w14:textId="154D3B7F" w:rsidR="001D59B9" w:rsidRPr="0048465B" w:rsidRDefault="00703A05" w:rsidP="00714416">
      <w:pPr>
        <w:widowControl w:val="0"/>
        <w:spacing w:after="240" w:line="360" w:lineRule="auto"/>
        <w:ind w:left="720"/>
        <w:jc w:val="left"/>
        <w:rPr>
          <w:lang w:val="en-GB"/>
        </w:rPr>
      </w:pPr>
      <w:r w:rsidRPr="0048465B">
        <w:rPr>
          <w:lang w:val="en-GB"/>
        </w:rPr>
        <w:t xml:space="preserve">Schocken, Gershom, ‘The Jewish Ban on Intermarriage Has Become a Curse’, </w:t>
      </w:r>
      <w:r w:rsidRPr="0048465B">
        <w:rPr>
          <w:i/>
          <w:lang w:val="en-GB"/>
        </w:rPr>
        <w:t>Haaretz &lt;</w:t>
      </w:r>
      <w:r w:rsidRPr="0048465B">
        <w:rPr>
          <w:lang w:val="en-GB"/>
        </w:rPr>
        <w:t>https://www.haaretz.com/opinion/the-jewish-ban-on-intermarriage-has-become-a-curse-1.5097209&gt; [accessed 20 July 2020]</w:t>
      </w:r>
      <w:r w:rsidR="003C28AB">
        <w:rPr>
          <w:lang w:val="en-GB"/>
        </w:rPr>
        <w:t>.</w:t>
      </w:r>
    </w:p>
    <w:p w14:paraId="30BE97EB" w14:textId="0BE044E9" w:rsidR="001D59B9" w:rsidRPr="0048465B" w:rsidRDefault="00703A05" w:rsidP="00714416">
      <w:pPr>
        <w:widowControl w:val="0"/>
        <w:spacing w:after="240" w:line="360" w:lineRule="auto"/>
        <w:ind w:left="720"/>
        <w:jc w:val="left"/>
        <w:rPr>
          <w:lang w:val="en-GB"/>
        </w:rPr>
      </w:pPr>
      <w:r w:rsidRPr="0048465B">
        <w:rPr>
          <w:lang w:val="en-GB"/>
        </w:rPr>
        <w:t xml:space="preserve">Shapira, Anita, ‘The Holocaust: Private Memories, Public Memory’, </w:t>
      </w:r>
      <w:r w:rsidRPr="0048465B">
        <w:rPr>
          <w:i/>
          <w:lang w:val="en-GB"/>
        </w:rPr>
        <w:t>Jewish Social Studies</w:t>
      </w:r>
      <w:r w:rsidRPr="0048465B">
        <w:rPr>
          <w:lang w:val="en-GB"/>
        </w:rPr>
        <w:t>, 4.2 (1998), 40–58</w:t>
      </w:r>
      <w:r w:rsidR="003C28AB">
        <w:rPr>
          <w:lang w:val="en-GB"/>
        </w:rPr>
        <w:t>.</w:t>
      </w:r>
    </w:p>
    <w:p w14:paraId="1AD6D9A1" w14:textId="4D97D7B1" w:rsidR="001D59B9" w:rsidRPr="0048465B" w:rsidRDefault="00703A05" w:rsidP="00714416">
      <w:pPr>
        <w:widowControl w:val="0"/>
        <w:spacing w:after="240" w:line="360" w:lineRule="auto"/>
        <w:ind w:left="720"/>
        <w:jc w:val="left"/>
        <w:rPr>
          <w:lang w:val="en-GB"/>
        </w:rPr>
      </w:pPr>
      <w:r w:rsidRPr="0048465B">
        <w:rPr>
          <w:lang w:val="en-GB"/>
        </w:rPr>
        <w:t xml:space="preserve">Sher, Gilead, </w:t>
      </w:r>
      <w:r w:rsidRPr="0048465B">
        <w:rPr>
          <w:i/>
          <w:lang w:val="en-GB"/>
        </w:rPr>
        <w:t>The Israeli-Palestinian Peace Negotiations, 1999-2001: Within Reach</w:t>
      </w:r>
      <w:r w:rsidRPr="0048465B">
        <w:rPr>
          <w:lang w:val="en-GB"/>
        </w:rPr>
        <w:t xml:space="preserve"> (Psychology Press, 2006)</w:t>
      </w:r>
      <w:r w:rsidR="003C28AB">
        <w:rPr>
          <w:lang w:val="en-GB"/>
        </w:rPr>
        <w:t>.</w:t>
      </w:r>
    </w:p>
    <w:p w14:paraId="3F67C55D" w14:textId="570E4953" w:rsidR="001D59B9" w:rsidRPr="0048465B" w:rsidRDefault="00703A05" w:rsidP="00714416">
      <w:pPr>
        <w:widowControl w:val="0"/>
        <w:spacing w:after="240" w:line="360" w:lineRule="auto"/>
        <w:ind w:left="720"/>
        <w:jc w:val="left"/>
        <w:rPr>
          <w:lang w:val="en-GB"/>
        </w:rPr>
      </w:pPr>
      <w:r w:rsidRPr="0048465B">
        <w:rPr>
          <w:lang w:val="en-GB"/>
        </w:rPr>
        <w:t xml:space="preserve">Sherwood, Harriet, ‘Lisa </w:t>
      </w:r>
      <w:proofErr w:type="spellStart"/>
      <w:r w:rsidRPr="0048465B">
        <w:rPr>
          <w:lang w:val="en-GB"/>
        </w:rPr>
        <w:t>Nandy</w:t>
      </w:r>
      <w:proofErr w:type="spellEnd"/>
      <w:r w:rsidRPr="0048465B">
        <w:rPr>
          <w:lang w:val="en-GB"/>
        </w:rPr>
        <w:t xml:space="preserve"> Urges Ban on Imports of West Bank Goods’, </w:t>
      </w:r>
      <w:r w:rsidRPr="0048465B">
        <w:rPr>
          <w:i/>
          <w:lang w:val="en-GB"/>
        </w:rPr>
        <w:t>The Guardian</w:t>
      </w:r>
      <w:r w:rsidRPr="0048465B">
        <w:rPr>
          <w:lang w:val="en-GB"/>
        </w:rPr>
        <w:t>, 2020 &lt;http://www.theguardian.com/world/2020/jun/27/lisa-nandy-leads-calls-for-sanctions-on-israel-over-west-bank-annexations&gt; [accessed 21 December 2020]</w:t>
      </w:r>
      <w:r w:rsidR="003C28AB">
        <w:rPr>
          <w:lang w:val="en-GB"/>
        </w:rPr>
        <w:t>.</w:t>
      </w:r>
    </w:p>
    <w:p w14:paraId="0B0B4C64" w14:textId="486EFA3A" w:rsidR="001D59B9" w:rsidRPr="0048465B" w:rsidRDefault="00703A05" w:rsidP="00714416">
      <w:pPr>
        <w:widowControl w:val="0"/>
        <w:spacing w:after="240" w:line="360" w:lineRule="auto"/>
        <w:ind w:left="720"/>
        <w:jc w:val="left"/>
        <w:rPr>
          <w:lang w:val="en-GB"/>
        </w:rPr>
      </w:pPr>
      <w:proofErr w:type="spellStart"/>
      <w:r w:rsidRPr="0048465B">
        <w:rPr>
          <w:lang w:val="en-GB"/>
        </w:rPr>
        <w:t>Shetreet</w:t>
      </w:r>
      <w:proofErr w:type="spellEnd"/>
      <w:r w:rsidRPr="0048465B">
        <w:rPr>
          <w:lang w:val="en-GB"/>
        </w:rPr>
        <w:t xml:space="preserve">, Shimon, ‘Freedom of Religion in Israel’ &lt;https://mfa.gov.il/MFA/MFA-Archive/2001/Pages/Freedom%20of%20Religion%20in%20Israel.aspx&gt; [accessed 25 </w:t>
      </w:r>
      <w:r w:rsidRPr="0048465B">
        <w:rPr>
          <w:lang w:val="en-GB"/>
        </w:rPr>
        <w:lastRenderedPageBreak/>
        <w:t>July 2020]</w:t>
      </w:r>
      <w:r w:rsidR="003C28AB">
        <w:rPr>
          <w:lang w:val="en-GB"/>
        </w:rPr>
        <w:t>.</w:t>
      </w:r>
    </w:p>
    <w:p w14:paraId="4B7E565E" w14:textId="341D58DE" w:rsidR="001D59B9" w:rsidRPr="0048465B" w:rsidRDefault="00703A05" w:rsidP="00714416">
      <w:pPr>
        <w:widowControl w:val="0"/>
        <w:spacing w:after="240" w:line="360" w:lineRule="auto"/>
        <w:ind w:left="720"/>
        <w:jc w:val="left"/>
        <w:rPr>
          <w:lang w:val="en-GB"/>
        </w:rPr>
      </w:pPr>
      <w:r w:rsidRPr="0048465B">
        <w:rPr>
          <w:lang w:val="en-GB"/>
        </w:rPr>
        <w:t xml:space="preserve">Shiffman, Smadar, ‘The Pain of Two Homelands: Immigration to Israel in Twenty-First Century Hebrew Prose Fiction’, </w:t>
      </w:r>
      <w:r w:rsidRPr="0048465B">
        <w:rPr>
          <w:i/>
          <w:lang w:val="en-GB"/>
        </w:rPr>
        <w:t>Hebrew Studies</w:t>
      </w:r>
      <w:r w:rsidRPr="0048465B">
        <w:rPr>
          <w:lang w:val="en-GB"/>
        </w:rPr>
        <w:t>, 56 (2015), 315–3</w:t>
      </w:r>
      <w:r w:rsidR="00AE6CF0">
        <w:rPr>
          <w:lang w:val="en-GB"/>
        </w:rPr>
        <w:t>3</w:t>
      </w:r>
      <w:r w:rsidRPr="0048465B">
        <w:rPr>
          <w:lang w:val="en-GB"/>
        </w:rPr>
        <w:t>1</w:t>
      </w:r>
      <w:r w:rsidR="003C28AB">
        <w:rPr>
          <w:lang w:val="en-GB"/>
        </w:rPr>
        <w:t>.</w:t>
      </w:r>
    </w:p>
    <w:p w14:paraId="48C43D46" w14:textId="3AD50771" w:rsidR="001D59B9" w:rsidRPr="0048465B" w:rsidRDefault="00703A05" w:rsidP="00714416">
      <w:pPr>
        <w:widowControl w:val="0"/>
        <w:spacing w:after="240" w:line="360" w:lineRule="auto"/>
        <w:ind w:left="720"/>
        <w:jc w:val="left"/>
        <w:rPr>
          <w:lang w:val="en-GB"/>
        </w:rPr>
      </w:pPr>
      <w:proofErr w:type="spellStart"/>
      <w:r w:rsidRPr="0048465B">
        <w:rPr>
          <w:lang w:val="en-GB"/>
        </w:rPr>
        <w:t>Shikaki</w:t>
      </w:r>
      <w:proofErr w:type="spellEnd"/>
      <w:r w:rsidRPr="0048465B">
        <w:rPr>
          <w:lang w:val="en-GB"/>
        </w:rPr>
        <w:t>, Khalil, ‘Do Palestinians Still Support the Two-State Solution?’, 17 September 2018 &lt;https://www.foreignaffairs.com/articles/middle-east/2018-09-12/do-palestinians-still-support-two-state-solution&gt; [accessed 16 December 2020]</w:t>
      </w:r>
      <w:r w:rsidR="003C28AB">
        <w:rPr>
          <w:lang w:val="en-GB"/>
        </w:rPr>
        <w:t>.</w:t>
      </w:r>
    </w:p>
    <w:p w14:paraId="2B6F7A33" w14:textId="00468A7A" w:rsidR="001D59B9" w:rsidRPr="0048465B" w:rsidRDefault="00703A05" w:rsidP="00714416">
      <w:pPr>
        <w:widowControl w:val="0"/>
        <w:spacing w:after="240" w:line="360" w:lineRule="auto"/>
        <w:ind w:left="720"/>
        <w:jc w:val="left"/>
        <w:rPr>
          <w:lang w:val="en-GB"/>
        </w:rPr>
      </w:pPr>
      <w:r w:rsidRPr="0048465B">
        <w:rPr>
          <w:lang w:val="en-GB"/>
        </w:rPr>
        <w:t xml:space="preserve">Silverman, Max, </w:t>
      </w:r>
      <w:r w:rsidRPr="0048465B">
        <w:rPr>
          <w:i/>
          <w:lang w:val="en-GB"/>
        </w:rPr>
        <w:t>Palimpsestic Memory: The Holocaust and Colonialism in French and Francophone Fiction and Film</w:t>
      </w:r>
      <w:r w:rsidRPr="0048465B">
        <w:rPr>
          <w:lang w:val="en-GB"/>
        </w:rPr>
        <w:t xml:space="preserve"> (New York: </w:t>
      </w:r>
      <w:proofErr w:type="spellStart"/>
      <w:r w:rsidRPr="0048465B">
        <w:rPr>
          <w:lang w:val="en-GB"/>
        </w:rPr>
        <w:t>Berghahn</w:t>
      </w:r>
      <w:proofErr w:type="spellEnd"/>
      <w:r w:rsidRPr="0048465B">
        <w:rPr>
          <w:lang w:val="en-GB"/>
        </w:rPr>
        <w:t xml:space="preserve"> Books, 2013)</w:t>
      </w:r>
      <w:r w:rsidR="003C28AB">
        <w:rPr>
          <w:lang w:val="en-GB"/>
        </w:rPr>
        <w:t>.</w:t>
      </w:r>
    </w:p>
    <w:p w14:paraId="6EAFD336" w14:textId="42DA7391" w:rsidR="001D59B9" w:rsidRPr="0048465B" w:rsidRDefault="00703A05" w:rsidP="00714416">
      <w:pPr>
        <w:widowControl w:val="0"/>
        <w:spacing w:after="240" w:line="360" w:lineRule="auto"/>
        <w:ind w:left="720"/>
        <w:jc w:val="left"/>
        <w:rPr>
          <w:lang w:val="en-GB"/>
        </w:rPr>
      </w:pPr>
      <w:r w:rsidRPr="0048465B">
        <w:rPr>
          <w:lang w:val="en-GB"/>
        </w:rPr>
        <w:t>Silverstein, Richard, ‘A Biden Presidency Would Not Be Good News for Palestine’ &lt;https://www.aljazeera.com/opinions/2020/6/4/a-biden-presidency-would-not-be-good-news-for-palestine/&gt; [accessed 23 November 2020]</w:t>
      </w:r>
      <w:r w:rsidR="003C28AB">
        <w:rPr>
          <w:lang w:val="en-GB"/>
        </w:rPr>
        <w:t>.</w:t>
      </w:r>
    </w:p>
    <w:p w14:paraId="6A46B2E7" w14:textId="66812935" w:rsidR="001D59B9" w:rsidRPr="0048465B" w:rsidRDefault="00703A05" w:rsidP="00714416">
      <w:pPr>
        <w:widowControl w:val="0"/>
        <w:spacing w:after="240" w:line="360" w:lineRule="auto"/>
        <w:ind w:left="720"/>
        <w:jc w:val="left"/>
        <w:rPr>
          <w:lang w:val="en-GB"/>
        </w:rPr>
      </w:pPr>
      <w:r w:rsidRPr="0048465B">
        <w:rPr>
          <w:lang w:val="en-GB"/>
        </w:rPr>
        <w:t xml:space="preserve">‘Simon Wiesenthal </w:t>
      </w:r>
      <w:proofErr w:type="spellStart"/>
      <w:r w:rsidRPr="0048465B">
        <w:rPr>
          <w:lang w:val="en-GB"/>
        </w:rPr>
        <w:t>Center</w:t>
      </w:r>
      <w:proofErr w:type="spellEnd"/>
      <w:r w:rsidRPr="0048465B">
        <w:rPr>
          <w:lang w:val="en-GB"/>
        </w:rPr>
        <w:t>: 1967 Border Is The “‘Auschwitz’ Border” | Political Correction’ &lt;http://politicalcorrection.org/fpmatters/201105190013&gt; [accessed 4 September 2018]</w:t>
      </w:r>
      <w:r w:rsidR="003C28AB">
        <w:rPr>
          <w:lang w:val="en-GB"/>
        </w:rPr>
        <w:t>.</w:t>
      </w:r>
    </w:p>
    <w:p w14:paraId="354A4486" w14:textId="6F591018" w:rsidR="001D59B9" w:rsidRPr="0048465B" w:rsidRDefault="00703A05" w:rsidP="00714416">
      <w:pPr>
        <w:widowControl w:val="0"/>
        <w:spacing w:after="240" w:line="360" w:lineRule="auto"/>
        <w:ind w:left="720"/>
        <w:jc w:val="left"/>
        <w:rPr>
          <w:lang w:val="en-GB"/>
        </w:rPr>
      </w:pPr>
      <w:r w:rsidRPr="0048465B">
        <w:rPr>
          <w:lang w:val="en-GB"/>
        </w:rPr>
        <w:t>‘State Anti-BDS Legislation’ &lt;https://www.jewishvirtuallibrary.org/anti-bds-legislation&gt; [accessed 27 November 2020]</w:t>
      </w:r>
      <w:r w:rsidR="003C28AB">
        <w:rPr>
          <w:lang w:val="en-GB"/>
        </w:rPr>
        <w:t>.</w:t>
      </w:r>
    </w:p>
    <w:p w14:paraId="7D33A523" w14:textId="07390BF9" w:rsidR="001D59B9" w:rsidRPr="0048465B" w:rsidRDefault="00703A05" w:rsidP="00714416">
      <w:pPr>
        <w:widowControl w:val="0"/>
        <w:spacing w:after="240" w:line="360" w:lineRule="auto"/>
        <w:ind w:left="720"/>
        <w:jc w:val="left"/>
        <w:rPr>
          <w:lang w:val="en-GB"/>
        </w:rPr>
      </w:pPr>
      <w:r w:rsidRPr="0048465B">
        <w:rPr>
          <w:lang w:val="en-GB"/>
        </w:rPr>
        <w:t xml:space="preserve">Stav, Shira, ‘Nakba and Holocaust: Mechanisms of Comparison and Denial in the Israeli Literary Imagination’, </w:t>
      </w:r>
      <w:r w:rsidRPr="0048465B">
        <w:rPr>
          <w:i/>
          <w:lang w:val="en-GB"/>
        </w:rPr>
        <w:t>Jewish Social Studies</w:t>
      </w:r>
      <w:r w:rsidRPr="0048465B">
        <w:rPr>
          <w:lang w:val="en-GB"/>
        </w:rPr>
        <w:t>, 18.3 (2012), 85–98 &lt;https://doi.org/10.2979/jewisocistud.18.3.85&gt;</w:t>
      </w:r>
      <w:r w:rsidR="003C28AB">
        <w:rPr>
          <w:lang w:val="en-GB"/>
        </w:rPr>
        <w:t>.</w:t>
      </w:r>
    </w:p>
    <w:p w14:paraId="41533576" w14:textId="7C1C8323" w:rsidR="001D59B9" w:rsidRPr="0048465B" w:rsidRDefault="00703A05" w:rsidP="00714416">
      <w:pPr>
        <w:widowControl w:val="0"/>
        <w:spacing w:after="240" w:line="360" w:lineRule="auto"/>
        <w:ind w:left="720"/>
        <w:jc w:val="left"/>
        <w:rPr>
          <w:lang w:val="en-GB"/>
        </w:rPr>
      </w:pPr>
      <w:r w:rsidRPr="0048465B">
        <w:rPr>
          <w:lang w:val="en-GB"/>
        </w:rPr>
        <w:t>‘Text: Beirut Declaration’, 28 March 2002 &lt;http://news.bbc.co.uk/1/hi/world/monitoring/media_reports/1899395.stm&gt; [accessed 24 November 2020]</w:t>
      </w:r>
      <w:r w:rsidR="003C28AB">
        <w:rPr>
          <w:lang w:val="en-GB"/>
        </w:rPr>
        <w:t>.</w:t>
      </w:r>
    </w:p>
    <w:p w14:paraId="3036D28D" w14:textId="6E872A87" w:rsidR="001D59B9" w:rsidRPr="0048465B" w:rsidRDefault="00703A05" w:rsidP="00714416">
      <w:pPr>
        <w:widowControl w:val="0"/>
        <w:spacing w:after="240" w:line="360" w:lineRule="auto"/>
        <w:ind w:left="720"/>
        <w:jc w:val="left"/>
        <w:rPr>
          <w:lang w:val="en-GB"/>
        </w:rPr>
      </w:pPr>
      <w:r w:rsidRPr="0048465B">
        <w:rPr>
          <w:lang w:val="en-GB"/>
        </w:rPr>
        <w:t>‘The Boy in the Photo?’ &lt;http://www.holocaustresearchproject.org/nazioccupation/boy.html&gt; [accessed 11 March 2021]</w:t>
      </w:r>
      <w:r w:rsidR="003C28AB">
        <w:rPr>
          <w:lang w:val="en-GB"/>
        </w:rPr>
        <w:t>.</w:t>
      </w:r>
    </w:p>
    <w:p w14:paraId="4238272A" w14:textId="6DF7F421" w:rsidR="001D59B9" w:rsidRPr="0048465B" w:rsidRDefault="00703A05" w:rsidP="00714416">
      <w:pPr>
        <w:widowControl w:val="0"/>
        <w:spacing w:after="240" w:line="360" w:lineRule="auto"/>
        <w:ind w:left="720"/>
        <w:jc w:val="left"/>
        <w:rPr>
          <w:lang w:val="en-GB"/>
        </w:rPr>
      </w:pPr>
      <w:r w:rsidRPr="0048465B">
        <w:rPr>
          <w:lang w:val="en-GB"/>
        </w:rPr>
        <w:lastRenderedPageBreak/>
        <w:t xml:space="preserve">‘The Carter </w:t>
      </w:r>
      <w:proofErr w:type="spellStart"/>
      <w:r w:rsidRPr="0048465B">
        <w:rPr>
          <w:lang w:val="en-GB"/>
        </w:rPr>
        <w:t>Center</w:t>
      </w:r>
      <w:proofErr w:type="spellEnd"/>
      <w:r w:rsidRPr="0048465B">
        <w:rPr>
          <w:lang w:val="en-GB"/>
        </w:rPr>
        <w:t xml:space="preserve"> &amp; The Elders Discussion, July 1st, 2020’ &lt;https://theelders.org/sites/default/files/newsarticaldocument/tcc-and-elders-palestine-virtual-workshop-summary-june-2020_0.pdf&gt;</w:t>
      </w:r>
      <w:r w:rsidR="003C28AB">
        <w:rPr>
          <w:lang w:val="en-GB"/>
        </w:rPr>
        <w:t xml:space="preserve"> </w:t>
      </w:r>
      <w:r w:rsidR="003C28AB" w:rsidRPr="0048465B">
        <w:rPr>
          <w:lang w:val="en-GB"/>
        </w:rPr>
        <w:t>[accessed 11 March 2021]</w:t>
      </w:r>
      <w:r w:rsidR="003C28AB">
        <w:rPr>
          <w:lang w:val="en-GB"/>
        </w:rPr>
        <w:t>.</w:t>
      </w:r>
    </w:p>
    <w:p w14:paraId="7F435C15" w14:textId="6E8D946B" w:rsidR="001D59B9" w:rsidRPr="0048465B" w:rsidRDefault="00703A05" w:rsidP="00714416">
      <w:pPr>
        <w:widowControl w:val="0"/>
        <w:spacing w:after="240" w:line="360" w:lineRule="auto"/>
        <w:ind w:left="720"/>
        <w:jc w:val="left"/>
        <w:rPr>
          <w:lang w:val="en-GB"/>
        </w:rPr>
      </w:pPr>
      <w:r w:rsidRPr="0048465B">
        <w:rPr>
          <w:lang w:val="en-GB"/>
        </w:rPr>
        <w:t>‘The Holocaust - Yad Vashem’ &lt;http://www.yadvashem.org/yv/en/holocaust/resource_center/the_holocaust.asp&gt; [</w:t>
      </w:r>
      <w:r w:rsidR="00AC15B7" w:rsidRPr="00AC15B7">
        <w:t>accessed 1 March 2021</w:t>
      </w:r>
      <w:r w:rsidRPr="0048465B">
        <w:rPr>
          <w:lang w:val="en-GB"/>
        </w:rPr>
        <w:t>]</w:t>
      </w:r>
      <w:r w:rsidR="003C28AB">
        <w:rPr>
          <w:lang w:val="en-GB"/>
        </w:rPr>
        <w:t>.</w:t>
      </w:r>
    </w:p>
    <w:p w14:paraId="56308C10" w14:textId="4AD3F8D8" w:rsidR="001D59B9" w:rsidRPr="0048465B" w:rsidRDefault="00703A05" w:rsidP="00714416">
      <w:pPr>
        <w:widowControl w:val="0"/>
        <w:spacing w:after="240" w:line="360" w:lineRule="auto"/>
        <w:ind w:left="720"/>
        <w:jc w:val="left"/>
        <w:rPr>
          <w:lang w:val="en-GB"/>
        </w:rPr>
      </w:pPr>
      <w:r w:rsidRPr="0048465B">
        <w:rPr>
          <w:lang w:val="en-GB"/>
        </w:rPr>
        <w:t xml:space="preserve">‘The Last Name Israelis Are Most Keen to Shed: Mizrahi’, </w:t>
      </w:r>
      <w:r w:rsidRPr="0048465B">
        <w:rPr>
          <w:i/>
          <w:lang w:val="en-GB"/>
        </w:rPr>
        <w:t>Haaretz &lt;</w:t>
      </w:r>
      <w:r w:rsidRPr="0048465B">
        <w:rPr>
          <w:lang w:val="en-GB"/>
        </w:rPr>
        <w:t>https://www.haaretz.com/israel-news/.premium-the-last-name-israelis-are-most-keen-to-shed-mizrahi-1.5440002&gt; [accessed 13 July 2020]</w:t>
      </w:r>
      <w:r w:rsidR="003C28AB">
        <w:rPr>
          <w:lang w:val="en-GB"/>
        </w:rPr>
        <w:t>.</w:t>
      </w:r>
    </w:p>
    <w:p w14:paraId="1F7A1429" w14:textId="4116061B" w:rsidR="001D59B9" w:rsidRPr="0048465B" w:rsidRDefault="00703A05" w:rsidP="00714416">
      <w:pPr>
        <w:widowControl w:val="0"/>
        <w:spacing w:after="240" w:line="360" w:lineRule="auto"/>
        <w:ind w:left="720"/>
        <w:jc w:val="left"/>
        <w:rPr>
          <w:lang w:val="en-GB"/>
        </w:rPr>
      </w:pPr>
      <w:r w:rsidRPr="0048465B">
        <w:rPr>
          <w:lang w:val="en-GB"/>
        </w:rPr>
        <w:t xml:space="preserve">‘The New Annexation Battle: AIPAC vs. AOC’, </w:t>
      </w:r>
      <w:r w:rsidRPr="0048465B">
        <w:rPr>
          <w:i/>
          <w:lang w:val="en-GB"/>
        </w:rPr>
        <w:t>Haaretz &lt;</w:t>
      </w:r>
      <w:r w:rsidRPr="0048465B">
        <w:rPr>
          <w:lang w:val="en-GB"/>
        </w:rPr>
        <w:t>https://www.haaretz.com/us-news/.premium-the-new-annexation-battle-aipac-vs-aoc-1.8957226&gt; [accessed 21 December 2020]</w:t>
      </w:r>
      <w:r w:rsidR="003C28AB">
        <w:rPr>
          <w:lang w:val="en-GB"/>
        </w:rPr>
        <w:t>.</w:t>
      </w:r>
    </w:p>
    <w:p w14:paraId="29643446" w14:textId="0BD65B83" w:rsidR="001D59B9" w:rsidRPr="0048465B" w:rsidRDefault="00703A05" w:rsidP="00714416">
      <w:pPr>
        <w:widowControl w:val="0"/>
        <w:spacing w:after="240" w:line="360" w:lineRule="auto"/>
        <w:ind w:left="720"/>
        <w:jc w:val="left"/>
        <w:rPr>
          <w:lang w:val="en-GB"/>
        </w:rPr>
      </w:pPr>
      <w:r w:rsidRPr="0048465B">
        <w:rPr>
          <w:lang w:val="en-GB"/>
        </w:rPr>
        <w:t>‘The Occupation of Water’ &lt;https://www.amnesty.org/en/latest/campaigns/2017/11/the-occupation-of-water/&gt; [accessed 17 February 2021]</w:t>
      </w:r>
      <w:r w:rsidR="003C28AB">
        <w:rPr>
          <w:lang w:val="en-GB"/>
        </w:rPr>
        <w:t>.</w:t>
      </w:r>
    </w:p>
    <w:p w14:paraId="043630EF" w14:textId="3AF51FA6" w:rsidR="001D59B9" w:rsidRPr="0048465B" w:rsidRDefault="00703A05" w:rsidP="00714416">
      <w:pPr>
        <w:widowControl w:val="0"/>
        <w:spacing w:after="240" w:line="360" w:lineRule="auto"/>
        <w:ind w:left="720"/>
        <w:jc w:val="left"/>
        <w:rPr>
          <w:lang w:val="en-GB"/>
        </w:rPr>
      </w:pPr>
      <w:r w:rsidRPr="0048465B">
        <w:rPr>
          <w:lang w:val="en-GB"/>
        </w:rPr>
        <w:t xml:space="preserve">‘The Palestinians Are the New Jews’, </w:t>
      </w:r>
      <w:r w:rsidRPr="0048465B">
        <w:rPr>
          <w:i/>
          <w:lang w:val="en-GB"/>
        </w:rPr>
        <w:t>Haaretz</w:t>
      </w:r>
      <w:r w:rsidRPr="0048465B">
        <w:rPr>
          <w:lang w:val="en-GB"/>
        </w:rPr>
        <w:t>, 22 September 2011 &lt;https://www.haaretz.com/1.5181096&gt; [accessed 8 September 2018]</w:t>
      </w:r>
      <w:r w:rsidR="003C28AB">
        <w:rPr>
          <w:lang w:val="en-GB"/>
        </w:rPr>
        <w:t>.</w:t>
      </w:r>
    </w:p>
    <w:p w14:paraId="2DFFE996" w14:textId="5D7952F2" w:rsidR="001D59B9" w:rsidRPr="0048465B" w:rsidRDefault="00703A05" w:rsidP="00714416">
      <w:pPr>
        <w:widowControl w:val="0"/>
        <w:spacing w:after="240" w:line="360" w:lineRule="auto"/>
        <w:ind w:left="720"/>
        <w:jc w:val="left"/>
        <w:rPr>
          <w:lang w:val="en-GB"/>
        </w:rPr>
      </w:pPr>
      <w:r w:rsidRPr="0048465B">
        <w:rPr>
          <w:lang w:val="en-GB"/>
        </w:rPr>
        <w:t>The White House, ‘Peace to Prosperity: A Vision to Improve the Lives of the Palestinian and Israeli People’, 2020 &lt;https://www.whitehouse.gov/wp-content/uploads/2020/01/Peace-to-Prosperity-0120.pdf&gt; [accessed 23 November 2020]</w:t>
      </w:r>
      <w:r w:rsidR="003C28AB">
        <w:rPr>
          <w:lang w:val="en-GB"/>
        </w:rPr>
        <w:t>.</w:t>
      </w:r>
    </w:p>
    <w:p w14:paraId="4DB0F223" w14:textId="62F03C0B" w:rsidR="001D59B9" w:rsidRPr="0048465B" w:rsidRDefault="00703A05" w:rsidP="00714416">
      <w:pPr>
        <w:widowControl w:val="0"/>
        <w:spacing w:after="240" w:line="360" w:lineRule="auto"/>
        <w:ind w:left="720"/>
        <w:jc w:val="left"/>
        <w:rPr>
          <w:lang w:val="en-GB"/>
        </w:rPr>
      </w:pPr>
      <w:r w:rsidRPr="0048465B">
        <w:rPr>
          <w:lang w:val="en-GB"/>
        </w:rPr>
        <w:t xml:space="preserve">Thrall, Nathan, ‘BDS: How a Controversial Non-Violent Movement Has Transformed the Israeli-Palestinian Debate’, </w:t>
      </w:r>
      <w:r w:rsidRPr="0048465B">
        <w:rPr>
          <w:i/>
          <w:lang w:val="en-GB"/>
        </w:rPr>
        <w:t>The Guardian</w:t>
      </w:r>
      <w:r w:rsidRPr="0048465B">
        <w:rPr>
          <w:lang w:val="en-GB"/>
        </w:rPr>
        <w:t>, 14 August 2018 &lt;https://www.theguardian.com/news/2018/aug/14/bds-boycott-divestment-sanctions-movement-transformed-israeli-palestinian-debate&gt; [accessed 13 July 2020]</w:t>
      </w:r>
      <w:r w:rsidR="003C28AB">
        <w:rPr>
          <w:lang w:val="en-GB"/>
        </w:rPr>
        <w:t>.</w:t>
      </w:r>
    </w:p>
    <w:p w14:paraId="18460FF8" w14:textId="4BA0BE74" w:rsidR="001D59B9" w:rsidRPr="0048465B" w:rsidRDefault="00703A05" w:rsidP="00714416">
      <w:pPr>
        <w:widowControl w:val="0"/>
        <w:spacing w:after="240" w:line="360" w:lineRule="auto"/>
        <w:ind w:left="720"/>
        <w:jc w:val="left"/>
        <w:rPr>
          <w:lang w:val="en-GB"/>
        </w:rPr>
      </w:pPr>
      <w:r w:rsidRPr="0048465B">
        <w:rPr>
          <w:lang w:val="en-GB"/>
        </w:rPr>
        <w:t>Thrall, Nathan, ‘What Future for Israel?’ &lt;https://www.nybooks.com/articles/2013/08/15/what-future-israel/&gt; [accessed 30 November 2020]</w:t>
      </w:r>
      <w:r w:rsidR="003C28AB">
        <w:rPr>
          <w:lang w:val="en-GB"/>
        </w:rPr>
        <w:t>.</w:t>
      </w:r>
    </w:p>
    <w:p w14:paraId="52DF5C1C" w14:textId="12DE4358" w:rsidR="001D59B9" w:rsidRPr="0048465B" w:rsidRDefault="00703A05" w:rsidP="00714416">
      <w:pPr>
        <w:widowControl w:val="0"/>
        <w:spacing w:after="240" w:line="360" w:lineRule="auto"/>
        <w:ind w:left="720"/>
        <w:jc w:val="left"/>
        <w:rPr>
          <w:lang w:val="en-GB"/>
        </w:rPr>
      </w:pPr>
      <w:r w:rsidRPr="0048465B">
        <w:rPr>
          <w:lang w:val="en-GB"/>
        </w:rPr>
        <w:lastRenderedPageBreak/>
        <w:t xml:space="preserve">Tossavainen, Mikael, ‘The Holocaust in Arab Public Discourse: Historicized Politics and Politicized History’, </w:t>
      </w:r>
      <w:r w:rsidRPr="0048465B">
        <w:rPr>
          <w:i/>
          <w:lang w:val="en-GB"/>
        </w:rPr>
        <w:t>Jewish Political Studies Review</w:t>
      </w:r>
      <w:r w:rsidRPr="0048465B">
        <w:rPr>
          <w:lang w:val="en-GB"/>
        </w:rPr>
        <w:t>, 20.3/4 (2008), 93–106</w:t>
      </w:r>
      <w:r w:rsidR="003C28AB">
        <w:rPr>
          <w:lang w:val="en-GB"/>
        </w:rPr>
        <w:t>.</w:t>
      </w:r>
    </w:p>
    <w:p w14:paraId="5DDD6ECB" w14:textId="58619EAF" w:rsidR="001D59B9" w:rsidRPr="0048465B" w:rsidRDefault="00703A05" w:rsidP="00714416">
      <w:pPr>
        <w:widowControl w:val="0"/>
        <w:spacing w:after="240" w:line="360" w:lineRule="auto"/>
        <w:ind w:left="720"/>
        <w:jc w:val="left"/>
        <w:rPr>
          <w:lang w:val="en-GB"/>
        </w:rPr>
      </w:pPr>
      <w:r w:rsidRPr="0048465B">
        <w:rPr>
          <w:lang w:val="en-GB"/>
        </w:rPr>
        <w:t>‘Treaties, States Parties, and Commentaries - Geneva Convention (IV) on Civilians, 1949 - 56 - Hygiene and Public Health’ &lt;https://ihl-databases.icrc.org/applic/ihl/ihl.nsf/ART/380-600063?OpenDocument&gt; [accessed 23 February 2021]</w:t>
      </w:r>
      <w:r w:rsidR="003C28AB">
        <w:rPr>
          <w:lang w:val="en-GB"/>
        </w:rPr>
        <w:t>.</w:t>
      </w:r>
    </w:p>
    <w:p w14:paraId="12F04CAC" w14:textId="66B68355" w:rsidR="001D59B9" w:rsidRPr="0048465B" w:rsidRDefault="00703A05" w:rsidP="00714416">
      <w:pPr>
        <w:widowControl w:val="0"/>
        <w:spacing w:after="240" w:line="360" w:lineRule="auto"/>
        <w:ind w:left="720"/>
        <w:jc w:val="left"/>
        <w:rPr>
          <w:lang w:val="en-GB"/>
        </w:rPr>
      </w:pPr>
      <w:r w:rsidRPr="0048465B">
        <w:rPr>
          <w:lang w:val="en-GB"/>
        </w:rPr>
        <w:t xml:space="preserve">‘Trump “Asked for Options on Strike on Iran Nuclear Site”’, </w:t>
      </w:r>
      <w:r w:rsidRPr="0048465B">
        <w:rPr>
          <w:i/>
          <w:lang w:val="en-GB"/>
        </w:rPr>
        <w:t>BBC News</w:t>
      </w:r>
      <w:r w:rsidRPr="0048465B">
        <w:rPr>
          <w:lang w:val="en-GB"/>
        </w:rPr>
        <w:t>, 17 November 2020, section Middle East &lt;https://www.bbc.co.uk/news/world-middle-east-54972269&gt; [accessed 25 November 2020]</w:t>
      </w:r>
      <w:r w:rsidR="003C28AB">
        <w:rPr>
          <w:lang w:val="en-GB"/>
        </w:rPr>
        <w:t>.</w:t>
      </w:r>
    </w:p>
    <w:p w14:paraId="27BA1DAE" w14:textId="0B1601D6" w:rsidR="001D59B9" w:rsidRPr="0048465B" w:rsidRDefault="00703A05" w:rsidP="00714416">
      <w:pPr>
        <w:widowControl w:val="0"/>
        <w:spacing w:after="240" w:line="360" w:lineRule="auto"/>
        <w:ind w:left="720"/>
        <w:jc w:val="left"/>
        <w:rPr>
          <w:lang w:val="en-GB"/>
        </w:rPr>
      </w:pPr>
      <w:r w:rsidRPr="0048465B">
        <w:rPr>
          <w:lang w:val="en-GB"/>
        </w:rPr>
        <w:t xml:space="preserve">‘UN Expert Criticises Israel’s Continued Collective Punishment of Palestinians’, </w:t>
      </w:r>
      <w:r w:rsidRPr="0048465B">
        <w:rPr>
          <w:i/>
          <w:lang w:val="en-GB"/>
        </w:rPr>
        <w:t>Middle East Monitor</w:t>
      </w:r>
      <w:r w:rsidRPr="0048465B">
        <w:rPr>
          <w:lang w:val="en-GB"/>
        </w:rPr>
        <w:t>, 2020 &lt;https://www.middleeastmonitor.com/20200717-un-expert-criticises-israels-continued-collective-punishment-of-palestinians/&gt; [accessed 1 January 2021]</w:t>
      </w:r>
      <w:r w:rsidR="003C28AB">
        <w:rPr>
          <w:lang w:val="en-GB"/>
        </w:rPr>
        <w:t>.</w:t>
      </w:r>
    </w:p>
    <w:p w14:paraId="2A1162B8" w14:textId="73511912" w:rsidR="001D59B9" w:rsidRPr="0048465B" w:rsidRDefault="00703A05" w:rsidP="00714416">
      <w:pPr>
        <w:widowControl w:val="0"/>
        <w:spacing w:after="240" w:line="360" w:lineRule="auto"/>
        <w:ind w:left="720"/>
        <w:jc w:val="left"/>
        <w:rPr>
          <w:lang w:val="en-GB"/>
        </w:rPr>
      </w:pPr>
      <w:r w:rsidRPr="0048465B">
        <w:rPr>
          <w:lang w:val="en-GB"/>
        </w:rPr>
        <w:t xml:space="preserve">United Nations Office for the Coordination of Humanitarian Affairs, ‘Data on Casualties’, </w:t>
      </w:r>
      <w:r w:rsidRPr="0048465B">
        <w:rPr>
          <w:i/>
          <w:lang w:val="en-GB"/>
        </w:rPr>
        <w:t>Occupied Palestinian Territory</w:t>
      </w:r>
      <w:r w:rsidRPr="0048465B">
        <w:rPr>
          <w:lang w:val="en-GB"/>
        </w:rPr>
        <w:t xml:space="preserve"> &lt;https://www.ochaopt.org/data/casualties&gt; [accessed 18 November 2020]</w:t>
      </w:r>
      <w:r w:rsidR="003C28AB">
        <w:rPr>
          <w:lang w:val="en-GB"/>
        </w:rPr>
        <w:t>.</w:t>
      </w:r>
    </w:p>
    <w:p w14:paraId="780503C2" w14:textId="4D8BC664" w:rsidR="001D59B9" w:rsidRPr="0048465B" w:rsidRDefault="00703A05" w:rsidP="00714416">
      <w:pPr>
        <w:widowControl w:val="0"/>
        <w:spacing w:after="240" w:line="360" w:lineRule="auto"/>
        <w:ind w:left="720"/>
        <w:jc w:val="left"/>
        <w:rPr>
          <w:lang w:val="en-GB"/>
        </w:rPr>
      </w:pPr>
      <w:r w:rsidRPr="0048465B">
        <w:rPr>
          <w:lang w:val="en-GB"/>
        </w:rPr>
        <w:t>‘UN Resolution 3379, 10 November 1975’ &lt;https://unispal.un.org/UNISPAL.NSF/0/761C1063530766A7052566A2005B74D1&gt; [accessed 4 March 2021]</w:t>
      </w:r>
      <w:r w:rsidR="003C28AB">
        <w:rPr>
          <w:lang w:val="en-GB"/>
        </w:rPr>
        <w:t>.</w:t>
      </w:r>
    </w:p>
    <w:p w14:paraId="736E1E49" w14:textId="3E8F0ABC" w:rsidR="001D59B9" w:rsidRPr="0048465B" w:rsidRDefault="00703A05" w:rsidP="00714416">
      <w:pPr>
        <w:widowControl w:val="0"/>
        <w:spacing w:after="240" w:line="360" w:lineRule="auto"/>
        <w:ind w:left="720"/>
        <w:jc w:val="left"/>
        <w:rPr>
          <w:lang w:val="en-GB"/>
        </w:rPr>
      </w:pPr>
      <w:r w:rsidRPr="0048465B">
        <w:rPr>
          <w:lang w:val="en-GB"/>
        </w:rPr>
        <w:t>‘What Is a “Mamzer”?’ &lt;https://www.chabad.org/library/article_cdo/aid/4007896/jewish/What-Is-a-Mamzer.htm&gt; [accessed 20 July 2020]</w:t>
      </w:r>
      <w:r w:rsidR="003C28AB">
        <w:rPr>
          <w:lang w:val="en-GB"/>
        </w:rPr>
        <w:t>.</w:t>
      </w:r>
    </w:p>
    <w:p w14:paraId="628CDD9D" w14:textId="795B0E0E" w:rsidR="001D59B9" w:rsidRPr="0048465B" w:rsidRDefault="00703A05" w:rsidP="00714416">
      <w:pPr>
        <w:widowControl w:val="0"/>
        <w:spacing w:after="240" w:line="360" w:lineRule="auto"/>
        <w:ind w:left="720"/>
        <w:jc w:val="left"/>
        <w:rPr>
          <w:lang w:val="en-GB"/>
        </w:rPr>
      </w:pPr>
      <w:r w:rsidRPr="0048465B">
        <w:rPr>
          <w:lang w:val="en-GB"/>
        </w:rPr>
        <w:t xml:space="preserve">‘What Is BDS?’, </w:t>
      </w:r>
      <w:r w:rsidRPr="0048465B">
        <w:rPr>
          <w:i/>
          <w:lang w:val="en-GB"/>
        </w:rPr>
        <w:t>BDS Movement</w:t>
      </w:r>
      <w:r w:rsidRPr="0048465B">
        <w:rPr>
          <w:lang w:val="en-GB"/>
        </w:rPr>
        <w:t>, 2016 &lt;https://bdsmovement.net/what-is-bds&gt; [accessed 27 November 2020]</w:t>
      </w:r>
      <w:r w:rsidR="003C28AB">
        <w:rPr>
          <w:lang w:val="en-GB"/>
        </w:rPr>
        <w:t>.</w:t>
      </w:r>
    </w:p>
    <w:p w14:paraId="511EBD0E" w14:textId="719A3303" w:rsidR="001D59B9" w:rsidRPr="0048465B" w:rsidRDefault="00703A05" w:rsidP="00714416">
      <w:pPr>
        <w:widowControl w:val="0"/>
        <w:spacing w:after="240" w:line="360" w:lineRule="auto"/>
        <w:ind w:left="720"/>
        <w:jc w:val="left"/>
        <w:rPr>
          <w:lang w:val="en-GB"/>
        </w:rPr>
      </w:pPr>
      <w:r w:rsidRPr="0048465B">
        <w:rPr>
          <w:lang w:val="en-GB"/>
        </w:rPr>
        <w:t xml:space="preserve">White, Ben, ‘Dialogue vs. BDS? Responding to Arguments against an Academic Boycott of Israel’, </w:t>
      </w:r>
      <w:r w:rsidRPr="0048465B">
        <w:rPr>
          <w:i/>
          <w:lang w:val="en-GB"/>
        </w:rPr>
        <w:t>Middle East Monitor</w:t>
      </w:r>
      <w:r w:rsidRPr="0048465B">
        <w:rPr>
          <w:lang w:val="en-GB"/>
        </w:rPr>
        <w:t>, 2015 &lt;https://www.middleeastmonitor.com/20151106-dialogue-vs-bds-responding-to-arguments-against-an-academic-boycott-of-israel/&gt; [accessed 25 February 2021]</w:t>
      </w:r>
      <w:r w:rsidR="003C28AB">
        <w:rPr>
          <w:lang w:val="en-GB"/>
        </w:rPr>
        <w:t>.</w:t>
      </w:r>
    </w:p>
    <w:p w14:paraId="2347A6F1" w14:textId="227CAA17" w:rsidR="001D59B9" w:rsidRPr="0048465B" w:rsidRDefault="00703A05" w:rsidP="00714416">
      <w:pPr>
        <w:widowControl w:val="0"/>
        <w:spacing w:after="240" w:line="360" w:lineRule="auto"/>
        <w:ind w:left="720"/>
        <w:jc w:val="left"/>
        <w:rPr>
          <w:lang w:val="en-GB"/>
        </w:rPr>
      </w:pPr>
      <w:r w:rsidRPr="0048465B">
        <w:rPr>
          <w:lang w:val="en-GB"/>
        </w:rPr>
        <w:lastRenderedPageBreak/>
        <w:t xml:space="preserve">‘“Who Needs so Many Arabs?” Meet the Man Tasked with Improving Israel’s Ties with the Jewish Diaspora’, </w:t>
      </w:r>
      <w:r w:rsidRPr="0048465B">
        <w:rPr>
          <w:i/>
          <w:lang w:val="en-GB"/>
        </w:rPr>
        <w:t>Haaretz &lt;</w:t>
      </w:r>
      <w:r w:rsidRPr="0048465B">
        <w:rPr>
          <w:lang w:val="en-GB"/>
        </w:rPr>
        <w:t>https://www.haaretz.com/israel-news/.premium-meet-the-man-tasked-with-improving-israel-s-ties-with-the-jewish-diaspora-1.9269883&gt; [accessed 2 December 2020]</w:t>
      </w:r>
      <w:r w:rsidR="003C28AB">
        <w:rPr>
          <w:lang w:val="en-GB"/>
        </w:rPr>
        <w:t>.</w:t>
      </w:r>
    </w:p>
    <w:p w14:paraId="0EDC31C3" w14:textId="55423EF6" w:rsidR="001D59B9" w:rsidRPr="0048465B" w:rsidRDefault="00703A05" w:rsidP="00714416">
      <w:pPr>
        <w:widowControl w:val="0"/>
        <w:spacing w:after="240" w:line="360" w:lineRule="auto"/>
        <w:ind w:left="720"/>
        <w:jc w:val="left"/>
        <w:rPr>
          <w:lang w:val="en-GB"/>
        </w:rPr>
      </w:pPr>
      <w:r w:rsidRPr="0048465B">
        <w:rPr>
          <w:lang w:val="en-GB"/>
        </w:rPr>
        <w:t xml:space="preserve">Wistrich, Robert S., ‘Israel and the Holocaust Trauma’, </w:t>
      </w:r>
      <w:r w:rsidRPr="0048465B">
        <w:rPr>
          <w:i/>
          <w:lang w:val="en-GB"/>
        </w:rPr>
        <w:t>Jewish History</w:t>
      </w:r>
      <w:r w:rsidRPr="0048465B">
        <w:rPr>
          <w:lang w:val="en-GB"/>
        </w:rPr>
        <w:t>, 11.2 (1997), 13–20</w:t>
      </w:r>
      <w:r w:rsidR="003C28AB">
        <w:rPr>
          <w:lang w:val="en-GB"/>
        </w:rPr>
        <w:t>.</w:t>
      </w:r>
    </w:p>
    <w:p w14:paraId="306DC0E2" w14:textId="7DC1592F" w:rsidR="001D59B9" w:rsidRPr="0048465B" w:rsidRDefault="00703A05" w:rsidP="00714416">
      <w:pPr>
        <w:widowControl w:val="0"/>
        <w:spacing w:after="240" w:line="360" w:lineRule="auto"/>
        <w:ind w:left="720"/>
        <w:jc w:val="left"/>
        <w:rPr>
          <w:lang w:val="en-GB"/>
        </w:rPr>
      </w:pPr>
      <w:r w:rsidRPr="0048465B">
        <w:rPr>
          <w:lang w:val="en-GB"/>
        </w:rPr>
        <w:t xml:space="preserve">‘Working Definition of Antisemitism’, </w:t>
      </w:r>
      <w:r w:rsidRPr="0048465B">
        <w:rPr>
          <w:i/>
          <w:lang w:val="en-GB"/>
        </w:rPr>
        <w:t>IHRA</w:t>
      </w:r>
      <w:r w:rsidRPr="0048465B">
        <w:rPr>
          <w:lang w:val="en-GB"/>
        </w:rPr>
        <w:t xml:space="preserve"> &lt;https://www.holocaustremembrance.com/working-definition-antisemitism&gt; [accessed 8 September 2018]</w:t>
      </w:r>
      <w:r w:rsidR="003C28AB">
        <w:rPr>
          <w:lang w:val="en-GB"/>
        </w:rPr>
        <w:t>.</w:t>
      </w:r>
    </w:p>
    <w:p w14:paraId="7D8D7D08" w14:textId="2BF5A100" w:rsidR="001D59B9" w:rsidRPr="0048465B" w:rsidRDefault="00703A05" w:rsidP="00714416">
      <w:pPr>
        <w:widowControl w:val="0"/>
        <w:spacing w:after="240" w:line="360" w:lineRule="auto"/>
        <w:ind w:left="720"/>
        <w:jc w:val="left"/>
        <w:rPr>
          <w:lang w:val="en-GB"/>
        </w:rPr>
      </w:pPr>
      <w:proofErr w:type="spellStart"/>
      <w:r w:rsidRPr="0048465B">
        <w:rPr>
          <w:lang w:val="en-GB"/>
        </w:rPr>
        <w:t>Yaron</w:t>
      </w:r>
      <w:proofErr w:type="spellEnd"/>
      <w:r w:rsidRPr="0048465B">
        <w:rPr>
          <w:lang w:val="en-GB"/>
        </w:rPr>
        <w:t xml:space="preserve">, Lee, and Josh </w:t>
      </w:r>
      <w:proofErr w:type="spellStart"/>
      <w:r w:rsidRPr="0048465B">
        <w:rPr>
          <w:lang w:val="en-GB"/>
        </w:rPr>
        <w:t>Breiner</w:t>
      </w:r>
      <w:proofErr w:type="spellEnd"/>
      <w:r w:rsidRPr="0048465B">
        <w:rPr>
          <w:lang w:val="en-GB"/>
        </w:rPr>
        <w:t xml:space="preserve">, ‘Thousands Protest Israeli Annexation in Tel Aviv; Bernie Sanders Calls to “Stand Up to Authoritarian Leaders”’, </w:t>
      </w:r>
      <w:r w:rsidRPr="0048465B">
        <w:rPr>
          <w:i/>
          <w:lang w:val="en-GB"/>
        </w:rPr>
        <w:t>Haaretz &lt;</w:t>
      </w:r>
      <w:r w:rsidRPr="0048465B">
        <w:rPr>
          <w:lang w:val="en-GB"/>
        </w:rPr>
        <w:t>https://www.haaretz.com/israel-news/.premium-after-backlash-israeli-police-to-allow-anti-annexation-rally-1.8900305&gt; [accessed 21 December 2020]</w:t>
      </w:r>
      <w:r w:rsidR="003C28AB">
        <w:rPr>
          <w:lang w:val="en-GB"/>
        </w:rPr>
        <w:t>.</w:t>
      </w:r>
    </w:p>
    <w:p w14:paraId="3802A16E" w14:textId="3526CE94" w:rsidR="001D59B9" w:rsidRPr="0048465B" w:rsidRDefault="00703A05" w:rsidP="00714416">
      <w:pPr>
        <w:widowControl w:val="0"/>
        <w:spacing w:after="240" w:line="360" w:lineRule="auto"/>
        <w:ind w:left="720"/>
        <w:jc w:val="left"/>
        <w:rPr>
          <w:lang w:val="en-GB"/>
        </w:rPr>
      </w:pPr>
      <w:proofErr w:type="spellStart"/>
      <w:r w:rsidRPr="0048465B">
        <w:rPr>
          <w:lang w:val="en-GB"/>
        </w:rPr>
        <w:t>Zevallos</w:t>
      </w:r>
      <w:proofErr w:type="spellEnd"/>
      <w:r w:rsidRPr="0048465B">
        <w:rPr>
          <w:lang w:val="en-GB"/>
        </w:rPr>
        <w:t xml:space="preserve">, Dr </w:t>
      </w:r>
      <w:proofErr w:type="spellStart"/>
      <w:r w:rsidRPr="0048465B">
        <w:rPr>
          <w:lang w:val="en-GB"/>
        </w:rPr>
        <w:t>Zuleyka</w:t>
      </w:r>
      <w:proofErr w:type="spellEnd"/>
      <w:r w:rsidRPr="0048465B">
        <w:rPr>
          <w:lang w:val="en-GB"/>
        </w:rPr>
        <w:t xml:space="preserve">, ‘“Where Are You From?” Racial Microaggressions’, </w:t>
      </w:r>
      <w:r w:rsidRPr="0048465B">
        <w:rPr>
          <w:i/>
          <w:lang w:val="en-GB"/>
        </w:rPr>
        <w:t>The Other Sociologist</w:t>
      </w:r>
      <w:r w:rsidRPr="0048465B">
        <w:rPr>
          <w:lang w:val="en-GB"/>
        </w:rPr>
        <w:t>, 2017 &lt;https://othersociologist.com/2017/07/15/where-are-you-from-racial-microaggressions/&gt; [accessed 16 July 2020]</w:t>
      </w:r>
      <w:r w:rsidR="003C28AB">
        <w:rPr>
          <w:lang w:val="en-GB"/>
        </w:rPr>
        <w:t>.</w:t>
      </w:r>
    </w:p>
    <w:p w14:paraId="57F7C6CF" w14:textId="6DD6A0C2" w:rsidR="001D59B9" w:rsidRPr="0048465B" w:rsidRDefault="00703A05" w:rsidP="00714416">
      <w:pPr>
        <w:widowControl w:val="0"/>
        <w:spacing w:after="240" w:line="360" w:lineRule="auto"/>
        <w:ind w:left="720"/>
        <w:jc w:val="left"/>
        <w:rPr>
          <w:lang w:val="en-GB"/>
        </w:rPr>
      </w:pPr>
      <w:proofErr w:type="spellStart"/>
      <w:r w:rsidRPr="0048465B">
        <w:rPr>
          <w:lang w:val="en-GB"/>
        </w:rPr>
        <w:t>Zonszein</w:t>
      </w:r>
      <w:proofErr w:type="spellEnd"/>
      <w:r w:rsidRPr="0048465B">
        <w:rPr>
          <w:lang w:val="en-GB"/>
        </w:rPr>
        <w:t xml:space="preserve">, </w:t>
      </w:r>
      <w:proofErr w:type="spellStart"/>
      <w:r w:rsidRPr="0048465B">
        <w:rPr>
          <w:lang w:val="en-GB"/>
        </w:rPr>
        <w:t>Mairav</w:t>
      </w:r>
      <w:proofErr w:type="spellEnd"/>
      <w:r w:rsidRPr="0048465B">
        <w:rPr>
          <w:lang w:val="en-GB"/>
        </w:rPr>
        <w:t xml:space="preserve">, ‘Binyamin Netanyahu: “Arab Voters Are Heading to the Polling Stations in Droves”’, </w:t>
      </w:r>
      <w:r w:rsidRPr="0048465B">
        <w:rPr>
          <w:i/>
          <w:lang w:val="en-GB"/>
        </w:rPr>
        <w:t>The Guardian</w:t>
      </w:r>
      <w:r w:rsidRPr="0048465B">
        <w:rPr>
          <w:lang w:val="en-GB"/>
        </w:rPr>
        <w:t>, 2015 &lt;http://www.theguardian.com/world/2015/mar/17/binyamin-netanyahu-israel-arab-election&gt; [accessed 16 December 2020]</w:t>
      </w:r>
      <w:r w:rsidR="003C28AB">
        <w:rPr>
          <w:lang w:val="en-GB"/>
        </w:rPr>
        <w:t>.</w:t>
      </w:r>
    </w:p>
    <w:sectPr w:rsidR="001D59B9" w:rsidRPr="0048465B" w:rsidSect="0092030B">
      <w:footnotePr>
        <w:numRestart w:val="eachSect"/>
      </w:footnotePr>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05F3C4" w14:textId="77777777" w:rsidR="00026BA5" w:rsidRDefault="00026BA5">
      <w:pPr>
        <w:spacing w:line="240" w:lineRule="auto"/>
      </w:pPr>
      <w:r>
        <w:separator/>
      </w:r>
    </w:p>
  </w:endnote>
  <w:endnote w:type="continuationSeparator" w:id="0">
    <w:p w14:paraId="36FC2B83" w14:textId="77777777" w:rsidR="00026BA5" w:rsidRDefault="00026B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B47FF" w14:textId="77777777" w:rsidR="00026BA5" w:rsidRDefault="00026BA5">
      <w:pPr>
        <w:spacing w:line="240" w:lineRule="auto"/>
      </w:pPr>
      <w:r>
        <w:separator/>
      </w:r>
    </w:p>
  </w:footnote>
  <w:footnote w:type="continuationSeparator" w:id="0">
    <w:p w14:paraId="063069C6" w14:textId="77777777" w:rsidR="00026BA5" w:rsidRDefault="00026BA5">
      <w:pPr>
        <w:spacing w:line="240" w:lineRule="auto"/>
      </w:pPr>
      <w:r>
        <w:continuationSeparator/>
      </w:r>
    </w:p>
  </w:footnote>
  <w:footnote w:id="1">
    <w:p w14:paraId="405CE5A0" w14:textId="45F7B786"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Michael Rothberg, </w:t>
      </w:r>
      <w:r w:rsidRPr="00FC331F">
        <w:rPr>
          <w:i/>
          <w:color w:val="000000" w:themeColor="text1"/>
          <w:sz w:val="20"/>
          <w:szCs w:val="20"/>
        </w:rPr>
        <w:t>Multidirectional Memory: Remembering the Holocaust in the Age of Decolonization</w:t>
      </w:r>
      <w:r w:rsidRPr="00FC331F">
        <w:rPr>
          <w:color w:val="000000" w:themeColor="text1"/>
          <w:sz w:val="20"/>
          <w:szCs w:val="20"/>
        </w:rPr>
        <w:t>, 1st Edition (Stanford, Calif: Stanford University Press, 2009).</w:t>
      </w:r>
    </w:p>
  </w:footnote>
  <w:footnote w:id="2">
    <w:p w14:paraId="098B82F4" w14:textId="286FDC51" w:rsidR="007522DD" w:rsidRPr="00C63191" w:rsidRDefault="007522DD">
      <w:pPr>
        <w:pStyle w:val="FootnoteText"/>
        <w:rPr>
          <w:lang w:val="en-GB"/>
        </w:rPr>
      </w:pPr>
      <w:r>
        <w:rPr>
          <w:rStyle w:val="FootnoteReference"/>
        </w:rPr>
        <w:footnoteRef/>
      </w:r>
      <w:r>
        <w:t xml:space="preserve"> </w:t>
      </w:r>
      <w:r w:rsidRPr="007522DD">
        <w:t xml:space="preserve">Noura Erakat, </w:t>
      </w:r>
      <w:r w:rsidRPr="007522DD">
        <w:rPr>
          <w:i/>
        </w:rPr>
        <w:t>Justice for Some: Law and the Question of Palestine</w:t>
      </w:r>
      <w:r w:rsidRPr="007522DD">
        <w:t xml:space="preserve">, 1st edition (Stanford University Press, 2019), Location </w:t>
      </w:r>
      <w:r>
        <w:t>861</w:t>
      </w:r>
      <w:r w:rsidRPr="007522DD">
        <w:t>.</w:t>
      </w:r>
    </w:p>
  </w:footnote>
  <w:footnote w:id="3">
    <w:p w14:paraId="3DB090D3" w14:textId="4800F569" w:rsidR="00F76E25" w:rsidRPr="00C63191" w:rsidRDefault="00F76E25">
      <w:pPr>
        <w:pStyle w:val="FootnoteText"/>
        <w:rPr>
          <w:lang w:val="en-GB"/>
        </w:rPr>
      </w:pPr>
      <w:r>
        <w:rPr>
          <w:rStyle w:val="FootnoteReference"/>
        </w:rPr>
        <w:footnoteRef/>
      </w:r>
      <w:r>
        <w:t xml:space="preserve"> </w:t>
      </w:r>
      <w:r w:rsidRPr="00F76E25">
        <w:rPr>
          <w:lang w:val="en-GB"/>
        </w:rPr>
        <w:t xml:space="preserve">John J. </w:t>
      </w:r>
      <w:proofErr w:type="spellStart"/>
      <w:r w:rsidRPr="00F76E25">
        <w:rPr>
          <w:lang w:val="en-GB"/>
        </w:rPr>
        <w:t>McTague</w:t>
      </w:r>
      <w:proofErr w:type="spellEnd"/>
      <w:r w:rsidRPr="00F76E25">
        <w:rPr>
          <w:lang w:val="en-GB"/>
        </w:rPr>
        <w:t xml:space="preserve">, </w:t>
      </w:r>
      <w:r>
        <w:rPr>
          <w:lang w:val="en-GB"/>
        </w:rPr>
        <w:t>“</w:t>
      </w:r>
      <w:r w:rsidRPr="00F76E25">
        <w:rPr>
          <w:lang w:val="en-GB"/>
        </w:rPr>
        <w:t>Zionist-British Negotiations Over The Draft Mandate For Palestine, 1920</w:t>
      </w:r>
      <w:r>
        <w:rPr>
          <w:lang w:val="en-GB"/>
        </w:rPr>
        <w:t>”</w:t>
      </w:r>
      <w:r w:rsidRPr="00F76E25">
        <w:rPr>
          <w:lang w:val="en-GB"/>
        </w:rPr>
        <w:t>, </w:t>
      </w:r>
      <w:r w:rsidRPr="00F76E25">
        <w:rPr>
          <w:i/>
          <w:iCs/>
          <w:lang w:val="en-GB"/>
        </w:rPr>
        <w:t>Jewish Social Studies</w:t>
      </w:r>
      <w:r w:rsidRPr="00F76E25">
        <w:rPr>
          <w:lang w:val="en-GB"/>
        </w:rPr>
        <w:t>, 42.(3/4) (1980), 281-292 (p. 290).</w:t>
      </w:r>
    </w:p>
  </w:footnote>
  <w:footnote w:id="4">
    <w:p w14:paraId="32545CAF" w14:textId="17CD282B" w:rsidR="00C63191" w:rsidRPr="00C63191" w:rsidRDefault="00C63191">
      <w:pPr>
        <w:pStyle w:val="FootnoteText"/>
        <w:rPr>
          <w:lang w:val="en-GB"/>
        </w:rPr>
      </w:pPr>
      <w:r>
        <w:rPr>
          <w:rStyle w:val="FootnoteReference"/>
        </w:rPr>
        <w:footnoteRef/>
      </w:r>
      <w:r>
        <w:t xml:space="preserve"> </w:t>
      </w:r>
      <w:r w:rsidRPr="00C63191">
        <w:t xml:space="preserve">Gilbert Achcar, </w:t>
      </w:r>
      <w:r w:rsidRPr="00C63191">
        <w:rPr>
          <w:i/>
        </w:rPr>
        <w:t>The Arabs and the Holocaust: The Arab-Israeli War of Narratives</w:t>
      </w:r>
      <w:r w:rsidRPr="00C63191">
        <w:t xml:space="preserve"> (</w:t>
      </w:r>
      <w:proofErr w:type="spellStart"/>
      <w:r w:rsidRPr="00C63191">
        <w:t>Saqi</w:t>
      </w:r>
      <w:proofErr w:type="spellEnd"/>
      <w:r w:rsidRPr="00C63191">
        <w:t xml:space="preserve"> Books, 2012), </w:t>
      </w:r>
      <w:r>
        <w:t>p. 18.</w:t>
      </w:r>
    </w:p>
  </w:footnote>
  <w:footnote w:id="5">
    <w:p w14:paraId="30720E87" w14:textId="2DEC7F7E" w:rsidR="00C63191" w:rsidRPr="007B14FD" w:rsidRDefault="00C63191">
      <w:pPr>
        <w:pStyle w:val="FootnoteText"/>
        <w:rPr>
          <w:lang w:val="en-GB"/>
        </w:rPr>
      </w:pPr>
      <w:r>
        <w:rPr>
          <w:rStyle w:val="FootnoteReference"/>
        </w:rPr>
        <w:footnoteRef/>
      </w:r>
      <w:r>
        <w:t xml:space="preserve"> </w:t>
      </w:r>
      <w:r w:rsidR="007B14FD" w:rsidRPr="007B14FD">
        <w:t xml:space="preserve">Erakat, Location </w:t>
      </w:r>
      <w:r w:rsidR="007B14FD">
        <w:t>595</w:t>
      </w:r>
      <w:r w:rsidR="007B14FD" w:rsidRPr="007B14FD">
        <w:t>.</w:t>
      </w:r>
    </w:p>
  </w:footnote>
  <w:footnote w:id="6">
    <w:p w14:paraId="78F98D70" w14:textId="2AA29B0B" w:rsidR="007B14FD" w:rsidRPr="007B14FD" w:rsidRDefault="007B14FD">
      <w:pPr>
        <w:pStyle w:val="FootnoteText"/>
        <w:rPr>
          <w:lang w:val="en-GB"/>
        </w:rPr>
      </w:pPr>
      <w:r>
        <w:rPr>
          <w:rStyle w:val="FootnoteReference"/>
        </w:rPr>
        <w:footnoteRef/>
      </w:r>
      <w:r>
        <w:t xml:space="preserve"> </w:t>
      </w:r>
      <w:r>
        <w:rPr>
          <w:lang w:val="en-GB"/>
        </w:rPr>
        <w:t>Erakat, Location 1038.</w:t>
      </w:r>
    </w:p>
  </w:footnote>
  <w:footnote w:id="7">
    <w:p w14:paraId="2F9E3F64" w14:textId="77777777" w:rsidR="007B14FD" w:rsidRPr="007B14FD" w:rsidRDefault="007B14FD" w:rsidP="007B14FD">
      <w:pPr>
        <w:pStyle w:val="FootnoteText"/>
        <w:rPr>
          <w:lang w:val="en-GB"/>
        </w:rPr>
      </w:pPr>
      <w:r>
        <w:rPr>
          <w:rStyle w:val="FootnoteReference"/>
        </w:rPr>
        <w:footnoteRef/>
      </w:r>
      <w:r>
        <w:t xml:space="preserve"> </w:t>
      </w:r>
      <w:r w:rsidRPr="007B14FD">
        <w:rPr>
          <w:lang w:val="en-GB"/>
        </w:rPr>
        <w:t>Yehuda Bauer, "From Cooperation To Resistance: The Haganah 1938–1946", </w:t>
      </w:r>
      <w:r w:rsidRPr="007B14FD">
        <w:rPr>
          <w:i/>
          <w:iCs/>
          <w:lang w:val="en-GB"/>
        </w:rPr>
        <w:t>Middle Eastern Studies</w:t>
      </w:r>
      <w:r w:rsidRPr="007B14FD">
        <w:rPr>
          <w:lang w:val="en-GB"/>
        </w:rPr>
        <w:t>, 2.3 (1966), 182-210 (p.185) &lt;https://doi.org/10.1080/00263206608700044&gt;.</w:t>
      </w:r>
    </w:p>
    <w:p w14:paraId="3F66106F" w14:textId="64F299B2" w:rsidR="007B14FD" w:rsidRPr="007B14FD" w:rsidRDefault="007B14FD">
      <w:pPr>
        <w:pStyle w:val="FootnoteText"/>
        <w:rPr>
          <w:lang w:val="en-GB"/>
        </w:rPr>
      </w:pPr>
    </w:p>
  </w:footnote>
  <w:footnote w:id="8">
    <w:p w14:paraId="46E1F77A" w14:textId="40914051"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Max Silverman, </w:t>
      </w:r>
      <w:r w:rsidRPr="00FC331F">
        <w:rPr>
          <w:i/>
          <w:color w:val="000000" w:themeColor="text1"/>
          <w:sz w:val="20"/>
          <w:szCs w:val="20"/>
        </w:rPr>
        <w:t>Palimpsestic Memory: The Holocaust and Colonialism in French and Francophone Fiction and Film</w:t>
      </w:r>
      <w:r w:rsidRPr="00FC331F">
        <w:rPr>
          <w:color w:val="000000" w:themeColor="text1"/>
          <w:sz w:val="20"/>
          <w:szCs w:val="20"/>
        </w:rPr>
        <w:t xml:space="preserve"> (New York: </w:t>
      </w:r>
      <w:proofErr w:type="spellStart"/>
      <w:r w:rsidRPr="00FC331F">
        <w:rPr>
          <w:color w:val="000000" w:themeColor="text1"/>
          <w:sz w:val="20"/>
          <w:szCs w:val="20"/>
        </w:rPr>
        <w:t>Berghahn</w:t>
      </w:r>
      <w:proofErr w:type="spellEnd"/>
      <w:r w:rsidRPr="00FC331F">
        <w:rPr>
          <w:color w:val="000000" w:themeColor="text1"/>
          <w:sz w:val="20"/>
          <w:szCs w:val="20"/>
        </w:rPr>
        <w:t xml:space="preserve"> Books, 2013).</w:t>
      </w:r>
    </w:p>
  </w:footnote>
  <w:footnote w:id="9">
    <w:p w14:paraId="65DFE0AE" w14:textId="788B68C1"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Michael Rothberg, ‘From Gaza to Warsaw: Mapping Multidirectional Memory’, </w:t>
      </w:r>
      <w:r w:rsidRPr="00FC331F">
        <w:rPr>
          <w:i/>
          <w:color w:val="000000" w:themeColor="text1"/>
          <w:sz w:val="20"/>
          <w:szCs w:val="20"/>
        </w:rPr>
        <w:t>Criticism</w:t>
      </w:r>
      <w:r w:rsidRPr="00FC331F">
        <w:rPr>
          <w:color w:val="000000" w:themeColor="text1"/>
          <w:sz w:val="20"/>
          <w:szCs w:val="20"/>
        </w:rPr>
        <w:t>, 53.4 (2011), 523–48.</w:t>
      </w:r>
    </w:p>
  </w:footnote>
  <w:footnote w:id="10">
    <w:p w14:paraId="58BB597D" w14:textId="56C22242"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Ari Folman, </w:t>
      </w:r>
      <w:r w:rsidRPr="00FC331F">
        <w:rPr>
          <w:i/>
          <w:color w:val="000000" w:themeColor="text1"/>
          <w:sz w:val="20"/>
          <w:szCs w:val="20"/>
        </w:rPr>
        <w:t>Waltz with Bashir</w:t>
      </w:r>
      <w:r w:rsidRPr="00FC331F">
        <w:rPr>
          <w:color w:val="000000" w:themeColor="text1"/>
          <w:sz w:val="20"/>
          <w:szCs w:val="20"/>
        </w:rPr>
        <w:t>, 2008.</w:t>
      </w:r>
    </w:p>
  </w:footnote>
  <w:footnote w:id="11">
    <w:p w14:paraId="64C020E1" w14:textId="0AF6D877" w:rsidR="00736D5A" w:rsidRPr="004D2C7E" w:rsidRDefault="00736D5A">
      <w:pPr>
        <w:pStyle w:val="FootnoteText"/>
        <w:rPr>
          <w:lang w:val="en-GB"/>
        </w:rPr>
      </w:pPr>
      <w:r>
        <w:rPr>
          <w:rStyle w:val="FootnoteReference"/>
        </w:rPr>
        <w:footnoteRef/>
      </w:r>
      <w:r>
        <w:t xml:space="preserve"> </w:t>
      </w:r>
      <w:r w:rsidRPr="0048465B">
        <w:rPr>
          <w:lang w:val="en-GB"/>
        </w:rPr>
        <w:t>Jewish</w:t>
      </w:r>
      <w:r w:rsidR="00BC374E">
        <w:rPr>
          <w:lang w:val="en-GB"/>
        </w:rPr>
        <w:t xml:space="preserve"> </w:t>
      </w:r>
      <w:r w:rsidRPr="0048465B">
        <w:rPr>
          <w:lang w:val="en-GB"/>
        </w:rPr>
        <w:t xml:space="preserve">Israelis of </w:t>
      </w:r>
      <w:r w:rsidR="00984B5C">
        <w:rPr>
          <w:lang w:val="en-GB"/>
        </w:rPr>
        <w:t>Arab Middle Eastern</w:t>
      </w:r>
      <w:r w:rsidRPr="0048465B">
        <w:rPr>
          <w:lang w:val="en-GB"/>
        </w:rPr>
        <w:t xml:space="preserve"> or North African descent</w:t>
      </w:r>
      <w:r>
        <w:rPr>
          <w:lang w:val="en-GB"/>
        </w:rPr>
        <w:t>.</w:t>
      </w:r>
    </w:p>
  </w:footnote>
  <w:footnote w:id="12">
    <w:p w14:paraId="2664E7EE" w14:textId="05993626"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Dorit </w:t>
      </w:r>
      <w:proofErr w:type="spellStart"/>
      <w:r w:rsidRPr="00FC331F">
        <w:rPr>
          <w:color w:val="000000" w:themeColor="text1"/>
          <w:sz w:val="20"/>
          <w:szCs w:val="20"/>
        </w:rPr>
        <w:t>Rabinyan</w:t>
      </w:r>
      <w:proofErr w:type="spellEnd"/>
      <w:r w:rsidRPr="00FC331F">
        <w:rPr>
          <w:color w:val="000000" w:themeColor="text1"/>
          <w:sz w:val="20"/>
          <w:szCs w:val="20"/>
        </w:rPr>
        <w:t xml:space="preserve">, </w:t>
      </w:r>
      <w:r w:rsidRPr="00FC331F">
        <w:rPr>
          <w:i/>
          <w:color w:val="000000" w:themeColor="text1"/>
          <w:sz w:val="20"/>
          <w:szCs w:val="20"/>
        </w:rPr>
        <w:t>All the Rivers: Are There Borders Love Cannot Cross?</w:t>
      </w:r>
      <w:r w:rsidRPr="00FC331F">
        <w:rPr>
          <w:color w:val="000000" w:themeColor="text1"/>
          <w:sz w:val="20"/>
          <w:szCs w:val="20"/>
        </w:rPr>
        <w:t>, trans. by Jessica Cohen, Main edition (Serpent’s Tail, 2017).</w:t>
      </w:r>
    </w:p>
  </w:footnote>
  <w:footnote w:id="13">
    <w:p w14:paraId="08224EEF" w14:textId="473B0D2E"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Claire Hajaj, </w:t>
      </w:r>
      <w:r w:rsidRPr="00FC331F">
        <w:rPr>
          <w:i/>
          <w:color w:val="000000" w:themeColor="text1"/>
          <w:sz w:val="20"/>
          <w:szCs w:val="20"/>
        </w:rPr>
        <w:t>Ishmael’s Oranges</w:t>
      </w:r>
      <w:r w:rsidRPr="00FC331F">
        <w:rPr>
          <w:color w:val="000000" w:themeColor="text1"/>
          <w:sz w:val="20"/>
          <w:szCs w:val="20"/>
        </w:rPr>
        <w:t xml:space="preserve"> (</w:t>
      </w:r>
      <w:r w:rsidR="00AE6CF0">
        <w:rPr>
          <w:color w:val="000000" w:themeColor="text1"/>
          <w:sz w:val="20"/>
          <w:szCs w:val="20"/>
        </w:rPr>
        <w:t xml:space="preserve">London: </w:t>
      </w:r>
      <w:proofErr w:type="spellStart"/>
      <w:r w:rsidRPr="00FC331F">
        <w:rPr>
          <w:color w:val="000000" w:themeColor="text1"/>
          <w:sz w:val="20"/>
          <w:szCs w:val="20"/>
        </w:rPr>
        <w:t>Oneworld</w:t>
      </w:r>
      <w:proofErr w:type="spellEnd"/>
      <w:r w:rsidRPr="00FC331F">
        <w:rPr>
          <w:color w:val="000000" w:themeColor="text1"/>
          <w:sz w:val="20"/>
          <w:szCs w:val="20"/>
        </w:rPr>
        <w:t xml:space="preserve"> Publications, 2014).</w:t>
      </w:r>
    </w:p>
  </w:footnote>
  <w:footnote w:id="14">
    <w:p w14:paraId="273AE684" w14:textId="55591B9B"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Edward W. Said, </w:t>
      </w:r>
      <w:r w:rsidRPr="00FC331F">
        <w:rPr>
          <w:i/>
          <w:color w:val="000000" w:themeColor="text1"/>
          <w:sz w:val="20"/>
          <w:szCs w:val="20"/>
        </w:rPr>
        <w:t>The Question of Palestine</w:t>
      </w:r>
      <w:r w:rsidRPr="00FC331F">
        <w:rPr>
          <w:color w:val="000000" w:themeColor="text1"/>
          <w:sz w:val="20"/>
          <w:szCs w:val="20"/>
        </w:rPr>
        <w:t>, Vintage Books Edition (New York: Random House USA Inc, 2003).</w:t>
      </w:r>
    </w:p>
  </w:footnote>
  <w:footnote w:id="15">
    <w:p w14:paraId="19AA1891" w14:textId="78AB298B"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Michael Rothberg, </w:t>
      </w:r>
      <w:r w:rsidRPr="00FC331F">
        <w:rPr>
          <w:i/>
          <w:color w:val="000000" w:themeColor="text1"/>
          <w:sz w:val="20"/>
          <w:szCs w:val="20"/>
        </w:rPr>
        <w:t>The Implicated Subject: Beyond Victims and Perpetrators</w:t>
      </w:r>
      <w:r w:rsidRPr="00FC331F">
        <w:rPr>
          <w:color w:val="000000" w:themeColor="text1"/>
          <w:sz w:val="20"/>
          <w:szCs w:val="20"/>
        </w:rPr>
        <w:t>, 1st edition (Stanford University Press, 2019).</w:t>
      </w:r>
    </w:p>
  </w:footnote>
  <w:footnote w:id="16">
    <w:p w14:paraId="2D7D3883" w14:textId="10EE4781"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Gilbert Achcar, </w:t>
      </w:r>
      <w:r w:rsidRPr="00FC331F">
        <w:rPr>
          <w:i/>
          <w:color w:val="000000" w:themeColor="text1"/>
          <w:sz w:val="20"/>
          <w:szCs w:val="20"/>
        </w:rPr>
        <w:t>The Arabs and the Holocaust: The Arab-Israeli War of Narratives</w:t>
      </w:r>
      <w:r w:rsidRPr="00FC331F">
        <w:rPr>
          <w:color w:val="000000" w:themeColor="text1"/>
          <w:sz w:val="20"/>
          <w:szCs w:val="20"/>
        </w:rPr>
        <w:t xml:space="preserve"> (</w:t>
      </w:r>
      <w:proofErr w:type="spellStart"/>
      <w:r w:rsidRPr="00FC331F">
        <w:rPr>
          <w:color w:val="000000" w:themeColor="text1"/>
          <w:sz w:val="20"/>
          <w:szCs w:val="20"/>
        </w:rPr>
        <w:t>Saqi</w:t>
      </w:r>
      <w:proofErr w:type="spellEnd"/>
      <w:r w:rsidRPr="00FC331F">
        <w:rPr>
          <w:color w:val="000000" w:themeColor="text1"/>
          <w:sz w:val="20"/>
          <w:szCs w:val="20"/>
        </w:rPr>
        <w:t xml:space="preserve"> Books, 2012), pp. 13–14.</w:t>
      </w:r>
    </w:p>
  </w:footnote>
  <w:footnote w:id="17">
    <w:p w14:paraId="37EDB828" w14:textId="3689969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Achcar, pp. 13–14.</w:t>
      </w:r>
    </w:p>
  </w:footnote>
  <w:footnote w:id="18">
    <w:p w14:paraId="35BEA3B5" w14:textId="57A8265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‘The Holocaust - Yad Vashem’ &lt;http://www.yadvashem.org/yv/en/holocaust/resource_center/the_holocaust.asp&gt; [accessed </w:t>
      </w:r>
      <w:r>
        <w:rPr>
          <w:color w:val="000000" w:themeColor="text1"/>
          <w:sz w:val="20"/>
          <w:szCs w:val="20"/>
        </w:rPr>
        <w:t>1 March 2021</w:t>
      </w:r>
      <w:r w:rsidRPr="00FC331F">
        <w:rPr>
          <w:color w:val="000000" w:themeColor="text1"/>
          <w:sz w:val="20"/>
          <w:szCs w:val="20"/>
        </w:rPr>
        <w:t>].</w:t>
      </w:r>
    </w:p>
  </w:footnote>
  <w:footnote w:id="19">
    <w:p w14:paraId="6D9B340A" w14:textId="623DFA72"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‘UN Resolution 3379, 10 November 1975’</w:t>
      </w:r>
    </w:p>
    <w:p w14:paraId="762842F0" w14:textId="0AD56628" w:rsidR="00736D5A" w:rsidRPr="00FC331F" w:rsidRDefault="00736D5A" w:rsidP="00FC331F">
      <w:pPr>
        <w:spacing w:line="276" w:lineRule="auto"/>
        <w:rPr>
          <w:color w:val="000000" w:themeColor="text1"/>
          <w:sz w:val="20"/>
          <w:szCs w:val="20"/>
        </w:rPr>
      </w:pPr>
      <w:r w:rsidRPr="00FC331F">
        <w:rPr>
          <w:color w:val="000000" w:themeColor="text1"/>
          <w:sz w:val="20"/>
          <w:szCs w:val="20"/>
        </w:rPr>
        <w:t xml:space="preserve"> &lt;https://unispal.un.org/UNISPAL.NSF/0/761C1063530766A7052566A2005B74D1&gt; [accessed 4 March 2021].</w:t>
      </w:r>
    </w:p>
    <w:bookmarkStart w:id="0" w:name="_rdfxk05w1v5o" w:colFirst="0" w:colLast="0"/>
    <w:bookmarkEnd w:id="0"/>
  </w:footnote>
  <w:footnote w:id="20">
    <w:p w14:paraId="3DE56194" w14:textId="74A859FC" w:rsidR="00057474" w:rsidRDefault="00736D5A" w:rsidP="00057474">
      <w:pPr>
        <w:spacing w:line="276" w:lineRule="auto"/>
        <w:jc w:val="left"/>
        <w:rPr>
          <w:color w:val="000000" w:themeColor="text1"/>
          <w:sz w:val="20"/>
          <w:szCs w:val="20"/>
        </w:rPr>
      </w:pPr>
      <w:bookmarkStart w:id="1" w:name="_rdfxk05w1v5o" w:colFirst="0" w:colLast="0"/>
      <w:bookmarkEnd w:id="1"/>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‘Definition of </w:t>
      </w:r>
      <w:r w:rsidR="00057474" w:rsidRPr="00057474">
        <w:rPr>
          <w:color w:val="000000" w:themeColor="text1"/>
          <w:sz w:val="20"/>
          <w:szCs w:val="20"/>
          <w:lang w:val="en-GB"/>
        </w:rPr>
        <w:t>quasi-, </w:t>
      </w:r>
      <w:r w:rsidR="00057474" w:rsidRPr="00057474">
        <w:rPr>
          <w:i/>
          <w:iCs/>
          <w:color w:val="000000" w:themeColor="text1"/>
          <w:sz w:val="20"/>
          <w:szCs w:val="20"/>
          <w:lang w:val="en-GB"/>
        </w:rPr>
        <w:t>comb. form</w:t>
      </w:r>
      <w:r w:rsidRPr="00FC331F">
        <w:rPr>
          <w:color w:val="000000" w:themeColor="text1"/>
          <w:sz w:val="20"/>
          <w:szCs w:val="20"/>
        </w:rPr>
        <w:t xml:space="preserve">’, </w:t>
      </w:r>
      <w:r w:rsidR="00057474">
        <w:rPr>
          <w:color w:val="000000" w:themeColor="text1"/>
          <w:sz w:val="20"/>
          <w:szCs w:val="20"/>
        </w:rPr>
        <w:t>www.oed.com</w:t>
      </w:r>
      <w:r w:rsidRPr="00FC331F">
        <w:rPr>
          <w:color w:val="000000" w:themeColor="text1"/>
          <w:sz w:val="20"/>
          <w:szCs w:val="20"/>
        </w:rPr>
        <w:t xml:space="preserve"> </w:t>
      </w:r>
    </w:p>
    <w:p w14:paraId="72673CFD" w14:textId="79911945" w:rsidR="00736D5A" w:rsidRPr="00057474" w:rsidRDefault="00736D5A" w:rsidP="00057474">
      <w:pPr>
        <w:spacing w:line="276" w:lineRule="auto"/>
        <w:jc w:val="left"/>
        <w:rPr>
          <w:color w:val="000000" w:themeColor="text1"/>
          <w:sz w:val="20"/>
          <w:szCs w:val="20"/>
          <w:lang w:val="en-GB"/>
        </w:rPr>
      </w:pPr>
      <w:r w:rsidRPr="00FC331F">
        <w:rPr>
          <w:color w:val="000000" w:themeColor="text1"/>
          <w:sz w:val="20"/>
          <w:szCs w:val="20"/>
        </w:rPr>
        <w:t>&lt;</w:t>
      </w:r>
      <w:r w:rsidR="00057474" w:rsidRPr="00057474">
        <w:rPr>
          <w:color w:val="000000" w:themeColor="text1"/>
          <w:sz w:val="20"/>
          <w:szCs w:val="20"/>
        </w:rPr>
        <w:t>https://www-oed-com.sheffield.idm.oclc.org/view/Entry/268293?rskey=WflA0u&amp;result=2#eid</w:t>
      </w:r>
      <w:r w:rsidRPr="00FC331F">
        <w:rPr>
          <w:color w:val="000000" w:themeColor="text1"/>
          <w:sz w:val="20"/>
          <w:szCs w:val="20"/>
        </w:rPr>
        <w:t>&gt; [accessed 1 March 2021].</w:t>
      </w:r>
    </w:p>
  </w:footnote>
  <w:footnote w:id="21">
    <w:p w14:paraId="15D5085D" w14:textId="3823D741" w:rsidR="00FB3A93" w:rsidRDefault="00FB3A93" w:rsidP="00FB3A93">
      <w:pPr>
        <w:spacing w:line="276" w:lineRule="auto"/>
        <w:jc w:val="left"/>
        <w:rPr>
          <w:color w:val="000000" w:themeColor="text1"/>
          <w:sz w:val="20"/>
          <w:szCs w:val="20"/>
        </w:rPr>
      </w:pPr>
      <w:r>
        <w:rPr>
          <w:rStyle w:val="FootnoteReference"/>
        </w:rPr>
        <w:footnoteRef/>
      </w:r>
      <w:r>
        <w:t xml:space="preserve"> </w:t>
      </w:r>
      <w:r w:rsidRPr="00FC331F">
        <w:rPr>
          <w:color w:val="000000" w:themeColor="text1"/>
          <w:sz w:val="20"/>
          <w:szCs w:val="20"/>
        </w:rPr>
        <w:t xml:space="preserve">‘Definition of </w:t>
      </w:r>
      <w:r>
        <w:rPr>
          <w:color w:val="000000" w:themeColor="text1"/>
          <w:sz w:val="20"/>
          <w:szCs w:val="20"/>
          <w:lang w:val="en-GB"/>
        </w:rPr>
        <w:t xml:space="preserve">anti-Semitism, </w:t>
      </w:r>
      <w:r>
        <w:rPr>
          <w:i/>
          <w:iCs/>
          <w:color w:val="000000" w:themeColor="text1"/>
          <w:sz w:val="20"/>
          <w:szCs w:val="20"/>
          <w:lang w:val="en-GB"/>
        </w:rPr>
        <w:t>n</w:t>
      </w:r>
      <w:r>
        <w:rPr>
          <w:color w:val="000000" w:themeColor="text1"/>
          <w:sz w:val="20"/>
          <w:szCs w:val="20"/>
          <w:lang w:val="en-GB"/>
        </w:rPr>
        <w:t>.</w:t>
      </w:r>
      <w:r w:rsidRPr="00FC331F">
        <w:rPr>
          <w:color w:val="000000" w:themeColor="text1"/>
          <w:sz w:val="20"/>
          <w:szCs w:val="20"/>
        </w:rPr>
        <w:t xml:space="preserve">’, </w:t>
      </w:r>
      <w:r>
        <w:rPr>
          <w:color w:val="000000" w:themeColor="text1"/>
          <w:sz w:val="20"/>
          <w:szCs w:val="20"/>
        </w:rPr>
        <w:t>www.oed.com</w:t>
      </w:r>
      <w:r w:rsidRPr="00FC331F">
        <w:rPr>
          <w:color w:val="000000" w:themeColor="text1"/>
          <w:sz w:val="20"/>
          <w:szCs w:val="20"/>
        </w:rPr>
        <w:t xml:space="preserve"> </w:t>
      </w:r>
    </w:p>
    <w:p w14:paraId="6310A9EB" w14:textId="11538A72" w:rsidR="00FB3A93" w:rsidRPr="00FB3A93" w:rsidRDefault="00FB3A93" w:rsidP="00FB3A93">
      <w:pPr>
        <w:pStyle w:val="FootnoteText"/>
        <w:rPr>
          <w:color w:val="000000" w:themeColor="text1"/>
        </w:rPr>
      </w:pPr>
      <w:r w:rsidRPr="00FC331F">
        <w:rPr>
          <w:color w:val="000000" w:themeColor="text1"/>
        </w:rPr>
        <w:t>&lt;</w:t>
      </w:r>
      <w:r w:rsidRPr="00FB3A93">
        <w:rPr>
          <w:color w:val="000000" w:themeColor="text1"/>
        </w:rPr>
        <w:t>https://www.oed.com/view/Entry/8854?redirectedFrom=anti-Semitism#eid</w:t>
      </w:r>
      <w:r w:rsidRPr="00FC331F">
        <w:rPr>
          <w:color w:val="000000" w:themeColor="text1"/>
        </w:rPr>
        <w:t xml:space="preserve">&gt; [accessed </w:t>
      </w:r>
      <w:r>
        <w:rPr>
          <w:color w:val="000000" w:themeColor="text1"/>
        </w:rPr>
        <w:t>8 September 2018</w:t>
      </w:r>
      <w:r w:rsidRPr="00FC331F">
        <w:rPr>
          <w:color w:val="000000" w:themeColor="text1"/>
        </w:rPr>
        <w:t>].</w:t>
      </w:r>
    </w:p>
    <w:p w14:paraId="04ABD45A" w14:textId="014669C5" w:rsidR="00FB3A93" w:rsidRPr="00FB3A93" w:rsidRDefault="00FB3A93">
      <w:pPr>
        <w:pStyle w:val="FootnoteText"/>
        <w:rPr>
          <w:lang w:val="en-GB"/>
        </w:rPr>
      </w:pPr>
      <w:r w:rsidRPr="00FB3A93">
        <w:t xml:space="preserve">‘Working Definition of Antisemitism’, </w:t>
      </w:r>
      <w:r w:rsidRPr="00FB3A93">
        <w:rPr>
          <w:i/>
        </w:rPr>
        <w:t>IHRA</w:t>
      </w:r>
      <w:r w:rsidRPr="00FB3A93">
        <w:t xml:space="preserve"> &lt;https://www.holocaustremembrance.com/working-definition-antisemitism&gt; [accessed 8 September 2018].</w:t>
      </w:r>
    </w:p>
  </w:footnote>
  <w:footnote w:id="22">
    <w:p w14:paraId="245450F6" w14:textId="39BACD37" w:rsidR="00736D5A" w:rsidRPr="002210C5" w:rsidRDefault="00736D5A">
      <w:pPr>
        <w:pStyle w:val="FootnoteText"/>
        <w:rPr>
          <w:lang w:val="en-GB"/>
        </w:rPr>
      </w:pPr>
      <w:r>
        <w:rPr>
          <w:rStyle w:val="FootnoteReference"/>
        </w:rPr>
        <w:footnoteRef/>
      </w:r>
      <w:r>
        <w:t xml:space="preserve"> </w:t>
      </w:r>
      <w:r w:rsidRPr="00FC331F">
        <w:rPr>
          <w:color w:val="000000" w:themeColor="text1"/>
        </w:rPr>
        <w:t xml:space="preserve">Marianne Hirsch, </w:t>
      </w:r>
      <w:r w:rsidRPr="00FC331F">
        <w:rPr>
          <w:i/>
          <w:color w:val="000000" w:themeColor="text1"/>
        </w:rPr>
        <w:t>The Generation of Postmemory: Writing and Visual Culture After the Holocaust</w:t>
      </w:r>
      <w:r w:rsidRPr="00FC331F">
        <w:rPr>
          <w:color w:val="000000" w:themeColor="text1"/>
        </w:rPr>
        <w:t xml:space="preserve"> (New York: Columbia University Press, 2012).</w:t>
      </w:r>
    </w:p>
  </w:footnote>
  <w:footnote w:id="23">
    <w:p w14:paraId="77AFF809" w14:textId="2BA5C23C" w:rsidR="00736D5A" w:rsidRPr="00FC331F" w:rsidRDefault="00736D5A" w:rsidP="002210C5">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w:t>
      </w:r>
      <w:r>
        <w:rPr>
          <w:color w:val="000000" w:themeColor="text1"/>
          <w:sz w:val="20"/>
          <w:szCs w:val="20"/>
        </w:rPr>
        <w:t xml:space="preserve">Hirsch, </w:t>
      </w:r>
      <w:r w:rsidRPr="00FC331F">
        <w:rPr>
          <w:color w:val="000000" w:themeColor="text1"/>
          <w:sz w:val="20"/>
          <w:szCs w:val="20"/>
        </w:rPr>
        <w:t>p. 15.</w:t>
      </w:r>
    </w:p>
  </w:footnote>
  <w:footnote w:id="24">
    <w:p w14:paraId="34CB6AA8" w14:textId="77777777" w:rsidR="00736D5A" w:rsidRPr="00FC331F" w:rsidRDefault="00736D5A" w:rsidP="002210C5">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Hirsch, p. 18.</w:t>
      </w:r>
    </w:p>
  </w:footnote>
  <w:footnote w:id="25">
    <w:p w14:paraId="7AC76C65" w14:textId="77777777" w:rsidR="00736D5A" w:rsidRPr="00FC331F" w:rsidRDefault="00736D5A" w:rsidP="002210C5">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Hirsch, p. 11.</w:t>
      </w:r>
    </w:p>
  </w:footnote>
  <w:footnote w:id="26">
    <w:p w14:paraId="4F9655D4"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Google Scholar searches on 29th Dec 2020 show the most cited versions of each monograph as follows: Rothberg – 2723 citations, Hirsch – 1795 citations, and Silverman – 195 citations.</w:t>
      </w:r>
    </w:p>
  </w:footnote>
  <w:footnote w:id="27">
    <w:p w14:paraId="556778A9"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Michael Rothberg, </w:t>
      </w:r>
      <w:r w:rsidRPr="00FC331F">
        <w:rPr>
          <w:i/>
          <w:color w:val="000000" w:themeColor="text1"/>
          <w:sz w:val="20"/>
          <w:szCs w:val="20"/>
        </w:rPr>
        <w:t>Multidirectional Memory: Remembering the Holocaust in the Age of Decolonization</w:t>
      </w:r>
      <w:r w:rsidRPr="00FC331F">
        <w:rPr>
          <w:color w:val="000000" w:themeColor="text1"/>
          <w:sz w:val="20"/>
          <w:szCs w:val="20"/>
        </w:rPr>
        <w:t>, 1st Edition (Stanford, Calif: Stanford University Press, 2009).</w:t>
      </w:r>
    </w:p>
  </w:footnote>
  <w:footnote w:id="28">
    <w:p w14:paraId="7D8CD2A4" w14:textId="569EED91"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Hirsch, p. 24.</w:t>
      </w:r>
    </w:p>
  </w:footnote>
  <w:footnote w:id="29">
    <w:p w14:paraId="1E79E952"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Hirsch, p. 86.</w:t>
      </w:r>
    </w:p>
  </w:footnote>
  <w:footnote w:id="30">
    <w:p w14:paraId="714CF6AC" w14:textId="77777777" w:rsidR="00736D5A" w:rsidRPr="00FC331F" w:rsidRDefault="00736D5A" w:rsidP="00891D2E">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Max Silverman, </w:t>
      </w:r>
      <w:r w:rsidRPr="00FC331F">
        <w:rPr>
          <w:i/>
          <w:color w:val="000000" w:themeColor="text1"/>
          <w:sz w:val="20"/>
          <w:szCs w:val="20"/>
        </w:rPr>
        <w:t>Palimpsestic Memory: The Holocaust and Colonialism in French and Francophone Fiction and Film</w:t>
      </w:r>
      <w:r w:rsidRPr="00FC331F">
        <w:rPr>
          <w:color w:val="000000" w:themeColor="text1"/>
          <w:sz w:val="20"/>
          <w:szCs w:val="20"/>
        </w:rPr>
        <w:t xml:space="preserve"> (New York: </w:t>
      </w:r>
      <w:proofErr w:type="spellStart"/>
      <w:r w:rsidRPr="00FC331F">
        <w:rPr>
          <w:color w:val="000000" w:themeColor="text1"/>
          <w:sz w:val="20"/>
          <w:szCs w:val="20"/>
        </w:rPr>
        <w:t>Berghahn</w:t>
      </w:r>
      <w:proofErr w:type="spellEnd"/>
      <w:r w:rsidRPr="00FC331F">
        <w:rPr>
          <w:color w:val="000000" w:themeColor="text1"/>
          <w:sz w:val="20"/>
          <w:szCs w:val="20"/>
        </w:rPr>
        <w:t xml:space="preserve"> Books, 2013)</w:t>
      </w:r>
      <w:r>
        <w:rPr>
          <w:color w:val="000000" w:themeColor="text1"/>
          <w:sz w:val="20"/>
          <w:szCs w:val="20"/>
        </w:rPr>
        <w:t>, p. 16.</w:t>
      </w:r>
    </w:p>
  </w:footnote>
  <w:footnote w:id="31">
    <w:p w14:paraId="39D979A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279.</w:t>
      </w:r>
    </w:p>
  </w:footnote>
  <w:footnote w:id="32">
    <w:p w14:paraId="671BB614"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Silverman, p. 28.</w:t>
      </w:r>
    </w:p>
  </w:footnote>
  <w:footnote w:id="33">
    <w:p w14:paraId="2D251DFE"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3.</w:t>
      </w:r>
    </w:p>
  </w:footnote>
  <w:footnote w:id="34">
    <w:p w14:paraId="03FC755D"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11.</w:t>
      </w:r>
    </w:p>
  </w:footnote>
  <w:footnote w:id="35">
    <w:p w14:paraId="072F2D55"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Silverman, p. 13.</w:t>
      </w:r>
    </w:p>
  </w:footnote>
  <w:footnote w:id="36">
    <w:p w14:paraId="37EAC05D"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pp. 2–3.</w:t>
      </w:r>
    </w:p>
  </w:footnote>
  <w:footnote w:id="37">
    <w:p w14:paraId="43E2894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Silverman, p. 17.</w:t>
      </w:r>
    </w:p>
  </w:footnote>
  <w:footnote w:id="38">
    <w:p w14:paraId="1CDD6520" w14:textId="77777777" w:rsidR="00736D5A" w:rsidRPr="00FC331F" w:rsidRDefault="00736D5A" w:rsidP="00891D2E">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5.</w:t>
      </w:r>
    </w:p>
  </w:footnote>
  <w:footnote w:id="39">
    <w:p w14:paraId="094DAA0D"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311.</w:t>
      </w:r>
    </w:p>
  </w:footnote>
  <w:footnote w:id="40">
    <w:p w14:paraId="03815AB7"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Silverman, p. 14.</w:t>
      </w:r>
    </w:p>
  </w:footnote>
  <w:footnote w:id="41">
    <w:p w14:paraId="1481D57B" w14:textId="33AFC64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Jean-Paul Sartre, </w:t>
      </w:r>
      <w:r w:rsidRPr="00FC331F">
        <w:rPr>
          <w:i/>
          <w:color w:val="000000" w:themeColor="text1"/>
          <w:sz w:val="20"/>
          <w:szCs w:val="20"/>
        </w:rPr>
        <w:t>Anti-Semite and Jew</w:t>
      </w:r>
      <w:r w:rsidRPr="00FC331F">
        <w:rPr>
          <w:color w:val="000000" w:themeColor="text1"/>
          <w:sz w:val="20"/>
          <w:szCs w:val="20"/>
        </w:rPr>
        <w:t xml:space="preserve"> (New York: Schocken Books: distributed by Pantheon Books, 1995), p. 97.</w:t>
      </w:r>
    </w:p>
  </w:footnote>
  <w:footnote w:id="42">
    <w:p w14:paraId="03BCE3C7" w14:textId="483C6709" w:rsidR="00736D5A" w:rsidRPr="00FC331F" w:rsidRDefault="00736D5A" w:rsidP="00AB2B01">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w:t>
      </w:r>
      <w:r>
        <w:rPr>
          <w:color w:val="000000" w:themeColor="text1"/>
          <w:sz w:val="20"/>
          <w:szCs w:val="20"/>
        </w:rPr>
        <w:t>‘Double consciousness’ refers to the</w:t>
      </w:r>
      <w:r w:rsidRPr="00FC331F">
        <w:rPr>
          <w:color w:val="000000" w:themeColor="text1"/>
          <w:sz w:val="20"/>
          <w:szCs w:val="20"/>
        </w:rPr>
        <w:t xml:space="preserve"> feeling of being a minority within a majority, and of seeing oneself through the eyes of the majority. </w:t>
      </w:r>
      <w:r>
        <w:rPr>
          <w:color w:val="000000" w:themeColor="text1"/>
          <w:sz w:val="20"/>
          <w:szCs w:val="20"/>
        </w:rPr>
        <w:t>It was s</w:t>
      </w:r>
      <w:r w:rsidRPr="00FC331F">
        <w:rPr>
          <w:color w:val="000000" w:themeColor="text1"/>
          <w:sz w:val="20"/>
          <w:szCs w:val="20"/>
        </w:rPr>
        <w:t xml:space="preserve">pecifically formulated by Du Bois in relation to the feeling of being black in a majority white society, and being unable to separate one’s own understanding of self from the racist understandings tendered by hegemonic white society. </w:t>
      </w:r>
    </w:p>
  </w:footnote>
  <w:footnote w:id="43">
    <w:p w14:paraId="757CB818"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132.</w:t>
      </w:r>
    </w:p>
  </w:footnote>
  <w:footnote w:id="44">
    <w:p w14:paraId="4CAF76EA"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131.</w:t>
      </w:r>
    </w:p>
  </w:footnote>
  <w:footnote w:id="45">
    <w:p w14:paraId="0271D524" w14:textId="77777777" w:rsidR="00736D5A" w:rsidRPr="00FC331F" w:rsidRDefault="00736D5A" w:rsidP="00FC331F">
      <w:pPr>
        <w:spacing w:line="276" w:lineRule="auto"/>
        <w:jc w:val="left"/>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W. E. Burghardt Du Bois, ‘Strivings of the Negro People’, </w:t>
      </w:r>
      <w:r w:rsidRPr="00FC331F">
        <w:rPr>
          <w:i/>
          <w:color w:val="000000" w:themeColor="text1"/>
          <w:sz w:val="20"/>
          <w:szCs w:val="20"/>
        </w:rPr>
        <w:t>The Atlantic</w:t>
      </w:r>
      <w:r w:rsidRPr="00FC331F">
        <w:rPr>
          <w:color w:val="000000" w:themeColor="text1"/>
          <w:sz w:val="20"/>
          <w:szCs w:val="20"/>
        </w:rPr>
        <w:t>, 1897 &lt;https://www.theatlantic.com/magazine/archive/1897/08/strivings-of-the-negro-people/305446/&gt; [accessed 6 January 2021].</w:t>
      </w:r>
    </w:p>
  </w:footnote>
  <w:footnote w:id="46">
    <w:p w14:paraId="640A694B"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pp. 129–30.</w:t>
      </w:r>
    </w:p>
  </w:footnote>
  <w:footnote w:id="47">
    <w:p w14:paraId="7E764A52"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Silverman, p. 154.</w:t>
      </w:r>
    </w:p>
  </w:footnote>
  <w:footnote w:id="48">
    <w:p w14:paraId="32A4B4C3" w14:textId="77777777" w:rsidR="00736D5A" w:rsidRPr="00FC331F" w:rsidRDefault="00736D5A" w:rsidP="00AB2B01">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Silverman, p. 17.</w:t>
      </w:r>
    </w:p>
  </w:footnote>
  <w:footnote w:id="49">
    <w:p w14:paraId="092507C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Silverman, p. 17.</w:t>
      </w:r>
    </w:p>
  </w:footnote>
  <w:footnote w:id="50">
    <w:p w14:paraId="6CA6FADB"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pp. 2–3.</w:t>
      </w:r>
    </w:p>
  </w:footnote>
  <w:footnote w:id="51">
    <w:p w14:paraId="5CF2A6E8" w14:textId="77777777" w:rsidR="00736D5A" w:rsidRPr="00935811"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935811">
        <w:rPr>
          <w:color w:val="000000" w:themeColor="text1"/>
          <w:sz w:val="20"/>
          <w:szCs w:val="20"/>
        </w:rPr>
        <w:t xml:space="preserve"> Hirsch, p. 2.</w:t>
      </w:r>
    </w:p>
  </w:footnote>
  <w:footnote w:id="52">
    <w:p w14:paraId="63F9FC27" w14:textId="77777777" w:rsidR="00736D5A" w:rsidRPr="00935811"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935811">
        <w:rPr>
          <w:color w:val="000000" w:themeColor="text1"/>
          <w:sz w:val="20"/>
          <w:szCs w:val="20"/>
        </w:rPr>
        <w:t xml:space="preserve"> Hirsch, p. 19.</w:t>
      </w:r>
    </w:p>
  </w:footnote>
  <w:footnote w:id="53">
    <w:p w14:paraId="084B5743" w14:textId="77777777" w:rsidR="00736D5A" w:rsidRPr="00935811"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935811">
        <w:rPr>
          <w:color w:val="000000" w:themeColor="text1"/>
          <w:sz w:val="20"/>
          <w:szCs w:val="20"/>
        </w:rPr>
        <w:t xml:space="preserve"> Silverman, p. 18.</w:t>
      </w:r>
    </w:p>
  </w:footnote>
  <w:footnote w:id="54">
    <w:p w14:paraId="266C983C" w14:textId="77777777" w:rsidR="00736D5A" w:rsidRPr="00935811"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935811">
        <w:rPr>
          <w:color w:val="000000" w:themeColor="text1"/>
          <w:sz w:val="20"/>
          <w:szCs w:val="20"/>
        </w:rPr>
        <w:t xml:space="preserve"> Silverman, p. 18.</w:t>
      </w:r>
    </w:p>
  </w:footnote>
  <w:footnote w:id="55">
    <w:p w14:paraId="2F18FBBE" w14:textId="77777777" w:rsidR="00736D5A" w:rsidRPr="00935811"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935811">
        <w:rPr>
          <w:color w:val="000000" w:themeColor="text1"/>
          <w:sz w:val="20"/>
          <w:szCs w:val="20"/>
        </w:rPr>
        <w:t xml:space="preserve"> Finkielkraut, in David Bruce Macdonald, ‘Instrumentalising the Holocaust: From Universalisation to Relativism’, in </w:t>
      </w:r>
      <w:r w:rsidRPr="00935811">
        <w:rPr>
          <w:i/>
          <w:color w:val="000000" w:themeColor="text1"/>
          <w:sz w:val="20"/>
          <w:szCs w:val="20"/>
        </w:rPr>
        <w:t>Balkan Holocausts?</w:t>
      </w:r>
      <w:r w:rsidRPr="00935811">
        <w:rPr>
          <w:color w:val="000000" w:themeColor="text1"/>
          <w:sz w:val="20"/>
          <w:szCs w:val="20"/>
        </w:rPr>
        <w:t>, Serbian and Croatian Victim Centred Propaganda and the War in Yugoslavia (Manchester University Press, 2002), pp. 39–62 (p. 46) &lt;https://www.jstor.org/stable/j.ctt155jbrm.7&gt; [accessed 26 January 2021].</w:t>
      </w:r>
    </w:p>
  </w:footnote>
  <w:footnote w:id="56">
    <w:p w14:paraId="533295F8"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Silverman, p. 16.</w:t>
      </w:r>
    </w:p>
  </w:footnote>
  <w:footnote w:id="57">
    <w:p w14:paraId="56B03FAE"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12.</w:t>
      </w:r>
    </w:p>
  </w:footnote>
  <w:footnote w:id="58">
    <w:p w14:paraId="4287E854"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12.</w:t>
      </w:r>
    </w:p>
  </w:footnote>
  <w:footnote w:id="59">
    <w:p w14:paraId="72E8AA7D"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17.</w:t>
      </w:r>
    </w:p>
  </w:footnote>
  <w:footnote w:id="60">
    <w:p w14:paraId="62E184A7"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Colin Davis, ‘Traumatic Hermeneutics: Reading and Overreading the Pain of Others’, in </w:t>
      </w:r>
      <w:r w:rsidRPr="00FC331F">
        <w:rPr>
          <w:i/>
          <w:color w:val="000000" w:themeColor="text1"/>
          <w:sz w:val="20"/>
          <w:szCs w:val="20"/>
        </w:rPr>
        <w:t>Traces of War</w:t>
      </w:r>
      <w:r w:rsidRPr="00FC331F">
        <w:rPr>
          <w:color w:val="000000" w:themeColor="text1"/>
          <w:sz w:val="20"/>
          <w:szCs w:val="20"/>
        </w:rPr>
        <w:t>, Interpreting Ethics and Trauma in Twentieth-Century French Writing (Liverpool University Press, 2018), pp. 29–46 (p. 36) &lt;https://doi.org/10.2307/j.ctt1ps33bb.6&gt;.</w:t>
      </w:r>
    </w:p>
  </w:footnote>
  <w:footnote w:id="61">
    <w:p w14:paraId="00AAF5A1"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174.</w:t>
      </w:r>
    </w:p>
  </w:footnote>
  <w:footnote w:id="62">
    <w:p w14:paraId="399DD7BD"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12.</w:t>
      </w:r>
    </w:p>
  </w:footnote>
  <w:footnote w:id="63">
    <w:p w14:paraId="776A349E"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Edward T. Linenthal, in Rothberg, </w:t>
      </w:r>
      <w:r w:rsidRPr="00FC331F">
        <w:rPr>
          <w:i/>
          <w:color w:val="000000" w:themeColor="text1"/>
          <w:sz w:val="20"/>
          <w:szCs w:val="20"/>
        </w:rPr>
        <w:t>Multidirectional Memory</w:t>
      </w:r>
      <w:r w:rsidRPr="00FC331F">
        <w:rPr>
          <w:color w:val="000000" w:themeColor="text1"/>
          <w:sz w:val="20"/>
          <w:szCs w:val="20"/>
        </w:rPr>
        <w:t>, p. 9..</w:t>
      </w:r>
    </w:p>
  </w:footnote>
  <w:footnote w:id="64">
    <w:p w14:paraId="4071773A"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14.</w:t>
      </w:r>
    </w:p>
  </w:footnote>
  <w:footnote w:id="65">
    <w:p w14:paraId="5BF7C037"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12.</w:t>
      </w:r>
    </w:p>
  </w:footnote>
  <w:footnote w:id="66">
    <w:p w14:paraId="4A95D725"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14.</w:t>
      </w:r>
    </w:p>
  </w:footnote>
  <w:footnote w:id="67">
    <w:p w14:paraId="716B861F"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14.</w:t>
      </w:r>
    </w:p>
  </w:footnote>
  <w:footnote w:id="68">
    <w:p w14:paraId="450551BE"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16.</w:t>
      </w:r>
    </w:p>
  </w:footnote>
  <w:footnote w:id="69">
    <w:p w14:paraId="781DB0E0" w14:textId="57CF6879" w:rsidR="00736D5A" w:rsidRPr="00FC331F" w:rsidRDefault="00736D5A" w:rsidP="00FC331F">
      <w:pPr>
        <w:pBdr>
          <w:top w:val="nil"/>
          <w:left w:val="nil"/>
          <w:bottom w:val="nil"/>
          <w:right w:val="nil"/>
          <w:between w:val="nil"/>
        </w:pBdr>
        <w:spacing w:line="276" w:lineRule="auto"/>
        <w:jc w:val="left"/>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 term in Rothberg’s </w:t>
      </w:r>
      <w:r w:rsidRPr="00FC331F">
        <w:rPr>
          <w:i/>
          <w:color w:val="000000" w:themeColor="text1"/>
          <w:sz w:val="20"/>
          <w:szCs w:val="20"/>
        </w:rPr>
        <w:t>Multidirectional Memory</w:t>
      </w:r>
      <w:r w:rsidRPr="00FC331F">
        <w:rPr>
          <w:color w:val="000000" w:themeColor="text1"/>
          <w:sz w:val="20"/>
          <w:szCs w:val="20"/>
        </w:rPr>
        <w:t>, alluding to the idea that there is a pre-defined and immalleable public space for trauma.</w:t>
      </w:r>
    </w:p>
  </w:footnote>
  <w:footnote w:id="70">
    <w:p w14:paraId="26176CD3"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6.</w:t>
      </w:r>
    </w:p>
  </w:footnote>
  <w:footnote w:id="71">
    <w:p w14:paraId="6BB6A069"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Silverman, p. 94.</w:t>
      </w:r>
    </w:p>
  </w:footnote>
  <w:footnote w:id="72">
    <w:p w14:paraId="3F5A08C7" w14:textId="77777777" w:rsidR="00A203AD" w:rsidRPr="00FC331F" w:rsidRDefault="00A203AD" w:rsidP="00A203AD">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Robert S. Wistrich, ‘Israel and the Holocaust Trauma’, </w:t>
      </w:r>
      <w:r w:rsidRPr="00FC331F">
        <w:rPr>
          <w:i/>
          <w:color w:val="000000" w:themeColor="text1"/>
          <w:sz w:val="20"/>
          <w:szCs w:val="20"/>
        </w:rPr>
        <w:t>Jewish History</w:t>
      </w:r>
      <w:r w:rsidRPr="00FC331F">
        <w:rPr>
          <w:color w:val="000000" w:themeColor="text1"/>
          <w:sz w:val="20"/>
          <w:szCs w:val="20"/>
        </w:rPr>
        <w:t>, 11.2 (1997), 13–20 (p. 16).</w:t>
      </w:r>
    </w:p>
  </w:footnote>
  <w:footnote w:id="73">
    <w:p w14:paraId="79D46F41"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Silverman, p. 94.</w:t>
      </w:r>
    </w:p>
  </w:footnote>
  <w:footnote w:id="74">
    <w:p w14:paraId="65BCFB76"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Primo Levi, </w:t>
      </w:r>
      <w:r w:rsidRPr="00FC331F">
        <w:rPr>
          <w:i/>
          <w:color w:val="000000" w:themeColor="text1"/>
          <w:sz w:val="20"/>
          <w:szCs w:val="20"/>
        </w:rPr>
        <w:t>If This Is a Man/The Truce</w:t>
      </w:r>
      <w:r w:rsidRPr="00FC331F">
        <w:rPr>
          <w:color w:val="000000" w:themeColor="text1"/>
          <w:sz w:val="20"/>
          <w:szCs w:val="20"/>
        </w:rPr>
        <w:t>, Reprint (London: Abacus, 1987), p. 129.</w:t>
      </w:r>
    </w:p>
  </w:footnote>
  <w:footnote w:id="75">
    <w:p w14:paraId="1E07B89C"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Henri Raczymow and Alan Astro, ‘Memory Shot Through With Holes’, </w:t>
      </w:r>
      <w:r w:rsidRPr="00FC331F">
        <w:rPr>
          <w:i/>
          <w:color w:val="000000" w:themeColor="text1"/>
          <w:sz w:val="20"/>
          <w:szCs w:val="20"/>
        </w:rPr>
        <w:t>Yale French Studies</w:t>
      </w:r>
      <w:r w:rsidRPr="00FC331F">
        <w:rPr>
          <w:color w:val="000000" w:themeColor="text1"/>
          <w:sz w:val="20"/>
          <w:szCs w:val="20"/>
        </w:rPr>
        <w:t>, 85, 1994, 98–105 (pp. 102–3) &lt;https://doi.org/10.2307/2930067&gt;.</w:t>
      </w:r>
    </w:p>
  </w:footnote>
  <w:footnote w:id="76">
    <w:p w14:paraId="2941EAE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pp. 8–9.</w:t>
      </w:r>
    </w:p>
  </w:footnote>
  <w:footnote w:id="77">
    <w:p w14:paraId="60DC61AC"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Traverso, in Silverman, p. 19.</w:t>
      </w:r>
    </w:p>
  </w:footnote>
  <w:footnote w:id="78">
    <w:p w14:paraId="019BFC93"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Césaire, in Silverman, p. 14.</w:t>
      </w:r>
    </w:p>
  </w:footnote>
  <w:footnote w:id="79">
    <w:p w14:paraId="583534E5"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3.</w:t>
      </w:r>
    </w:p>
  </w:footnote>
  <w:footnote w:id="80">
    <w:p w14:paraId="0C3B1674" w14:textId="18AC34A4"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w:t>
      </w:r>
      <w:r>
        <w:rPr>
          <w:color w:val="000000" w:themeColor="text1"/>
          <w:sz w:val="20"/>
          <w:szCs w:val="20"/>
        </w:rPr>
        <w:t xml:space="preserve">Michaels, in </w:t>
      </w:r>
      <w:r w:rsidRPr="00FC331F">
        <w:rPr>
          <w:color w:val="000000" w:themeColor="text1"/>
          <w:sz w:val="20"/>
          <w:szCs w:val="20"/>
        </w:rPr>
        <w:t xml:space="preserve">Rothberg, </w:t>
      </w:r>
      <w:r w:rsidRPr="00FC331F">
        <w:rPr>
          <w:i/>
          <w:color w:val="000000" w:themeColor="text1"/>
          <w:sz w:val="20"/>
          <w:szCs w:val="20"/>
        </w:rPr>
        <w:t>Multidirectional Memory</w:t>
      </w:r>
      <w:r w:rsidRPr="00FC331F">
        <w:rPr>
          <w:color w:val="000000" w:themeColor="text1"/>
          <w:sz w:val="20"/>
          <w:szCs w:val="20"/>
        </w:rPr>
        <w:t>, pp. 1–2.</w:t>
      </w:r>
    </w:p>
  </w:footnote>
  <w:footnote w:id="81">
    <w:p w14:paraId="51D9163D"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11.</w:t>
      </w:r>
    </w:p>
  </w:footnote>
  <w:footnote w:id="82">
    <w:p w14:paraId="2943141A" w14:textId="16025A88"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w:t>
      </w:r>
      <w:r>
        <w:rPr>
          <w:color w:val="000000" w:themeColor="text1"/>
          <w:sz w:val="20"/>
          <w:szCs w:val="20"/>
        </w:rPr>
        <w:t>p</w:t>
      </w:r>
      <w:r w:rsidRPr="00FC331F">
        <w:rPr>
          <w:color w:val="000000" w:themeColor="text1"/>
          <w:sz w:val="20"/>
          <w:szCs w:val="20"/>
        </w:rPr>
        <w:t xml:space="preserve">. </w:t>
      </w:r>
      <w:r>
        <w:rPr>
          <w:color w:val="000000" w:themeColor="text1"/>
          <w:sz w:val="20"/>
          <w:szCs w:val="20"/>
        </w:rPr>
        <w:t>11-1</w:t>
      </w:r>
      <w:r w:rsidRPr="00FC331F">
        <w:rPr>
          <w:color w:val="000000" w:themeColor="text1"/>
          <w:sz w:val="20"/>
          <w:szCs w:val="20"/>
        </w:rPr>
        <w:t>2.</w:t>
      </w:r>
    </w:p>
  </w:footnote>
  <w:footnote w:id="83">
    <w:p w14:paraId="0D6704C9"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8.</w:t>
      </w:r>
    </w:p>
  </w:footnote>
  <w:footnote w:id="84">
    <w:p w14:paraId="442F569B"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7.</w:t>
      </w:r>
    </w:p>
  </w:footnote>
  <w:footnote w:id="85">
    <w:p w14:paraId="08DE3FF6"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Gilbert Achcar, </w:t>
      </w:r>
      <w:r w:rsidRPr="00FC331F">
        <w:rPr>
          <w:i/>
          <w:color w:val="000000" w:themeColor="text1"/>
          <w:sz w:val="20"/>
          <w:szCs w:val="20"/>
        </w:rPr>
        <w:t>The Arabs and the Holocaust: The Arab-Israeli War of Narratives</w:t>
      </w:r>
      <w:r w:rsidRPr="00FC331F">
        <w:rPr>
          <w:color w:val="000000" w:themeColor="text1"/>
          <w:sz w:val="20"/>
          <w:szCs w:val="20"/>
        </w:rPr>
        <w:t xml:space="preserve"> (Saqi Books, 2012), p. 222.</w:t>
      </w:r>
    </w:p>
  </w:footnote>
  <w:footnote w:id="86">
    <w:p w14:paraId="6600BF32" w14:textId="77777777" w:rsidR="00736D5A" w:rsidRPr="00FC331F" w:rsidRDefault="00736D5A" w:rsidP="00C26343">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6.</w:t>
      </w:r>
    </w:p>
  </w:footnote>
  <w:footnote w:id="87">
    <w:p w14:paraId="6DF12FAC"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Kaplan, in Macdonald, p. 49.</w:t>
      </w:r>
    </w:p>
  </w:footnote>
  <w:footnote w:id="88">
    <w:p w14:paraId="58BED5CA"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Jameson, in Rothberg, </w:t>
      </w:r>
      <w:r w:rsidRPr="00FC331F">
        <w:rPr>
          <w:i/>
          <w:color w:val="000000" w:themeColor="text1"/>
          <w:sz w:val="20"/>
          <w:szCs w:val="20"/>
        </w:rPr>
        <w:t>Multidirectional Memory</w:t>
      </w:r>
      <w:r w:rsidRPr="00FC331F">
        <w:rPr>
          <w:color w:val="000000" w:themeColor="text1"/>
          <w:sz w:val="20"/>
          <w:szCs w:val="20"/>
        </w:rPr>
        <w:t>, p. 10.</w:t>
      </w:r>
    </w:p>
  </w:footnote>
  <w:footnote w:id="89">
    <w:p w14:paraId="2C1C8D69"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10.</w:t>
      </w:r>
    </w:p>
  </w:footnote>
  <w:footnote w:id="90">
    <w:p w14:paraId="5E69C59E" w14:textId="7280C32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Yochai Oppenheimer writes of Holocaust survivors as both ‘rising above ethnic classifications’ (p. 309) within Mizrahi literary works, and as constituting a ‘separate strain within Israeliness’ (p. 308). With the Holocaust already identified as sui generis by many nations in the </w:t>
      </w:r>
      <w:r>
        <w:rPr>
          <w:color w:val="000000" w:themeColor="text1"/>
          <w:sz w:val="20"/>
          <w:szCs w:val="20"/>
        </w:rPr>
        <w:t>West</w:t>
      </w:r>
      <w:r w:rsidRPr="00FC331F">
        <w:rPr>
          <w:color w:val="000000" w:themeColor="text1"/>
          <w:sz w:val="20"/>
          <w:szCs w:val="20"/>
        </w:rPr>
        <w:t xml:space="preserve">, understandings of what it means to be a ‘survivor’ within the context of mass persecution are undeniably shaped by the Holocaust. </w:t>
      </w:r>
    </w:p>
    <w:p w14:paraId="1ACF1B63"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rPr>
        <w:t xml:space="preserve">Yochai Oppenheimer, ‘The Holocaust: A Mizrahi Perspective’, </w:t>
      </w:r>
      <w:r w:rsidRPr="00FC331F">
        <w:rPr>
          <w:i/>
          <w:color w:val="000000" w:themeColor="text1"/>
          <w:sz w:val="20"/>
          <w:szCs w:val="20"/>
        </w:rPr>
        <w:t>Hebrew Studies</w:t>
      </w:r>
      <w:r w:rsidRPr="00FC331F">
        <w:rPr>
          <w:color w:val="000000" w:themeColor="text1"/>
          <w:sz w:val="20"/>
          <w:szCs w:val="20"/>
        </w:rPr>
        <w:t>, 51 (2010), 303–28.</w:t>
      </w:r>
    </w:p>
  </w:footnote>
  <w:footnote w:id="91">
    <w:p w14:paraId="165A6867"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266.</w:t>
      </w:r>
    </w:p>
  </w:footnote>
  <w:footnote w:id="92">
    <w:p w14:paraId="1D5557E7" w14:textId="77777777" w:rsidR="00736D5A" w:rsidRPr="00FC331F" w:rsidRDefault="00736D5A" w:rsidP="006A04E6">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7.</w:t>
      </w:r>
    </w:p>
  </w:footnote>
  <w:footnote w:id="93">
    <w:p w14:paraId="07F4855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299.</w:t>
      </w:r>
    </w:p>
  </w:footnote>
  <w:footnote w:id="94">
    <w:p w14:paraId="4AAAF8FF"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Michael Rothberg, ‘From Gaza to Warsaw: Mapping Multidirectional Memory’, </w:t>
      </w:r>
      <w:r w:rsidRPr="00FC331F">
        <w:rPr>
          <w:i/>
          <w:color w:val="000000" w:themeColor="text1"/>
          <w:sz w:val="20"/>
          <w:szCs w:val="20"/>
        </w:rPr>
        <w:t>Criticism</w:t>
      </w:r>
      <w:r w:rsidRPr="00FC331F">
        <w:rPr>
          <w:color w:val="000000" w:themeColor="text1"/>
          <w:sz w:val="20"/>
          <w:szCs w:val="20"/>
        </w:rPr>
        <w:t>, 53.4 (2011), 523–48 (p. 539).</w:t>
      </w:r>
    </w:p>
  </w:footnote>
  <w:footnote w:id="95">
    <w:p w14:paraId="1C1F2B8D"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‘From Gaza to Warsaw’, p. 539.</w:t>
      </w:r>
    </w:p>
  </w:footnote>
  <w:footnote w:id="96">
    <w:p w14:paraId="72D67CB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Oppenheimer, p. 305.</w:t>
      </w:r>
    </w:p>
  </w:footnote>
  <w:footnote w:id="97">
    <w:p w14:paraId="297A5C2F"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Achcar, p. 275.</w:t>
      </w:r>
    </w:p>
  </w:footnote>
  <w:footnote w:id="98">
    <w:p w14:paraId="562F2E72"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178.</w:t>
      </w:r>
    </w:p>
  </w:footnote>
  <w:footnote w:id="99">
    <w:p w14:paraId="6B15AE2B"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176.</w:t>
      </w:r>
    </w:p>
  </w:footnote>
  <w:footnote w:id="100">
    <w:p w14:paraId="39C790E5"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Achcar, p. 20.</w:t>
      </w:r>
    </w:p>
  </w:footnote>
  <w:footnote w:id="101">
    <w:p w14:paraId="380E82F9"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Zertal, in Achcar, p. 244.</w:t>
      </w:r>
    </w:p>
  </w:footnote>
  <w:footnote w:id="102">
    <w:p w14:paraId="1FC365DF"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The colour line, as originally theorised, refers to the racial segregation that existed between black and white people after slavery was abolished.</w:t>
      </w:r>
    </w:p>
  </w:footnote>
  <w:footnote w:id="103">
    <w:p w14:paraId="2627E691"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Michael Rothberg, ‘W.E.B. DuBois in Warsaw: Holocaust Memory and the Color Line, 1949-1952’, </w:t>
      </w:r>
      <w:r w:rsidRPr="00FC331F">
        <w:rPr>
          <w:i/>
          <w:color w:val="000000" w:themeColor="text1"/>
          <w:sz w:val="20"/>
          <w:szCs w:val="20"/>
        </w:rPr>
        <w:t>The Yale Journal of Criticism</w:t>
      </w:r>
      <w:r w:rsidRPr="00FC331F">
        <w:rPr>
          <w:color w:val="000000" w:themeColor="text1"/>
          <w:sz w:val="20"/>
          <w:szCs w:val="20"/>
        </w:rPr>
        <w:t>, 14.1 (2001), 169–89 (p. 172) &lt;https://doi.org/10.1353/yale.2001.0012&gt;.</w:t>
      </w:r>
    </w:p>
  </w:footnote>
  <w:footnote w:id="104">
    <w:p w14:paraId="63C5183F"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‘W.E.B. DuBois in Warsaw’, p. 173.</w:t>
      </w:r>
    </w:p>
  </w:footnote>
  <w:footnote w:id="105">
    <w:p w14:paraId="1B402558"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‘From Gaza to Warsaw’, p. 527.</w:t>
      </w:r>
    </w:p>
  </w:footnote>
  <w:footnote w:id="106">
    <w:p w14:paraId="06E56F7F"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‘W.E.B. DuBois in Warsaw’, p. 177.</w:t>
      </w:r>
    </w:p>
  </w:footnote>
  <w:footnote w:id="107">
    <w:p w14:paraId="2AF31C67"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116.</w:t>
      </w:r>
    </w:p>
  </w:footnote>
  <w:footnote w:id="108">
    <w:p w14:paraId="4B9556E9"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132.</w:t>
      </w:r>
    </w:p>
  </w:footnote>
  <w:footnote w:id="109">
    <w:p w14:paraId="3B340B07"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‘From Gaza to Warsaw’, p. 533.</w:t>
      </w:r>
    </w:p>
  </w:footnote>
  <w:footnote w:id="110">
    <w:p w14:paraId="5697D1F9"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16.</w:t>
      </w:r>
    </w:p>
  </w:footnote>
  <w:footnote w:id="111">
    <w:p w14:paraId="195F33C6"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313.</w:t>
      </w:r>
    </w:p>
  </w:footnote>
  <w:footnote w:id="112">
    <w:p w14:paraId="7451DF22"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pp. 8–9.</w:t>
      </w:r>
    </w:p>
  </w:footnote>
  <w:footnote w:id="113">
    <w:p w14:paraId="03EA220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‘From Gaza to Warsaw’, p. 533.</w:t>
      </w:r>
    </w:p>
  </w:footnote>
  <w:footnote w:id="114">
    <w:p w14:paraId="57DDC28E"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293.</w:t>
      </w:r>
    </w:p>
  </w:footnote>
  <w:footnote w:id="115">
    <w:p w14:paraId="1F9877D6"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5.</w:t>
      </w:r>
    </w:p>
  </w:footnote>
  <w:footnote w:id="116">
    <w:p w14:paraId="373A10B4"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214.</w:t>
      </w:r>
    </w:p>
  </w:footnote>
  <w:footnote w:id="117">
    <w:p w14:paraId="499F999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‘From Gaza to Warsaw’, p. 523.</w:t>
      </w:r>
    </w:p>
  </w:footnote>
  <w:footnote w:id="118">
    <w:p w14:paraId="0AD310CB"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39.</w:t>
      </w:r>
    </w:p>
  </w:footnote>
  <w:footnote w:id="119">
    <w:p w14:paraId="4C1EB9E1"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29.</w:t>
      </w:r>
    </w:p>
  </w:footnote>
  <w:footnote w:id="120">
    <w:p w14:paraId="2C28C844"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‘Israel Anger at Turkey “Hitler” Remarks’, </w:t>
      </w:r>
      <w:r w:rsidRPr="00FC331F">
        <w:rPr>
          <w:i/>
          <w:color w:val="000000" w:themeColor="text1"/>
          <w:sz w:val="20"/>
          <w:szCs w:val="20"/>
        </w:rPr>
        <w:t>BBC News</w:t>
      </w:r>
      <w:r w:rsidRPr="00FC331F">
        <w:rPr>
          <w:color w:val="000000" w:themeColor="text1"/>
          <w:sz w:val="20"/>
          <w:szCs w:val="20"/>
        </w:rPr>
        <w:t>, 24 July 2018, section Middle East &lt;https://www.bbc.com/news/world-middle-east-44938472&gt; [accessed 4 September 2018].</w:t>
      </w:r>
    </w:p>
  </w:footnote>
  <w:footnote w:id="121">
    <w:p w14:paraId="3397AFB2"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‘Abbas Remarks on Holocaust Condemned’, </w:t>
      </w:r>
      <w:r w:rsidRPr="00FC331F">
        <w:rPr>
          <w:i/>
          <w:color w:val="000000" w:themeColor="text1"/>
          <w:sz w:val="20"/>
          <w:szCs w:val="20"/>
        </w:rPr>
        <w:t>BBC News</w:t>
      </w:r>
      <w:r w:rsidRPr="00FC331F">
        <w:rPr>
          <w:color w:val="000000" w:themeColor="text1"/>
          <w:sz w:val="20"/>
          <w:szCs w:val="20"/>
        </w:rPr>
        <w:t>, 1 May 2018, section Middle East &lt;https://www.bbc.com/news/world-middle-east-43967600&gt; [accessed 7 September 2018].</w:t>
      </w:r>
    </w:p>
  </w:footnote>
  <w:footnote w:id="122">
    <w:p w14:paraId="5D3C1515"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‘The Palestinians Are the New Jews’, </w:t>
      </w:r>
      <w:r w:rsidRPr="00FC331F">
        <w:rPr>
          <w:i/>
          <w:color w:val="000000" w:themeColor="text1"/>
          <w:sz w:val="20"/>
          <w:szCs w:val="20"/>
        </w:rPr>
        <w:t>Haaretz</w:t>
      </w:r>
      <w:r w:rsidRPr="00FC331F">
        <w:rPr>
          <w:color w:val="000000" w:themeColor="text1"/>
          <w:sz w:val="20"/>
          <w:szCs w:val="20"/>
        </w:rPr>
        <w:t>, 22 September 2011 &lt;https://www.haaretz.com/1.5181096&gt; [accessed 8 September 2018].</w:t>
      </w:r>
    </w:p>
  </w:footnote>
  <w:footnote w:id="123">
    <w:p w14:paraId="6501A32A"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Said, in Achcar, p. 277.</w:t>
      </w:r>
    </w:p>
  </w:footnote>
  <w:footnote w:id="124">
    <w:p w14:paraId="0ADD689D"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5.</w:t>
      </w:r>
    </w:p>
  </w:footnote>
  <w:footnote w:id="125">
    <w:p w14:paraId="6B030727"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‘From Gaza to Warsaw’, pp. 531–32.</w:t>
      </w:r>
    </w:p>
  </w:footnote>
  <w:footnote w:id="126">
    <w:p w14:paraId="6E36653E" w14:textId="18896A19"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Whilst I agree that terms such as ‘Judeo Nazi’ are, at the very best, indelicate and over-simplified, I also note and disagree with the exceptionalist terminology in this article, such as referring to traumatic events other than the Holocaust as ‘lesser events’.</w:t>
      </w:r>
      <w:r>
        <w:rPr>
          <w:color w:val="000000" w:themeColor="text1"/>
          <w:sz w:val="20"/>
          <w:szCs w:val="20"/>
        </w:rPr>
        <w:t xml:space="preserve"> </w:t>
      </w:r>
      <w:r w:rsidRPr="00FC331F">
        <w:rPr>
          <w:color w:val="000000" w:themeColor="text1"/>
          <w:sz w:val="20"/>
          <w:szCs w:val="20"/>
        </w:rPr>
        <w:t>Seth Frantzman, ‘The Outrage of Comparing Israel to the Nazis’</w:t>
      </w:r>
    </w:p>
    <w:p w14:paraId="37D6E1F4" w14:textId="19E2C187" w:rsidR="00736D5A" w:rsidRPr="00FC331F" w:rsidRDefault="00736D5A" w:rsidP="00FC331F">
      <w:pPr>
        <w:spacing w:line="276" w:lineRule="auto"/>
        <w:rPr>
          <w:color w:val="000000" w:themeColor="text1"/>
          <w:sz w:val="20"/>
          <w:szCs w:val="20"/>
        </w:rPr>
      </w:pPr>
      <w:r w:rsidRPr="00FC331F">
        <w:rPr>
          <w:color w:val="000000" w:themeColor="text1"/>
          <w:sz w:val="20"/>
          <w:szCs w:val="20"/>
        </w:rPr>
        <w:t xml:space="preserve">&lt;http://genocidewatch.net/2016/05/12/the-outrage-of-comparing-israel-to-the-nazis/&gt; [accessed 4 September 2018] </w:t>
      </w:r>
    </w:p>
  </w:footnote>
  <w:footnote w:id="127">
    <w:p w14:paraId="49A70CCE"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Amira Hass, ‘Making Stupid Comparisons’, </w:t>
      </w:r>
      <w:r w:rsidRPr="00FC331F">
        <w:rPr>
          <w:i/>
          <w:color w:val="000000" w:themeColor="text1"/>
          <w:sz w:val="20"/>
          <w:szCs w:val="20"/>
        </w:rPr>
        <w:t>Haaretz</w:t>
      </w:r>
      <w:r w:rsidRPr="00FC331F">
        <w:rPr>
          <w:color w:val="000000" w:themeColor="text1"/>
          <w:sz w:val="20"/>
          <w:szCs w:val="20"/>
        </w:rPr>
        <w:t>, 9 July 2003 &lt;https://www.haaretz.com/1.5494283&gt; [accessed 4 September 2018].</w:t>
      </w:r>
    </w:p>
  </w:footnote>
  <w:footnote w:id="128">
    <w:p w14:paraId="6182BEF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Rothberg, ‘From Gaza to Warsaw’.</w:t>
      </w:r>
    </w:p>
  </w:footnote>
  <w:footnote w:id="129">
    <w:p w14:paraId="14121A6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King, in Rothberg, ‘From Gaza to Warsaw’, p. 531.</w:t>
      </w:r>
    </w:p>
  </w:footnote>
  <w:footnote w:id="130">
    <w:p w14:paraId="158A90D2"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Hass.</w:t>
      </w:r>
    </w:p>
  </w:footnote>
  <w:footnote w:id="131">
    <w:p w14:paraId="7FE287C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‘Gaza: The World’s Largest Open-Air Prison’, </w:t>
      </w:r>
      <w:r w:rsidRPr="00FC331F">
        <w:rPr>
          <w:i/>
          <w:color w:val="000000" w:themeColor="text1"/>
          <w:sz w:val="20"/>
          <w:szCs w:val="20"/>
        </w:rPr>
        <w:t>NRC</w:t>
      </w:r>
      <w:r w:rsidRPr="00FC331F">
        <w:rPr>
          <w:color w:val="000000" w:themeColor="text1"/>
          <w:sz w:val="20"/>
          <w:szCs w:val="20"/>
        </w:rPr>
        <w:t xml:space="preserve"> </w:t>
      </w:r>
    </w:p>
    <w:p w14:paraId="307ECB2F"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rPr>
        <w:t>&lt;https://www.nrc.no/news/2018/april/gaza-the-worlds-largest-open-air-prison/&gt; [accessed 7 September 2018].</w:t>
      </w:r>
    </w:p>
  </w:footnote>
  <w:footnote w:id="132">
    <w:p w14:paraId="0B459C6D"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Mark LeVine, ‘Gaza Is No Warsaw Ghetto’</w:t>
      </w:r>
    </w:p>
    <w:p w14:paraId="088EA69E"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rPr>
        <w:t xml:space="preserve"> &lt;https://www.aljazeera.com/focus/crisisingaza/2009/02/20092191518941246.html&gt; [accessed 4 September 2018].</w:t>
      </w:r>
    </w:p>
  </w:footnote>
  <w:footnote w:id="133">
    <w:p w14:paraId="639AA488"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Amira Hass, ‘Making Stupid Comparisons’, </w:t>
      </w:r>
      <w:r w:rsidRPr="00FC331F">
        <w:rPr>
          <w:i/>
          <w:color w:val="000000" w:themeColor="text1"/>
          <w:sz w:val="20"/>
          <w:szCs w:val="20"/>
        </w:rPr>
        <w:t>Haaretz</w:t>
      </w:r>
      <w:r w:rsidRPr="00FC331F">
        <w:rPr>
          <w:color w:val="000000" w:themeColor="text1"/>
          <w:sz w:val="20"/>
          <w:szCs w:val="20"/>
        </w:rPr>
        <w:t>, 9 July 2003 &lt;https://www.haaretz.com/1.5494283&gt; [accessed 4 September 2018].</w:t>
      </w:r>
    </w:p>
  </w:footnote>
  <w:footnote w:id="134">
    <w:p w14:paraId="3EA6EAE5" w14:textId="77FD0DD2"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‘From Gaza to Warsaw’, p. 527.</w:t>
      </w:r>
    </w:p>
  </w:footnote>
  <w:footnote w:id="135">
    <w:p w14:paraId="248E25D7"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Amira Hass, ‘Making Stupid Comparisons’, </w:t>
      </w:r>
      <w:r w:rsidRPr="00FC331F">
        <w:rPr>
          <w:i/>
          <w:color w:val="000000" w:themeColor="text1"/>
          <w:sz w:val="20"/>
          <w:szCs w:val="20"/>
        </w:rPr>
        <w:t>Haaretz</w:t>
      </w:r>
      <w:r w:rsidRPr="00FC331F">
        <w:rPr>
          <w:color w:val="000000" w:themeColor="text1"/>
          <w:sz w:val="20"/>
          <w:szCs w:val="20"/>
        </w:rPr>
        <w:t>, 9 July 2003 &lt;https://www.haaretz.com/1.5494283&gt; [accessed 4 September 2018].</w:t>
      </w:r>
    </w:p>
  </w:footnote>
  <w:footnote w:id="136">
    <w:p w14:paraId="7C4E69FD" w14:textId="6987812B"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‘From Gaza to Warsaw’, p. 525.</w:t>
      </w:r>
    </w:p>
  </w:footnote>
  <w:footnote w:id="137">
    <w:p w14:paraId="67451AA6" w14:textId="6A3C21B8"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Rothberg, ‘From Gaza to Warsaw’, p. 530.</w:t>
      </w:r>
    </w:p>
  </w:footnote>
  <w:footnote w:id="138">
    <w:p w14:paraId="611C495D" w14:textId="692929DF"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Rothberg, ‘From Gaza to Warsaw’, p. 525.</w:t>
      </w:r>
    </w:p>
  </w:footnote>
  <w:footnote w:id="139">
    <w:p w14:paraId="153766AE" w14:textId="53C80432"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Rothberg, ‘From Gaza to Warsaw’, p. 532.</w:t>
      </w:r>
    </w:p>
  </w:footnote>
  <w:footnote w:id="140">
    <w:p w14:paraId="096AD849" w14:textId="2973C8EA"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‘From Gaza to Warsaw’, p. 537.</w:t>
      </w:r>
    </w:p>
  </w:footnote>
  <w:footnote w:id="141">
    <w:p w14:paraId="62F82F66" w14:textId="2992BBD8"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Rothberg, ‘From Gaza to Warsaw’, p. 533.</w:t>
      </w:r>
    </w:p>
  </w:footnote>
  <w:footnote w:id="142">
    <w:p w14:paraId="663F55D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Ruth-Anne Lenga, ‘Seeing Things Differently: The Use of Atrocity Images in Teaching about the Holocaust’, in </w:t>
      </w:r>
      <w:r w:rsidRPr="00FC331F">
        <w:rPr>
          <w:i/>
          <w:color w:val="000000" w:themeColor="text1"/>
          <w:sz w:val="20"/>
          <w:szCs w:val="20"/>
        </w:rPr>
        <w:t>Holocaust Education</w:t>
      </w:r>
      <w:r w:rsidRPr="00FC331F">
        <w:rPr>
          <w:color w:val="000000" w:themeColor="text1"/>
          <w:sz w:val="20"/>
          <w:szCs w:val="20"/>
        </w:rPr>
        <w:t>, ed. by Stuart Foster, Andy Pearce, and Alice Pettigrew, Contemporary Challenges and Controversies (UCL Press, 2020), pp. 195–220 (p. 202) &lt;https://doi.org/10.2307/j.ctv15d7zpf.16&gt;.</w:t>
      </w:r>
    </w:p>
  </w:footnote>
  <w:footnote w:id="143">
    <w:p w14:paraId="26CBECC6" w14:textId="48A8B499"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Rothberg, ‘From Gaza to Warsaw’, p. 532.</w:t>
      </w:r>
    </w:p>
  </w:footnote>
  <w:footnote w:id="144">
    <w:p w14:paraId="78472418"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These two photos are not definitely those referred to in Finkelstein’s photo-essay, but Rothberg’s description of the provenance of the photos in ‘From Gaza to Warsaw’, p. 544, and their aesthetic similarities, suggest that they are.</w:t>
      </w:r>
    </w:p>
  </w:footnote>
  <w:footnote w:id="145">
    <w:p w14:paraId="5C40A773" w14:textId="62F69D44"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‘From Gaza to Warsaw’, p. 533.</w:t>
      </w:r>
    </w:p>
  </w:footnote>
  <w:footnote w:id="146">
    <w:p w14:paraId="3764D4FF"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Macdonald, p. 57.</w:t>
      </w:r>
    </w:p>
  </w:footnote>
  <w:footnote w:id="147">
    <w:p w14:paraId="324C1BE5"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Henri Raczymow, </w:t>
      </w:r>
      <w:r w:rsidRPr="00FC331F">
        <w:rPr>
          <w:i/>
          <w:color w:val="000000" w:themeColor="text1"/>
          <w:sz w:val="20"/>
          <w:szCs w:val="20"/>
        </w:rPr>
        <w:t>Writing the Book of Esther</w:t>
      </w:r>
      <w:r w:rsidRPr="00FC331F">
        <w:rPr>
          <w:color w:val="000000" w:themeColor="text1"/>
          <w:sz w:val="20"/>
          <w:szCs w:val="20"/>
        </w:rPr>
        <w:t>, trans. by Dori Katz (New York: Holmes &amp; Meier Publishers, 1995), p. 2.</w:t>
      </w:r>
    </w:p>
  </w:footnote>
  <w:footnote w:id="148">
    <w:p w14:paraId="2CD6F131" w14:textId="353BA505"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Raczymow, p. 100.</w:t>
      </w:r>
    </w:p>
  </w:footnote>
  <w:footnote w:id="149">
    <w:p w14:paraId="4CEFA5D7" w14:textId="044C6938"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Raczymow, p. 101.</w:t>
      </w:r>
    </w:p>
  </w:footnote>
  <w:footnote w:id="150">
    <w:p w14:paraId="20B9F60F"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Lanzmann, in Achcar, pp. 243–44.</w:t>
      </w:r>
    </w:p>
  </w:footnote>
  <w:footnote w:id="151">
    <w:p w14:paraId="192165D5"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David Hirst, </w:t>
      </w:r>
      <w:r w:rsidRPr="00FC331F">
        <w:rPr>
          <w:i/>
          <w:color w:val="000000" w:themeColor="text1"/>
          <w:sz w:val="20"/>
          <w:szCs w:val="20"/>
        </w:rPr>
        <w:t>Beware of Small States: Lebanon, Battleground of the Middle East</w:t>
      </w:r>
      <w:r w:rsidRPr="00FC331F">
        <w:rPr>
          <w:color w:val="000000" w:themeColor="text1"/>
          <w:sz w:val="20"/>
          <w:szCs w:val="20"/>
        </w:rPr>
        <w:t xml:space="preserve"> (London: Faber &amp; Faber, 2011), p. 153.</w:t>
      </w:r>
    </w:p>
  </w:footnote>
  <w:footnote w:id="152">
    <w:p w14:paraId="314C61B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Sara Ahmed, ‘Speaking Out’, </w:t>
      </w:r>
      <w:r w:rsidRPr="00FC331F">
        <w:rPr>
          <w:i/>
          <w:color w:val="000000" w:themeColor="text1"/>
          <w:sz w:val="20"/>
          <w:szCs w:val="20"/>
        </w:rPr>
        <w:t>Feministkilljoys</w:t>
      </w:r>
      <w:r w:rsidRPr="00FC331F">
        <w:rPr>
          <w:color w:val="000000" w:themeColor="text1"/>
          <w:sz w:val="20"/>
          <w:szCs w:val="20"/>
        </w:rPr>
        <w:t>, 2016 &lt;https://feministkilljoys.com/2016/06/02/speaking-out/&gt; [accessed 4 September 2018].</w:t>
      </w:r>
    </w:p>
  </w:footnote>
  <w:footnote w:id="153">
    <w:p w14:paraId="5A4C7773"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Edward Alexander, </w:t>
      </w:r>
      <w:r w:rsidRPr="00FC331F">
        <w:rPr>
          <w:i/>
          <w:color w:val="000000" w:themeColor="text1"/>
          <w:sz w:val="20"/>
          <w:szCs w:val="20"/>
        </w:rPr>
        <w:t>The Jewish Idea and Its Enemies: Personalities, Issues, Events</w:t>
      </w:r>
      <w:r w:rsidRPr="00FC331F">
        <w:rPr>
          <w:color w:val="000000" w:themeColor="text1"/>
          <w:sz w:val="20"/>
          <w:szCs w:val="20"/>
        </w:rPr>
        <w:t xml:space="preserve"> (Transaction Publishers, 1988), p. 106.</w:t>
      </w:r>
    </w:p>
  </w:footnote>
  <w:footnote w:id="154">
    <w:p w14:paraId="11817324" w14:textId="36C5A71A"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Ana Miller, ‘The Silence of Palestinians in Caryl Phillips’s The Nature of Blood’, </w:t>
      </w:r>
      <w:r w:rsidRPr="00FC331F">
        <w:rPr>
          <w:i/>
          <w:color w:val="000000" w:themeColor="text1"/>
          <w:sz w:val="20"/>
          <w:szCs w:val="20"/>
        </w:rPr>
        <w:t>Journal of Postcolonial Writing</w:t>
      </w:r>
      <w:r w:rsidRPr="00FC331F">
        <w:rPr>
          <w:color w:val="000000" w:themeColor="text1"/>
          <w:sz w:val="20"/>
          <w:szCs w:val="20"/>
        </w:rPr>
        <w:t>, 50.5 (2014), 509–21 (p. 51</w:t>
      </w:r>
      <w:r>
        <w:rPr>
          <w:color w:val="000000" w:themeColor="text1"/>
          <w:sz w:val="20"/>
          <w:szCs w:val="20"/>
        </w:rPr>
        <w:t>8</w:t>
      </w:r>
      <w:r w:rsidRPr="00FC331F">
        <w:rPr>
          <w:color w:val="000000" w:themeColor="text1"/>
          <w:sz w:val="20"/>
          <w:szCs w:val="20"/>
        </w:rPr>
        <w:t>) &lt;https://doi.org/10.1080/17449855.2013.778896&gt;.</w:t>
      </w:r>
    </w:p>
  </w:footnote>
  <w:footnote w:id="155">
    <w:p w14:paraId="2E2AD75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Isabelle Hesse, ‘Colonizing Jewishness? Minority, Exile, and Belonging in Anita Desai’s Baumgartner’s Bombay and Caryl Phillips’s The Nature of Blood’, </w:t>
      </w:r>
      <w:r w:rsidRPr="00FC331F">
        <w:rPr>
          <w:i/>
          <w:color w:val="000000" w:themeColor="text1"/>
          <w:sz w:val="20"/>
          <w:szCs w:val="20"/>
        </w:rPr>
        <w:t>Textual Practice</w:t>
      </w:r>
      <w:r w:rsidRPr="00FC331F">
        <w:rPr>
          <w:color w:val="000000" w:themeColor="text1"/>
          <w:sz w:val="20"/>
          <w:szCs w:val="20"/>
        </w:rPr>
        <w:t>, 28.5 (2014), 881–99 (p. 896) &lt;https://doi.org/10.1080/0950236X.2013.858072&gt;.</w:t>
      </w:r>
    </w:p>
  </w:footnote>
  <w:footnote w:id="156">
    <w:p w14:paraId="3C92EA7C"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Narendra Kumar, ‘Cosmopolitanism, Inter-Narrativity and Cultural Empathy: Caryl Phillips’ The Nature of Blood and Zadie Smith’s White Teeth’, p. 230 &lt;http://rupkatha.com/V4/n2/12_Inter-narrativity_Cultural_Empathy.pdf&gt;.</w:t>
      </w:r>
    </w:p>
  </w:footnote>
  <w:footnote w:id="157">
    <w:p w14:paraId="6B3A6964"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Caryl Phillips, </w:t>
      </w:r>
      <w:r w:rsidRPr="00FC331F">
        <w:rPr>
          <w:i/>
          <w:color w:val="000000" w:themeColor="text1"/>
          <w:sz w:val="20"/>
          <w:szCs w:val="20"/>
        </w:rPr>
        <w:t>The Nature of Blood</w:t>
      </w:r>
      <w:r w:rsidRPr="00FC331F">
        <w:rPr>
          <w:color w:val="000000" w:themeColor="text1"/>
          <w:sz w:val="20"/>
          <w:szCs w:val="20"/>
        </w:rPr>
        <w:t xml:space="preserve"> (London: Faber and Faber, 1997), pp. 211–12.</w:t>
      </w:r>
    </w:p>
  </w:footnote>
  <w:footnote w:id="158">
    <w:p w14:paraId="3AEA1312" w14:textId="650CE360"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Miller, p. 517.</w:t>
      </w:r>
    </w:p>
  </w:footnote>
  <w:footnote w:id="159">
    <w:p w14:paraId="40EA693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168.</w:t>
      </w:r>
    </w:p>
  </w:footnote>
  <w:footnote w:id="160">
    <w:p w14:paraId="7BD2337F" w14:textId="712EE46D"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Miller, p. 509.</w:t>
      </w:r>
    </w:p>
  </w:footnote>
  <w:footnote w:id="161">
    <w:p w14:paraId="4A0E7FE7" w14:textId="11405963"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Stephen </w:t>
      </w:r>
      <w:r>
        <w:rPr>
          <w:color w:val="000000" w:themeColor="text1"/>
          <w:sz w:val="20"/>
          <w:szCs w:val="20"/>
        </w:rPr>
        <w:t>Apkon</w:t>
      </w:r>
      <w:r w:rsidRPr="00FC331F">
        <w:rPr>
          <w:color w:val="000000" w:themeColor="text1"/>
          <w:sz w:val="20"/>
          <w:szCs w:val="20"/>
        </w:rPr>
        <w:t xml:space="preserve">, </w:t>
      </w:r>
      <w:r w:rsidRPr="00FC331F">
        <w:rPr>
          <w:i/>
          <w:color w:val="000000" w:themeColor="text1"/>
          <w:sz w:val="20"/>
          <w:szCs w:val="20"/>
        </w:rPr>
        <w:t>Disturbing the Peace</w:t>
      </w:r>
      <w:r w:rsidRPr="00FC331F">
        <w:rPr>
          <w:color w:val="000000" w:themeColor="text1"/>
          <w:sz w:val="20"/>
          <w:szCs w:val="20"/>
        </w:rPr>
        <w:t>, 2016.</w:t>
      </w:r>
    </w:p>
  </w:footnote>
  <w:footnote w:id="162">
    <w:p w14:paraId="294DA8FF" w14:textId="7ED1E52B"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w:t>
      </w:r>
      <w:r>
        <w:rPr>
          <w:color w:val="000000" w:themeColor="text1"/>
          <w:sz w:val="20"/>
          <w:szCs w:val="20"/>
        </w:rPr>
        <w:t>Apkon</w:t>
      </w:r>
      <w:r w:rsidRPr="00FC331F">
        <w:rPr>
          <w:color w:val="000000" w:themeColor="text1"/>
          <w:sz w:val="20"/>
          <w:szCs w:val="20"/>
        </w:rPr>
        <w:t>, 56:03 minutes remaining.</w:t>
      </w:r>
    </w:p>
  </w:footnote>
  <w:footnote w:id="163">
    <w:p w14:paraId="2358FD94" w14:textId="393A0E53"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Pr>
          <w:color w:val="000000" w:themeColor="text1"/>
          <w:sz w:val="20"/>
          <w:szCs w:val="20"/>
        </w:rPr>
        <w:t>Apkon</w:t>
      </w:r>
      <w:r w:rsidRPr="00FC331F">
        <w:rPr>
          <w:color w:val="000000" w:themeColor="text1"/>
          <w:sz w:val="20"/>
          <w:szCs w:val="20"/>
        </w:rPr>
        <w:t>, 52:51 minutes remaining.</w:t>
      </w:r>
    </w:p>
  </w:footnote>
  <w:footnote w:id="164">
    <w:p w14:paraId="2804E06C" w14:textId="165A03C8"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Pr>
          <w:color w:val="000000" w:themeColor="text1"/>
          <w:sz w:val="20"/>
          <w:szCs w:val="20"/>
        </w:rPr>
        <w:t>Apkon</w:t>
      </w:r>
      <w:r w:rsidRPr="00FC331F">
        <w:rPr>
          <w:color w:val="000000" w:themeColor="text1"/>
          <w:sz w:val="20"/>
          <w:szCs w:val="20"/>
        </w:rPr>
        <w:t>, 51:15 minutes remaining.</w:t>
      </w:r>
    </w:p>
  </w:footnote>
  <w:footnote w:id="165">
    <w:p w14:paraId="5E2257EA" w14:textId="58AC4B92"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Pr>
          <w:color w:val="000000" w:themeColor="text1"/>
          <w:sz w:val="20"/>
          <w:szCs w:val="20"/>
        </w:rPr>
        <w:t>Apkon</w:t>
      </w:r>
      <w:r w:rsidRPr="00FC331F">
        <w:rPr>
          <w:color w:val="000000" w:themeColor="text1"/>
          <w:sz w:val="20"/>
          <w:szCs w:val="20"/>
        </w:rPr>
        <w:t>, 56:58 minutes remaining.</w:t>
      </w:r>
    </w:p>
  </w:footnote>
  <w:footnote w:id="166">
    <w:p w14:paraId="66938D30" w14:textId="53519E91"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Pr>
          <w:color w:val="000000" w:themeColor="text1"/>
          <w:sz w:val="20"/>
          <w:szCs w:val="20"/>
        </w:rPr>
        <w:t>Apkon</w:t>
      </w:r>
      <w:r w:rsidRPr="00FC331F">
        <w:rPr>
          <w:color w:val="000000" w:themeColor="text1"/>
          <w:sz w:val="20"/>
          <w:szCs w:val="20"/>
        </w:rPr>
        <w:t>, 54:13 minutes remaining.</w:t>
      </w:r>
    </w:p>
  </w:footnote>
  <w:footnote w:id="167">
    <w:p w14:paraId="459C5AD4" w14:textId="52A59D43"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Macdonald, on Finkielkraut, pp. 46–47.</w:t>
      </w:r>
    </w:p>
  </w:footnote>
  <w:footnote w:id="168">
    <w:p w14:paraId="1A55628A" w14:textId="77777777" w:rsidR="00736D5A" w:rsidRPr="006C2563"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6C2563">
        <w:rPr>
          <w:color w:val="000000" w:themeColor="text1"/>
          <w:sz w:val="20"/>
          <w:szCs w:val="20"/>
        </w:rPr>
        <w:t xml:space="preserve"> Peter Novick, in Macdonald, p. 39.</w:t>
      </w:r>
    </w:p>
  </w:footnote>
  <w:footnote w:id="169">
    <w:p w14:paraId="1BDAA420" w14:textId="6FCEE4C1"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Robert S. Wistrich, ‘Israel and the Holocaust Trauma’, </w:t>
      </w:r>
      <w:r w:rsidRPr="00FC331F">
        <w:rPr>
          <w:i/>
          <w:color w:val="000000" w:themeColor="text1"/>
          <w:sz w:val="20"/>
          <w:szCs w:val="20"/>
        </w:rPr>
        <w:t>Jewish History</w:t>
      </w:r>
      <w:r w:rsidRPr="00FC331F">
        <w:rPr>
          <w:color w:val="000000" w:themeColor="text1"/>
          <w:sz w:val="20"/>
          <w:szCs w:val="20"/>
        </w:rPr>
        <w:t>, 11.2 (1997), 13–20 (p. 17).</w:t>
      </w:r>
    </w:p>
  </w:footnote>
  <w:footnote w:id="170">
    <w:p w14:paraId="2DD719FF"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‘Simon Wiesenthal Center: 1967 Border Is The “‘Auschwitz’ Border” | Political Correction’ &lt;http://politicalcorrection.org/fpmatters/201105190013&gt; [accessed 4 September 2018].</w:t>
      </w:r>
    </w:p>
  </w:footnote>
  <w:footnote w:id="171">
    <w:p w14:paraId="300D1238"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Achcar, p. 224.</w:t>
      </w:r>
    </w:p>
  </w:footnote>
  <w:footnote w:id="172">
    <w:p w14:paraId="20A9F993"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Anita Shapira, ‘The Holocaust: Private Memories, Public Memory’, </w:t>
      </w:r>
      <w:r w:rsidRPr="00FC331F">
        <w:rPr>
          <w:i/>
          <w:color w:val="000000" w:themeColor="text1"/>
          <w:sz w:val="20"/>
          <w:szCs w:val="20"/>
        </w:rPr>
        <w:t>Jewish Social Studies</w:t>
      </w:r>
      <w:r w:rsidRPr="00FC331F">
        <w:rPr>
          <w:color w:val="000000" w:themeColor="text1"/>
          <w:sz w:val="20"/>
          <w:szCs w:val="20"/>
        </w:rPr>
        <w:t>, 4.2 (1998), 40–58 (p. 48).</w:t>
      </w:r>
    </w:p>
  </w:footnote>
  <w:footnote w:id="173">
    <w:p w14:paraId="33D851BF"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Litvak, in Achcar, p. 174.</w:t>
      </w:r>
    </w:p>
  </w:footnote>
  <w:footnote w:id="174">
    <w:p w14:paraId="0CC4E1F5"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Mikael Tossavainen, ‘The Holocaust in Arab Public Discourse: Historicized Politics and Politicized History’, </w:t>
      </w:r>
      <w:r w:rsidRPr="00FC331F">
        <w:rPr>
          <w:i/>
          <w:color w:val="000000" w:themeColor="text1"/>
          <w:sz w:val="20"/>
          <w:szCs w:val="20"/>
        </w:rPr>
        <w:t>Jewish Political Studies Review</w:t>
      </w:r>
      <w:r w:rsidRPr="00FC331F">
        <w:rPr>
          <w:color w:val="000000" w:themeColor="text1"/>
          <w:sz w:val="20"/>
          <w:szCs w:val="20"/>
        </w:rPr>
        <w:t>, 20.3/4 (2008), 93–106 (p. 93).</w:t>
      </w:r>
    </w:p>
  </w:footnote>
  <w:footnote w:id="175">
    <w:p w14:paraId="781D381C" w14:textId="6BC91130"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One such example of this is Tossavainen’s suggestion that there needs to be a ‘stricter division between history and politics in the Arab world’ (p. 105), whilst failing to acknowledge the </w:t>
      </w:r>
      <w:r>
        <w:rPr>
          <w:color w:val="000000" w:themeColor="text1"/>
          <w:sz w:val="20"/>
          <w:szCs w:val="20"/>
        </w:rPr>
        <w:t>absence</w:t>
      </w:r>
      <w:r w:rsidRPr="00FC331F">
        <w:rPr>
          <w:color w:val="000000" w:themeColor="text1"/>
          <w:sz w:val="20"/>
          <w:szCs w:val="20"/>
        </w:rPr>
        <w:t xml:space="preserve"> of such a division in Israel itself.</w:t>
      </w:r>
    </w:p>
  </w:footnote>
  <w:footnote w:id="176">
    <w:p w14:paraId="13FE8EA6" w14:textId="72A1E042"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Tossavainen, p. 93.</w:t>
      </w:r>
    </w:p>
  </w:footnote>
  <w:footnote w:id="177">
    <w:p w14:paraId="27B32F2D"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Achcar, p. 221.</w:t>
      </w:r>
    </w:p>
  </w:footnote>
  <w:footnote w:id="178">
    <w:p w14:paraId="2025A605"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Soliman, in Achcar, p. 220.</w:t>
      </w:r>
    </w:p>
  </w:footnote>
  <w:footnote w:id="179">
    <w:p w14:paraId="5F5ECB08"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United Nations Office for the Coordination of Humanitarian Affairs, ‘Data on Casualties’, </w:t>
      </w:r>
      <w:r w:rsidRPr="00FC331F">
        <w:rPr>
          <w:i/>
          <w:color w:val="000000" w:themeColor="text1"/>
          <w:sz w:val="20"/>
          <w:szCs w:val="20"/>
        </w:rPr>
        <w:t>Occupied Palestinian Territory</w:t>
      </w:r>
      <w:r w:rsidRPr="00FC331F">
        <w:rPr>
          <w:color w:val="000000" w:themeColor="text1"/>
          <w:sz w:val="20"/>
          <w:szCs w:val="20"/>
        </w:rPr>
        <w:t xml:space="preserve"> &lt;https://www.ochaopt.org/data/casualties&gt; [accessed 18 November 2020].</w:t>
      </w:r>
    </w:p>
  </w:footnote>
  <w:footnote w:id="180">
    <w:p w14:paraId="529FDB1B"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‘Israel Approves “Jewish Nation State” Law’, </w:t>
      </w:r>
      <w:r w:rsidRPr="00FC331F">
        <w:rPr>
          <w:i/>
          <w:color w:val="000000" w:themeColor="text1"/>
          <w:sz w:val="20"/>
          <w:szCs w:val="20"/>
        </w:rPr>
        <w:t>BBC News</w:t>
      </w:r>
      <w:r w:rsidRPr="00FC331F">
        <w:rPr>
          <w:color w:val="000000" w:themeColor="text1"/>
          <w:sz w:val="20"/>
          <w:szCs w:val="20"/>
        </w:rPr>
        <w:t>, 19 July 2018, section Middle East &lt;https://www.bbc.com/news/world-middle-east-44881554&gt; [accessed 4 September 2018].</w:t>
      </w:r>
    </w:p>
  </w:footnote>
  <w:footnote w:id="181">
    <w:p w14:paraId="59A5758C"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Achcar, p. 277.</w:t>
      </w:r>
    </w:p>
  </w:footnote>
  <w:footnote w:id="182">
    <w:p w14:paraId="3B9B546D"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Achcar, p. 257.</w:t>
      </w:r>
    </w:p>
  </w:footnote>
  <w:footnote w:id="183">
    <w:p w14:paraId="278093B7" w14:textId="0C7145E9" w:rsidR="00736D5A" w:rsidRPr="009631D4" w:rsidRDefault="00736D5A">
      <w:pPr>
        <w:pStyle w:val="FootnoteText"/>
        <w:rPr>
          <w:lang w:val="en-GB"/>
        </w:rPr>
      </w:pPr>
      <w:r>
        <w:rPr>
          <w:rStyle w:val="FootnoteReference"/>
        </w:rPr>
        <w:footnoteRef/>
      </w:r>
      <w:r>
        <w:t xml:space="preserve"> </w:t>
      </w:r>
      <w:r w:rsidRPr="00FC331F">
        <w:rPr>
          <w:color w:val="000000" w:themeColor="text1"/>
        </w:rPr>
        <w:t>Tossavainen, p. 93.</w:t>
      </w:r>
    </w:p>
  </w:footnote>
  <w:footnote w:id="184">
    <w:p w14:paraId="5102A7E6"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Achcar, p. 235.</w:t>
      </w:r>
    </w:p>
  </w:footnote>
  <w:footnote w:id="185">
    <w:p w14:paraId="6DEFF546"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Achcar, p. 261.</w:t>
      </w:r>
    </w:p>
  </w:footnote>
  <w:footnote w:id="186">
    <w:p w14:paraId="29A16CA7"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‘Israeli Minister Warns of Palestinian “Holocaust”’, </w:t>
      </w:r>
      <w:r w:rsidRPr="00FC331F">
        <w:rPr>
          <w:i/>
          <w:color w:val="000000" w:themeColor="text1"/>
          <w:sz w:val="20"/>
          <w:szCs w:val="20"/>
        </w:rPr>
        <w:t>The Guardian</w:t>
      </w:r>
      <w:r w:rsidRPr="00FC331F">
        <w:rPr>
          <w:color w:val="000000" w:themeColor="text1"/>
          <w:sz w:val="20"/>
          <w:szCs w:val="20"/>
        </w:rPr>
        <w:t>, 29 February 2008 &lt;https://www.theguardian.com/world/2008/feb/29/israelandthepalestinians1&gt; [accessed 4 September 2018].</w:t>
      </w:r>
    </w:p>
  </w:footnote>
  <w:footnote w:id="187">
    <w:p w14:paraId="0405F6D6" w14:textId="77777777" w:rsidR="008E7D20" w:rsidRPr="00FC331F" w:rsidRDefault="008E7D20" w:rsidP="008E7D20">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‘The Holocaust - Yad Vashem’ &lt;http://www.yadvashem.org/yv/en/holocaust/resource_center/the_holocaust.asp&gt; [accessed 4 September 2018].</w:t>
      </w:r>
    </w:p>
  </w:footnote>
  <w:footnote w:id="188">
    <w:p w14:paraId="02FC2E2F" w14:textId="7C6206E1"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LeVine.</w:t>
      </w:r>
    </w:p>
  </w:footnote>
  <w:footnote w:id="189">
    <w:p w14:paraId="1F847DFE"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Achcar, p. 227.</w:t>
      </w:r>
    </w:p>
  </w:footnote>
  <w:footnote w:id="190">
    <w:p w14:paraId="38E2469A"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Achcar, p. 208.</w:t>
      </w:r>
    </w:p>
  </w:footnote>
  <w:footnote w:id="191">
    <w:p w14:paraId="5BBB5DCE"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Nidal al-Mughrabi, ‘Israel Warns Gaza of “Shoah”’, </w:t>
      </w:r>
      <w:r w:rsidRPr="00FC331F">
        <w:rPr>
          <w:i/>
          <w:color w:val="000000" w:themeColor="text1"/>
          <w:sz w:val="20"/>
          <w:szCs w:val="20"/>
        </w:rPr>
        <w:t>Reuters</w:t>
      </w:r>
      <w:r w:rsidRPr="00FC331F">
        <w:rPr>
          <w:color w:val="000000" w:themeColor="text1"/>
          <w:sz w:val="20"/>
          <w:szCs w:val="20"/>
        </w:rPr>
        <w:t>, 29 February 2008, &lt;https://www.reuters.com/article/us-palestinians-israel/israel-unleashes-strikes-on-gaza-strip-idUSL2868601720080229&gt; [accessed 4 September 2018].</w:t>
      </w:r>
    </w:p>
  </w:footnote>
  <w:footnote w:id="192">
    <w:p w14:paraId="3E0A9C33"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Hannan Hever, ‘“The Two Gaze Directly into One Another’s Face”: Avot Yeshurun between the Nakba and the Shoah—An Israeli Perspective’, </w:t>
      </w:r>
      <w:r w:rsidRPr="00FC331F">
        <w:rPr>
          <w:i/>
          <w:color w:val="000000" w:themeColor="text1"/>
          <w:sz w:val="20"/>
          <w:szCs w:val="20"/>
        </w:rPr>
        <w:t>Jewish Social Studies</w:t>
      </w:r>
      <w:r w:rsidRPr="00FC331F">
        <w:rPr>
          <w:color w:val="000000" w:themeColor="text1"/>
          <w:sz w:val="20"/>
          <w:szCs w:val="20"/>
        </w:rPr>
        <w:t>, 18.3 (2012), 153–63 (p. 155) &lt;https://doi.org/10.2979/jewisocistud.18.3.153&gt;.</w:t>
      </w:r>
    </w:p>
  </w:footnote>
  <w:footnote w:id="193">
    <w:p w14:paraId="5D1E8BB5" w14:textId="77777777" w:rsidR="00FA3397" w:rsidRPr="00FC331F" w:rsidRDefault="00FA3397" w:rsidP="00FA3397">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‘Israel Faces Backlash over Gaza Killings’, </w:t>
      </w:r>
      <w:r w:rsidRPr="00FC331F">
        <w:rPr>
          <w:i/>
          <w:color w:val="000000" w:themeColor="text1"/>
          <w:sz w:val="20"/>
          <w:szCs w:val="20"/>
        </w:rPr>
        <w:t>Global Village Space</w:t>
      </w:r>
      <w:r w:rsidRPr="00FC331F">
        <w:rPr>
          <w:color w:val="000000" w:themeColor="text1"/>
          <w:sz w:val="20"/>
          <w:szCs w:val="20"/>
        </w:rPr>
        <w:t>, 2018 &lt;https://www.globalvillagespace.com/israel-faces-backlash-over-gaza-killings/&gt; [accessed 7 September 2018].</w:t>
      </w:r>
    </w:p>
  </w:footnote>
  <w:footnote w:id="194">
    <w:p w14:paraId="6C42840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2.</w:t>
      </w:r>
    </w:p>
  </w:footnote>
  <w:footnote w:id="195">
    <w:p w14:paraId="4ECED3C2"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Achcar, p. 18.</w:t>
      </w:r>
    </w:p>
  </w:footnote>
  <w:footnote w:id="196">
    <w:p w14:paraId="6F9E98B5"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Achcar, p. 19.</w:t>
      </w:r>
    </w:p>
  </w:footnote>
  <w:footnote w:id="197">
    <w:p w14:paraId="325552CA"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266.</w:t>
      </w:r>
    </w:p>
  </w:footnote>
  <w:footnote w:id="198">
    <w:p w14:paraId="0E55CCC1"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Segev, in Achcar, p. 201.</w:t>
      </w:r>
    </w:p>
  </w:footnote>
  <w:footnote w:id="199">
    <w:p w14:paraId="0C9CB287"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Achcar, p. 52.</w:t>
      </w:r>
    </w:p>
  </w:footnote>
  <w:footnote w:id="200">
    <w:p w14:paraId="7279912C"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Achcar, p. 54.</w:t>
      </w:r>
    </w:p>
  </w:footnote>
  <w:footnote w:id="201">
    <w:p w14:paraId="3CC344AA"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‘Anger at Netanyahu Claim Palestinian Grand Mufti Inspired Holocaust’, </w:t>
      </w:r>
      <w:r w:rsidRPr="00FC331F">
        <w:rPr>
          <w:i/>
          <w:color w:val="000000" w:themeColor="text1"/>
          <w:sz w:val="20"/>
          <w:szCs w:val="20"/>
        </w:rPr>
        <w:t>The Guardian</w:t>
      </w:r>
      <w:r w:rsidRPr="00FC331F">
        <w:rPr>
          <w:color w:val="000000" w:themeColor="text1"/>
          <w:sz w:val="20"/>
          <w:szCs w:val="20"/>
        </w:rPr>
        <w:t>, 2015 &lt;http://www.theguardian.com/world/2015/oct/21/netanyahu-under-fire-for-palestinian-grand-mufti-holocaust-claim&gt; [accessed 29 January 2021].</w:t>
      </w:r>
    </w:p>
  </w:footnote>
  <w:footnote w:id="202">
    <w:p w14:paraId="2A2DF504"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Du Bois, in Rothberg, </w:t>
      </w:r>
      <w:r w:rsidRPr="00FC331F">
        <w:rPr>
          <w:i/>
          <w:color w:val="000000" w:themeColor="text1"/>
          <w:sz w:val="20"/>
          <w:szCs w:val="20"/>
        </w:rPr>
        <w:t>Multidirectional Memory</w:t>
      </w:r>
      <w:r w:rsidRPr="00FC331F">
        <w:rPr>
          <w:color w:val="000000" w:themeColor="text1"/>
          <w:sz w:val="20"/>
          <w:szCs w:val="20"/>
        </w:rPr>
        <w:t>, p. 116.</w:t>
      </w:r>
    </w:p>
  </w:footnote>
  <w:footnote w:id="203">
    <w:p w14:paraId="401D6A54" w14:textId="50368040"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Rothberg, ‘From Gaza to Warsaw’, p. 527.</w:t>
      </w:r>
    </w:p>
  </w:footnote>
  <w:footnote w:id="204">
    <w:p w14:paraId="4384E41E"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Henriette Johansen, ‘Special Report - Palestinian Cries Fall on Deaf Ears’, </w:t>
      </w:r>
      <w:r w:rsidRPr="00FC331F">
        <w:rPr>
          <w:i/>
          <w:color w:val="000000" w:themeColor="text1"/>
          <w:sz w:val="20"/>
          <w:szCs w:val="20"/>
        </w:rPr>
        <w:t>Middle East Monitor</w:t>
      </w:r>
      <w:r w:rsidRPr="00FC331F">
        <w:rPr>
          <w:color w:val="000000" w:themeColor="text1"/>
          <w:sz w:val="20"/>
          <w:szCs w:val="20"/>
        </w:rPr>
        <w:t>, p. 12 &lt;https://www.memopublishers.com/images/uploads/documents/20140301_PalestinianCriesFallOnDeafEars-web.pdf&gt;.</w:t>
      </w:r>
    </w:p>
  </w:footnote>
  <w:footnote w:id="205">
    <w:p w14:paraId="5C30374D" w14:textId="26F6CBE9"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Tossavainen, p. 93.</w:t>
      </w:r>
    </w:p>
  </w:footnote>
  <w:footnote w:id="206">
    <w:p w14:paraId="40C66E19" w14:textId="25A8338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Rothberg, </w:t>
      </w:r>
      <w:r w:rsidRPr="00FC331F">
        <w:rPr>
          <w:i/>
          <w:color w:val="000000" w:themeColor="text1"/>
          <w:sz w:val="20"/>
          <w:szCs w:val="20"/>
        </w:rPr>
        <w:t>Multidirectional Memory</w:t>
      </w:r>
      <w:r w:rsidRPr="00FC331F">
        <w:rPr>
          <w:color w:val="000000" w:themeColor="text1"/>
          <w:sz w:val="20"/>
          <w:szCs w:val="20"/>
        </w:rPr>
        <w:t>, p. 313.</w:t>
      </w:r>
    </w:p>
  </w:footnote>
  <w:footnote w:id="207">
    <w:p w14:paraId="0A98410A" w14:textId="36A515AA" w:rsidR="003B63D8" w:rsidRPr="003B63D8" w:rsidRDefault="003B63D8">
      <w:pPr>
        <w:pStyle w:val="FootnoteText"/>
        <w:rPr>
          <w:lang w:val="en-GB"/>
        </w:rPr>
      </w:pPr>
      <w:r>
        <w:rPr>
          <w:rStyle w:val="FootnoteReference"/>
        </w:rPr>
        <w:footnoteRef/>
      </w:r>
      <w:r>
        <w:t xml:space="preserve"> </w:t>
      </w:r>
      <w:r w:rsidRPr="00FC331F">
        <w:rPr>
          <w:color w:val="000000" w:themeColor="text1"/>
        </w:rPr>
        <w:t xml:space="preserve">David Hare, </w:t>
      </w:r>
      <w:r w:rsidRPr="00FC331F">
        <w:rPr>
          <w:i/>
          <w:color w:val="000000" w:themeColor="text1"/>
        </w:rPr>
        <w:t>Via Dolorosa</w:t>
      </w:r>
      <w:r w:rsidR="008E18FA">
        <w:rPr>
          <w:i/>
          <w:color w:val="000000" w:themeColor="text1"/>
        </w:rPr>
        <w:t xml:space="preserve"> </w:t>
      </w:r>
      <w:r w:rsidRPr="00FC331F">
        <w:rPr>
          <w:color w:val="000000" w:themeColor="text1"/>
        </w:rPr>
        <w:t>(London: Faber &amp; Faber, 1998).</w:t>
      </w:r>
    </w:p>
  </w:footnote>
  <w:footnote w:id="208">
    <w:p w14:paraId="080E084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Said, Butler, in Annie Pfingst, ‘The Presence of Palestinian Absence in Narrating the Zionist Nation into Being’, </w:t>
      </w:r>
      <w:r w:rsidRPr="00FC331F">
        <w:rPr>
          <w:i/>
          <w:color w:val="000000" w:themeColor="text1"/>
          <w:sz w:val="20"/>
          <w:szCs w:val="20"/>
        </w:rPr>
        <w:t>Cultural Studies Review</w:t>
      </w:r>
      <w:r w:rsidRPr="00FC331F">
        <w:rPr>
          <w:color w:val="000000" w:themeColor="text1"/>
          <w:sz w:val="20"/>
          <w:szCs w:val="20"/>
        </w:rPr>
        <w:t>, 14 (2008), pp. 121–22 &lt;https://doi.org/10.5130/csr.v14i1.2102&gt;.</w:t>
      </w:r>
    </w:p>
  </w:footnote>
  <w:footnote w:id="209">
    <w:p w14:paraId="1D5F2B89" w14:textId="77777777" w:rsidR="00736D5A" w:rsidRPr="00FC331F" w:rsidRDefault="00736D5A" w:rsidP="003B63D8">
      <w:pPr>
        <w:spacing w:line="276" w:lineRule="auto"/>
        <w:jc w:val="left"/>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‘The Carter Center &amp; The Elders Discussion, July 1st, 2020’ &lt;https://theelders.org/sites/default/files/newsarticaldocument/tcc-and-elders-palestine-virtual-workshop-summary-june-2020_0.pdf&gt;.</w:t>
      </w:r>
    </w:p>
  </w:footnote>
  <w:footnote w:id="210">
    <w:p w14:paraId="4257BCE3" w14:textId="5CDCDD9A" w:rsidR="003B63D8" w:rsidRPr="003B63D8" w:rsidRDefault="003B63D8">
      <w:pPr>
        <w:pStyle w:val="FootnoteText"/>
        <w:rPr>
          <w:lang w:val="en-GB"/>
        </w:rPr>
      </w:pPr>
      <w:r>
        <w:rPr>
          <w:rStyle w:val="FootnoteReference"/>
        </w:rPr>
        <w:footnoteRef/>
      </w:r>
      <w:r>
        <w:t xml:space="preserve"> </w:t>
      </w:r>
      <w:r w:rsidRPr="00FC331F">
        <w:rPr>
          <w:color w:val="000000" w:themeColor="text1"/>
        </w:rPr>
        <w:t xml:space="preserve">Ari Folman, </w:t>
      </w:r>
      <w:r w:rsidRPr="00FC331F">
        <w:rPr>
          <w:i/>
          <w:color w:val="000000" w:themeColor="text1"/>
        </w:rPr>
        <w:t>Waltz with Bashir</w:t>
      </w:r>
      <w:r w:rsidRPr="00FC331F">
        <w:rPr>
          <w:color w:val="000000" w:themeColor="text1"/>
        </w:rPr>
        <w:t>, 2008.</w:t>
      </w:r>
    </w:p>
  </w:footnote>
  <w:footnote w:id="211">
    <w:p w14:paraId="0115ED83" w14:textId="064CF915" w:rsidR="00736D5A" w:rsidRPr="00FC331F" w:rsidRDefault="00736D5A" w:rsidP="00D42ED7">
      <w:pPr>
        <w:spacing w:line="276" w:lineRule="auto"/>
        <w:rPr>
          <w:b/>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Allan Howard, ‘Palestine Speech Suppression – A Statement’, </w:t>
      </w:r>
      <w:r w:rsidRPr="00FC331F">
        <w:rPr>
          <w:i/>
          <w:color w:val="000000" w:themeColor="text1"/>
          <w:sz w:val="20"/>
          <w:szCs w:val="20"/>
        </w:rPr>
        <w:t>Jewish Voice for Labour</w:t>
      </w:r>
      <w:r w:rsidRPr="00FC331F">
        <w:rPr>
          <w:color w:val="000000" w:themeColor="text1"/>
          <w:sz w:val="20"/>
          <w:szCs w:val="20"/>
        </w:rPr>
        <w:t xml:space="preserve"> &lt;https://www.jewishvoiceforlabour.org.uk/article/palestine-speech-suppression-a-statement/&gt; [accessed 1 February 2021].</w:t>
      </w:r>
      <w:r>
        <w:rPr>
          <w:color w:val="000000" w:themeColor="text1"/>
          <w:sz w:val="20"/>
          <w:szCs w:val="20"/>
        </w:rPr>
        <w:t xml:space="preserve"> </w:t>
      </w:r>
      <w:r w:rsidRPr="00FC331F">
        <w:rPr>
          <w:color w:val="000000" w:themeColor="text1"/>
          <w:sz w:val="20"/>
          <w:szCs w:val="20"/>
        </w:rPr>
        <w:t xml:space="preserve">Jonathan Cook, ‘Social Media’s Erasure of Palestinians Is a Grim Warning For Our Future’, </w:t>
      </w:r>
      <w:r w:rsidRPr="00FC331F">
        <w:rPr>
          <w:i/>
          <w:color w:val="000000" w:themeColor="text1"/>
          <w:sz w:val="20"/>
          <w:szCs w:val="20"/>
        </w:rPr>
        <w:t>Middle East Eye</w:t>
      </w:r>
      <w:r w:rsidRPr="00FC331F">
        <w:rPr>
          <w:color w:val="000000" w:themeColor="text1"/>
          <w:sz w:val="20"/>
          <w:szCs w:val="20"/>
        </w:rPr>
        <w:t xml:space="preserve"> &lt;http://www.middleeasteye.net/opinion/palestine-facebook-twitter-google-erasure-warning&gt; [accessed 1 February 2021].</w:t>
      </w:r>
    </w:p>
  </w:footnote>
  <w:footnote w:id="212">
    <w:p w14:paraId="135A75C5"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Said, in Gilbert Achcar, </w:t>
      </w:r>
      <w:r w:rsidRPr="00FC331F">
        <w:rPr>
          <w:i/>
          <w:color w:val="000000" w:themeColor="text1"/>
          <w:sz w:val="20"/>
          <w:szCs w:val="20"/>
        </w:rPr>
        <w:t>The Arabs and the Holocaust: The Arab-Israeli War of Narratives</w:t>
      </w:r>
      <w:r w:rsidRPr="00FC331F">
        <w:rPr>
          <w:color w:val="000000" w:themeColor="text1"/>
          <w:sz w:val="20"/>
          <w:szCs w:val="20"/>
        </w:rPr>
        <w:t xml:space="preserve"> (Saqi Books, 2012), p. 248.</w:t>
      </w:r>
    </w:p>
  </w:footnote>
  <w:footnote w:id="213">
    <w:p w14:paraId="1064CB21" w14:textId="77777777" w:rsidR="00736D5A" w:rsidRPr="00FC331F" w:rsidRDefault="00736D5A" w:rsidP="00FC331F">
      <w:pPr>
        <w:spacing w:line="276" w:lineRule="auto"/>
        <w:rPr>
          <w:b/>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Edward W. Said, </w:t>
      </w:r>
      <w:r w:rsidRPr="00FC331F">
        <w:rPr>
          <w:i/>
          <w:color w:val="000000" w:themeColor="text1"/>
          <w:sz w:val="20"/>
          <w:szCs w:val="20"/>
        </w:rPr>
        <w:t>The Question of Palestine</w:t>
      </w:r>
      <w:r w:rsidRPr="00FC331F">
        <w:rPr>
          <w:color w:val="000000" w:themeColor="text1"/>
          <w:sz w:val="20"/>
          <w:szCs w:val="20"/>
        </w:rPr>
        <w:t>, Vintage Books Edition (New York: Random House USA Inc, 2003), p. 214.</w:t>
      </w:r>
    </w:p>
  </w:footnote>
  <w:footnote w:id="214">
    <w:p w14:paraId="05D16C2F" w14:textId="37990A45"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Jiryis, in Said, p. 128.</w:t>
      </w:r>
    </w:p>
  </w:footnote>
  <w:footnote w:id="215">
    <w:p w14:paraId="4708B8F2" w14:textId="77777777" w:rsidR="00736D5A" w:rsidRPr="00FC331F" w:rsidRDefault="00736D5A" w:rsidP="00D42ED7">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David Moshman, ‘Israel, Palestine and the Teaching of History’, </w:t>
      </w:r>
      <w:r w:rsidRPr="00FC331F">
        <w:rPr>
          <w:i/>
          <w:color w:val="000000" w:themeColor="text1"/>
          <w:sz w:val="20"/>
          <w:szCs w:val="20"/>
        </w:rPr>
        <w:t>HuffPost</w:t>
      </w:r>
      <w:r w:rsidRPr="00FC331F">
        <w:rPr>
          <w:color w:val="000000" w:themeColor="text1"/>
          <w:sz w:val="20"/>
          <w:szCs w:val="20"/>
        </w:rPr>
        <w:t xml:space="preserve"> &lt;https://www.huffpost.com/entry/israel-palestine-and-the-_1_b_1659731&gt; [accessed 11 September 2019].</w:t>
      </w:r>
    </w:p>
  </w:footnote>
  <w:footnote w:id="216">
    <w:p w14:paraId="70B46BF8" w14:textId="0A982EEC" w:rsidR="003C27CA" w:rsidRPr="00651265" w:rsidRDefault="003C27CA">
      <w:pPr>
        <w:pStyle w:val="FootnoteText"/>
        <w:rPr>
          <w:lang w:val="en-GB"/>
        </w:rPr>
      </w:pPr>
      <w:r>
        <w:rPr>
          <w:rStyle w:val="FootnoteReference"/>
        </w:rPr>
        <w:footnoteRef/>
      </w:r>
      <w:r>
        <w:t xml:space="preserve"> Whilst some claim that the explicit reference to the absence of ‘a people’, as opposed to the more general ‘people’, transforms both this phrase and its successor, ‘a land without a people, for a people without a land’), into statements that primarily observe the absence of explicit Palestinian nationhood, both statements strongly imply Palestinian non-existence, regardless of their ambiguities. Adam M. Garfinkle, ‘On the Origin, Meaning, Use and Abuse Of A Phrase’, </w:t>
      </w:r>
      <w:r>
        <w:rPr>
          <w:i/>
          <w:iCs/>
        </w:rPr>
        <w:t>Middle Eastern Studies</w:t>
      </w:r>
      <w:r>
        <w:t>, 27 (1991), 539-550 (p. 540) &lt;https://</w:t>
      </w:r>
      <w:r w:rsidR="008B458E">
        <w:t>doi.org/10.1080/00263209108700876</w:t>
      </w:r>
      <w:r>
        <w:t>&gt;.</w:t>
      </w:r>
    </w:p>
  </w:footnote>
  <w:footnote w:id="217">
    <w:p w14:paraId="2485E40C" w14:textId="1DF397EF"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Said, p. 173.</w:t>
      </w:r>
    </w:p>
  </w:footnote>
  <w:footnote w:id="218">
    <w:p w14:paraId="3F8A6ECF" w14:textId="100E9443"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Said, p. 174.</w:t>
      </w:r>
    </w:p>
  </w:footnote>
  <w:footnote w:id="219">
    <w:p w14:paraId="3CC9DBDB"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Kathleen M. Christison, ‘Myths about Palestinians’, </w:t>
      </w:r>
      <w:r w:rsidRPr="00FC331F">
        <w:rPr>
          <w:i/>
          <w:color w:val="000000" w:themeColor="text1"/>
          <w:sz w:val="20"/>
          <w:szCs w:val="20"/>
        </w:rPr>
        <w:t>Foreign Policy</w:t>
      </w:r>
      <w:r w:rsidRPr="00FC331F">
        <w:rPr>
          <w:color w:val="000000" w:themeColor="text1"/>
          <w:sz w:val="20"/>
          <w:szCs w:val="20"/>
        </w:rPr>
        <w:t>, 66, 1987, 109–27 (p. 109) &lt;https://doi.org/10.2307/1148667&gt;.</w:t>
      </w:r>
    </w:p>
  </w:footnote>
  <w:footnote w:id="220">
    <w:p w14:paraId="2704468A"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Noa Landau and Yotam Berger, ‘Netanyahu Says Israel Will Annex Jordan Valley If Reelected’, </w:t>
      </w:r>
      <w:r w:rsidRPr="00FC331F">
        <w:rPr>
          <w:i/>
          <w:color w:val="000000" w:themeColor="text1"/>
          <w:sz w:val="20"/>
          <w:szCs w:val="20"/>
        </w:rPr>
        <w:t>Haaretz</w:t>
      </w:r>
      <w:r w:rsidRPr="00FC331F">
        <w:rPr>
          <w:color w:val="000000" w:themeColor="text1"/>
          <w:sz w:val="20"/>
          <w:szCs w:val="20"/>
        </w:rPr>
        <w:t>, 10 September 2019 &lt;https://www.haaretz.com/israel-news/.premium-election-netanyahu-israel-annexation-west-bank-jordan-valley-1.7829604&gt; [accessed 11 September 2019].</w:t>
      </w:r>
    </w:p>
  </w:footnote>
  <w:footnote w:id="221">
    <w:p w14:paraId="6A12D7C6" w14:textId="755A90EB"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Said, p. 36.</w:t>
      </w:r>
    </w:p>
  </w:footnote>
  <w:footnote w:id="222">
    <w:p w14:paraId="35B3BC41" w14:textId="53C661C2" w:rsidR="00162C9B" w:rsidRPr="00FC331F" w:rsidRDefault="00162C9B" w:rsidP="00162C9B">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Whilst scholars such as Sander Gilman have stated that Jews (as a group) have historically been seen or thought of as black rather than white, his use of the word ‘black’ seems to serve as a means of aligning anti-black racism with antisemitism, rather than actually perceiving Jews as having black skin. In either case, the dominant influence of the Ashkenazim in Israel today </w:t>
      </w:r>
      <w:r>
        <w:rPr>
          <w:color w:val="000000" w:themeColor="text1"/>
          <w:sz w:val="20"/>
          <w:szCs w:val="20"/>
        </w:rPr>
        <w:t>–</w:t>
      </w:r>
      <w:r w:rsidRPr="00FC331F">
        <w:rPr>
          <w:color w:val="000000" w:themeColor="text1"/>
          <w:sz w:val="20"/>
          <w:szCs w:val="20"/>
        </w:rPr>
        <w:t xml:space="preserve"> explored in greater detail in </w:t>
      </w:r>
      <w:r>
        <w:rPr>
          <w:color w:val="000000" w:themeColor="text1"/>
          <w:sz w:val="20"/>
          <w:szCs w:val="20"/>
        </w:rPr>
        <w:t>C</w:t>
      </w:r>
      <w:r w:rsidRPr="00FC331F">
        <w:rPr>
          <w:color w:val="000000" w:themeColor="text1"/>
          <w:sz w:val="20"/>
          <w:szCs w:val="20"/>
        </w:rPr>
        <w:t xml:space="preserve">hapter </w:t>
      </w:r>
      <w:r>
        <w:rPr>
          <w:color w:val="000000" w:themeColor="text1"/>
          <w:sz w:val="20"/>
          <w:szCs w:val="20"/>
        </w:rPr>
        <w:t>T</w:t>
      </w:r>
      <w:r w:rsidRPr="00FC331F">
        <w:rPr>
          <w:color w:val="000000" w:themeColor="text1"/>
          <w:sz w:val="20"/>
          <w:szCs w:val="20"/>
        </w:rPr>
        <w:t xml:space="preserve">hree </w:t>
      </w:r>
      <w:r>
        <w:rPr>
          <w:color w:val="000000" w:themeColor="text1"/>
          <w:sz w:val="20"/>
          <w:szCs w:val="20"/>
        </w:rPr>
        <w:t>–</w:t>
      </w:r>
      <w:r w:rsidRPr="00FC331F">
        <w:rPr>
          <w:color w:val="000000" w:themeColor="text1"/>
          <w:sz w:val="20"/>
          <w:szCs w:val="20"/>
        </w:rPr>
        <w:t xml:space="preserve"> and Israel’s prominence as a modern global power, suggest that even metaphorical comparisons akin to Gilman’s are both antiquated and inaccurate. Ran HaCohen, ‘The “Jewish Blackness” Thesis Revisited’, </w:t>
      </w:r>
      <w:r w:rsidRPr="00FC331F">
        <w:rPr>
          <w:i/>
          <w:color w:val="000000" w:themeColor="text1"/>
          <w:sz w:val="20"/>
          <w:szCs w:val="20"/>
        </w:rPr>
        <w:t>Religions</w:t>
      </w:r>
      <w:r w:rsidRPr="00FC331F">
        <w:rPr>
          <w:color w:val="000000" w:themeColor="text1"/>
          <w:sz w:val="20"/>
          <w:szCs w:val="20"/>
        </w:rPr>
        <w:t>, 9.7 (2018), 222 &lt;https://doi.org/10.3390/rel9070222&gt;.</w:t>
      </w:r>
    </w:p>
  </w:footnote>
  <w:footnote w:id="223">
    <w:p w14:paraId="673ED070" w14:textId="6A8482FC"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Said, p. 106.</w:t>
      </w:r>
    </w:p>
  </w:footnote>
  <w:footnote w:id="224">
    <w:p w14:paraId="6FCF4FE5" w14:textId="12727E1A"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Said, p. 36.</w:t>
      </w:r>
    </w:p>
  </w:footnote>
  <w:footnote w:id="225">
    <w:p w14:paraId="7F390404"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Gilbert Achcar, The Arabs and the Holocaust: The Arab-Israeli War of Narratives (Saqi Books, 2012), p. 34.</w:t>
      </w:r>
    </w:p>
  </w:footnote>
  <w:footnote w:id="226">
    <w:p w14:paraId="495C0929" w14:textId="53433108"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Said, pp. 39–40.</w:t>
      </w:r>
    </w:p>
  </w:footnote>
  <w:footnote w:id="227">
    <w:p w14:paraId="6AD83F89" w14:textId="4120DD36"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Said, p. 44.</w:t>
      </w:r>
    </w:p>
  </w:footnote>
  <w:footnote w:id="228">
    <w:p w14:paraId="050A5C37"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Achcar, p. 278.</w:t>
      </w:r>
    </w:p>
  </w:footnote>
  <w:footnote w:id="229">
    <w:p w14:paraId="79805DC1" w14:textId="75526F2D"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w:t>
      </w:r>
      <w:r>
        <w:rPr>
          <w:color w:val="000000" w:themeColor="text1"/>
          <w:sz w:val="20"/>
          <w:szCs w:val="20"/>
        </w:rPr>
        <w:t>Achcar,</w:t>
      </w:r>
      <w:r w:rsidRPr="00FC331F">
        <w:rPr>
          <w:color w:val="000000" w:themeColor="text1"/>
          <w:sz w:val="20"/>
          <w:szCs w:val="20"/>
        </w:rPr>
        <w:t xml:space="preserve"> p. 249.</w:t>
      </w:r>
    </w:p>
  </w:footnote>
  <w:footnote w:id="230">
    <w:p w14:paraId="4C99A2A8" w14:textId="314F6A9B"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Said, p. 37.</w:t>
      </w:r>
    </w:p>
  </w:footnote>
  <w:footnote w:id="231">
    <w:p w14:paraId="3D01F673" w14:textId="4C95143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Said, p. 119.</w:t>
      </w:r>
    </w:p>
  </w:footnote>
  <w:footnote w:id="232">
    <w:p w14:paraId="0F587771" w14:textId="550B28F9"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Said, p. 73.</w:t>
      </w:r>
    </w:p>
  </w:footnote>
  <w:footnote w:id="233">
    <w:p w14:paraId="0EC15F0B" w14:textId="79710E1A" w:rsidR="00736D5A" w:rsidRPr="00FC331F" w:rsidRDefault="00736D5A" w:rsidP="00034C23">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All searches done on 1st February 2021. Searches looked at books published between 1933 and 2019 in the English language corpus</w:t>
      </w:r>
      <w:r>
        <w:rPr>
          <w:color w:val="000000" w:themeColor="text1"/>
          <w:sz w:val="20"/>
          <w:szCs w:val="20"/>
        </w:rPr>
        <w:t xml:space="preserve"> last updated in </w:t>
      </w:r>
      <w:r w:rsidRPr="00FC331F">
        <w:rPr>
          <w:color w:val="000000" w:themeColor="text1"/>
          <w:sz w:val="20"/>
          <w:szCs w:val="20"/>
        </w:rPr>
        <w:t xml:space="preserve">2019, </w:t>
      </w:r>
      <w:r>
        <w:rPr>
          <w:color w:val="000000" w:themeColor="text1"/>
          <w:sz w:val="20"/>
          <w:szCs w:val="20"/>
        </w:rPr>
        <w:t xml:space="preserve">consisting of </w:t>
      </w:r>
      <w:r w:rsidRPr="00FC331F">
        <w:rPr>
          <w:color w:val="000000" w:themeColor="text1"/>
          <w:sz w:val="20"/>
          <w:szCs w:val="20"/>
        </w:rPr>
        <w:t>books published in the English language regardless of the country of publication. Searches were case-insensitive and had a smoothing of 0.</w:t>
      </w:r>
    </w:p>
  </w:footnote>
  <w:footnote w:id="234">
    <w:p w14:paraId="4FEADF79"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 pair of consecutive written words.</w:t>
      </w:r>
    </w:p>
  </w:footnote>
  <w:footnote w:id="235">
    <w:p w14:paraId="008C125B" w14:textId="5E1CE6AC"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Between 1933, the year of Nazi party’s election (i.e., before ‘Holocaust’ was a word associated with Jewish Genocide), and 2019, the most recent year included in the data.</w:t>
      </w:r>
    </w:p>
  </w:footnote>
  <w:footnote w:id="236">
    <w:p w14:paraId="18A8E808"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‘the Holocaust’ 0.0004600305% of all bigrams in 2003. ‘the Nakba’ 0.0000109328 of all bigrams in 2016.</w:t>
      </w:r>
    </w:p>
  </w:footnote>
  <w:footnote w:id="237">
    <w:p w14:paraId="22DA2C83"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‘Google Books Ngram Search For: The Holocaust, The Nakba, Al Nakba’ &lt;https://rb.gy/4imykg&gt; [accessed 1 February 2021].</w:t>
      </w:r>
    </w:p>
  </w:footnote>
  <w:footnote w:id="238">
    <w:p w14:paraId="26EA6603"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‘Google Books Ngram Search For: Jewish History, Palestinian History’ &lt;https://rb.gy/nsfmzs&gt; [accessed 1 February 2021].</w:t>
      </w:r>
    </w:p>
  </w:footnote>
  <w:footnote w:id="239">
    <w:p w14:paraId="18375CAA" w14:textId="40067D34"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Said, p. 118.</w:t>
      </w:r>
    </w:p>
  </w:footnote>
  <w:footnote w:id="240">
    <w:p w14:paraId="1EEAA99C" w14:textId="78957B2F"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Salma Khadra Jayyusi, in Emile Habibi, </w:t>
      </w:r>
      <w:r w:rsidRPr="00FC331F">
        <w:rPr>
          <w:i/>
          <w:color w:val="000000" w:themeColor="text1"/>
          <w:sz w:val="20"/>
          <w:szCs w:val="20"/>
        </w:rPr>
        <w:t>The Secret Life of Saeed, The Ill-Fated Pessoptimist: A Palestinian Who Became a Citizen of Israel</w:t>
      </w:r>
      <w:r w:rsidRPr="00FC331F">
        <w:rPr>
          <w:color w:val="000000" w:themeColor="text1"/>
          <w:sz w:val="20"/>
          <w:szCs w:val="20"/>
        </w:rPr>
        <w:t>, trans. by Salma Khadra Jayyusi and Trevor Le Gassick (Columbia LA: Readers international, 1989), p. ix.</w:t>
      </w:r>
    </w:p>
  </w:footnote>
  <w:footnote w:id="241">
    <w:p w14:paraId="683AADB0" w14:textId="77777777" w:rsidR="00736D5A" w:rsidRPr="00FC331F" w:rsidRDefault="00736D5A" w:rsidP="00286B13">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Susan Abulhawa, </w:t>
      </w:r>
      <w:r w:rsidRPr="00FC331F">
        <w:rPr>
          <w:i/>
          <w:color w:val="000000" w:themeColor="text1"/>
          <w:sz w:val="20"/>
          <w:szCs w:val="20"/>
        </w:rPr>
        <w:t>Mornings in Jenin</w:t>
      </w:r>
      <w:r w:rsidRPr="00FC331F">
        <w:rPr>
          <w:color w:val="000000" w:themeColor="text1"/>
          <w:sz w:val="20"/>
          <w:szCs w:val="20"/>
        </w:rPr>
        <w:t xml:space="preserve"> (Bloomsbury Publishing, 2010).</w:t>
      </w:r>
    </w:p>
  </w:footnote>
  <w:footnote w:id="242">
    <w:p w14:paraId="0DF68D39" w14:textId="677B21B0" w:rsidR="00C4283A" w:rsidRPr="00C4283A" w:rsidRDefault="00C4283A">
      <w:pPr>
        <w:pStyle w:val="FootnoteText"/>
        <w:rPr>
          <w:lang w:val="en-GB"/>
        </w:rPr>
      </w:pPr>
      <w:r>
        <w:rPr>
          <w:rStyle w:val="FootnoteReference"/>
        </w:rPr>
        <w:footnoteRef/>
      </w:r>
      <w:r>
        <w:t xml:space="preserve"> </w:t>
      </w:r>
      <w:r w:rsidR="00F66FE3" w:rsidRPr="00F66FE3">
        <w:t>Marcia Lynx Qualey, Susan Abulhawa &lt;http://www.full-stop.net/2012/04/16/interviews/marcia-lynx-qualey/susan-abulhawa/&gt; [accessed 12 May 2021].</w:t>
      </w:r>
    </w:p>
  </w:footnote>
  <w:footnote w:id="243">
    <w:p w14:paraId="2CA0F033" w14:textId="3708EDDC" w:rsidR="00E6072D" w:rsidRPr="00651265" w:rsidRDefault="00E6072D">
      <w:pPr>
        <w:pStyle w:val="FootnoteText"/>
        <w:rPr>
          <w:lang w:val="en-GB"/>
        </w:rPr>
      </w:pPr>
      <w:r>
        <w:rPr>
          <w:rStyle w:val="FootnoteReference"/>
        </w:rPr>
        <w:footnoteRef/>
      </w:r>
      <w:r>
        <w:t xml:space="preserve"> Whilst </w:t>
      </w:r>
      <w:r>
        <w:rPr>
          <w:lang w:val="en-GB"/>
        </w:rPr>
        <w:t xml:space="preserve">Arab-Jewish friction certainly existed before Israel’s creation, Abulhawa’s depiction of pre-Israel Palestine serves primarily to establish stark contrast between the relative peace of </w:t>
      </w:r>
      <w:r w:rsidR="00651265">
        <w:rPr>
          <w:lang w:val="en-GB"/>
        </w:rPr>
        <w:t xml:space="preserve">uncontested land ownership in </w:t>
      </w:r>
      <w:r>
        <w:rPr>
          <w:lang w:val="en-GB"/>
        </w:rPr>
        <w:t>Palestine prior to the 1947-49 Israel-Palestine War, and the exile, dispossession, and clashes post-1947.</w:t>
      </w:r>
    </w:p>
  </w:footnote>
  <w:footnote w:id="244">
    <w:p w14:paraId="6E058A17" w14:textId="52E8488A" w:rsidR="00736D5A" w:rsidRPr="00D57158"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D57158">
        <w:rPr>
          <w:color w:val="000000" w:themeColor="text1"/>
          <w:sz w:val="20"/>
          <w:szCs w:val="20"/>
        </w:rPr>
        <w:t xml:space="preserve"> Abulhawa, p. 21.</w:t>
      </w:r>
    </w:p>
  </w:footnote>
  <w:footnote w:id="245">
    <w:p w14:paraId="658F8E13" w14:textId="68D04C62" w:rsidR="00736D5A" w:rsidRPr="00D57158"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D57158">
        <w:rPr>
          <w:color w:val="000000" w:themeColor="text1"/>
          <w:sz w:val="20"/>
          <w:szCs w:val="20"/>
        </w:rPr>
        <w:t xml:space="preserve"> Abulhawa, p. 31.</w:t>
      </w:r>
    </w:p>
  </w:footnote>
  <w:footnote w:id="246">
    <w:p w14:paraId="4F4A5EEB" w14:textId="73764DE4" w:rsidR="00736D5A" w:rsidRPr="00D57158"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D57158">
        <w:rPr>
          <w:color w:val="000000" w:themeColor="text1"/>
          <w:sz w:val="20"/>
          <w:szCs w:val="20"/>
        </w:rPr>
        <w:t xml:space="preserve"> Abulhawa, p. 19.</w:t>
      </w:r>
    </w:p>
  </w:footnote>
  <w:footnote w:id="247">
    <w:p w14:paraId="73284C69" w14:textId="45A07535"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Abulhawa, p. 20.</w:t>
      </w:r>
    </w:p>
  </w:footnote>
  <w:footnote w:id="248">
    <w:p w14:paraId="6C085FB0" w14:textId="3AE9C5FA"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Abulhawa, p. 35.</w:t>
      </w:r>
    </w:p>
  </w:footnote>
  <w:footnote w:id="249">
    <w:p w14:paraId="5F4E7DC5" w14:textId="77777777" w:rsidR="00C20AB2" w:rsidRPr="00FC331F" w:rsidRDefault="00C20AB2" w:rsidP="00C20AB2">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 conspicuous choice of name by Abulhawa. Ishmael is identified as the son of Abraham in both the Torah and the Qur’an, yet symbolises different things within each religion. Within Islam, Ishmael is identified as one of the prophets, a forefather of Islam, and ancestor to Muhammad. In Judaism, Ishmael is thought of as wild, idolatrous, sexually frivolous, the forefather of a nation of thieves and murderers. This identification of Ishmael as forefather to a nation of thieves is inverted by the two thefts within Abulhawa’s novel, that of Ismael at the hands of an Israeli soldier, and that of Ein Hod at the hands of Israeli soldiers. M. Shahid Alam, </w:t>
      </w:r>
      <w:r w:rsidRPr="00FC331F">
        <w:rPr>
          <w:i/>
          <w:color w:val="000000" w:themeColor="text1"/>
          <w:sz w:val="20"/>
          <w:szCs w:val="20"/>
        </w:rPr>
        <w:t>Ishmael and Isaac: An Essay on the Moral Economies of the Qur’an and the Torah</w:t>
      </w:r>
      <w:r w:rsidRPr="00FC331F">
        <w:rPr>
          <w:color w:val="000000" w:themeColor="text1"/>
          <w:sz w:val="20"/>
          <w:szCs w:val="20"/>
        </w:rPr>
        <w:t xml:space="preserve"> (Rochester, NY: Social Science Research Network, 1 July 2010) &lt;https://doi.org/10.2139/ssrn.1715104&gt;.</w:t>
      </w:r>
    </w:p>
  </w:footnote>
  <w:footnote w:id="250">
    <w:p w14:paraId="2FFA08FC" w14:textId="5441B899" w:rsidR="00736D5A" w:rsidRPr="00D57158"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D57158">
        <w:rPr>
          <w:color w:val="000000" w:themeColor="text1"/>
          <w:sz w:val="20"/>
          <w:szCs w:val="20"/>
        </w:rPr>
        <w:t xml:space="preserve"> Abulhawa, p. 70.</w:t>
      </w:r>
    </w:p>
  </w:footnote>
  <w:footnote w:id="251">
    <w:p w14:paraId="39756A9D" w14:textId="537AA352" w:rsidR="00736D5A" w:rsidRPr="00D57158"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D57158">
        <w:rPr>
          <w:color w:val="000000" w:themeColor="text1"/>
          <w:sz w:val="20"/>
          <w:szCs w:val="20"/>
        </w:rPr>
        <w:t xml:space="preserve"> Abulhawa, p. 55.</w:t>
      </w:r>
    </w:p>
  </w:footnote>
  <w:footnote w:id="252">
    <w:p w14:paraId="6887DFCD" w14:textId="0D6F3603" w:rsidR="00736D5A" w:rsidRPr="00D57158"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D57158">
        <w:rPr>
          <w:color w:val="000000" w:themeColor="text1"/>
          <w:sz w:val="20"/>
          <w:szCs w:val="20"/>
        </w:rPr>
        <w:t xml:space="preserve"> Abulhawa, p. 55.</w:t>
      </w:r>
    </w:p>
  </w:footnote>
  <w:footnote w:id="253">
    <w:p w14:paraId="3FA1A259" w14:textId="0ACE3A0A" w:rsidR="00736D5A" w:rsidRPr="00D57158"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D57158">
        <w:rPr>
          <w:color w:val="000000" w:themeColor="text1"/>
          <w:sz w:val="20"/>
          <w:szCs w:val="20"/>
        </w:rPr>
        <w:t xml:space="preserve"> Abulhawa, p. 56.</w:t>
      </w:r>
    </w:p>
  </w:footnote>
  <w:footnote w:id="254">
    <w:p w14:paraId="36DE193C" w14:textId="706B60E0" w:rsidR="00736D5A" w:rsidRPr="00D57158"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D57158">
        <w:rPr>
          <w:color w:val="000000" w:themeColor="text1"/>
          <w:sz w:val="20"/>
          <w:szCs w:val="20"/>
        </w:rPr>
        <w:t xml:space="preserve"> Abulhawa, p. 73.</w:t>
      </w:r>
    </w:p>
  </w:footnote>
  <w:footnote w:id="255">
    <w:p w14:paraId="017AD1AA" w14:textId="2739447D" w:rsidR="00736D5A" w:rsidRPr="00D57158"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D57158">
        <w:rPr>
          <w:color w:val="000000" w:themeColor="text1"/>
          <w:sz w:val="20"/>
          <w:szCs w:val="20"/>
        </w:rPr>
        <w:t xml:space="preserve"> Abulhawa, p. 124.</w:t>
      </w:r>
    </w:p>
  </w:footnote>
  <w:footnote w:id="256">
    <w:p w14:paraId="5FCA2971"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Abulhawa, p. 126.</w:t>
      </w:r>
    </w:p>
  </w:footnote>
  <w:footnote w:id="257">
    <w:p w14:paraId="69A4C737"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Patricia Dashorst and others, ‘Intergenerational Consequences of the Holocaust on Offspring Mental Health: A Systematic Review of Associated Factors and Mechanisms’, </w:t>
      </w:r>
      <w:r w:rsidRPr="00DD19B4">
        <w:rPr>
          <w:i/>
          <w:iCs/>
          <w:color w:val="000000" w:themeColor="text1"/>
          <w:sz w:val="20"/>
          <w:szCs w:val="20"/>
        </w:rPr>
        <w:t>European Journal of Psychotraumatology</w:t>
      </w:r>
      <w:r w:rsidRPr="00FC331F">
        <w:rPr>
          <w:color w:val="000000" w:themeColor="text1"/>
          <w:sz w:val="20"/>
          <w:szCs w:val="20"/>
        </w:rPr>
        <w:t>, 10.1 &lt;https://doi.org/10.1080/20008198.2019.1654065&gt;.</w:t>
      </w:r>
    </w:p>
  </w:footnote>
  <w:footnote w:id="258">
    <w:p w14:paraId="717B7540" w14:textId="3DE073D2" w:rsidR="00736D5A" w:rsidRPr="00DD19B4"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DD19B4">
        <w:rPr>
          <w:color w:val="000000" w:themeColor="text1"/>
          <w:sz w:val="20"/>
          <w:szCs w:val="20"/>
        </w:rPr>
        <w:t xml:space="preserve"> Abulhawa, p. 214.</w:t>
      </w:r>
    </w:p>
  </w:footnote>
  <w:footnote w:id="259">
    <w:p w14:paraId="284E0426" w14:textId="41A88D8F" w:rsidR="00736D5A" w:rsidRPr="00DD19B4"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DD19B4">
        <w:rPr>
          <w:color w:val="000000" w:themeColor="text1"/>
          <w:sz w:val="20"/>
          <w:szCs w:val="20"/>
        </w:rPr>
        <w:t xml:space="preserve"> Abulhawa, p. 222.</w:t>
      </w:r>
    </w:p>
  </w:footnote>
  <w:footnote w:id="260">
    <w:p w14:paraId="5401EEDC" w14:textId="289B1DDA" w:rsidR="00736D5A" w:rsidRPr="00DD19B4"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DD19B4">
        <w:rPr>
          <w:color w:val="000000" w:themeColor="text1"/>
          <w:sz w:val="20"/>
          <w:szCs w:val="20"/>
        </w:rPr>
        <w:t xml:space="preserve"> Abulhawa, p. 228.</w:t>
      </w:r>
    </w:p>
  </w:footnote>
  <w:footnote w:id="261">
    <w:p w14:paraId="405796FB" w14:textId="77777777" w:rsidR="00736D5A" w:rsidRPr="00DD19B4" w:rsidRDefault="00736D5A" w:rsidP="00ED3DBE">
      <w:pPr>
        <w:spacing w:line="276" w:lineRule="auto"/>
        <w:rPr>
          <w:color w:val="000000" w:themeColor="text1"/>
          <w:sz w:val="20"/>
          <w:szCs w:val="20"/>
        </w:rPr>
      </w:pPr>
      <w:r w:rsidRPr="00FC331F">
        <w:rPr>
          <w:color w:val="000000" w:themeColor="text1"/>
          <w:sz w:val="20"/>
          <w:szCs w:val="20"/>
          <w:vertAlign w:val="superscript"/>
        </w:rPr>
        <w:footnoteRef/>
      </w:r>
      <w:r w:rsidRPr="00DD19B4">
        <w:rPr>
          <w:color w:val="000000" w:themeColor="text1"/>
          <w:sz w:val="20"/>
          <w:szCs w:val="20"/>
        </w:rPr>
        <w:t xml:space="preserve"> Abulhawa, p. 228.</w:t>
      </w:r>
    </w:p>
  </w:footnote>
  <w:footnote w:id="262">
    <w:p w14:paraId="3CA16EEB" w14:textId="01DA4F4E" w:rsidR="00736D5A" w:rsidRPr="00DD19B4"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DD19B4">
        <w:rPr>
          <w:color w:val="000000" w:themeColor="text1"/>
          <w:sz w:val="20"/>
          <w:szCs w:val="20"/>
        </w:rPr>
        <w:t xml:space="preserve"> Abulhawa, p. 255.</w:t>
      </w:r>
    </w:p>
  </w:footnote>
  <w:footnote w:id="263">
    <w:p w14:paraId="1828F468" w14:textId="0CBFEDA3" w:rsidR="00736D5A" w:rsidRPr="00DD19B4"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DD19B4">
        <w:rPr>
          <w:color w:val="000000" w:themeColor="text1"/>
          <w:sz w:val="20"/>
          <w:szCs w:val="20"/>
        </w:rPr>
        <w:t>Abulhawa, p. 229.</w:t>
      </w:r>
    </w:p>
  </w:footnote>
  <w:footnote w:id="264">
    <w:p w14:paraId="7634F4BF" w14:textId="090ABA83"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Abulhawa, p. 213.</w:t>
      </w:r>
    </w:p>
  </w:footnote>
  <w:footnote w:id="265">
    <w:p w14:paraId="5E41FF1B" w14:textId="77777777" w:rsidR="00736D5A" w:rsidRPr="00FC331F" w:rsidRDefault="00736D5A" w:rsidP="006809D2">
      <w:pPr>
        <w:spacing w:line="276" w:lineRule="auto"/>
        <w:rPr>
          <w:b/>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Ghassan Kanafani, </w:t>
      </w:r>
      <w:r w:rsidRPr="00FC331F">
        <w:rPr>
          <w:i/>
          <w:color w:val="000000" w:themeColor="text1"/>
          <w:sz w:val="20"/>
          <w:szCs w:val="20"/>
        </w:rPr>
        <w:t>Palestine’s Children: Returning to Haifa and Other Stories</w:t>
      </w:r>
      <w:r w:rsidRPr="00FC331F">
        <w:rPr>
          <w:color w:val="000000" w:themeColor="text1"/>
          <w:sz w:val="20"/>
          <w:szCs w:val="20"/>
        </w:rPr>
        <w:t xml:space="preserve"> (Boulder, CO: Lynne Rienner Publishers, 2000).</w:t>
      </w:r>
    </w:p>
  </w:footnote>
  <w:footnote w:id="266">
    <w:p w14:paraId="1A4BECEA" w14:textId="75041E11"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Kanafani, p. 154.</w:t>
      </w:r>
    </w:p>
  </w:footnote>
  <w:footnote w:id="267">
    <w:p w14:paraId="6DCC81E8" w14:textId="467BBD2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Kanafani, p. 152.</w:t>
      </w:r>
    </w:p>
  </w:footnote>
  <w:footnote w:id="268">
    <w:p w14:paraId="59A08443" w14:textId="2BD4E7EC"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Kanafani, p. 153.</w:t>
      </w:r>
    </w:p>
  </w:footnote>
  <w:footnote w:id="269">
    <w:p w14:paraId="7DFED63A"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Kanafani, p. 152.</w:t>
      </w:r>
    </w:p>
  </w:footnote>
  <w:footnote w:id="270">
    <w:p w14:paraId="346D71BF" w14:textId="1AF8E91A"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Kanafani, p. 151.</w:t>
      </w:r>
    </w:p>
  </w:footnote>
  <w:footnote w:id="271">
    <w:p w14:paraId="65B17DD5" w14:textId="24A4401F"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Said, p. 151.</w:t>
      </w:r>
    </w:p>
  </w:footnote>
  <w:footnote w:id="272">
    <w:p w14:paraId="65353F3A"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Rabai al-Madhoun, </w:t>
      </w:r>
      <w:r w:rsidRPr="00FC331F">
        <w:rPr>
          <w:i/>
          <w:color w:val="000000" w:themeColor="text1"/>
          <w:sz w:val="20"/>
          <w:szCs w:val="20"/>
        </w:rPr>
        <w:t>Fractured Destinies</w:t>
      </w:r>
      <w:r w:rsidRPr="00FC331F">
        <w:rPr>
          <w:color w:val="000000" w:themeColor="text1"/>
          <w:sz w:val="20"/>
          <w:szCs w:val="20"/>
        </w:rPr>
        <w:t>, trans. by Paul Starkey (Hoopoe, 2018), p. 222.</w:t>
      </w:r>
    </w:p>
  </w:footnote>
  <w:footnote w:id="273">
    <w:p w14:paraId="46C76EA9"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Kanafani, p. 47.</w:t>
      </w:r>
    </w:p>
  </w:footnote>
  <w:footnote w:id="274">
    <w:p w14:paraId="6BED1405"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Darwish, in Achcar, p. 31.</w:t>
      </w:r>
    </w:p>
  </w:footnote>
  <w:footnote w:id="275">
    <w:p w14:paraId="012600BA"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‘as it also is in Israel’, he continues. Achcar, p. 194.</w:t>
      </w:r>
    </w:p>
  </w:footnote>
  <w:footnote w:id="276">
    <w:p w14:paraId="29F68B41" w14:textId="60C19016"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al-Madhoun, p. 24.</w:t>
      </w:r>
    </w:p>
  </w:footnote>
  <w:footnote w:id="277">
    <w:p w14:paraId="7249127B" w14:textId="78F89D53"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al-Madhoun, p. 145.</w:t>
      </w:r>
    </w:p>
  </w:footnote>
  <w:footnote w:id="278">
    <w:p w14:paraId="7856E42A" w14:textId="67ACDDFE"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al-Madhoun, p. 109.</w:t>
      </w:r>
    </w:p>
  </w:footnote>
  <w:footnote w:id="279">
    <w:p w14:paraId="387C2202"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al-Madhoun, p. 142.</w:t>
      </w:r>
    </w:p>
  </w:footnote>
  <w:footnote w:id="280">
    <w:p w14:paraId="0D317F38" w14:textId="7765BC59"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al-Madhoun, p. 59.</w:t>
      </w:r>
    </w:p>
  </w:footnote>
  <w:footnote w:id="281">
    <w:p w14:paraId="3EEA4EAD" w14:textId="08562C33"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al-Madhoun, p. 60.</w:t>
      </w:r>
    </w:p>
  </w:footnote>
  <w:footnote w:id="282">
    <w:p w14:paraId="3DD919B1" w14:textId="6604EE80"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al-Madhoun, p. 172.</w:t>
      </w:r>
    </w:p>
  </w:footnote>
  <w:footnote w:id="283">
    <w:p w14:paraId="5B8066E0" w14:textId="77777777" w:rsidR="00736D5A" w:rsidRPr="00FC331F" w:rsidRDefault="00736D5A" w:rsidP="00BD4FD8">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Sergio DellaPergola, ‘Jews in the European Community: Sociodemographic Trends and Challenges’, </w:t>
      </w:r>
      <w:r w:rsidRPr="00FC331F">
        <w:rPr>
          <w:i/>
          <w:color w:val="000000" w:themeColor="text1"/>
          <w:sz w:val="20"/>
          <w:szCs w:val="20"/>
        </w:rPr>
        <w:t>American Jewish Yearbook</w:t>
      </w:r>
      <w:r w:rsidRPr="00FC331F">
        <w:rPr>
          <w:color w:val="000000" w:themeColor="text1"/>
          <w:sz w:val="20"/>
          <w:szCs w:val="20"/>
        </w:rPr>
        <w:t>, 93 (1993), 25–84 (p. 34).</w:t>
      </w:r>
    </w:p>
  </w:footnote>
  <w:footnote w:id="284">
    <w:p w14:paraId="4BCB8C87" w14:textId="13FC3678" w:rsidR="007C71E8" w:rsidRPr="007C71E8" w:rsidRDefault="007C71E8">
      <w:pPr>
        <w:pStyle w:val="FootnoteText"/>
        <w:rPr>
          <w:lang w:val="en-GB"/>
        </w:rPr>
      </w:pPr>
      <w:r>
        <w:rPr>
          <w:rStyle w:val="FootnoteReference"/>
        </w:rPr>
        <w:footnoteRef/>
      </w:r>
      <w:r>
        <w:t xml:space="preserve"> </w:t>
      </w:r>
      <w:r w:rsidRPr="00FC331F">
        <w:rPr>
          <w:color w:val="000000" w:themeColor="text1"/>
        </w:rPr>
        <w:t>al-Madhoun, p. 17</w:t>
      </w:r>
      <w:r>
        <w:rPr>
          <w:color w:val="000000" w:themeColor="text1"/>
        </w:rPr>
        <w:t>3</w:t>
      </w:r>
      <w:r w:rsidRPr="00FC331F">
        <w:rPr>
          <w:color w:val="000000" w:themeColor="text1"/>
        </w:rPr>
        <w:t>.</w:t>
      </w:r>
    </w:p>
  </w:footnote>
  <w:footnote w:id="285">
    <w:p w14:paraId="4BC9776F" w14:textId="56C75D7F"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al-Madhoun, p. 230.</w:t>
      </w:r>
    </w:p>
  </w:footnote>
  <w:footnote w:id="286">
    <w:p w14:paraId="0AF7C2EE" w14:textId="6475B46C"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al-Madhoun, p. 230.</w:t>
      </w:r>
    </w:p>
  </w:footnote>
  <w:footnote w:id="287">
    <w:p w14:paraId="0C9582CB" w14:textId="1A7C206B"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Emmanuel L</w:t>
      </w:r>
      <w:r>
        <w:rPr>
          <w:color w:val="000000" w:themeColor="text1"/>
          <w:sz w:val="20"/>
          <w:szCs w:val="20"/>
        </w:rPr>
        <w:t>e</w:t>
      </w:r>
      <w:r w:rsidRPr="00FC331F">
        <w:rPr>
          <w:color w:val="000000" w:themeColor="text1"/>
          <w:sz w:val="20"/>
          <w:szCs w:val="20"/>
        </w:rPr>
        <w:t>vinas, Entre Nous: On Thinking-of-the-Other, European Perspectives (New York: Columbia University Press, 1998), p. 86.</w:t>
      </w:r>
    </w:p>
  </w:footnote>
  <w:footnote w:id="288">
    <w:p w14:paraId="70124FAF" w14:textId="6E3C6F88"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al-Madhoun, p. 231.</w:t>
      </w:r>
    </w:p>
  </w:footnote>
  <w:footnote w:id="289">
    <w:p w14:paraId="0987CF42"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Upon searching for the museum on the internet, the singular result for it came from al-Madhoun’s book.</w:t>
      </w:r>
    </w:p>
  </w:footnote>
  <w:footnote w:id="290">
    <w:p w14:paraId="3A26D2FF" w14:textId="5C466150" w:rsidR="00736D5A" w:rsidRPr="00B824E5"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B824E5">
        <w:rPr>
          <w:color w:val="000000" w:themeColor="text1"/>
          <w:sz w:val="20"/>
          <w:szCs w:val="20"/>
        </w:rPr>
        <w:t xml:space="preserve"> al-Madhoun, p. 232.</w:t>
      </w:r>
    </w:p>
  </w:footnote>
  <w:footnote w:id="291">
    <w:p w14:paraId="7E794711" w14:textId="77777777" w:rsidR="00736D5A" w:rsidRPr="00B824E5"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B824E5">
        <w:rPr>
          <w:color w:val="000000" w:themeColor="text1"/>
          <w:sz w:val="20"/>
          <w:szCs w:val="20"/>
        </w:rPr>
        <w:t xml:space="preserve"> al-Madhoun, p. 236.</w:t>
      </w:r>
    </w:p>
  </w:footnote>
  <w:footnote w:id="292">
    <w:p w14:paraId="0DA84D7E" w14:textId="28BC3102" w:rsidR="00736D5A" w:rsidRPr="00B824E5"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B824E5">
        <w:rPr>
          <w:color w:val="000000" w:themeColor="text1"/>
          <w:sz w:val="20"/>
          <w:szCs w:val="20"/>
        </w:rPr>
        <w:t xml:space="preserve"> al-Madhoun, p. 236.</w:t>
      </w:r>
    </w:p>
  </w:footnote>
  <w:footnote w:id="293">
    <w:p w14:paraId="0CB1870F" w14:textId="4E86E4C7" w:rsidR="00736D5A" w:rsidRPr="00B824E5"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B824E5">
        <w:rPr>
          <w:color w:val="000000" w:themeColor="text1"/>
          <w:sz w:val="20"/>
          <w:szCs w:val="20"/>
        </w:rPr>
        <w:t xml:space="preserve"> Habibi.</w:t>
      </w:r>
    </w:p>
  </w:footnote>
  <w:footnote w:id="294">
    <w:p w14:paraId="11970B57" w14:textId="0A1416A7" w:rsidR="00736D5A" w:rsidRPr="00B824E5"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B824E5">
        <w:rPr>
          <w:color w:val="000000" w:themeColor="text1"/>
          <w:sz w:val="20"/>
          <w:szCs w:val="20"/>
        </w:rPr>
        <w:t xml:space="preserve"> Jayyusi, in Habibi., pp. xi-xii.</w:t>
      </w:r>
    </w:p>
  </w:footnote>
  <w:footnote w:id="295">
    <w:p w14:paraId="6A9AC79E" w14:textId="3529671A" w:rsidR="00736D5A" w:rsidRPr="00B824E5"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B824E5">
        <w:rPr>
          <w:color w:val="000000" w:themeColor="text1"/>
          <w:sz w:val="20"/>
          <w:szCs w:val="20"/>
        </w:rPr>
        <w:t xml:space="preserve"> Jayyusi, in Habibi, p. xiii.</w:t>
      </w:r>
    </w:p>
  </w:footnote>
  <w:footnote w:id="296">
    <w:p w14:paraId="7A51EDC3" w14:textId="77777777" w:rsidR="00736D5A" w:rsidRPr="00B824E5" w:rsidRDefault="00736D5A" w:rsidP="00D658E2">
      <w:pPr>
        <w:spacing w:line="276" w:lineRule="auto"/>
        <w:rPr>
          <w:color w:val="000000" w:themeColor="text1"/>
          <w:sz w:val="20"/>
          <w:szCs w:val="20"/>
        </w:rPr>
      </w:pPr>
      <w:r w:rsidRPr="00FC331F">
        <w:rPr>
          <w:color w:val="000000" w:themeColor="text1"/>
          <w:sz w:val="20"/>
          <w:szCs w:val="20"/>
          <w:vertAlign w:val="superscript"/>
        </w:rPr>
        <w:footnoteRef/>
      </w:r>
      <w:r w:rsidRPr="00B824E5">
        <w:rPr>
          <w:color w:val="000000" w:themeColor="text1"/>
          <w:sz w:val="20"/>
          <w:szCs w:val="20"/>
        </w:rPr>
        <w:t xml:space="preserve"> Jayyusi, in Habibi, p. xiv.</w:t>
      </w:r>
    </w:p>
  </w:footnote>
  <w:footnote w:id="297">
    <w:p w14:paraId="59346D86" w14:textId="7E2CD109" w:rsidR="00736D5A" w:rsidRPr="00B824E5"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B824E5">
        <w:rPr>
          <w:color w:val="000000" w:themeColor="text1"/>
          <w:sz w:val="20"/>
          <w:szCs w:val="20"/>
        </w:rPr>
        <w:t xml:space="preserve"> Habibi, p. 6.</w:t>
      </w:r>
    </w:p>
  </w:footnote>
  <w:footnote w:id="298">
    <w:p w14:paraId="4B5A8F3C" w14:textId="2BFA61DB" w:rsidR="00736D5A" w:rsidRPr="00B824E5"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B824E5">
        <w:rPr>
          <w:color w:val="000000" w:themeColor="text1"/>
          <w:sz w:val="20"/>
          <w:szCs w:val="20"/>
        </w:rPr>
        <w:t xml:space="preserve"> Habibi, p. 7.</w:t>
      </w:r>
    </w:p>
  </w:footnote>
  <w:footnote w:id="299">
    <w:p w14:paraId="6C35DDAA" w14:textId="53DBD1DD" w:rsidR="00736D5A" w:rsidRPr="00B824E5"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B824E5">
        <w:rPr>
          <w:color w:val="000000" w:themeColor="text1"/>
          <w:sz w:val="20"/>
          <w:szCs w:val="20"/>
        </w:rPr>
        <w:t xml:space="preserve"> Habibi, p. 7.</w:t>
      </w:r>
    </w:p>
  </w:footnote>
  <w:footnote w:id="300">
    <w:p w14:paraId="6985C009" w14:textId="74DD5516"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Said, p. 242.</w:t>
      </w:r>
    </w:p>
  </w:footnote>
  <w:footnote w:id="301">
    <w:p w14:paraId="108D1BA2" w14:textId="6DCD4864" w:rsidR="00736D5A" w:rsidRPr="00FC331F" w:rsidRDefault="00736D5A" w:rsidP="008A2B3D">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 Michael Lynk, ‘Situation of Human Rights in the Palestinian Territories Occupied since 1967 (Advance Unedited Version)’, 2019, p. 4. ‘UN Expert Criticises Israel’s Continued Collective Punishment of Palestinians’, </w:t>
      </w:r>
      <w:r w:rsidRPr="00FC331F">
        <w:rPr>
          <w:i/>
          <w:color w:val="000000" w:themeColor="text1"/>
          <w:sz w:val="20"/>
          <w:szCs w:val="20"/>
        </w:rPr>
        <w:t>Middle East Monitor</w:t>
      </w:r>
      <w:r w:rsidRPr="00FC331F">
        <w:rPr>
          <w:color w:val="000000" w:themeColor="text1"/>
          <w:sz w:val="20"/>
          <w:szCs w:val="20"/>
        </w:rPr>
        <w:t>, 2020 &lt;https://www.middleeastmonitor.com/20200717-un-expert-criticises-israels-continued-collective-punishment-of-palestinians/&gt; [accessed 1 January 2021].</w:t>
      </w:r>
    </w:p>
  </w:footnote>
  <w:footnote w:id="302">
    <w:p w14:paraId="1E3C0280"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Ian Davidson, </w:t>
      </w:r>
      <w:r w:rsidRPr="00FC331F">
        <w:rPr>
          <w:i/>
          <w:color w:val="000000" w:themeColor="text1"/>
          <w:sz w:val="20"/>
          <w:szCs w:val="20"/>
        </w:rPr>
        <w:t>Voltaire in Exile: The Last Years</w:t>
      </w:r>
      <w:r w:rsidRPr="00FC331F">
        <w:rPr>
          <w:color w:val="000000" w:themeColor="text1"/>
          <w:sz w:val="20"/>
          <w:szCs w:val="20"/>
        </w:rPr>
        <w:t>, 1st American ed (New York: Grove Press, 2004), p. 54.</w:t>
      </w:r>
    </w:p>
  </w:footnote>
  <w:footnote w:id="303">
    <w:p w14:paraId="7F38A424" w14:textId="58CFE5B4" w:rsidR="00736D5A" w:rsidRPr="00B824E5" w:rsidRDefault="00736D5A" w:rsidP="00FC331F">
      <w:pPr>
        <w:spacing w:line="276" w:lineRule="auto"/>
        <w:rPr>
          <w:color w:val="000000" w:themeColor="text1"/>
          <w:sz w:val="20"/>
          <w:szCs w:val="20"/>
          <w:lang w:val="es-ES_tradnl"/>
        </w:rPr>
      </w:pPr>
      <w:r w:rsidRPr="00FC331F">
        <w:rPr>
          <w:color w:val="000000" w:themeColor="text1"/>
          <w:sz w:val="20"/>
          <w:szCs w:val="20"/>
          <w:vertAlign w:val="superscript"/>
        </w:rPr>
        <w:footnoteRef/>
      </w:r>
      <w:r w:rsidRPr="00B824E5">
        <w:rPr>
          <w:color w:val="000000" w:themeColor="text1"/>
          <w:sz w:val="20"/>
          <w:szCs w:val="20"/>
          <w:lang w:val="es-ES_tradnl"/>
        </w:rPr>
        <w:t xml:space="preserve"> Habibi, p. 24.</w:t>
      </w:r>
    </w:p>
  </w:footnote>
  <w:footnote w:id="304">
    <w:p w14:paraId="3AFDE965" w14:textId="606F51DC" w:rsidR="00736D5A" w:rsidRPr="00B824E5"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B824E5">
        <w:rPr>
          <w:color w:val="000000" w:themeColor="text1"/>
          <w:sz w:val="20"/>
          <w:szCs w:val="20"/>
        </w:rPr>
        <w:t xml:space="preserve"> Habibi, p. 120.</w:t>
      </w:r>
    </w:p>
  </w:footnote>
  <w:footnote w:id="305">
    <w:p w14:paraId="39EFAC52" w14:textId="517107A8" w:rsidR="00736D5A" w:rsidRPr="00B824E5"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B824E5">
        <w:rPr>
          <w:color w:val="000000" w:themeColor="text1"/>
          <w:sz w:val="20"/>
          <w:szCs w:val="20"/>
        </w:rPr>
        <w:t xml:space="preserve"> Habibi, p. 122.</w:t>
      </w:r>
    </w:p>
  </w:footnote>
  <w:footnote w:id="306">
    <w:p w14:paraId="3AB29D75" w14:textId="291DCC98" w:rsidR="00736D5A" w:rsidRPr="00B824E5"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B824E5">
        <w:rPr>
          <w:color w:val="000000" w:themeColor="text1"/>
          <w:sz w:val="20"/>
          <w:szCs w:val="20"/>
        </w:rPr>
        <w:t xml:space="preserve"> Habibi, p. 122.</w:t>
      </w:r>
    </w:p>
  </w:footnote>
  <w:footnote w:id="307">
    <w:p w14:paraId="714F58E8" w14:textId="7BCCCD61" w:rsidR="00736D5A" w:rsidRPr="00B824E5"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B824E5">
        <w:rPr>
          <w:color w:val="000000" w:themeColor="text1"/>
          <w:sz w:val="20"/>
          <w:szCs w:val="20"/>
        </w:rPr>
        <w:t xml:space="preserve"> Kanafani, p. 157.</w:t>
      </w:r>
    </w:p>
  </w:footnote>
  <w:footnote w:id="308">
    <w:p w14:paraId="0C12C075" w14:textId="296F6587" w:rsidR="00736D5A" w:rsidRPr="00B824E5"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B824E5">
        <w:rPr>
          <w:color w:val="000000" w:themeColor="text1"/>
          <w:sz w:val="20"/>
          <w:szCs w:val="20"/>
        </w:rPr>
        <w:t xml:space="preserve"> Kanafani, p. 170.</w:t>
      </w:r>
    </w:p>
  </w:footnote>
  <w:footnote w:id="309">
    <w:p w14:paraId="466E0BDD" w14:textId="3A853AC4" w:rsidR="00736D5A" w:rsidRPr="002C6752"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2C6752">
        <w:rPr>
          <w:color w:val="000000" w:themeColor="text1"/>
          <w:sz w:val="20"/>
          <w:szCs w:val="20"/>
        </w:rPr>
        <w:t xml:space="preserve"> Abulhawa, p. 256.</w:t>
      </w:r>
    </w:p>
  </w:footnote>
  <w:footnote w:id="310">
    <w:p w14:paraId="06CA0271" w14:textId="7D4010EC"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Abulhawa, p. 36.</w:t>
      </w:r>
    </w:p>
  </w:footnote>
  <w:footnote w:id="311">
    <w:p w14:paraId="0ECC64C6" w14:textId="3D7BF40E"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Said, p. 223.</w:t>
      </w:r>
    </w:p>
  </w:footnote>
  <w:footnote w:id="312">
    <w:p w14:paraId="5242AA7D"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Raf Sanchez, ‘Israel Passes Divisive Law Declaring Only Jews Have Right to “National Self-Determination”’, </w:t>
      </w:r>
      <w:r w:rsidRPr="00FC331F">
        <w:rPr>
          <w:i/>
          <w:color w:val="000000" w:themeColor="text1"/>
          <w:sz w:val="20"/>
          <w:szCs w:val="20"/>
        </w:rPr>
        <w:t>The Telegraph</w:t>
      </w:r>
      <w:r w:rsidRPr="00FC331F">
        <w:rPr>
          <w:color w:val="000000" w:themeColor="text1"/>
          <w:sz w:val="20"/>
          <w:szCs w:val="20"/>
        </w:rPr>
        <w:t>, 19 July 2018 &lt;https://www.telegraph.co.uk/news/2018/07/19/israel-passes-divisive-law-declaring-jews-have-right-national/&gt; [accessed 7 October 2019].</w:t>
      </w:r>
    </w:p>
  </w:footnote>
  <w:footnote w:id="313">
    <w:p w14:paraId="62935DD7" w14:textId="6ABEFB7D" w:rsidR="00736D5A" w:rsidRPr="002C6752"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2C6752">
        <w:rPr>
          <w:color w:val="000000" w:themeColor="text1"/>
          <w:sz w:val="20"/>
          <w:szCs w:val="20"/>
        </w:rPr>
        <w:t xml:space="preserve"> Abulhawa, p. 93.</w:t>
      </w:r>
    </w:p>
  </w:footnote>
  <w:footnote w:id="314">
    <w:p w14:paraId="4A83F88A" w14:textId="26E248BF" w:rsidR="00736D5A" w:rsidRPr="002C6752"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2C6752">
        <w:rPr>
          <w:color w:val="000000" w:themeColor="text1"/>
          <w:sz w:val="20"/>
          <w:szCs w:val="20"/>
        </w:rPr>
        <w:t xml:space="preserve"> Abulhawa, p. 287.</w:t>
      </w:r>
    </w:p>
  </w:footnote>
  <w:footnote w:id="315">
    <w:p w14:paraId="43E2B481" w14:textId="26F2BB9D" w:rsidR="00736D5A" w:rsidRPr="002C6752"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2C6752">
        <w:rPr>
          <w:color w:val="000000" w:themeColor="text1"/>
          <w:sz w:val="20"/>
          <w:szCs w:val="20"/>
        </w:rPr>
        <w:t xml:space="preserve"> Abulhawa, p. 101.</w:t>
      </w:r>
    </w:p>
  </w:footnote>
  <w:footnote w:id="316">
    <w:p w14:paraId="6B3381B1" w14:textId="40625CDF"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Abulhawa, p. 113.</w:t>
      </w:r>
    </w:p>
  </w:footnote>
  <w:footnote w:id="317">
    <w:p w14:paraId="3203526C" w14:textId="413A7E00"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Abulhawa, p. 123.</w:t>
      </w:r>
    </w:p>
  </w:footnote>
  <w:footnote w:id="318">
    <w:p w14:paraId="447DBB19" w14:textId="71D10052"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w:t>
      </w:r>
      <w:r w:rsidR="003C27CA">
        <w:rPr>
          <w:color w:val="000000" w:themeColor="text1"/>
          <w:sz w:val="20"/>
          <w:szCs w:val="20"/>
        </w:rPr>
        <w:t>Achcar</w:t>
      </w:r>
      <w:r w:rsidRPr="00FC331F">
        <w:rPr>
          <w:color w:val="000000" w:themeColor="text1"/>
          <w:sz w:val="20"/>
          <w:szCs w:val="20"/>
        </w:rPr>
        <w:t>, p. 176.</w:t>
      </w:r>
    </w:p>
  </w:footnote>
  <w:footnote w:id="319">
    <w:p w14:paraId="267F7AF6" w14:textId="62D3BA8F"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Boyarin, in I. Gur-Ze’ev, </w:t>
      </w:r>
      <w:r w:rsidRPr="00FC331F">
        <w:rPr>
          <w:i/>
          <w:color w:val="000000" w:themeColor="text1"/>
          <w:sz w:val="20"/>
          <w:szCs w:val="20"/>
        </w:rPr>
        <w:t>Diasporic Philosophy and Counter-Education</w:t>
      </w:r>
      <w:r w:rsidRPr="00FC331F">
        <w:rPr>
          <w:color w:val="000000" w:themeColor="text1"/>
          <w:sz w:val="20"/>
          <w:szCs w:val="20"/>
        </w:rPr>
        <w:t xml:space="preserve"> (</w:t>
      </w:r>
      <w:r w:rsidR="00AE6CF0">
        <w:rPr>
          <w:color w:val="000000" w:themeColor="text1"/>
          <w:sz w:val="20"/>
          <w:szCs w:val="20"/>
        </w:rPr>
        <w:t xml:space="preserve">Rotterdam: </w:t>
      </w:r>
      <w:r w:rsidRPr="00FC331F">
        <w:rPr>
          <w:color w:val="000000" w:themeColor="text1"/>
          <w:sz w:val="20"/>
          <w:szCs w:val="20"/>
        </w:rPr>
        <w:t>Springer Science &amp; Business Media, 2011), p. 127.</w:t>
      </w:r>
    </w:p>
  </w:footnote>
  <w:footnote w:id="320">
    <w:p w14:paraId="039CF0C9"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Peter Osborne, </w:t>
      </w:r>
      <w:r w:rsidRPr="00FC331F">
        <w:rPr>
          <w:i/>
          <w:color w:val="000000" w:themeColor="text1"/>
          <w:sz w:val="20"/>
          <w:szCs w:val="20"/>
        </w:rPr>
        <w:t>Walter Benjamin: Philosophy</w:t>
      </w:r>
      <w:r w:rsidRPr="00FC331F">
        <w:rPr>
          <w:color w:val="000000" w:themeColor="text1"/>
          <w:sz w:val="20"/>
          <w:szCs w:val="20"/>
        </w:rPr>
        <w:t xml:space="preserve"> (Taylor &amp; Francis, 2005), p. 186.</w:t>
      </w:r>
    </w:p>
  </w:footnote>
  <w:footnote w:id="321">
    <w:p w14:paraId="4033DB73" w14:textId="6AF9F38D" w:rsidR="00736D5A" w:rsidRPr="00FC331F" w:rsidRDefault="00736D5A" w:rsidP="00010A3A">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 Yizhar, </w:t>
      </w:r>
      <w:r w:rsidRPr="00FC331F">
        <w:rPr>
          <w:i/>
          <w:color w:val="000000" w:themeColor="text1"/>
          <w:sz w:val="20"/>
          <w:szCs w:val="20"/>
        </w:rPr>
        <w:t>Khirbet Khizeh</w:t>
      </w:r>
      <w:r w:rsidRPr="00FC331F">
        <w:rPr>
          <w:color w:val="000000" w:themeColor="text1"/>
          <w:sz w:val="20"/>
          <w:szCs w:val="20"/>
        </w:rPr>
        <w:t>, trans. by Nicholas De Lange and Yaacob Dweck (New York: Farrar, Straus and Giroux, 2014).</w:t>
      </w:r>
    </w:p>
  </w:footnote>
  <w:footnote w:id="322">
    <w:p w14:paraId="36CDF216"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Shira Stav, ‘Nakba and Holocaust: Mechanisms of Comparison and Denial in the Israeli Literary Imagination’, </w:t>
      </w:r>
      <w:r w:rsidRPr="00FC331F">
        <w:rPr>
          <w:i/>
          <w:color w:val="000000" w:themeColor="text1"/>
          <w:sz w:val="20"/>
          <w:szCs w:val="20"/>
        </w:rPr>
        <w:t>Jewish Social Studies</w:t>
      </w:r>
      <w:r w:rsidRPr="00FC331F">
        <w:rPr>
          <w:color w:val="000000" w:themeColor="text1"/>
          <w:sz w:val="20"/>
          <w:szCs w:val="20"/>
        </w:rPr>
        <w:t>, 18.3 (2012), 85–98 (p. 86) &lt;https://doi.org/10.2979/jewisocistud.18.3.85&gt;.</w:t>
      </w:r>
    </w:p>
  </w:footnote>
  <w:footnote w:id="323">
    <w:p w14:paraId="15CD1022" w14:textId="3539952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Yizhar, p. 51.</w:t>
      </w:r>
    </w:p>
  </w:footnote>
  <w:footnote w:id="324">
    <w:p w14:paraId="76F0AF88" w14:textId="73AA2596"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Yizhar, p. 14.</w:t>
      </w:r>
    </w:p>
  </w:footnote>
  <w:footnote w:id="325">
    <w:p w14:paraId="0A8AE3AE" w14:textId="089B48B3"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Yizhar, p. 14.</w:t>
      </w:r>
    </w:p>
  </w:footnote>
  <w:footnote w:id="326">
    <w:p w14:paraId="0D4D33A6" w14:textId="1F765684"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Yizhar, p. 62.</w:t>
      </w:r>
    </w:p>
  </w:footnote>
  <w:footnote w:id="327">
    <w:p w14:paraId="65C32BF0" w14:textId="1566C78C"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Yizhar, p. 63.</w:t>
      </w:r>
    </w:p>
  </w:footnote>
  <w:footnote w:id="328">
    <w:p w14:paraId="0B797EB7"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Mikael Tossavainen, ‘The Holocaust in Arab Public Discourse: Historicized Politics and Politicized History’, </w:t>
      </w:r>
      <w:r w:rsidRPr="00FC331F">
        <w:rPr>
          <w:i/>
          <w:color w:val="000000" w:themeColor="text1"/>
          <w:sz w:val="20"/>
          <w:szCs w:val="20"/>
        </w:rPr>
        <w:t>Jewish Political Studies Review</w:t>
      </w:r>
      <w:r w:rsidRPr="00FC331F">
        <w:rPr>
          <w:color w:val="000000" w:themeColor="text1"/>
          <w:sz w:val="20"/>
          <w:szCs w:val="20"/>
        </w:rPr>
        <w:t>, 20.3/4 (2008), 93–106 (p. 95).</w:t>
      </w:r>
    </w:p>
  </w:footnote>
  <w:footnote w:id="329">
    <w:p w14:paraId="4EFEF4DE" w14:textId="4B2CE8B1"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Stav, p. 87.</w:t>
      </w:r>
    </w:p>
  </w:footnote>
  <w:footnote w:id="330">
    <w:p w14:paraId="2604BFF1"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Achcar, p. 229.</w:t>
      </w:r>
    </w:p>
  </w:footnote>
  <w:footnote w:id="331">
    <w:p w14:paraId="1F444B7B" w14:textId="67139781"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Yizhar, p. 62.</w:t>
      </w:r>
    </w:p>
  </w:footnote>
  <w:footnote w:id="332">
    <w:p w14:paraId="1A1079BD" w14:textId="32639803"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Yizhar, p. 62.</w:t>
      </w:r>
    </w:p>
  </w:footnote>
  <w:footnote w:id="333">
    <w:p w14:paraId="051B0927" w14:textId="4A8AAECE"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Yizhar, p. 65.</w:t>
      </w:r>
    </w:p>
  </w:footnote>
  <w:footnote w:id="334">
    <w:p w14:paraId="793AC733" w14:textId="37502C9C"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Yizhar, p. 27.</w:t>
      </w:r>
    </w:p>
  </w:footnote>
  <w:footnote w:id="335">
    <w:p w14:paraId="5EF8EBE8" w14:textId="7B71F638"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Yizhar, p. 61.</w:t>
      </w:r>
    </w:p>
  </w:footnote>
  <w:footnote w:id="336">
    <w:p w14:paraId="3BC3BD46" w14:textId="108E84F3"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Hare, pp. 39–40.</w:t>
      </w:r>
    </w:p>
  </w:footnote>
  <w:footnote w:id="337">
    <w:p w14:paraId="5F4107E9"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Gilbert Achcar, The Arabs and the Holocaust: The Arab-Israeli War of Narratives (Saqi Books, 2012), p. 244.</w:t>
      </w:r>
    </w:p>
  </w:footnote>
  <w:footnote w:id="338">
    <w:p w14:paraId="5CD95B8C"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The Chmielnicki Uprising, 1648-57.</w:t>
      </w:r>
    </w:p>
  </w:footnote>
  <w:footnote w:id="339">
    <w:p w14:paraId="1999E4E6"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Robert S. Wistrich, ‘Israel and the Holocaust Trauma’, </w:t>
      </w:r>
      <w:r w:rsidRPr="00FC331F">
        <w:rPr>
          <w:i/>
          <w:color w:val="000000" w:themeColor="text1"/>
          <w:sz w:val="20"/>
          <w:szCs w:val="20"/>
        </w:rPr>
        <w:t>Jewish History</w:t>
      </w:r>
      <w:r w:rsidRPr="00FC331F">
        <w:rPr>
          <w:color w:val="000000" w:themeColor="text1"/>
          <w:sz w:val="20"/>
          <w:szCs w:val="20"/>
        </w:rPr>
        <w:t>, 11.2 (1997), 13–20 (p. 18).</w:t>
      </w:r>
    </w:p>
  </w:footnote>
  <w:footnote w:id="340">
    <w:p w14:paraId="3FEF19A1" w14:textId="4C865B88" w:rsidR="00736D5A" w:rsidRPr="00CD41F5"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CD41F5">
        <w:rPr>
          <w:color w:val="000000" w:themeColor="text1"/>
          <w:sz w:val="20"/>
          <w:szCs w:val="20"/>
          <w:vertAlign w:val="superscript"/>
        </w:rPr>
        <w:t xml:space="preserve"> </w:t>
      </w:r>
      <w:r w:rsidRPr="00CD41F5">
        <w:rPr>
          <w:color w:val="000000" w:themeColor="text1"/>
          <w:sz w:val="20"/>
          <w:szCs w:val="20"/>
        </w:rPr>
        <w:t>Wistrich, p. 18.</w:t>
      </w:r>
    </w:p>
  </w:footnote>
  <w:footnote w:id="341">
    <w:p w14:paraId="3EF9B572" w14:textId="0B2F969D" w:rsidR="00736D5A" w:rsidRPr="00CD41F5" w:rsidRDefault="00736D5A" w:rsidP="00341534">
      <w:pPr>
        <w:spacing w:line="276" w:lineRule="auto"/>
        <w:rPr>
          <w:color w:val="000000" w:themeColor="text1"/>
          <w:sz w:val="20"/>
          <w:szCs w:val="20"/>
        </w:rPr>
      </w:pPr>
      <w:r w:rsidRPr="00FC331F">
        <w:rPr>
          <w:color w:val="000000" w:themeColor="text1"/>
          <w:sz w:val="20"/>
          <w:szCs w:val="20"/>
          <w:vertAlign w:val="superscript"/>
        </w:rPr>
        <w:footnoteRef/>
      </w:r>
      <w:r w:rsidRPr="00CD41F5">
        <w:rPr>
          <w:color w:val="000000" w:themeColor="text1"/>
          <w:sz w:val="20"/>
          <w:szCs w:val="20"/>
        </w:rPr>
        <w:t xml:space="preserve"> Wistrich, pp. 13–14</w:t>
      </w:r>
      <w:r w:rsidR="00B515C6">
        <w:rPr>
          <w:color w:val="000000" w:themeColor="text1"/>
          <w:sz w:val="20"/>
          <w:szCs w:val="20"/>
        </w:rPr>
        <w:t xml:space="preserve">, </w:t>
      </w:r>
      <w:r w:rsidR="00DE456B">
        <w:rPr>
          <w:color w:val="000000" w:themeColor="text1"/>
          <w:sz w:val="20"/>
          <w:szCs w:val="20"/>
        </w:rPr>
        <w:t xml:space="preserve">see also </w:t>
      </w:r>
      <w:r w:rsidR="00B515C6" w:rsidRPr="00B515C6">
        <w:rPr>
          <w:color w:val="000000" w:themeColor="text1"/>
          <w:sz w:val="20"/>
          <w:szCs w:val="20"/>
        </w:rPr>
        <w:t>Larissa Allwork, ‘Holocaust Remembrance as “Civil Religion”: The Case of the Stockholm Declaration (2000)’, in Revisiting Holocaust Representation in the Post-Witness Era, ed. by Diana I. Popescu and Tanja Schult, The Holocaust and Its Contexts (London: Palgrave Macmillan UK, 2015), pp. 288–304 (p. 289).</w:t>
      </w:r>
    </w:p>
  </w:footnote>
  <w:footnote w:id="342">
    <w:p w14:paraId="7381AEBC" w14:textId="31739D4F" w:rsidR="00736D5A" w:rsidRPr="00CD41F5"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CD41F5">
        <w:rPr>
          <w:color w:val="000000" w:themeColor="text1"/>
          <w:sz w:val="20"/>
          <w:szCs w:val="20"/>
          <w:vertAlign w:val="superscript"/>
        </w:rPr>
        <w:t xml:space="preserve"> </w:t>
      </w:r>
      <w:r w:rsidRPr="00CD41F5">
        <w:rPr>
          <w:color w:val="000000" w:themeColor="text1"/>
          <w:sz w:val="20"/>
          <w:szCs w:val="20"/>
        </w:rPr>
        <w:t>Hare, pp. 17–18.</w:t>
      </w:r>
    </w:p>
  </w:footnote>
  <w:footnote w:id="343">
    <w:p w14:paraId="51196439" w14:textId="72B9B2AC"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Hare, p. 18.</w:t>
      </w:r>
    </w:p>
  </w:footnote>
  <w:footnote w:id="344">
    <w:p w14:paraId="5626B759"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Jasmin Habib, ‘Memorializing the Holocaust in Israel: Diasporic Encounters’, </w:t>
      </w:r>
      <w:r w:rsidRPr="00FC331F">
        <w:rPr>
          <w:i/>
          <w:color w:val="000000" w:themeColor="text1"/>
          <w:sz w:val="20"/>
          <w:szCs w:val="20"/>
        </w:rPr>
        <w:t>Anthropologica</w:t>
      </w:r>
      <w:r w:rsidRPr="00FC331F">
        <w:rPr>
          <w:color w:val="000000" w:themeColor="text1"/>
          <w:sz w:val="20"/>
          <w:szCs w:val="20"/>
        </w:rPr>
        <w:t>, 49.2 (2007), 245–56 (p. 253).</w:t>
      </w:r>
    </w:p>
  </w:footnote>
  <w:footnote w:id="345">
    <w:p w14:paraId="2654A69A" w14:textId="6F41DC2B"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Habib, p. 253.</w:t>
      </w:r>
    </w:p>
  </w:footnote>
  <w:footnote w:id="346">
    <w:p w14:paraId="1888308C" w14:textId="23FBED8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Habib, p. 253.</w:t>
      </w:r>
    </w:p>
  </w:footnote>
  <w:footnote w:id="347">
    <w:p w14:paraId="3BBB3317" w14:textId="599E663E"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Habib, p. 253.</w:t>
      </w:r>
    </w:p>
  </w:footnote>
  <w:footnote w:id="348">
    <w:p w14:paraId="17A3D718" w14:textId="03018FD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Wistrich, p. 17.</w:t>
      </w:r>
    </w:p>
  </w:footnote>
  <w:footnote w:id="349">
    <w:p w14:paraId="037F701D" w14:textId="76A8B5DA"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Hare, p. 6.</w:t>
      </w:r>
    </w:p>
  </w:footnote>
  <w:footnote w:id="350">
    <w:p w14:paraId="4AFCCB72" w14:textId="7B71E137" w:rsidR="00736D5A" w:rsidRPr="00CD41F5"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CD41F5">
        <w:rPr>
          <w:color w:val="000000" w:themeColor="text1"/>
          <w:sz w:val="20"/>
          <w:szCs w:val="20"/>
          <w:vertAlign w:val="superscript"/>
        </w:rPr>
        <w:t xml:space="preserve"> </w:t>
      </w:r>
      <w:r w:rsidRPr="00CD41F5">
        <w:rPr>
          <w:color w:val="000000" w:themeColor="text1"/>
          <w:sz w:val="20"/>
          <w:szCs w:val="20"/>
        </w:rPr>
        <w:t>Hare, pp. 6–7.</w:t>
      </w:r>
    </w:p>
  </w:footnote>
  <w:footnote w:id="351">
    <w:p w14:paraId="5F15B61E" w14:textId="720F35C0" w:rsidR="00736D5A" w:rsidRPr="00CD41F5"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CD41F5">
        <w:rPr>
          <w:color w:val="000000" w:themeColor="text1"/>
          <w:sz w:val="20"/>
          <w:szCs w:val="20"/>
          <w:vertAlign w:val="superscript"/>
        </w:rPr>
        <w:t xml:space="preserve"> </w:t>
      </w:r>
      <w:r w:rsidRPr="00CD41F5">
        <w:rPr>
          <w:color w:val="000000" w:themeColor="text1"/>
          <w:sz w:val="20"/>
          <w:szCs w:val="20"/>
        </w:rPr>
        <w:t>Habib, p. 253.</w:t>
      </w:r>
    </w:p>
  </w:footnote>
  <w:footnote w:id="352">
    <w:p w14:paraId="5EF897B4" w14:textId="52EE91D0" w:rsidR="00736D5A" w:rsidRPr="00CD41F5"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CD41F5">
        <w:rPr>
          <w:color w:val="000000" w:themeColor="text1"/>
          <w:sz w:val="20"/>
          <w:szCs w:val="20"/>
          <w:vertAlign w:val="superscript"/>
        </w:rPr>
        <w:t xml:space="preserve"> </w:t>
      </w:r>
      <w:r w:rsidRPr="00CD41F5">
        <w:rPr>
          <w:color w:val="000000" w:themeColor="text1"/>
          <w:sz w:val="20"/>
          <w:szCs w:val="20"/>
        </w:rPr>
        <w:t>Habib, p. 253.</w:t>
      </w:r>
    </w:p>
  </w:footnote>
  <w:footnote w:id="353">
    <w:p w14:paraId="01E0C96F" w14:textId="2AAA693C"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Wistrich, p. 14.</w:t>
      </w:r>
    </w:p>
  </w:footnote>
  <w:footnote w:id="354">
    <w:p w14:paraId="279C5029"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Hannan Hever, ‘“The Two Gaze Directly into One Another’s Face”: Avot Yeshurun between the Nakba and the Shoah—An Israeli Perspective’, </w:t>
      </w:r>
      <w:r w:rsidRPr="00FC331F">
        <w:rPr>
          <w:i/>
          <w:color w:val="000000" w:themeColor="text1"/>
          <w:sz w:val="20"/>
          <w:szCs w:val="20"/>
        </w:rPr>
        <w:t>Jewish Social Studies</w:t>
      </w:r>
      <w:r w:rsidRPr="00FC331F">
        <w:rPr>
          <w:color w:val="000000" w:themeColor="text1"/>
          <w:sz w:val="20"/>
          <w:szCs w:val="20"/>
        </w:rPr>
        <w:t>, 18.3 (2012), 153–63 (p. 153) &lt;https://doi.org/10.2979/jewisocistud.18.3.153&gt;.</w:t>
      </w:r>
    </w:p>
  </w:footnote>
  <w:footnote w:id="355">
    <w:p w14:paraId="32BC0E83" w14:textId="3CCB4A0D" w:rsidR="00736D5A" w:rsidRPr="00CD41F5"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CD41F5">
        <w:rPr>
          <w:color w:val="000000" w:themeColor="text1"/>
          <w:sz w:val="20"/>
          <w:szCs w:val="20"/>
        </w:rPr>
        <w:t xml:space="preserve"> Hever, p. 154.</w:t>
      </w:r>
    </w:p>
  </w:footnote>
  <w:footnote w:id="356">
    <w:p w14:paraId="045F2885" w14:textId="77777777" w:rsidR="00736D5A" w:rsidRPr="00CD41F5" w:rsidRDefault="00736D5A" w:rsidP="00502642">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CD41F5">
        <w:rPr>
          <w:color w:val="000000" w:themeColor="text1"/>
          <w:sz w:val="20"/>
          <w:szCs w:val="20"/>
          <w:vertAlign w:val="superscript"/>
        </w:rPr>
        <w:t xml:space="preserve"> </w:t>
      </w:r>
      <w:r w:rsidRPr="00CD41F5">
        <w:rPr>
          <w:color w:val="000000" w:themeColor="text1"/>
          <w:sz w:val="20"/>
          <w:szCs w:val="20"/>
        </w:rPr>
        <w:t>Hare, p. 4.</w:t>
      </w:r>
    </w:p>
  </w:footnote>
  <w:footnote w:id="357">
    <w:p w14:paraId="6D347AA4" w14:textId="77777777" w:rsidR="00736D5A" w:rsidRPr="00CD41F5" w:rsidRDefault="00736D5A" w:rsidP="00502642">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CD41F5">
        <w:rPr>
          <w:color w:val="000000" w:themeColor="text1"/>
          <w:sz w:val="20"/>
          <w:szCs w:val="20"/>
          <w:vertAlign w:val="superscript"/>
        </w:rPr>
        <w:t xml:space="preserve"> </w:t>
      </w:r>
      <w:r w:rsidRPr="00CD41F5">
        <w:rPr>
          <w:color w:val="000000" w:themeColor="text1"/>
          <w:sz w:val="20"/>
          <w:szCs w:val="20"/>
        </w:rPr>
        <w:t>Hever, p. 154.</w:t>
      </w:r>
    </w:p>
  </w:footnote>
  <w:footnote w:id="358">
    <w:p w14:paraId="68DC712C" w14:textId="265A1FF1"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Hever, p. 154.</w:t>
      </w:r>
    </w:p>
  </w:footnote>
  <w:footnote w:id="359">
    <w:p w14:paraId="6BEE8231"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Meir Litvak and Esther Webman, ‘Perceptions of the Holocaust in Palestinian Public Discourse’, </w:t>
      </w:r>
      <w:r w:rsidRPr="00FC331F">
        <w:rPr>
          <w:i/>
          <w:color w:val="000000" w:themeColor="text1"/>
          <w:sz w:val="20"/>
          <w:szCs w:val="20"/>
        </w:rPr>
        <w:t>Israel Studies</w:t>
      </w:r>
      <w:r w:rsidRPr="00FC331F">
        <w:rPr>
          <w:color w:val="000000" w:themeColor="text1"/>
          <w:sz w:val="20"/>
          <w:szCs w:val="20"/>
        </w:rPr>
        <w:t>, 8.3 (2003), 123–40 (p. 134).</w:t>
      </w:r>
    </w:p>
  </w:footnote>
  <w:footnote w:id="360">
    <w:p w14:paraId="38059081" w14:textId="77777777" w:rsidR="00736D5A" w:rsidRPr="00FC331F" w:rsidRDefault="00736D5A" w:rsidP="00FC331F">
      <w:pPr>
        <w:spacing w:line="276" w:lineRule="auto"/>
        <w:rPr>
          <w:b/>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‘The Boy in the Photo?’ &lt;http://www.holocaustresearchproject.org/nazioccupation/boy.html&gt; [accessed 11 March 2021].</w:t>
      </w:r>
    </w:p>
  </w:footnote>
  <w:footnote w:id="361">
    <w:p w14:paraId="6D8E9200" w14:textId="7A31EE9B" w:rsidR="00736D5A" w:rsidRPr="00FC331F" w:rsidRDefault="00736D5A" w:rsidP="008A1CE2">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Estimates vary, but the majority lie between 1,200 and 2,000.</w:t>
      </w:r>
    </w:p>
  </w:footnote>
  <w:footnote w:id="362">
    <w:p w14:paraId="454086B7" w14:textId="64CAD1A0"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003B63D8">
        <w:rPr>
          <w:color w:val="000000" w:themeColor="text1"/>
          <w:sz w:val="20"/>
          <w:szCs w:val="20"/>
        </w:rPr>
        <w:t>Folman</w:t>
      </w:r>
      <w:r w:rsidRPr="00FC331F">
        <w:rPr>
          <w:color w:val="000000" w:themeColor="text1"/>
          <w:sz w:val="20"/>
          <w:szCs w:val="20"/>
        </w:rPr>
        <w:t>, 1:17:42.</w:t>
      </w:r>
    </w:p>
  </w:footnote>
  <w:footnote w:id="363">
    <w:p w14:paraId="577D0374" w14:textId="6B3CE81E"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Stav, p. 93.</w:t>
      </w:r>
    </w:p>
  </w:footnote>
  <w:footnote w:id="364">
    <w:p w14:paraId="71FA6556"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Noam Chayut, </w:t>
      </w:r>
      <w:r w:rsidRPr="00FC331F">
        <w:rPr>
          <w:i/>
          <w:color w:val="000000" w:themeColor="text1"/>
          <w:sz w:val="20"/>
          <w:szCs w:val="20"/>
        </w:rPr>
        <w:t>The Girl Who Stole My Holocaust: A Memoir</w:t>
      </w:r>
      <w:r w:rsidRPr="00FC331F">
        <w:rPr>
          <w:color w:val="000000" w:themeColor="text1"/>
          <w:sz w:val="20"/>
          <w:szCs w:val="20"/>
        </w:rPr>
        <w:t xml:space="preserve"> (London: Verso, 2013), p. 42.</w:t>
      </w:r>
    </w:p>
  </w:footnote>
  <w:footnote w:id="365">
    <w:p w14:paraId="71D1940C" w14:textId="01E5F8FD"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The video work progresses from top left to bottom right. Screenshots of artwork are my own, originally found, but no longer available, on: ‘Alan Schechner: The Legacy </w:t>
      </w:r>
      <w:r>
        <w:rPr>
          <w:color w:val="000000" w:themeColor="text1"/>
          <w:sz w:val="20"/>
          <w:szCs w:val="20"/>
        </w:rPr>
        <w:t>o</w:t>
      </w:r>
      <w:r w:rsidRPr="00FC331F">
        <w:rPr>
          <w:color w:val="000000" w:themeColor="text1"/>
          <w:sz w:val="20"/>
          <w:szCs w:val="20"/>
        </w:rPr>
        <w:t>f Abused Children: From Poland to Palestine’ &lt;http://www.dottycommies.com/holocaust10.html&gt; [accessed 7 September 2018].</w:t>
      </w:r>
    </w:p>
  </w:footnote>
  <w:footnote w:id="366">
    <w:p w14:paraId="10299210"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Michael Rothberg, ‘From Gaza to Warsaw: Mapping Multidirectional Memory’, </w:t>
      </w:r>
      <w:r w:rsidRPr="00FC331F">
        <w:rPr>
          <w:i/>
          <w:color w:val="000000" w:themeColor="text1"/>
          <w:sz w:val="20"/>
          <w:szCs w:val="20"/>
        </w:rPr>
        <w:t>Criticism</w:t>
      </w:r>
      <w:r w:rsidRPr="00FC331F">
        <w:rPr>
          <w:color w:val="000000" w:themeColor="text1"/>
          <w:sz w:val="20"/>
          <w:szCs w:val="20"/>
        </w:rPr>
        <w:t>, 53.4 (2011), 523–48 (p. 538).</w:t>
      </w:r>
    </w:p>
  </w:footnote>
  <w:footnote w:id="367">
    <w:p w14:paraId="25D5337A" w14:textId="572D3779"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Stav, pp. 86–87.</w:t>
      </w:r>
    </w:p>
  </w:footnote>
  <w:footnote w:id="368">
    <w:p w14:paraId="7F24839E" w14:textId="759C5F6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Chayut, p. 6.</w:t>
      </w:r>
    </w:p>
  </w:footnote>
  <w:footnote w:id="369">
    <w:p w14:paraId="36DA3C5C" w14:textId="49E5D3B2"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Chayut, pp. 144–45.</w:t>
      </w:r>
    </w:p>
  </w:footnote>
  <w:footnote w:id="370">
    <w:p w14:paraId="6D4A67EA"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‘List of Military Checkpoints in the West Bank and Gaza Strip’, </w:t>
      </w:r>
      <w:r w:rsidRPr="00FC331F">
        <w:rPr>
          <w:i/>
          <w:color w:val="000000" w:themeColor="text1"/>
          <w:sz w:val="20"/>
          <w:szCs w:val="20"/>
        </w:rPr>
        <w:t>B’Tselem</w:t>
      </w:r>
      <w:r w:rsidRPr="00FC331F">
        <w:rPr>
          <w:color w:val="000000" w:themeColor="text1"/>
          <w:sz w:val="20"/>
          <w:szCs w:val="20"/>
        </w:rPr>
        <w:t xml:space="preserve"> &lt;http://www.btselem.org/freedom_of_movement/checkpoints_and_forbidden_roads&gt; [accessed 4 September 2018].</w:t>
      </w:r>
    </w:p>
  </w:footnote>
  <w:footnote w:id="371">
    <w:p w14:paraId="5A817BAF"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‘Restrictions on Movement’, </w:t>
      </w:r>
      <w:r w:rsidRPr="00FC331F">
        <w:rPr>
          <w:i/>
          <w:color w:val="000000" w:themeColor="text1"/>
          <w:sz w:val="20"/>
          <w:szCs w:val="20"/>
        </w:rPr>
        <w:t>B’Tselem</w:t>
      </w:r>
      <w:r w:rsidRPr="00FC331F">
        <w:rPr>
          <w:color w:val="000000" w:themeColor="text1"/>
          <w:sz w:val="20"/>
          <w:szCs w:val="20"/>
        </w:rPr>
        <w:t xml:space="preserve"> &lt;http://www.btselem.org/freedom_of_movement&gt; [accessed 4 September 2018].</w:t>
      </w:r>
    </w:p>
  </w:footnote>
  <w:footnote w:id="372">
    <w:p w14:paraId="3472D632" w14:textId="7248545F" w:rsidR="00736D5A" w:rsidRPr="004B2AF4"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4B2AF4">
        <w:rPr>
          <w:color w:val="000000" w:themeColor="text1"/>
          <w:sz w:val="20"/>
          <w:szCs w:val="20"/>
          <w:vertAlign w:val="superscript"/>
        </w:rPr>
        <w:t xml:space="preserve"> </w:t>
      </w:r>
      <w:r w:rsidRPr="004B2AF4">
        <w:rPr>
          <w:color w:val="000000" w:themeColor="text1"/>
          <w:sz w:val="20"/>
          <w:szCs w:val="20"/>
        </w:rPr>
        <w:t>Chayut, p. 170.</w:t>
      </w:r>
    </w:p>
  </w:footnote>
  <w:footnote w:id="373">
    <w:p w14:paraId="34900C0A" w14:textId="655C376B" w:rsidR="00736D5A" w:rsidRPr="004B2AF4"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4B2AF4">
        <w:rPr>
          <w:color w:val="000000" w:themeColor="text1"/>
          <w:sz w:val="20"/>
          <w:szCs w:val="20"/>
          <w:vertAlign w:val="superscript"/>
        </w:rPr>
        <w:t xml:space="preserve"> </w:t>
      </w:r>
      <w:r w:rsidRPr="004B2AF4">
        <w:rPr>
          <w:color w:val="000000" w:themeColor="text1"/>
          <w:sz w:val="20"/>
          <w:szCs w:val="20"/>
        </w:rPr>
        <w:t>Chayut, p. 42.</w:t>
      </w:r>
    </w:p>
  </w:footnote>
  <w:footnote w:id="374">
    <w:p w14:paraId="152AA73D" w14:textId="311172A0" w:rsidR="00736D5A" w:rsidRPr="004B2AF4"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4B2AF4">
        <w:rPr>
          <w:color w:val="000000" w:themeColor="text1"/>
          <w:sz w:val="20"/>
          <w:szCs w:val="20"/>
          <w:vertAlign w:val="superscript"/>
        </w:rPr>
        <w:t xml:space="preserve"> </w:t>
      </w:r>
      <w:r w:rsidRPr="004B2AF4">
        <w:rPr>
          <w:color w:val="000000" w:themeColor="text1"/>
          <w:sz w:val="20"/>
          <w:szCs w:val="20"/>
        </w:rPr>
        <w:t>Chayut, p. 170.</w:t>
      </w:r>
    </w:p>
  </w:footnote>
  <w:footnote w:id="375">
    <w:p w14:paraId="205E8D34" w14:textId="02F9707E" w:rsidR="00736D5A" w:rsidRPr="004B2AF4"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4B2AF4">
        <w:rPr>
          <w:color w:val="000000" w:themeColor="text1"/>
          <w:sz w:val="20"/>
          <w:szCs w:val="20"/>
        </w:rPr>
        <w:t xml:space="preserve"> Chayut, p. 42.</w:t>
      </w:r>
    </w:p>
  </w:footnote>
  <w:footnote w:id="376">
    <w:p w14:paraId="665BC6A6" w14:textId="13366C95" w:rsidR="00736D5A" w:rsidRPr="004B2AF4"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4B2AF4">
        <w:rPr>
          <w:color w:val="000000" w:themeColor="text1"/>
          <w:sz w:val="20"/>
          <w:szCs w:val="20"/>
        </w:rPr>
        <w:t xml:space="preserve"> Chayut, p. 69.</w:t>
      </w:r>
    </w:p>
  </w:footnote>
  <w:footnote w:id="377">
    <w:p w14:paraId="69E0C870" w14:textId="45A757B6" w:rsidR="00736D5A" w:rsidRPr="004B2AF4"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4B2AF4">
        <w:rPr>
          <w:color w:val="000000" w:themeColor="text1"/>
          <w:sz w:val="20"/>
          <w:szCs w:val="20"/>
          <w:vertAlign w:val="superscript"/>
        </w:rPr>
        <w:t xml:space="preserve"> </w:t>
      </w:r>
      <w:r w:rsidRPr="004B2AF4">
        <w:rPr>
          <w:color w:val="000000" w:themeColor="text1"/>
          <w:sz w:val="20"/>
          <w:szCs w:val="20"/>
        </w:rPr>
        <w:t>Chayut, p. 125.</w:t>
      </w:r>
    </w:p>
  </w:footnote>
  <w:footnote w:id="378">
    <w:p w14:paraId="6F764D5F" w14:textId="48050914" w:rsidR="00736D5A" w:rsidRPr="004B2AF4"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4B2AF4">
        <w:rPr>
          <w:color w:val="000000" w:themeColor="text1"/>
          <w:sz w:val="20"/>
          <w:szCs w:val="20"/>
          <w:vertAlign w:val="superscript"/>
        </w:rPr>
        <w:t xml:space="preserve"> </w:t>
      </w:r>
      <w:r w:rsidRPr="004B2AF4">
        <w:rPr>
          <w:color w:val="000000" w:themeColor="text1"/>
          <w:sz w:val="20"/>
          <w:szCs w:val="20"/>
        </w:rPr>
        <w:t>Chayut, p. 134.</w:t>
      </w:r>
    </w:p>
  </w:footnote>
  <w:footnote w:id="379">
    <w:p w14:paraId="288329CD" w14:textId="245C9432" w:rsidR="00736D5A" w:rsidRPr="004B2AF4"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4B2AF4">
        <w:rPr>
          <w:color w:val="000000" w:themeColor="text1"/>
          <w:sz w:val="20"/>
          <w:szCs w:val="20"/>
          <w:vertAlign w:val="superscript"/>
        </w:rPr>
        <w:t xml:space="preserve"> </w:t>
      </w:r>
      <w:r w:rsidRPr="004B2AF4">
        <w:rPr>
          <w:color w:val="000000" w:themeColor="text1"/>
          <w:sz w:val="20"/>
          <w:szCs w:val="20"/>
        </w:rPr>
        <w:t>Chayut, p. 172.</w:t>
      </w:r>
    </w:p>
  </w:footnote>
  <w:footnote w:id="380">
    <w:p w14:paraId="4AE773B7" w14:textId="0E7B2756" w:rsidR="00736D5A" w:rsidRPr="004B2AF4"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4B2AF4">
        <w:rPr>
          <w:color w:val="000000" w:themeColor="text1"/>
          <w:sz w:val="20"/>
          <w:szCs w:val="20"/>
          <w:vertAlign w:val="superscript"/>
        </w:rPr>
        <w:t xml:space="preserve"> </w:t>
      </w:r>
      <w:r w:rsidRPr="004B2AF4">
        <w:rPr>
          <w:color w:val="000000" w:themeColor="text1"/>
          <w:sz w:val="20"/>
          <w:szCs w:val="20"/>
        </w:rPr>
        <w:t>Chayut, p. 171.</w:t>
      </w:r>
    </w:p>
  </w:footnote>
  <w:footnote w:id="381">
    <w:p w14:paraId="2C4F0FF2" w14:textId="712F7D86" w:rsidR="00736D5A" w:rsidRPr="00B43E92"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B43E92">
        <w:rPr>
          <w:color w:val="000000" w:themeColor="text1"/>
          <w:sz w:val="20"/>
          <w:szCs w:val="20"/>
          <w:vertAlign w:val="superscript"/>
        </w:rPr>
        <w:t xml:space="preserve"> </w:t>
      </w:r>
      <w:r w:rsidRPr="00B43E92">
        <w:rPr>
          <w:color w:val="000000" w:themeColor="text1"/>
          <w:sz w:val="20"/>
          <w:szCs w:val="20"/>
        </w:rPr>
        <w:t>Lindsay, in Stav, p. 96.</w:t>
      </w:r>
    </w:p>
  </w:footnote>
  <w:footnote w:id="382">
    <w:p w14:paraId="70236FEF" w14:textId="1E8475CC" w:rsidR="00736D5A" w:rsidRPr="00B43E92"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B43E92">
        <w:rPr>
          <w:color w:val="000000" w:themeColor="text1"/>
          <w:sz w:val="20"/>
          <w:szCs w:val="20"/>
          <w:vertAlign w:val="superscript"/>
        </w:rPr>
        <w:t xml:space="preserve"> </w:t>
      </w:r>
      <w:r w:rsidRPr="00B43E92">
        <w:rPr>
          <w:color w:val="000000" w:themeColor="text1"/>
          <w:sz w:val="20"/>
          <w:szCs w:val="20"/>
        </w:rPr>
        <w:t>Stav, p. 96.</w:t>
      </w:r>
    </w:p>
  </w:footnote>
  <w:footnote w:id="383">
    <w:p w14:paraId="19BDCD67" w14:textId="77777777" w:rsidR="00736D5A" w:rsidRPr="00FC331F" w:rsidRDefault="00736D5A" w:rsidP="006C5F2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Stav, p. 96.</w:t>
      </w:r>
    </w:p>
  </w:footnote>
  <w:footnote w:id="384">
    <w:p w14:paraId="3C25854D" w14:textId="54AE9B4E"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Folman, 1:15:34.</w:t>
      </w:r>
    </w:p>
  </w:footnote>
  <w:footnote w:id="385">
    <w:p w14:paraId="06779E9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My emphasis.</w:t>
      </w:r>
    </w:p>
  </w:footnote>
  <w:footnote w:id="386">
    <w:p w14:paraId="0D67560F" w14:textId="3FBEB0B4" w:rsidR="00736D5A" w:rsidRPr="00D76F2E" w:rsidRDefault="00736D5A">
      <w:pPr>
        <w:pStyle w:val="FootnoteText"/>
        <w:rPr>
          <w:lang w:val="en-GB"/>
        </w:rPr>
      </w:pPr>
      <w:r>
        <w:rPr>
          <w:rStyle w:val="FootnoteReference"/>
        </w:rPr>
        <w:footnoteRef/>
      </w:r>
      <w:r>
        <w:t xml:space="preserve"> </w:t>
      </w:r>
      <w:r>
        <w:rPr>
          <w:lang w:val="en-GB"/>
        </w:rPr>
        <w:t>Achcar, p. 177.</w:t>
      </w:r>
    </w:p>
  </w:footnote>
  <w:footnote w:id="387">
    <w:p w14:paraId="360AA7A5" w14:textId="4C2571BD"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Folman, 1:16:48.</w:t>
      </w:r>
    </w:p>
  </w:footnote>
  <w:footnote w:id="388">
    <w:p w14:paraId="3C1092BD"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An area explored in greater detail in the final chapter of this thesis.</w:t>
      </w:r>
    </w:p>
  </w:footnote>
  <w:footnote w:id="389">
    <w:p w14:paraId="62DA3394"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Gilbert Achcar, </w:t>
      </w:r>
      <w:r w:rsidRPr="00FC331F">
        <w:rPr>
          <w:i/>
          <w:color w:val="000000" w:themeColor="text1"/>
          <w:sz w:val="20"/>
          <w:szCs w:val="20"/>
        </w:rPr>
        <w:t>The Arabs and the Holocaust: The Arab-Israeli War of Narratives</w:t>
      </w:r>
      <w:r w:rsidRPr="00FC331F">
        <w:rPr>
          <w:color w:val="000000" w:themeColor="text1"/>
          <w:sz w:val="20"/>
          <w:szCs w:val="20"/>
        </w:rPr>
        <w:t xml:space="preserve"> (Saqi Books, 2012), p. 279.</w:t>
      </w:r>
    </w:p>
  </w:footnote>
  <w:footnote w:id="390">
    <w:p w14:paraId="67F98EAD"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Sami Shalom Chetrit, ‘Mizrahi Politics in Israel: Between Integration and Alternative’, </w:t>
      </w:r>
      <w:r w:rsidRPr="00FC331F">
        <w:rPr>
          <w:i/>
          <w:color w:val="000000" w:themeColor="text1"/>
          <w:sz w:val="20"/>
          <w:szCs w:val="20"/>
        </w:rPr>
        <w:t>Journal of Palestine Studies</w:t>
      </w:r>
      <w:r w:rsidRPr="00FC331F">
        <w:rPr>
          <w:color w:val="000000" w:themeColor="text1"/>
          <w:sz w:val="20"/>
          <w:szCs w:val="20"/>
        </w:rPr>
        <w:t>, 29.4 (2000), 51–65 (p. 51) &lt;https://doi.org/10.2307/2676561&gt;.</w:t>
      </w:r>
    </w:p>
  </w:footnote>
  <w:footnote w:id="391">
    <w:p w14:paraId="5180ED69" w14:textId="66424190" w:rsidR="00AE6CF0"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Clare Louise Ducker, ‘Jews, Arabs and Arab Jews: The Politics of Identity and Reproduction in Israel’,</w:t>
      </w:r>
      <w:r w:rsidR="00AE6CF0">
        <w:rPr>
          <w:color w:val="000000" w:themeColor="text1"/>
          <w:sz w:val="20"/>
          <w:szCs w:val="20"/>
        </w:rPr>
        <w:t xml:space="preserve"> </w:t>
      </w:r>
      <w:r w:rsidR="00AE6CF0" w:rsidRPr="00AE6CF0">
        <w:rPr>
          <w:i/>
          <w:iCs/>
          <w:color w:val="000000" w:themeColor="text1"/>
          <w:sz w:val="20"/>
          <w:szCs w:val="20"/>
        </w:rPr>
        <w:t>ISS Working Papers – General Series</w:t>
      </w:r>
      <w:r w:rsidR="00AE6CF0">
        <w:rPr>
          <w:color w:val="000000" w:themeColor="text1"/>
          <w:sz w:val="20"/>
          <w:szCs w:val="20"/>
        </w:rPr>
        <w:t>, 421 (2006), 1-58</w:t>
      </w:r>
      <w:r w:rsidRPr="00FC331F">
        <w:rPr>
          <w:color w:val="000000" w:themeColor="text1"/>
          <w:sz w:val="20"/>
          <w:szCs w:val="20"/>
        </w:rPr>
        <w:t xml:space="preserve"> </w:t>
      </w:r>
      <w:r w:rsidR="00AE6CF0">
        <w:rPr>
          <w:color w:val="000000" w:themeColor="text1"/>
          <w:sz w:val="20"/>
          <w:szCs w:val="20"/>
        </w:rPr>
        <w:t>(</w:t>
      </w:r>
      <w:r w:rsidRPr="00FC331F">
        <w:rPr>
          <w:color w:val="000000" w:themeColor="text1"/>
          <w:sz w:val="20"/>
          <w:szCs w:val="20"/>
        </w:rPr>
        <w:t>p. 4</w:t>
      </w:r>
      <w:r w:rsidR="00AE6CF0">
        <w:rPr>
          <w:color w:val="000000" w:themeColor="text1"/>
          <w:sz w:val="20"/>
          <w:szCs w:val="20"/>
        </w:rPr>
        <w:t>)</w:t>
      </w:r>
      <w:r w:rsidRPr="00FC331F">
        <w:rPr>
          <w:color w:val="000000" w:themeColor="text1"/>
          <w:sz w:val="20"/>
          <w:szCs w:val="20"/>
        </w:rPr>
        <w:t>.</w:t>
      </w:r>
      <w:r w:rsidR="00AE6CF0">
        <w:rPr>
          <w:color w:val="000000" w:themeColor="text1"/>
          <w:sz w:val="20"/>
          <w:szCs w:val="20"/>
        </w:rPr>
        <w:t xml:space="preserve">    </w:t>
      </w:r>
    </w:p>
  </w:footnote>
  <w:footnote w:id="392">
    <w:p w14:paraId="11F95D78" w14:textId="77777777" w:rsidR="00736D5A" w:rsidRPr="00FC331F" w:rsidRDefault="00736D5A" w:rsidP="00FC331F">
      <w:pPr>
        <w:spacing w:line="276" w:lineRule="auto"/>
        <w:rPr>
          <w:b/>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Max Silverman, </w:t>
      </w:r>
      <w:r w:rsidRPr="00FC331F">
        <w:rPr>
          <w:i/>
          <w:color w:val="000000" w:themeColor="text1"/>
          <w:sz w:val="20"/>
          <w:szCs w:val="20"/>
        </w:rPr>
        <w:t>Palimpsestic Memory: The Holocaust and Colonialism in French and Francophone Fiction and Film</w:t>
      </w:r>
      <w:r w:rsidRPr="00FC331F">
        <w:rPr>
          <w:color w:val="000000" w:themeColor="text1"/>
          <w:sz w:val="20"/>
          <w:szCs w:val="20"/>
        </w:rPr>
        <w:t xml:space="preserve"> (New York: Berghahn Books, 2013), p. 17.</w:t>
      </w:r>
    </w:p>
  </w:footnote>
  <w:footnote w:id="393">
    <w:p w14:paraId="26836CFB"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Noura Erakat, </w:t>
      </w:r>
      <w:r w:rsidRPr="00FC331F">
        <w:rPr>
          <w:i/>
          <w:color w:val="000000" w:themeColor="text1"/>
          <w:sz w:val="20"/>
          <w:szCs w:val="20"/>
        </w:rPr>
        <w:t>Justice for Some: Law and the Question of Palestine</w:t>
      </w:r>
      <w:r w:rsidRPr="00FC331F">
        <w:rPr>
          <w:color w:val="000000" w:themeColor="text1"/>
          <w:sz w:val="20"/>
          <w:szCs w:val="20"/>
        </w:rPr>
        <w:t>, 1 edition (Stanford University Press, 2019), Location: 655.</w:t>
      </w:r>
    </w:p>
  </w:footnote>
  <w:footnote w:id="394">
    <w:p w14:paraId="1AF8AF5B"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So much so that ‘Mizrahi’ is now the most commonly changed surname in Israel.</w:t>
      </w:r>
    </w:p>
    <w:p w14:paraId="516BE53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rPr>
        <w:t xml:space="preserve">‘The Last Name Israelis Are Most Keen to Shed: Mizrahi’, </w:t>
      </w:r>
      <w:r w:rsidRPr="00FC331F">
        <w:rPr>
          <w:i/>
          <w:color w:val="000000" w:themeColor="text1"/>
          <w:sz w:val="20"/>
          <w:szCs w:val="20"/>
        </w:rPr>
        <w:t>Haaretz</w:t>
      </w:r>
      <w:r w:rsidRPr="00FC331F">
        <w:rPr>
          <w:color w:val="000000" w:themeColor="text1"/>
          <w:sz w:val="20"/>
          <w:szCs w:val="20"/>
        </w:rPr>
        <w:t xml:space="preserve"> &lt;https://www.haaretz.com/israel-news/.premium-the-last-name-israelis-are-most-keen-to-shed-mizrahi-1.5440002&gt; [accessed 13 July 2020].</w:t>
      </w:r>
    </w:p>
  </w:footnote>
  <w:footnote w:id="395">
    <w:p w14:paraId="334445F2"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Aziza Khazzoom, ‘The Great Chain of Orientalism: Jewish Identity, Stigma Management, and Ethnic Exclusion in Israel’, </w:t>
      </w:r>
      <w:r w:rsidRPr="00FC331F">
        <w:rPr>
          <w:i/>
          <w:color w:val="000000" w:themeColor="text1"/>
          <w:sz w:val="20"/>
          <w:szCs w:val="20"/>
        </w:rPr>
        <w:t>American Sociological Review</w:t>
      </w:r>
      <w:r w:rsidRPr="00FC331F">
        <w:rPr>
          <w:color w:val="000000" w:themeColor="text1"/>
          <w:sz w:val="20"/>
          <w:szCs w:val="20"/>
        </w:rPr>
        <w:t>, 68.4 (2003), 481–510 (p. 500) &lt;https://doi.org/10.2307/1519736&gt;.</w:t>
      </w:r>
    </w:p>
  </w:footnote>
  <w:footnote w:id="396">
    <w:p w14:paraId="5D3C10C8"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Ducker, p. 1.</w:t>
      </w:r>
    </w:p>
  </w:footnote>
  <w:footnote w:id="397">
    <w:p w14:paraId="645CA783" w14:textId="2F5F1B91"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Smadar Shiffman, ‘The Pain of Two Homelands: Immigration to Israel in Twenty-First Century Hebrew Prose Fiction’, </w:t>
      </w:r>
      <w:r w:rsidRPr="00FC331F">
        <w:rPr>
          <w:i/>
          <w:color w:val="000000" w:themeColor="text1"/>
          <w:sz w:val="20"/>
          <w:szCs w:val="20"/>
        </w:rPr>
        <w:t>Hebrew Studies</w:t>
      </w:r>
      <w:r w:rsidRPr="00FC331F">
        <w:rPr>
          <w:color w:val="000000" w:themeColor="text1"/>
          <w:sz w:val="20"/>
          <w:szCs w:val="20"/>
        </w:rPr>
        <w:t>, 56 (2015), 315–3</w:t>
      </w:r>
      <w:r w:rsidR="00AE6CF0">
        <w:rPr>
          <w:color w:val="000000" w:themeColor="text1"/>
          <w:sz w:val="20"/>
          <w:szCs w:val="20"/>
        </w:rPr>
        <w:t>3</w:t>
      </w:r>
      <w:r w:rsidRPr="00FC331F">
        <w:rPr>
          <w:color w:val="000000" w:themeColor="text1"/>
          <w:sz w:val="20"/>
          <w:szCs w:val="20"/>
        </w:rPr>
        <w:t>1 (p. 331).</w:t>
      </w:r>
    </w:p>
  </w:footnote>
  <w:footnote w:id="398">
    <w:p w14:paraId="51934B25"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Yochai Oppenheimer, ‘The Holocaust: A Mizrahi Perspective’, </w:t>
      </w:r>
      <w:r w:rsidRPr="00FC331F">
        <w:rPr>
          <w:i/>
          <w:color w:val="000000" w:themeColor="text1"/>
          <w:sz w:val="20"/>
          <w:szCs w:val="20"/>
        </w:rPr>
        <w:t>Hebrew Studies</w:t>
      </w:r>
      <w:r w:rsidRPr="00FC331F">
        <w:rPr>
          <w:color w:val="000000" w:themeColor="text1"/>
          <w:sz w:val="20"/>
          <w:szCs w:val="20"/>
        </w:rPr>
        <w:t>, 51 (2010), 303–28 (p. 309).</w:t>
      </w:r>
    </w:p>
  </w:footnote>
  <w:footnote w:id="399">
    <w:p w14:paraId="1AB69C44"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Oppenheimer, p. 303.</w:t>
      </w:r>
    </w:p>
  </w:footnote>
  <w:footnote w:id="400">
    <w:p w14:paraId="6A959DAA"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Oppenheimer, p. 304.</w:t>
      </w:r>
    </w:p>
  </w:footnote>
  <w:footnote w:id="401">
    <w:p w14:paraId="08CE6F1C"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Oppenheimer, p. 305.</w:t>
      </w:r>
    </w:p>
  </w:footnote>
  <w:footnote w:id="402">
    <w:p w14:paraId="72892B4F"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Oppenheimer, p. 310.</w:t>
      </w:r>
    </w:p>
  </w:footnote>
  <w:footnote w:id="403">
    <w:p w14:paraId="134F610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Shiffman, p. 329.</w:t>
      </w:r>
    </w:p>
  </w:footnote>
  <w:footnote w:id="404">
    <w:p w14:paraId="38CE6EE3" w14:textId="77777777" w:rsidR="00736D5A"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Sami Berdugo, </w:t>
      </w:r>
      <w:r w:rsidRPr="00FC331F">
        <w:rPr>
          <w:i/>
          <w:color w:val="000000" w:themeColor="text1"/>
          <w:sz w:val="20"/>
          <w:szCs w:val="20"/>
        </w:rPr>
        <w:t>Orphans</w:t>
      </w:r>
      <w:r w:rsidRPr="00FC331F">
        <w:rPr>
          <w:color w:val="000000" w:themeColor="text1"/>
          <w:sz w:val="20"/>
          <w:szCs w:val="20"/>
        </w:rPr>
        <w:t xml:space="preserve">, trans. by Dalya Bilu </w:t>
      </w:r>
    </w:p>
    <w:p w14:paraId="6748F4AB" w14:textId="6DA6F33D" w:rsidR="00736D5A" w:rsidRPr="00FC331F" w:rsidRDefault="00736D5A" w:rsidP="00FC331F">
      <w:pPr>
        <w:spacing w:line="276" w:lineRule="auto"/>
        <w:rPr>
          <w:b/>
          <w:color w:val="000000" w:themeColor="text1"/>
          <w:sz w:val="20"/>
          <w:szCs w:val="20"/>
        </w:rPr>
      </w:pPr>
      <w:r w:rsidRPr="00FC331F">
        <w:rPr>
          <w:color w:val="000000" w:themeColor="text1"/>
          <w:sz w:val="20"/>
          <w:szCs w:val="20"/>
        </w:rPr>
        <w:t>&lt;https://www.jewishfiction.net/index.php/publisher/articleview/frmArticleID/198&gt; [accessed 14 July 2020].</w:t>
      </w:r>
    </w:p>
  </w:footnote>
  <w:footnote w:id="405">
    <w:p w14:paraId="74DF42BF"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Edward W. Said, </w:t>
      </w:r>
      <w:r w:rsidRPr="00FC331F">
        <w:rPr>
          <w:i/>
          <w:color w:val="000000" w:themeColor="text1"/>
          <w:sz w:val="20"/>
          <w:szCs w:val="20"/>
        </w:rPr>
        <w:t>Orientalism</w:t>
      </w:r>
      <w:r w:rsidRPr="00FC331F">
        <w:rPr>
          <w:color w:val="000000" w:themeColor="text1"/>
          <w:sz w:val="20"/>
          <w:szCs w:val="20"/>
        </w:rPr>
        <w:t xml:space="preserve"> (Knopf Doubleday Publishing Group, 2014), p. 49.</w:t>
      </w:r>
    </w:p>
  </w:footnote>
  <w:footnote w:id="406">
    <w:p w14:paraId="3410988B" w14:textId="77777777" w:rsidR="00736D5A" w:rsidRPr="00B43E92"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B43E92">
        <w:rPr>
          <w:color w:val="000000" w:themeColor="text1"/>
          <w:sz w:val="20"/>
          <w:szCs w:val="20"/>
        </w:rPr>
        <w:t xml:space="preserve"> Berdugo.</w:t>
      </w:r>
    </w:p>
  </w:footnote>
  <w:footnote w:id="407">
    <w:p w14:paraId="7BB8C969" w14:textId="77777777" w:rsidR="00736D5A" w:rsidRPr="000E5F86"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0E5F86">
        <w:rPr>
          <w:color w:val="000000" w:themeColor="text1"/>
          <w:sz w:val="20"/>
          <w:szCs w:val="20"/>
        </w:rPr>
        <w:t xml:space="preserve"> Berdugo.</w:t>
      </w:r>
    </w:p>
  </w:footnote>
  <w:footnote w:id="408">
    <w:p w14:paraId="7B13B4D5" w14:textId="77777777" w:rsidR="00736D5A" w:rsidRPr="000E5F86"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0E5F86">
        <w:rPr>
          <w:color w:val="000000" w:themeColor="text1"/>
          <w:sz w:val="20"/>
          <w:szCs w:val="20"/>
        </w:rPr>
        <w:t xml:space="preserve"> Oppenheimer, p. 319.</w:t>
      </w:r>
    </w:p>
  </w:footnote>
  <w:footnote w:id="409">
    <w:p w14:paraId="3E0D3A9A" w14:textId="77777777" w:rsidR="00736D5A" w:rsidRPr="000E5F86"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0E5F86">
        <w:rPr>
          <w:color w:val="000000" w:themeColor="text1"/>
          <w:sz w:val="20"/>
          <w:szCs w:val="20"/>
        </w:rPr>
        <w:t xml:space="preserve"> Berdugo.</w:t>
      </w:r>
    </w:p>
  </w:footnote>
  <w:footnote w:id="410">
    <w:p w14:paraId="312995D4" w14:textId="77777777" w:rsidR="00E6072D" w:rsidRPr="00FC331F" w:rsidRDefault="00E6072D" w:rsidP="00E6072D">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Berdugo.</w:t>
      </w:r>
    </w:p>
  </w:footnote>
  <w:footnote w:id="411">
    <w:p w14:paraId="0E33185A"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Berdugo.</w:t>
      </w:r>
    </w:p>
  </w:footnote>
  <w:footnote w:id="412">
    <w:p w14:paraId="5939E2A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‘New Year - JewishEncyclopedia.Com’ &lt;http://www.jewishencyclopedia.com/articles/11499-new-year&gt; [accessed 15 July 2020].</w:t>
      </w:r>
    </w:p>
  </w:footnote>
  <w:footnote w:id="413">
    <w:p w14:paraId="1CB7FB3B"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Christina Maxouris and Doug Criss, ‘Everything You Wanted to Know About Yom Kippur’, </w:t>
      </w:r>
      <w:r w:rsidRPr="00FC331F">
        <w:rPr>
          <w:i/>
          <w:color w:val="000000" w:themeColor="text1"/>
          <w:sz w:val="20"/>
          <w:szCs w:val="20"/>
        </w:rPr>
        <w:t>CNN</w:t>
      </w:r>
      <w:r w:rsidRPr="00FC331F">
        <w:rPr>
          <w:color w:val="000000" w:themeColor="text1"/>
          <w:sz w:val="20"/>
          <w:szCs w:val="20"/>
        </w:rPr>
        <w:t xml:space="preserve"> &lt;https://www.cnn.com/2019/10/08/us/yom-kippur-meaning-trnd/index.html&gt; [accessed 15 July 2020].</w:t>
      </w:r>
    </w:p>
  </w:footnote>
  <w:footnote w:id="414">
    <w:p w14:paraId="4C09602C" w14:textId="77777777" w:rsidR="00736D5A" w:rsidRPr="00FC331F" w:rsidRDefault="00736D5A" w:rsidP="00E93B7D">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Berdugo.</w:t>
      </w:r>
    </w:p>
  </w:footnote>
  <w:footnote w:id="415">
    <w:p w14:paraId="49E5F574"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Berdugo.</w:t>
      </w:r>
    </w:p>
  </w:footnote>
  <w:footnote w:id="416">
    <w:p w14:paraId="16064D51"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Shiffman, p. 319.</w:t>
      </w:r>
    </w:p>
  </w:footnote>
  <w:footnote w:id="417">
    <w:p w14:paraId="0AD0DEAA"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Shiffman, p. 331.</w:t>
      </w:r>
    </w:p>
  </w:footnote>
  <w:footnote w:id="418">
    <w:p w14:paraId="09FAE91E"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Orly Castel-Bloom, ‘Ummi Fi Shurl’, in </w:t>
      </w:r>
      <w:r w:rsidRPr="00FC331F">
        <w:rPr>
          <w:i/>
          <w:color w:val="000000" w:themeColor="text1"/>
          <w:sz w:val="20"/>
          <w:szCs w:val="20"/>
        </w:rPr>
        <w:t>Ribcage: Israeli Women’s Fiction : A Hadassah Study Guide</w:t>
      </w:r>
      <w:r w:rsidRPr="00FC331F">
        <w:rPr>
          <w:color w:val="000000" w:themeColor="text1"/>
          <w:sz w:val="20"/>
          <w:szCs w:val="20"/>
        </w:rPr>
        <w:t>, ed. by Carol Diament and Lily Rattok, trans. by Dalya Bilu (Hadassah, 1994), pp. 259–61 (pp. 259–61).</w:t>
      </w:r>
    </w:p>
  </w:footnote>
  <w:footnote w:id="419">
    <w:p w14:paraId="79CDD0B4"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Zvia Ben-Yoseph Ginor, ‘Involuntary Myths: Mania, Mother, and Zion in Orly Castel-Bloom’s “Ummi Fi Shurl”’, </w:t>
      </w:r>
      <w:r w:rsidRPr="00FC331F">
        <w:rPr>
          <w:i/>
          <w:color w:val="000000" w:themeColor="text1"/>
          <w:sz w:val="20"/>
          <w:szCs w:val="20"/>
        </w:rPr>
        <w:t>Prooftexts</w:t>
      </w:r>
      <w:r w:rsidRPr="00FC331F">
        <w:rPr>
          <w:color w:val="000000" w:themeColor="text1"/>
          <w:sz w:val="20"/>
          <w:szCs w:val="20"/>
        </w:rPr>
        <w:t>, 25.3 (2005), 235–57 (p. 246) &lt;https://doi.org/10.2979/pft.2005.25.3.235&gt;.</w:t>
      </w:r>
    </w:p>
  </w:footnote>
  <w:footnote w:id="420">
    <w:p w14:paraId="67CC7B0E"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Castel-Bloom, p. 259.</w:t>
      </w:r>
    </w:p>
  </w:footnote>
  <w:footnote w:id="421">
    <w:p w14:paraId="2A99B70E"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For the sake of clarity, these two main characters will hereafter be referred to as ‘mother’ and ‘daughter’, despite the ambiguity of the mother’s claims in Castel-Bloom’s short story.</w:t>
      </w:r>
    </w:p>
  </w:footnote>
  <w:footnote w:id="422">
    <w:p w14:paraId="66106E4C" w14:textId="77777777" w:rsidR="00736D5A" w:rsidRPr="000E5F86"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0E5F86">
        <w:rPr>
          <w:color w:val="000000" w:themeColor="text1"/>
          <w:sz w:val="20"/>
          <w:szCs w:val="20"/>
        </w:rPr>
        <w:t xml:space="preserve"> Ginor, p. 240.</w:t>
      </w:r>
    </w:p>
  </w:footnote>
  <w:footnote w:id="423">
    <w:p w14:paraId="1F644E20" w14:textId="77777777" w:rsidR="00736D5A" w:rsidRPr="000E5F86"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0E5F86">
        <w:rPr>
          <w:color w:val="000000" w:themeColor="text1"/>
          <w:sz w:val="20"/>
          <w:szCs w:val="20"/>
        </w:rPr>
        <w:t xml:space="preserve"> Ginor, p. 240.</w:t>
      </w:r>
    </w:p>
  </w:footnote>
  <w:footnote w:id="424">
    <w:p w14:paraId="6615E668" w14:textId="77777777" w:rsidR="00736D5A" w:rsidRPr="000E5F86"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0E5F86">
        <w:rPr>
          <w:color w:val="000000" w:themeColor="text1"/>
          <w:sz w:val="20"/>
          <w:szCs w:val="20"/>
        </w:rPr>
        <w:t xml:space="preserve"> Ginor, p. 241.</w:t>
      </w:r>
    </w:p>
  </w:footnote>
  <w:footnote w:id="425">
    <w:p w14:paraId="438AFD72" w14:textId="77777777" w:rsidR="00736D5A" w:rsidRPr="00FC331F" w:rsidRDefault="00736D5A" w:rsidP="00063A0B">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Ginor, p. 244.</w:t>
      </w:r>
    </w:p>
  </w:footnote>
  <w:footnote w:id="426">
    <w:p w14:paraId="1D3C9D09"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Castel-Bloom, p. 260.</w:t>
      </w:r>
    </w:p>
  </w:footnote>
  <w:footnote w:id="427">
    <w:p w14:paraId="396113F3"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Dr Zuleyka Zevallos, ‘“Where Are You From?” Racial Microaggressions’, </w:t>
      </w:r>
      <w:r w:rsidRPr="00FC331F">
        <w:rPr>
          <w:i/>
          <w:color w:val="000000" w:themeColor="text1"/>
          <w:sz w:val="20"/>
          <w:szCs w:val="20"/>
        </w:rPr>
        <w:t>The Other Sociologist</w:t>
      </w:r>
      <w:r w:rsidRPr="00FC331F">
        <w:rPr>
          <w:color w:val="000000" w:themeColor="text1"/>
          <w:sz w:val="20"/>
          <w:szCs w:val="20"/>
        </w:rPr>
        <w:t>, 2017 &lt;https://othersociologist.com/2017/07/15/where-are-you-from-racial-microaggressions/&gt; [accessed 16 July 2020].</w:t>
      </w:r>
    </w:p>
  </w:footnote>
  <w:footnote w:id="428">
    <w:p w14:paraId="5C471529"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Ginor, p. 247.</w:t>
      </w:r>
    </w:p>
  </w:footnote>
  <w:footnote w:id="429">
    <w:p w14:paraId="2E03B577"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Castel-Bloom, p. 260.</w:t>
      </w:r>
    </w:p>
  </w:footnote>
  <w:footnote w:id="430">
    <w:p w14:paraId="5F555B76"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Ginor, p. 247.</w:t>
      </w:r>
    </w:p>
  </w:footnote>
  <w:footnote w:id="431">
    <w:p w14:paraId="68A2B7C6"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Ginor, p. 247.</w:t>
      </w:r>
    </w:p>
  </w:footnote>
  <w:footnote w:id="432">
    <w:p w14:paraId="761950D8" w14:textId="77777777" w:rsidR="00736D5A" w:rsidRPr="00FC331F" w:rsidRDefault="00736D5A" w:rsidP="00063A0B">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Castel-Bloom, p. 260.</w:t>
      </w:r>
    </w:p>
  </w:footnote>
  <w:footnote w:id="433">
    <w:p w14:paraId="1E425431"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Castel-Bloom, p. 261.</w:t>
      </w:r>
    </w:p>
  </w:footnote>
  <w:footnote w:id="434">
    <w:p w14:paraId="71A4B0EB"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Ginor, p. 244.</w:t>
      </w:r>
    </w:p>
  </w:footnote>
  <w:footnote w:id="435">
    <w:p w14:paraId="56240E65"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Gil Z. Hochberg, </w:t>
      </w:r>
      <w:r w:rsidRPr="00FC331F">
        <w:rPr>
          <w:i/>
          <w:color w:val="000000" w:themeColor="text1"/>
          <w:sz w:val="20"/>
          <w:szCs w:val="20"/>
        </w:rPr>
        <w:t>In Spite of Partition: Jews, Arabs, and the Limits of Separatist Imagination</w:t>
      </w:r>
      <w:r w:rsidRPr="00FC331F">
        <w:rPr>
          <w:color w:val="000000" w:themeColor="text1"/>
          <w:sz w:val="20"/>
          <w:szCs w:val="20"/>
        </w:rPr>
        <w:t xml:space="preserve"> (Princeton University Press, 2010), p. 2.</w:t>
      </w:r>
    </w:p>
  </w:footnote>
  <w:footnote w:id="436">
    <w:p w14:paraId="40492F9A"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Hen Mazzig, ‘Op-Ed: No, Israel Isn’t a Country of Privileged and Powerful White Europeans’, </w:t>
      </w:r>
      <w:r w:rsidRPr="00FC331F">
        <w:rPr>
          <w:i/>
          <w:color w:val="000000" w:themeColor="text1"/>
          <w:sz w:val="20"/>
          <w:szCs w:val="20"/>
        </w:rPr>
        <w:t>Los Angeles Times</w:t>
      </w:r>
      <w:r w:rsidRPr="00FC331F">
        <w:rPr>
          <w:color w:val="000000" w:themeColor="text1"/>
          <w:sz w:val="20"/>
          <w:szCs w:val="20"/>
        </w:rPr>
        <w:t>, 2019 &lt;https://www.latimes.com/opinion/op-ed/la-oe-mazzig-mizrahi-jews-israel-20190520-story.html&gt; [accessed 17 July 2020].</w:t>
      </w:r>
    </w:p>
  </w:footnote>
  <w:footnote w:id="437">
    <w:p w14:paraId="52B40AE6"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Haviv Rettig Gur, ‘Study Finds Huge Wage Gap between Ashkenazim, Mizrahim’ &lt;http://www.timesofisrael.com/study-finds-huge-wage-gap-between-ashkenazim-mizrahim/&gt; [accessed 17 July 2020].</w:t>
      </w:r>
    </w:p>
  </w:footnote>
  <w:footnote w:id="438">
    <w:p w14:paraId="6012FF3B"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Tom Mehager, ‘How the Israeli Education System Has Failed Mizrahi Jews’, </w:t>
      </w:r>
      <w:r w:rsidRPr="00FC331F">
        <w:rPr>
          <w:i/>
          <w:color w:val="000000" w:themeColor="text1"/>
          <w:sz w:val="20"/>
          <w:szCs w:val="20"/>
        </w:rPr>
        <w:t>Middle East Eye</w:t>
      </w:r>
      <w:r w:rsidRPr="00FC331F">
        <w:rPr>
          <w:color w:val="000000" w:themeColor="text1"/>
          <w:sz w:val="20"/>
          <w:szCs w:val="20"/>
        </w:rPr>
        <w:t xml:space="preserve"> &lt;http://www.middleeasteye.net/opinion/how-israeli-education-system-has-failed-mizrahi-jews&gt; [accessed 17 July 2020].</w:t>
      </w:r>
    </w:p>
  </w:footnote>
  <w:footnote w:id="439">
    <w:p w14:paraId="53D666EE" w14:textId="77777777" w:rsidR="00736D5A" w:rsidRPr="00FC331F" w:rsidRDefault="00736D5A" w:rsidP="00FC331F">
      <w:pPr>
        <w:spacing w:line="276" w:lineRule="auto"/>
        <w:rPr>
          <w:b/>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Bar-Tal and Teichman, in Achcar, p. 272.</w:t>
      </w:r>
    </w:p>
  </w:footnote>
  <w:footnote w:id="440">
    <w:p w14:paraId="633792E6"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Gershom Schocken, ‘The Jewish Ban on Intermarriage Has Become a Curse’, </w:t>
      </w:r>
      <w:r w:rsidRPr="00FC331F">
        <w:rPr>
          <w:i/>
          <w:color w:val="000000" w:themeColor="text1"/>
          <w:sz w:val="20"/>
          <w:szCs w:val="20"/>
        </w:rPr>
        <w:t>Haaretz</w:t>
      </w:r>
      <w:r w:rsidRPr="00FC331F">
        <w:rPr>
          <w:color w:val="000000" w:themeColor="text1"/>
          <w:sz w:val="20"/>
          <w:szCs w:val="20"/>
        </w:rPr>
        <w:t xml:space="preserve"> &lt;https://www.haaretz.com/opinion/the-jewish-ban-on-intermarriage-has-become-a-curse-1.5097209&gt; [accessed 20 July 2020].</w:t>
      </w:r>
    </w:p>
  </w:footnote>
  <w:footnote w:id="441">
    <w:p w14:paraId="660B649C"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‘President Reagan and the Indians | Native American Netroots’ &lt;http://nativeamericannetroots.net/diary/1262&gt; [accessed 20 July 2020].</w:t>
      </w:r>
    </w:p>
  </w:footnote>
  <w:footnote w:id="442">
    <w:p w14:paraId="5E1F9374"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‘“Complete Disaster”: Trump’s Fraught Ties with Native Americans on Display at Mount Rushmore’, </w:t>
      </w:r>
      <w:r w:rsidRPr="00FC331F">
        <w:rPr>
          <w:i/>
          <w:color w:val="000000" w:themeColor="text1"/>
          <w:sz w:val="20"/>
          <w:szCs w:val="20"/>
        </w:rPr>
        <w:t>POLITICO</w:t>
      </w:r>
      <w:r w:rsidRPr="00FC331F">
        <w:rPr>
          <w:color w:val="000000" w:themeColor="text1"/>
          <w:sz w:val="20"/>
          <w:szCs w:val="20"/>
        </w:rPr>
        <w:t xml:space="preserve"> &lt;https://www.politico.com/news/2020/07/03/trump-mount-rushmore-347982&gt; [accessed 20 July 2020].</w:t>
      </w:r>
    </w:p>
  </w:footnote>
  <w:footnote w:id="443">
    <w:p w14:paraId="0AC8ADD9" w14:textId="4DC888AD" w:rsidR="00C0567A" w:rsidRDefault="00C0567A">
      <w:pPr>
        <w:pStyle w:val="FootnoteText"/>
        <w:rPr>
          <w:lang w:val="en-GB"/>
        </w:rPr>
      </w:pPr>
      <w:r>
        <w:rPr>
          <w:rStyle w:val="FootnoteReference"/>
        </w:rPr>
        <w:footnoteRef/>
      </w:r>
      <w:r>
        <w:t xml:space="preserve"> </w:t>
      </w:r>
      <w:r w:rsidRPr="00C0567A">
        <w:rPr>
          <w:lang w:val="en-GB"/>
        </w:rPr>
        <w:t>The focus on Israel</w:t>
      </w:r>
      <w:r>
        <w:rPr>
          <w:lang w:val="en-GB"/>
        </w:rPr>
        <w:t xml:space="preserve"> specifically</w:t>
      </w:r>
      <w:r w:rsidRPr="00C0567A">
        <w:rPr>
          <w:lang w:val="en-GB"/>
        </w:rPr>
        <w:t xml:space="preserve"> within this section is in order to examine the hypothetical idea that interfaith marriages might, very gradually, erode the inequality and segregation that exists between Jews and non-Jews within Israeli society, politics, and religion. This is not to say, however, that Israel is unique in its approach to interfaith marriage. Marriage is monopolised by religious bodies in many countries, </w:t>
      </w:r>
      <w:r>
        <w:rPr>
          <w:lang w:val="en-GB"/>
        </w:rPr>
        <w:t>including Muslim countries such</w:t>
      </w:r>
      <w:r w:rsidRPr="00C0567A">
        <w:rPr>
          <w:lang w:val="en-GB"/>
        </w:rPr>
        <w:t xml:space="preserve"> as Lebanon - where the options are similar to those offered by Israel - and Palestine itself, where ‘marriage and divorce are governed by Sharia law’, and are ‘heavily biased against women and restrictive regarding interfaith marriage’. Even the limited freedom offered to Muslim men to marry women ‘of the book’ remains subject to the socio-cultural prohibitions that exist within many Arab-Muslim societies. The specific focus on Israeli approaches to interfaith marriage </w:t>
      </w:r>
      <w:r>
        <w:rPr>
          <w:lang w:val="en-GB"/>
        </w:rPr>
        <w:t>in this subchapter</w:t>
      </w:r>
      <w:r w:rsidRPr="00C0567A">
        <w:rPr>
          <w:lang w:val="en-GB"/>
        </w:rPr>
        <w:t xml:space="preserve"> is due to Israel’s </w:t>
      </w:r>
      <w:r>
        <w:rPr>
          <w:lang w:val="en-GB"/>
        </w:rPr>
        <w:t>position as</w:t>
      </w:r>
      <w:r w:rsidRPr="00C0567A">
        <w:rPr>
          <w:lang w:val="en-GB"/>
        </w:rPr>
        <w:t xml:space="preserve"> the controlling power within the region, and the relevance of these approaches to the conflict as a whole. Whilst restrictive attitudes to marriage exist throughout the world, the transformation of Israeli approaches to interfaith marriage specifically would have a far greater impact on the conflict than similar transformations amongst Palestinians, or Muslim communities more broadly.</w:t>
      </w:r>
    </w:p>
    <w:p w14:paraId="5E31F7E8" w14:textId="1CAB83B9" w:rsidR="00360C05" w:rsidRDefault="00360C05" w:rsidP="00360C05">
      <w:pPr>
        <w:pStyle w:val="FootnoteText"/>
        <w:rPr>
          <w:lang w:val="en-GB"/>
        </w:rPr>
      </w:pPr>
      <w:r>
        <w:rPr>
          <w:lang w:val="en-GB"/>
        </w:rPr>
        <w:t>“</w:t>
      </w:r>
      <w:r w:rsidRPr="00360C05">
        <w:rPr>
          <w:lang w:val="en-GB"/>
        </w:rPr>
        <w:t>Freedom Of Marriage World Table | Freedom Of Marriage World Map</w:t>
      </w:r>
      <w:r>
        <w:rPr>
          <w:lang w:val="en-GB"/>
        </w:rPr>
        <w:t>”</w:t>
      </w:r>
      <w:r w:rsidRPr="00360C05">
        <w:rPr>
          <w:lang w:val="en-GB"/>
        </w:rPr>
        <w:t>, </w:t>
      </w:r>
      <w:r w:rsidRPr="00360C05">
        <w:rPr>
          <w:i/>
          <w:iCs/>
          <w:lang w:val="en-GB"/>
        </w:rPr>
        <w:t>Marriage.Hiddush.Org</w:t>
      </w:r>
      <w:r w:rsidRPr="00360C05">
        <w:rPr>
          <w:lang w:val="en-GB"/>
        </w:rPr>
        <w:t>, 2021 &lt;https://marriage.hiddush.org/table&gt; [Accessed 10 September 2021].</w:t>
      </w:r>
    </w:p>
    <w:p w14:paraId="063D474F" w14:textId="40AA1D50" w:rsidR="00360C05" w:rsidRPr="00360C05" w:rsidRDefault="00360C05" w:rsidP="00360C05">
      <w:pPr>
        <w:pStyle w:val="FootnoteText"/>
        <w:rPr>
          <w:lang w:val="en-GB"/>
        </w:rPr>
      </w:pPr>
      <w:r w:rsidRPr="00360C05">
        <w:rPr>
          <w:lang w:val="en-GB"/>
        </w:rPr>
        <w:t xml:space="preserve">Dorit Roer-Strier and Dina Ben Ezra, </w:t>
      </w:r>
      <w:r w:rsidR="00F76E25">
        <w:rPr>
          <w:lang w:val="en-GB"/>
        </w:rPr>
        <w:t>“</w:t>
      </w:r>
      <w:r w:rsidRPr="00360C05">
        <w:rPr>
          <w:lang w:val="en-GB"/>
        </w:rPr>
        <w:t>Intermarriages Between Western Women And Palestinian Men: Multidirectional Adaptation Processes</w:t>
      </w:r>
      <w:r w:rsidR="00F76E25">
        <w:rPr>
          <w:lang w:val="en-GB"/>
        </w:rPr>
        <w:t>”</w:t>
      </w:r>
      <w:r w:rsidRPr="00360C05">
        <w:rPr>
          <w:lang w:val="en-GB"/>
        </w:rPr>
        <w:t>, </w:t>
      </w:r>
      <w:r w:rsidRPr="00360C05">
        <w:rPr>
          <w:i/>
          <w:iCs/>
          <w:lang w:val="en-GB"/>
        </w:rPr>
        <w:t>Journal Of Marriage And Family</w:t>
      </w:r>
      <w:r w:rsidRPr="00360C05">
        <w:rPr>
          <w:lang w:val="en-GB"/>
        </w:rPr>
        <w:t xml:space="preserve">, 68.1 (2006), 41-55 </w:t>
      </w:r>
      <w:r>
        <w:rPr>
          <w:lang w:val="en-GB"/>
        </w:rPr>
        <w:t xml:space="preserve">(p.43) </w:t>
      </w:r>
      <w:r w:rsidRPr="00360C05">
        <w:rPr>
          <w:lang w:val="en-GB"/>
        </w:rPr>
        <w:t>&lt;https://doi.org/10.1111/j.1741-3737.2006.00232.x&gt;.</w:t>
      </w:r>
    </w:p>
    <w:p w14:paraId="7AE91C68" w14:textId="77777777" w:rsidR="00360C05" w:rsidRPr="00360C05" w:rsidRDefault="00360C05" w:rsidP="00360C05">
      <w:pPr>
        <w:pStyle w:val="FootnoteText"/>
        <w:rPr>
          <w:lang w:val="en-GB"/>
        </w:rPr>
      </w:pPr>
    </w:p>
    <w:p w14:paraId="213020C1" w14:textId="77777777" w:rsidR="00360C05" w:rsidRPr="00365A61" w:rsidRDefault="00360C05">
      <w:pPr>
        <w:pStyle w:val="FootnoteText"/>
        <w:rPr>
          <w:lang w:val="en-GB"/>
        </w:rPr>
      </w:pPr>
    </w:p>
  </w:footnote>
  <w:footnote w:id="444">
    <w:p w14:paraId="6EB61966" w14:textId="53E45F45" w:rsidR="00736D5A" w:rsidRPr="00FC331F" w:rsidRDefault="00736D5A" w:rsidP="007C1FA2">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Edmund Leach, in Maha </w:t>
      </w:r>
      <w:r w:rsidR="00B760E0">
        <w:rPr>
          <w:color w:val="000000" w:themeColor="text1"/>
          <w:sz w:val="20"/>
          <w:szCs w:val="20"/>
        </w:rPr>
        <w:t>Karkabi-</w:t>
      </w:r>
      <w:r w:rsidRPr="00FC331F">
        <w:rPr>
          <w:color w:val="000000" w:themeColor="text1"/>
          <w:sz w:val="20"/>
          <w:szCs w:val="20"/>
        </w:rPr>
        <w:t xml:space="preserve">Sabbah, ‘Ethnoreligious Mixed Marriages among Palestinian 1 Women and Jewish Men in Israel: Negotiating the Breaking of Barriers’, </w:t>
      </w:r>
      <w:r w:rsidRPr="00FC331F">
        <w:rPr>
          <w:i/>
          <w:color w:val="000000" w:themeColor="text1"/>
          <w:sz w:val="20"/>
          <w:szCs w:val="20"/>
        </w:rPr>
        <w:t>Journal of Israeli History</w:t>
      </w:r>
      <w:r w:rsidRPr="00FC331F">
        <w:rPr>
          <w:color w:val="000000" w:themeColor="text1"/>
          <w:sz w:val="20"/>
          <w:szCs w:val="20"/>
        </w:rPr>
        <w:t>, 36 (2018), 1</w:t>
      </w:r>
      <w:r w:rsidR="00AF3B3E">
        <w:rPr>
          <w:color w:val="000000" w:themeColor="text1"/>
          <w:sz w:val="20"/>
          <w:szCs w:val="20"/>
        </w:rPr>
        <w:t>89</w:t>
      </w:r>
      <w:r w:rsidRPr="00FC331F">
        <w:rPr>
          <w:color w:val="000000" w:themeColor="text1"/>
          <w:sz w:val="20"/>
          <w:szCs w:val="20"/>
        </w:rPr>
        <w:t>–2</w:t>
      </w:r>
      <w:r w:rsidR="00AF3B3E">
        <w:rPr>
          <w:color w:val="000000" w:themeColor="text1"/>
          <w:sz w:val="20"/>
          <w:szCs w:val="20"/>
        </w:rPr>
        <w:t>11</w:t>
      </w:r>
      <w:r w:rsidRPr="00FC331F">
        <w:rPr>
          <w:color w:val="000000" w:themeColor="text1"/>
          <w:sz w:val="20"/>
          <w:szCs w:val="20"/>
        </w:rPr>
        <w:t xml:space="preserve"> (p. 190) &lt;https://doi.org/10.1080/13531042.2018.1541530&gt;.</w:t>
      </w:r>
    </w:p>
  </w:footnote>
  <w:footnote w:id="445">
    <w:p w14:paraId="42D299BB" w14:textId="6CB1DEFE" w:rsidR="00F36B9F" w:rsidRPr="00F36B9F" w:rsidRDefault="00F36B9F">
      <w:pPr>
        <w:pStyle w:val="FootnoteText"/>
        <w:rPr>
          <w:lang w:val="en-GB"/>
        </w:rPr>
      </w:pPr>
      <w:r>
        <w:rPr>
          <w:rStyle w:val="FootnoteReference"/>
        </w:rPr>
        <w:footnoteRef/>
      </w:r>
      <w:r>
        <w:t xml:space="preserve"> </w:t>
      </w:r>
      <w:r w:rsidR="00B760E0">
        <w:rPr>
          <w:color w:val="000000" w:themeColor="text1"/>
        </w:rPr>
        <w:t>Karkabi-</w:t>
      </w:r>
      <w:r w:rsidR="00B760E0" w:rsidRPr="00FC331F">
        <w:rPr>
          <w:color w:val="000000" w:themeColor="text1"/>
        </w:rPr>
        <w:t>Sabbah</w:t>
      </w:r>
      <w:r w:rsidRPr="00FC331F">
        <w:rPr>
          <w:color w:val="000000" w:themeColor="text1"/>
        </w:rPr>
        <w:t>, p. 19</w:t>
      </w:r>
      <w:r>
        <w:rPr>
          <w:color w:val="000000" w:themeColor="text1"/>
        </w:rPr>
        <w:t>0</w:t>
      </w:r>
      <w:r w:rsidRPr="00FC331F">
        <w:rPr>
          <w:color w:val="000000" w:themeColor="text1"/>
        </w:rPr>
        <w:t>.</w:t>
      </w:r>
    </w:p>
  </w:footnote>
  <w:footnote w:id="446">
    <w:p w14:paraId="59B67583"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‘Discriminatory Laws in Israel - Adalah’ &lt;https://www.adalah.org/en/law/index?page=4&gt; [accessed 27 November 2020].</w:t>
      </w:r>
    </w:p>
  </w:footnote>
  <w:footnote w:id="447">
    <w:p w14:paraId="4F6DD4C9" w14:textId="77777777" w:rsidR="00736D5A" w:rsidRPr="00FC331F" w:rsidRDefault="00736D5A" w:rsidP="007C1FA2">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Jonathan Ofir, ‘Israelis Don’t Exist’, </w:t>
      </w:r>
      <w:r w:rsidRPr="00FC331F">
        <w:rPr>
          <w:i/>
          <w:color w:val="000000" w:themeColor="text1"/>
          <w:sz w:val="20"/>
          <w:szCs w:val="20"/>
        </w:rPr>
        <w:t>Mondoweiss</w:t>
      </w:r>
      <w:r w:rsidRPr="00FC331F">
        <w:rPr>
          <w:color w:val="000000" w:themeColor="text1"/>
          <w:sz w:val="20"/>
          <w:szCs w:val="20"/>
        </w:rPr>
        <w:t>, 2016 &lt;https://mondoweiss.net/2016/03/israelis-dont-exist/&gt; [accessed 20 July 2020].</w:t>
      </w:r>
    </w:p>
  </w:footnote>
  <w:footnote w:id="448">
    <w:p w14:paraId="39C8C2DF"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 notion rejected by Brian Klug, senior research fellow at Oxford University, Achcar, p. 263.</w:t>
      </w:r>
    </w:p>
  </w:footnote>
  <w:footnote w:id="449">
    <w:p w14:paraId="65E8C1FF"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‘Israelis Don’t Exist’, </w:t>
      </w:r>
      <w:r w:rsidRPr="00FC331F">
        <w:rPr>
          <w:i/>
          <w:color w:val="000000" w:themeColor="text1"/>
          <w:sz w:val="20"/>
          <w:szCs w:val="20"/>
        </w:rPr>
        <w:t>Mondoweiss</w:t>
      </w:r>
      <w:r w:rsidRPr="00FC331F">
        <w:rPr>
          <w:color w:val="000000" w:themeColor="text1"/>
          <w:sz w:val="20"/>
          <w:szCs w:val="20"/>
        </w:rPr>
        <w:t>, 2016 &lt;https://mondoweiss.net/2016/03/israelis-dont-exist/&gt; [accessed 20 July 2020].</w:t>
      </w:r>
    </w:p>
  </w:footnote>
  <w:footnote w:id="450">
    <w:p w14:paraId="2D673D7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‘Who Can Get Married in Israel, and Who Can’t — the Web of Laws Governing the Pursuit of Happiness’, </w:t>
      </w:r>
      <w:r w:rsidRPr="00FC331F">
        <w:rPr>
          <w:i/>
          <w:color w:val="000000" w:themeColor="text1"/>
          <w:sz w:val="20"/>
          <w:szCs w:val="20"/>
        </w:rPr>
        <w:t>Mondoweiss</w:t>
      </w:r>
      <w:r w:rsidRPr="00FC331F">
        <w:rPr>
          <w:color w:val="000000" w:themeColor="text1"/>
          <w:sz w:val="20"/>
          <w:szCs w:val="20"/>
        </w:rPr>
        <w:t>, 2018 &lt;https://mondoweiss.net/2018/08/married-governing-happiness/&gt; [accessed 20 July 2020].</w:t>
      </w:r>
    </w:p>
  </w:footnote>
  <w:footnote w:id="451">
    <w:p w14:paraId="6CACB771"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‘What Is a “Mamzer”?’ &lt;https://www.chabad.org/library/article_cdo/aid/4007896/jewish/What-Is-a-Mamzer.htm&gt; [accessed 20 July 2020].</w:t>
      </w:r>
    </w:p>
  </w:footnote>
  <w:footnote w:id="452">
    <w:p w14:paraId="39066E60" w14:textId="5799E61B"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w:t>
      </w:r>
      <w:r w:rsidR="00B760E0">
        <w:rPr>
          <w:color w:val="000000" w:themeColor="text1"/>
          <w:sz w:val="20"/>
          <w:szCs w:val="20"/>
        </w:rPr>
        <w:t>Karkabi-</w:t>
      </w:r>
      <w:r w:rsidR="00B760E0" w:rsidRPr="00FC331F">
        <w:rPr>
          <w:color w:val="000000" w:themeColor="text1"/>
          <w:sz w:val="20"/>
          <w:szCs w:val="20"/>
        </w:rPr>
        <w:t>Sabbah</w:t>
      </w:r>
      <w:r w:rsidRPr="00FC331F">
        <w:rPr>
          <w:color w:val="000000" w:themeColor="text1"/>
          <w:sz w:val="20"/>
          <w:szCs w:val="20"/>
        </w:rPr>
        <w:t>, p. 191.</w:t>
      </w:r>
    </w:p>
  </w:footnote>
  <w:footnote w:id="453">
    <w:p w14:paraId="46C52A52"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Sylvie Fogiel-Bijaoui, ‘Sleeping with the “Enemy”: Mixed Marriages in the Israeli Media: Journal of Israeli History: Vol 36, No 2’, p. 215 &lt;https://www.tandfonline.com/doi/full/10.1080/13531042.2018.1545820&gt; [accessed 20 July 2020].</w:t>
      </w:r>
    </w:p>
  </w:footnote>
  <w:footnote w:id="454">
    <w:p w14:paraId="14F576A4"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Fogiel-Bijaoui, p. 216.</w:t>
      </w:r>
    </w:p>
  </w:footnote>
  <w:footnote w:id="455">
    <w:p w14:paraId="27D525CE"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Vered Lee, ‘Love in the Time of Racism: The New, Dangerous Low in the Campaign to Stop Interracial Relationships’, </w:t>
      </w:r>
      <w:r w:rsidRPr="00FC331F">
        <w:rPr>
          <w:i/>
          <w:color w:val="000000" w:themeColor="text1"/>
          <w:sz w:val="20"/>
          <w:szCs w:val="20"/>
        </w:rPr>
        <w:t>Haaretz</w:t>
      </w:r>
      <w:r w:rsidRPr="00FC331F">
        <w:rPr>
          <w:color w:val="000000" w:themeColor="text1"/>
          <w:sz w:val="20"/>
          <w:szCs w:val="20"/>
        </w:rPr>
        <w:t xml:space="preserve"> &lt;https://www.haaretz.com/.premium-love-in-the-time-of-racism-1.5239669&gt; [accessed 20 July 2020].</w:t>
      </w:r>
    </w:p>
  </w:footnote>
  <w:footnote w:id="456">
    <w:p w14:paraId="70EACE00" w14:textId="77777777" w:rsidR="004B61D8" w:rsidRPr="004B61D8" w:rsidRDefault="004B61D8" w:rsidP="004B61D8">
      <w:pPr>
        <w:pStyle w:val="FootnoteText"/>
        <w:rPr>
          <w:lang w:val="en-GB"/>
        </w:rPr>
      </w:pPr>
      <w:r>
        <w:rPr>
          <w:rStyle w:val="FootnoteReference"/>
        </w:rPr>
        <w:footnoteRef/>
      </w:r>
      <w:r>
        <w:t xml:space="preserve"> </w:t>
      </w:r>
      <w:r w:rsidRPr="004B61D8">
        <w:t>Karkabi-Sabbah</w:t>
      </w:r>
      <w:r>
        <w:t>, p. 192.</w:t>
      </w:r>
    </w:p>
  </w:footnote>
  <w:footnote w:id="457">
    <w:p w14:paraId="37181A77" w14:textId="77777777" w:rsidR="00736D5A" w:rsidRPr="000E5F86"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0E5F86">
        <w:rPr>
          <w:color w:val="000000" w:themeColor="text1"/>
          <w:sz w:val="20"/>
          <w:szCs w:val="20"/>
        </w:rPr>
        <w:t xml:space="preserve"> Fogiel-Bijaoui, p. 213.</w:t>
      </w:r>
    </w:p>
  </w:footnote>
  <w:footnote w:id="458">
    <w:p w14:paraId="32BC1DC6" w14:textId="77777777" w:rsidR="00736D5A" w:rsidRPr="000E5F86"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0E5F86">
        <w:rPr>
          <w:color w:val="000000" w:themeColor="text1"/>
          <w:sz w:val="20"/>
          <w:szCs w:val="20"/>
        </w:rPr>
        <w:t xml:space="preserve"> Fogiel-Bijaoui, p. 219.</w:t>
      </w:r>
    </w:p>
  </w:footnote>
  <w:footnote w:id="459">
    <w:p w14:paraId="75CF06E6" w14:textId="77777777" w:rsidR="00736D5A" w:rsidRPr="000E5F86"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0E5F86">
        <w:rPr>
          <w:color w:val="000000" w:themeColor="text1"/>
          <w:sz w:val="20"/>
          <w:szCs w:val="20"/>
        </w:rPr>
        <w:t xml:space="preserve"> Fogiel-Bijaoui, p. 213.</w:t>
      </w:r>
    </w:p>
  </w:footnote>
  <w:footnote w:id="460">
    <w:p w14:paraId="22489AD2" w14:textId="77777777" w:rsidR="00736D5A" w:rsidRPr="000E5F86"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0E5F86">
        <w:rPr>
          <w:color w:val="000000" w:themeColor="text1"/>
          <w:sz w:val="20"/>
          <w:szCs w:val="20"/>
        </w:rPr>
        <w:t xml:space="preserve"> Fogiel-Bijaoui, p. 218.</w:t>
      </w:r>
    </w:p>
  </w:footnote>
  <w:footnote w:id="461">
    <w:p w14:paraId="5668281B" w14:textId="77777777" w:rsidR="00736D5A" w:rsidRPr="000E5F86"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0E5F86">
        <w:rPr>
          <w:color w:val="000000" w:themeColor="text1"/>
          <w:sz w:val="20"/>
          <w:szCs w:val="20"/>
        </w:rPr>
        <w:t xml:space="preserve"> Fogiel-Bijaoui, p. 220.</w:t>
      </w:r>
    </w:p>
  </w:footnote>
  <w:footnote w:id="462">
    <w:p w14:paraId="74D76806" w14:textId="77777777" w:rsidR="00736D5A" w:rsidRPr="000E5F86"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0E5F86">
        <w:rPr>
          <w:color w:val="000000" w:themeColor="text1"/>
          <w:sz w:val="20"/>
          <w:szCs w:val="20"/>
        </w:rPr>
        <w:t xml:space="preserve"> Fogiel-Bijaoui, pp. 220–21.</w:t>
      </w:r>
    </w:p>
  </w:footnote>
  <w:footnote w:id="463">
    <w:p w14:paraId="06BEB4AE" w14:textId="77777777" w:rsidR="00736D5A" w:rsidRPr="000E5F86"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0E5F86">
        <w:rPr>
          <w:color w:val="000000" w:themeColor="text1"/>
          <w:sz w:val="20"/>
          <w:szCs w:val="20"/>
        </w:rPr>
        <w:t xml:space="preserve"> Fogiel-Bijaoui, p. 218.</w:t>
      </w:r>
    </w:p>
  </w:footnote>
  <w:footnote w:id="464">
    <w:p w14:paraId="5D262C7C" w14:textId="77777777" w:rsidR="00736D5A" w:rsidRPr="000E5F86"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0E5F86">
        <w:rPr>
          <w:color w:val="000000" w:themeColor="text1"/>
          <w:sz w:val="20"/>
          <w:szCs w:val="20"/>
        </w:rPr>
        <w:t xml:space="preserve"> Fogiel-Bijaoui, p. 223.</w:t>
      </w:r>
    </w:p>
  </w:footnote>
  <w:footnote w:id="465">
    <w:p w14:paraId="1C857082"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Noah Price, ‘TGI Mid-2016 Survey: “Israel Today” Widens the Gap’, </w:t>
      </w:r>
      <w:r w:rsidRPr="00FC331F">
        <w:rPr>
          <w:i/>
          <w:color w:val="000000" w:themeColor="text1"/>
          <w:sz w:val="20"/>
          <w:szCs w:val="20"/>
        </w:rPr>
        <w:t>Walla News</w:t>
      </w:r>
      <w:r w:rsidRPr="00FC331F">
        <w:rPr>
          <w:color w:val="000000" w:themeColor="text1"/>
          <w:sz w:val="20"/>
          <w:szCs w:val="20"/>
        </w:rPr>
        <w:t xml:space="preserve"> &lt;https://b.walla.co.il/item/2982163&gt; [accessed 22 July 2020].</w:t>
      </w:r>
    </w:p>
  </w:footnote>
  <w:footnote w:id="466">
    <w:p w14:paraId="4639EE7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Fogiel-Bijaoui, p. 221.</w:t>
      </w:r>
    </w:p>
  </w:footnote>
  <w:footnote w:id="467">
    <w:p w14:paraId="377D15E8"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Sylvie Fogiel-Bijaoui, ‘Sleeping with the “Enemy”: Mixed Marriages in the Israeli Media: Journal of Israeli History: Vol 36, No 2’, p. 223 &lt;https://www.tandfonline.com/doi/full/10.1080/13531042.2018.1545820&gt; [accessed 20 July 2020].</w:t>
      </w:r>
    </w:p>
  </w:footnote>
  <w:footnote w:id="468">
    <w:p w14:paraId="54BE293E" w14:textId="77777777" w:rsidR="00736D5A" w:rsidRPr="00FC331F" w:rsidRDefault="00736D5A" w:rsidP="00FC331F">
      <w:pPr>
        <w:spacing w:line="276" w:lineRule="auto"/>
        <w:rPr>
          <w:b/>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Rami Ayyub Mayzer Sinan Abu, ‘Arabs in Israeli Border Towns Fear Trump Plan Will Transfer Them to West Bank’, </w:t>
      </w:r>
      <w:r w:rsidRPr="00FC331F">
        <w:rPr>
          <w:i/>
          <w:color w:val="000000" w:themeColor="text1"/>
          <w:sz w:val="20"/>
          <w:szCs w:val="20"/>
        </w:rPr>
        <w:t>Reuters</w:t>
      </w:r>
      <w:r w:rsidRPr="00FC331F">
        <w:rPr>
          <w:color w:val="000000" w:themeColor="text1"/>
          <w:sz w:val="20"/>
          <w:szCs w:val="20"/>
        </w:rPr>
        <w:t>, 3 February 2020 &lt;https://www.reuters.com/article/us-israel-palestinians-plan-swap-idUSKBN1ZX26N&gt; [accessed 20 January 2021].</w:t>
      </w:r>
    </w:p>
  </w:footnote>
  <w:footnote w:id="469">
    <w:p w14:paraId="1E40FFB3"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Aeyal Gross, ‘Israel’s Mixed Marriage Controversy: How Low Have We Sunk?’, </w:t>
      </w:r>
      <w:r w:rsidRPr="00FC331F">
        <w:rPr>
          <w:i/>
          <w:color w:val="000000" w:themeColor="text1"/>
          <w:sz w:val="20"/>
          <w:szCs w:val="20"/>
        </w:rPr>
        <w:t>Haaretz</w:t>
      </w:r>
      <w:r w:rsidRPr="00FC331F">
        <w:rPr>
          <w:color w:val="000000" w:themeColor="text1"/>
          <w:sz w:val="20"/>
          <w:szCs w:val="20"/>
        </w:rPr>
        <w:t xml:space="preserve"> &lt;https://www.haaretz.com/.premium-how-low-we-have-sunk-1.5259975&gt; [accessed 22 July 2020].</w:t>
      </w:r>
    </w:p>
  </w:footnote>
  <w:footnote w:id="470">
    <w:p w14:paraId="3E9E3724"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Orly Harari, ‘One More Precious Soul Has Been Rescued.’, </w:t>
      </w:r>
      <w:r w:rsidRPr="00FC331F">
        <w:rPr>
          <w:i/>
          <w:color w:val="000000" w:themeColor="text1"/>
          <w:sz w:val="20"/>
          <w:szCs w:val="20"/>
        </w:rPr>
        <w:t>Lehava Us</w:t>
      </w:r>
      <w:r w:rsidRPr="00FC331F">
        <w:rPr>
          <w:color w:val="000000" w:themeColor="text1"/>
          <w:sz w:val="20"/>
          <w:szCs w:val="20"/>
        </w:rPr>
        <w:t>, 2019 &lt;https://www.lehava-us.com/one-more-precious-soul-has-been-rescued/&gt; [accessed 22 July 2020].</w:t>
      </w:r>
    </w:p>
  </w:footnote>
  <w:footnote w:id="471">
    <w:p w14:paraId="56B633FF"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Bentzi Gopstein, ‘The War of Assimilation Is Not Racism, It Is Judaism! - Lehava Us’ &lt;https://www.lehava-us.com/the-war-of-assimilation-is-not-racism-it-is-judaism/&gt; [accessed 22 July 2020].</w:t>
      </w:r>
    </w:p>
  </w:footnote>
  <w:footnote w:id="472">
    <w:p w14:paraId="26F5A843"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Bentzi Gopstein, ‘Interview with Lahava CEO Bentzi Gopstein’, </w:t>
      </w:r>
      <w:r w:rsidRPr="00FC331F">
        <w:rPr>
          <w:i/>
          <w:color w:val="000000" w:themeColor="text1"/>
          <w:sz w:val="20"/>
          <w:szCs w:val="20"/>
        </w:rPr>
        <w:t>Lehava Us</w:t>
      </w:r>
      <w:r w:rsidRPr="00FC331F">
        <w:rPr>
          <w:color w:val="000000" w:themeColor="text1"/>
          <w:sz w:val="20"/>
          <w:szCs w:val="20"/>
        </w:rPr>
        <w:t>, 2019 &lt;https://www.lehava-us.com/interview-with-lahava-ceo-bentzi-gopstein/&gt; [accessed 22 July 2020].</w:t>
      </w:r>
    </w:p>
  </w:footnote>
  <w:footnote w:id="473">
    <w:p w14:paraId="3944D806"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Gross.</w:t>
      </w:r>
    </w:p>
  </w:footnote>
  <w:footnote w:id="474">
    <w:p w14:paraId="2120352C"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Asher Schechter, ‘Book Ban Mere Battle in Israel’s War on Intermarriage’, </w:t>
      </w:r>
      <w:r w:rsidRPr="00FC331F">
        <w:rPr>
          <w:i/>
          <w:color w:val="000000" w:themeColor="text1"/>
          <w:sz w:val="20"/>
          <w:szCs w:val="20"/>
        </w:rPr>
        <w:t>Haaretz</w:t>
      </w:r>
      <w:r w:rsidRPr="00FC331F">
        <w:rPr>
          <w:color w:val="000000" w:themeColor="text1"/>
          <w:sz w:val="20"/>
          <w:szCs w:val="20"/>
        </w:rPr>
        <w:t xml:space="preserve"> &lt;https://www.haaretz.com/opinion/book-ban-a-battle-in-israel-s-war-on-intermarriage-1.5386781&gt; [accessed 24 July 2020].</w:t>
      </w:r>
    </w:p>
  </w:footnote>
  <w:footnote w:id="475">
    <w:p w14:paraId="6BA4AE66"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Or Kashti, ‘Israel Bans Novel on Arab-Jewish Romance from Schools for “Threatening Jewish Identity”’, </w:t>
      </w:r>
      <w:r w:rsidRPr="00FC331F">
        <w:rPr>
          <w:i/>
          <w:color w:val="000000" w:themeColor="text1"/>
          <w:sz w:val="20"/>
          <w:szCs w:val="20"/>
        </w:rPr>
        <w:t>Haaretz</w:t>
      </w:r>
      <w:r w:rsidRPr="00FC331F">
        <w:rPr>
          <w:color w:val="000000" w:themeColor="text1"/>
          <w:sz w:val="20"/>
          <w:szCs w:val="20"/>
        </w:rPr>
        <w:t xml:space="preserve"> &lt;https://www.haaretz.com/israel-news/.premium-israel-bans-novel-depicting-arab-jewish-romance-from-schools-1.5383970&gt; [accessed 24 July 2020].</w:t>
      </w:r>
    </w:p>
  </w:footnote>
  <w:footnote w:id="476">
    <w:p w14:paraId="732A8F17" w14:textId="77777777" w:rsidR="00736D5A" w:rsidRPr="00FC331F" w:rsidRDefault="00736D5A" w:rsidP="002219A6">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Dorit Rabinyan, </w:t>
      </w:r>
      <w:r w:rsidRPr="00FC331F">
        <w:rPr>
          <w:i/>
          <w:color w:val="000000" w:themeColor="text1"/>
          <w:sz w:val="20"/>
          <w:szCs w:val="20"/>
        </w:rPr>
        <w:t>All the Rivers: Are There Borders Love Cannot Cross?</w:t>
      </w:r>
      <w:r w:rsidRPr="00FC331F">
        <w:rPr>
          <w:color w:val="000000" w:themeColor="text1"/>
          <w:sz w:val="20"/>
          <w:szCs w:val="20"/>
        </w:rPr>
        <w:t>, trans. by Jessica Cohen, Main edition (Serpent’s Tail, 2017).</w:t>
      </w:r>
    </w:p>
  </w:footnote>
  <w:footnote w:id="477">
    <w:p w14:paraId="125D5412"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Schechter.</w:t>
      </w:r>
    </w:p>
  </w:footnote>
  <w:footnote w:id="478">
    <w:p w14:paraId="216EF5A2"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Kashti.</w:t>
      </w:r>
    </w:p>
  </w:footnote>
  <w:footnote w:id="479">
    <w:p w14:paraId="38D1F915"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Kashti.</w:t>
      </w:r>
    </w:p>
  </w:footnote>
  <w:footnote w:id="480">
    <w:p w14:paraId="6A4D5B11"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Ian Fisher, ‘It’s Complicated: The Path of an Israeli-Palestinian Love Story’, </w:t>
      </w:r>
      <w:r w:rsidRPr="00FC331F">
        <w:rPr>
          <w:i/>
          <w:color w:val="000000" w:themeColor="text1"/>
          <w:sz w:val="20"/>
          <w:szCs w:val="20"/>
        </w:rPr>
        <w:t>The New York Times</w:t>
      </w:r>
      <w:r w:rsidRPr="00FC331F">
        <w:rPr>
          <w:color w:val="000000" w:themeColor="text1"/>
          <w:sz w:val="20"/>
          <w:szCs w:val="20"/>
        </w:rPr>
        <w:t>, 3 May 2017, section Books &lt;https://www.nytimes.com/2017/05/03/books/its-complicated-the-path-of-an-israeli-palestinian-love-story.html&gt; [accessed 9 February 2021].</w:t>
      </w:r>
    </w:p>
  </w:footnote>
  <w:footnote w:id="481">
    <w:p w14:paraId="386C0606" w14:textId="15757AA2" w:rsidR="00B07295" w:rsidRPr="00B07295" w:rsidRDefault="00B07295">
      <w:pPr>
        <w:pStyle w:val="FootnoteText"/>
        <w:rPr>
          <w:lang w:val="en-GB"/>
        </w:rPr>
      </w:pPr>
      <w:r>
        <w:rPr>
          <w:rStyle w:val="FootnoteReference"/>
        </w:rPr>
        <w:footnoteRef/>
      </w:r>
      <w:r>
        <w:t xml:space="preserve"> </w:t>
      </w:r>
      <w:r>
        <w:rPr>
          <w:lang w:val="en-GB"/>
        </w:rPr>
        <w:t>Kashti.</w:t>
      </w:r>
    </w:p>
  </w:footnote>
  <w:footnote w:id="482">
    <w:p w14:paraId="78EA30C1" w14:textId="77777777" w:rsidR="00736D5A" w:rsidRPr="00FC331F" w:rsidRDefault="00736D5A" w:rsidP="0055254A">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‘Miscegenation; the Theory of the Blending of the Races, Applied to the American White Man and Negro.’, </w:t>
      </w:r>
      <w:r w:rsidRPr="00FC331F">
        <w:rPr>
          <w:i/>
          <w:color w:val="000000" w:themeColor="text1"/>
          <w:sz w:val="20"/>
          <w:szCs w:val="20"/>
        </w:rPr>
        <w:t>Library of Congress, Washington, D.C. 20540 USA</w:t>
      </w:r>
      <w:r w:rsidRPr="00FC331F">
        <w:rPr>
          <w:color w:val="000000" w:themeColor="text1"/>
          <w:sz w:val="20"/>
          <w:szCs w:val="20"/>
        </w:rPr>
        <w:t xml:space="preserve"> &lt;https://www.loc.gov/item/05009520/&gt; [accessed 24 July 2020].</w:t>
      </w:r>
    </w:p>
  </w:footnote>
  <w:footnote w:id="483">
    <w:p w14:paraId="31EB5E29"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Ofir, ‘Israelis Don’t Exist’.</w:t>
      </w:r>
    </w:p>
  </w:footnote>
  <w:footnote w:id="484">
    <w:p w14:paraId="2D880D35"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Shimon Shetreet, ‘Freedom of Religion in Israel’ &lt;https://mfa.gov.il/MFA/MFA-Archive/2001/Pages/Freedom%20of%20Religion%20in%20Israel.aspx&gt; [accessed 25 July 2020].</w:t>
      </w:r>
    </w:p>
  </w:footnote>
  <w:footnote w:id="485">
    <w:p w14:paraId="576F7A93"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Rabinyan, </w:t>
      </w:r>
      <w:r w:rsidRPr="00FC331F">
        <w:rPr>
          <w:i/>
          <w:color w:val="000000" w:themeColor="text1"/>
          <w:sz w:val="20"/>
          <w:szCs w:val="20"/>
        </w:rPr>
        <w:t>All the Rivers</w:t>
      </w:r>
      <w:r w:rsidRPr="00FC331F">
        <w:rPr>
          <w:color w:val="000000" w:themeColor="text1"/>
          <w:sz w:val="20"/>
          <w:szCs w:val="20"/>
        </w:rPr>
        <w:t>, p. 31.</w:t>
      </w:r>
    </w:p>
  </w:footnote>
  <w:footnote w:id="486">
    <w:p w14:paraId="6ABE4ED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Dorit Rabinyan, ‘Israeli Novelist Writes a Farewell Letter to Palestinian Friend’, </w:t>
      </w:r>
      <w:r w:rsidRPr="00FC331F">
        <w:rPr>
          <w:i/>
          <w:color w:val="000000" w:themeColor="text1"/>
          <w:sz w:val="20"/>
          <w:szCs w:val="20"/>
        </w:rPr>
        <w:t>The Guardian</w:t>
      </w:r>
      <w:r w:rsidRPr="00FC331F">
        <w:rPr>
          <w:color w:val="000000" w:themeColor="text1"/>
          <w:sz w:val="20"/>
          <w:szCs w:val="20"/>
        </w:rPr>
        <w:t>, 3 April 2004 &lt;https://www.theguardian.com/books/2004/apr/03/fiction.israelandthepalestinians&gt; [accessed 25 July 2020].</w:t>
      </w:r>
    </w:p>
  </w:footnote>
  <w:footnote w:id="487">
    <w:p w14:paraId="21E2739B"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‘Working Definition of Antisemitism’, </w:t>
      </w:r>
      <w:r w:rsidRPr="00FC331F">
        <w:rPr>
          <w:i/>
          <w:color w:val="000000" w:themeColor="text1"/>
          <w:sz w:val="20"/>
          <w:szCs w:val="20"/>
        </w:rPr>
        <w:t>IHRA</w:t>
      </w:r>
      <w:r w:rsidRPr="00FC331F">
        <w:rPr>
          <w:color w:val="000000" w:themeColor="text1"/>
          <w:sz w:val="20"/>
          <w:szCs w:val="20"/>
        </w:rPr>
        <w:t xml:space="preserve"> &lt;https://www.holocaustremembrance.com/working-definition-antisemitism&gt; [accessed 8 September 2018].</w:t>
      </w:r>
    </w:p>
  </w:footnote>
  <w:footnote w:id="488">
    <w:p w14:paraId="0779C652"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Rabinyan, </w:t>
      </w:r>
      <w:r w:rsidRPr="00FC331F">
        <w:rPr>
          <w:i/>
          <w:color w:val="000000" w:themeColor="text1"/>
          <w:sz w:val="20"/>
          <w:szCs w:val="20"/>
        </w:rPr>
        <w:t>All the Rivers</w:t>
      </w:r>
      <w:r w:rsidRPr="00FC331F">
        <w:rPr>
          <w:color w:val="000000" w:themeColor="text1"/>
          <w:sz w:val="20"/>
          <w:szCs w:val="20"/>
        </w:rPr>
        <w:t>, p. 124.</w:t>
      </w:r>
    </w:p>
  </w:footnote>
  <w:footnote w:id="489">
    <w:p w14:paraId="65B9F66D"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Seth Farber, ‘The Real Reason Intermarriage Is Bad for the Jews’, </w:t>
      </w:r>
      <w:r w:rsidRPr="00FC331F">
        <w:rPr>
          <w:i/>
          <w:color w:val="000000" w:themeColor="text1"/>
          <w:sz w:val="20"/>
          <w:szCs w:val="20"/>
        </w:rPr>
        <w:t>Haaretz</w:t>
      </w:r>
      <w:r w:rsidRPr="00FC331F">
        <w:rPr>
          <w:color w:val="000000" w:themeColor="text1"/>
          <w:sz w:val="20"/>
          <w:szCs w:val="20"/>
        </w:rPr>
        <w:t xml:space="preserve"> &lt;https://www.haaretz.com/jewish/.premium-why-intermarriage-is-bad-for-jews-1.5250565&gt; [accessed 10 August 2020].</w:t>
      </w:r>
    </w:p>
  </w:footnote>
  <w:footnote w:id="490">
    <w:p w14:paraId="2A2FAE1B"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Rabinyan, </w:t>
      </w:r>
      <w:r w:rsidRPr="00FC331F">
        <w:rPr>
          <w:i/>
          <w:color w:val="000000" w:themeColor="text1"/>
          <w:sz w:val="20"/>
          <w:szCs w:val="20"/>
        </w:rPr>
        <w:t>All the Rivers</w:t>
      </w:r>
      <w:r w:rsidRPr="00FC331F">
        <w:rPr>
          <w:color w:val="000000" w:themeColor="text1"/>
          <w:sz w:val="20"/>
          <w:szCs w:val="20"/>
        </w:rPr>
        <w:t>, p. 53.</w:t>
      </w:r>
    </w:p>
  </w:footnote>
  <w:footnote w:id="491">
    <w:p w14:paraId="02371AFA"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Rabinyan, </w:t>
      </w:r>
      <w:r w:rsidRPr="00FC331F">
        <w:rPr>
          <w:i/>
          <w:color w:val="000000" w:themeColor="text1"/>
          <w:sz w:val="20"/>
          <w:szCs w:val="20"/>
        </w:rPr>
        <w:t>All the Rivers</w:t>
      </w:r>
      <w:r w:rsidRPr="00FC331F">
        <w:rPr>
          <w:color w:val="000000" w:themeColor="text1"/>
          <w:sz w:val="20"/>
          <w:szCs w:val="20"/>
        </w:rPr>
        <w:t>, p. 153.</w:t>
      </w:r>
    </w:p>
  </w:footnote>
  <w:footnote w:id="492">
    <w:p w14:paraId="1712A225"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Rabinyan, </w:t>
      </w:r>
      <w:r w:rsidRPr="00FC331F">
        <w:rPr>
          <w:i/>
          <w:color w:val="000000" w:themeColor="text1"/>
          <w:sz w:val="20"/>
          <w:szCs w:val="20"/>
        </w:rPr>
        <w:t>All the Rivers</w:t>
      </w:r>
      <w:r w:rsidRPr="00FC331F">
        <w:rPr>
          <w:color w:val="000000" w:themeColor="text1"/>
          <w:sz w:val="20"/>
          <w:szCs w:val="20"/>
        </w:rPr>
        <w:t>, p. 155.</w:t>
      </w:r>
    </w:p>
  </w:footnote>
  <w:footnote w:id="493">
    <w:p w14:paraId="40E31732"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Rabinyan, </w:t>
      </w:r>
      <w:r w:rsidRPr="00FC331F">
        <w:rPr>
          <w:i/>
          <w:color w:val="000000" w:themeColor="text1"/>
          <w:sz w:val="20"/>
          <w:szCs w:val="20"/>
        </w:rPr>
        <w:t>All the Rivers</w:t>
      </w:r>
      <w:r w:rsidRPr="00FC331F">
        <w:rPr>
          <w:color w:val="000000" w:themeColor="text1"/>
          <w:sz w:val="20"/>
          <w:szCs w:val="20"/>
        </w:rPr>
        <w:t>, p. 155.</w:t>
      </w:r>
    </w:p>
  </w:footnote>
  <w:footnote w:id="494">
    <w:p w14:paraId="62FDBB05"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Rabinyan, </w:t>
      </w:r>
      <w:r w:rsidRPr="00FC331F">
        <w:rPr>
          <w:i/>
          <w:color w:val="000000" w:themeColor="text1"/>
          <w:sz w:val="20"/>
          <w:szCs w:val="20"/>
        </w:rPr>
        <w:t>All the Rivers</w:t>
      </w:r>
      <w:r w:rsidRPr="00FC331F">
        <w:rPr>
          <w:color w:val="000000" w:themeColor="text1"/>
          <w:sz w:val="20"/>
          <w:szCs w:val="20"/>
        </w:rPr>
        <w:t>, p. 158.</w:t>
      </w:r>
    </w:p>
  </w:footnote>
  <w:footnote w:id="495">
    <w:p w14:paraId="3AFC9133"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Rabinyan, </w:t>
      </w:r>
      <w:r w:rsidRPr="00FC331F">
        <w:rPr>
          <w:i/>
          <w:color w:val="000000" w:themeColor="text1"/>
          <w:sz w:val="20"/>
          <w:szCs w:val="20"/>
        </w:rPr>
        <w:t>All the Rivers</w:t>
      </w:r>
      <w:r w:rsidRPr="00FC331F">
        <w:rPr>
          <w:color w:val="000000" w:themeColor="text1"/>
          <w:sz w:val="20"/>
          <w:szCs w:val="20"/>
        </w:rPr>
        <w:t>, p. 155.</w:t>
      </w:r>
    </w:p>
  </w:footnote>
  <w:footnote w:id="496">
    <w:p w14:paraId="065B17F7"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Rabinyan, </w:t>
      </w:r>
      <w:r w:rsidRPr="00FC331F">
        <w:rPr>
          <w:i/>
          <w:color w:val="000000" w:themeColor="text1"/>
          <w:sz w:val="20"/>
          <w:szCs w:val="20"/>
        </w:rPr>
        <w:t>All the Rivers</w:t>
      </w:r>
      <w:r w:rsidRPr="00FC331F">
        <w:rPr>
          <w:color w:val="000000" w:themeColor="text1"/>
          <w:sz w:val="20"/>
          <w:szCs w:val="20"/>
        </w:rPr>
        <w:t>, p. 147.</w:t>
      </w:r>
    </w:p>
  </w:footnote>
  <w:footnote w:id="497">
    <w:p w14:paraId="6FB3085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Jonathan Ofir, ‘Israeli Politicians Condemn Marriage of Jewish and Muslim Celebrities as Effort to “Hurt Our State” – Mondoweiss’ &lt;https://mondoweiss.net/2018/10/politicians-marriage-celebrities/&gt; [accessed 12 August 2020].</w:t>
      </w:r>
    </w:p>
  </w:footnote>
  <w:footnote w:id="498">
    <w:p w14:paraId="4252DDFF"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Benjy Cannon, ‘The Upside of Intermarriage’, </w:t>
      </w:r>
      <w:r w:rsidRPr="00FC331F">
        <w:rPr>
          <w:i/>
          <w:color w:val="000000" w:themeColor="text1"/>
          <w:sz w:val="20"/>
          <w:szCs w:val="20"/>
        </w:rPr>
        <w:t>Haaretz</w:t>
      </w:r>
      <w:r w:rsidRPr="00FC331F">
        <w:rPr>
          <w:color w:val="000000" w:themeColor="text1"/>
          <w:sz w:val="20"/>
          <w:szCs w:val="20"/>
        </w:rPr>
        <w:t xml:space="preserve"> &lt;https://www.haaretz.com/jewish/.premium-the-upside-of-intermarriage-1.5319150&gt; [accessed 10 September 2020].</w:t>
      </w:r>
    </w:p>
  </w:footnote>
  <w:footnote w:id="499">
    <w:p w14:paraId="001B6013" w14:textId="754BDD8E"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w:t>
      </w:r>
      <w:r w:rsidR="00B760E0">
        <w:rPr>
          <w:color w:val="000000" w:themeColor="text1"/>
          <w:sz w:val="20"/>
          <w:szCs w:val="20"/>
        </w:rPr>
        <w:t>Karkabi-</w:t>
      </w:r>
      <w:r w:rsidR="00B760E0" w:rsidRPr="00FC331F">
        <w:rPr>
          <w:color w:val="000000" w:themeColor="text1"/>
          <w:sz w:val="20"/>
          <w:szCs w:val="20"/>
        </w:rPr>
        <w:t>Sabbah</w:t>
      </w:r>
      <w:r w:rsidRPr="00FC331F">
        <w:rPr>
          <w:color w:val="000000" w:themeColor="text1"/>
          <w:sz w:val="20"/>
          <w:szCs w:val="20"/>
        </w:rPr>
        <w:t>, p. 196.</w:t>
      </w:r>
    </w:p>
  </w:footnote>
  <w:footnote w:id="500">
    <w:p w14:paraId="3541639D"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Ofir, ‘Israeli Politicians Condemn Marriage of Jewish and Muslim Celebrities as Effort to “Hurt Our State” – Mondoweiss’.</w:t>
      </w:r>
    </w:p>
  </w:footnote>
  <w:footnote w:id="501">
    <w:p w14:paraId="26F3623E" w14:textId="73BE49DC" w:rsidR="00EC22CC" w:rsidRPr="00EC22CC" w:rsidRDefault="00736D5A" w:rsidP="00EC22CC">
      <w:pPr>
        <w:spacing w:line="276" w:lineRule="auto"/>
        <w:rPr>
          <w:color w:val="000000" w:themeColor="text1"/>
          <w:sz w:val="20"/>
          <w:szCs w:val="20"/>
          <w:lang w:val="en-GB"/>
        </w:rPr>
      </w:pPr>
      <w:r w:rsidRPr="00FC331F">
        <w:rPr>
          <w:color w:val="000000" w:themeColor="text1"/>
          <w:sz w:val="20"/>
          <w:szCs w:val="20"/>
          <w:vertAlign w:val="superscript"/>
        </w:rPr>
        <w:footnoteRef/>
      </w:r>
      <w:r w:rsidRPr="00FC331F">
        <w:rPr>
          <w:color w:val="000000" w:themeColor="text1"/>
          <w:sz w:val="20"/>
          <w:szCs w:val="20"/>
        </w:rPr>
        <w:t xml:space="preserve"> </w:t>
      </w:r>
      <w:r w:rsidR="00EC22CC" w:rsidRPr="00EC22CC">
        <w:rPr>
          <w:color w:val="000000" w:themeColor="text1"/>
          <w:sz w:val="20"/>
          <w:szCs w:val="20"/>
          <w:lang w:val="en-GB"/>
        </w:rPr>
        <w:t xml:space="preserve">This small number is also linked to Muslim </w:t>
      </w:r>
      <w:r w:rsidR="00996244">
        <w:rPr>
          <w:color w:val="000000" w:themeColor="text1"/>
          <w:sz w:val="20"/>
          <w:szCs w:val="20"/>
          <w:lang w:val="en-GB"/>
        </w:rPr>
        <w:t>approaches to marriage within Israel,</w:t>
      </w:r>
      <w:r w:rsidR="00EC22CC" w:rsidRPr="00EC22CC">
        <w:rPr>
          <w:color w:val="000000" w:themeColor="text1"/>
          <w:sz w:val="20"/>
          <w:szCs w:val="20"/>
          <w:lang w:val="en-GB"/>
        </w:rPr>
        <w:t xml:space="preserve"> where secular marriage does not exist, and where no religious authorities allow interfaith marriage. That being said, when Israeli Jews, Muslims, and Christians were asked their perspectives on the interfaith marriage of their children with those of the other religions, Israeli Jewish attitudes towards interfaith marriage with Muslims were found to be the most oppositional of all (97%), with Muslims found to be the most open to interfaith marriage with both of the other groups, albeit still more oppositional than supportive. Beyond the perspectives of each religious group, the above analysis attests more generally to the immiscibility of groups within Israel, with Jews (98%), Muslims (85%), Christians (86%) and the Druze (83%) stating that all or most of their friends come from the same religious group.</w:t>
      </w:r>
    </w:p>
    <w:p w14:paraId="2897460B" w14:textId="246D3986" w:rsidR="00736D5A" w:rsidRDefault="00736D5A" w:rsidP="00FC331F">
      <w:pPr>
        <w:spacing w:line="276" w:lineRule="auto"/>
        <w:rPr>
          <w:color w:val="000000" w:themeColor="text1"/>
          <w:sz w:val="20"/>
          <w:szCs w:val="20"/>
        </w:rPr>
      </w:pPr>
      <w:r w:rsidRPr="00FC331F">
        <w:rPr>
          <w:color w:val="000000" w:themeColor="text1"/>
          <w:sz w:val="20"/>
          <w:szCs w:val="20"/>
        </w:rPr>
        <w:t xml:space="preserve">Judy Maltz, ‘Why Interfaith Marriage Is on the Rise in Israel - and Why It’s a Problem’, </w:t>
      </w:r>
      <w:r w:rsidRPr="00FC331F">
        <w:rPr>
          <w:i/>
          <w:color w:val="000000" w:themeColor="text1"/>
          <w:sz w:val="20"/>
          <w:szCs w:val="20"/>
        </w:rPr>
        <w:t>Haaretz</w:t>
      </w:r>
      <w:r w:rsidRPr="00FC331F">
        <w:rPr>
          <w:color w:val="000000" w:themeColor="text1"/>
          <w:sz w:val="20"/>
          <w:szCs w:val="20"/>
        </w:rPr>
        <w:t xml:space="preserve"> &lt;https://www.haaretz.com/jewish/.premium-why-interfaith-marriage-is-on-the-rise-1.5250507&gt; [accessed 12 August 2020].</w:t>
      </w:r>
    </w:p>
    <w:p w14:paraId="0D448061" w14:textId="48FC4BA9" w:rsidR="00EC22CC" w:rsidRPr="00365A61" w:rsidRDefault="00EC22CC" w:rsidP="00FC331F">
      <w:pPr>
        <w:spacing w:line="276" w:lineRule="auto"/>
        <w:rPr>
          <w:color w:val="000000" w:themeColor="text1"/>
          <w:sz w:val="20"/>
          <w:szCs w:val="20"/>
          <w:lang w:val="en-GB"/>
        </w:rPr>
      </w:pPr>
      <w:r w:rsidRPr="00EC22CC">
        <w:rPr>
          <w:color w:val="000000" w:themeColor="text1"/>
          <w:sz w:val="20"/>
          <w:szCs w:val="20"/>
          <w:lang w:val="en-GB"/>
        </w:rPr>
        <w:t xml:space="preserve">Caryle Murphy, ‘Religious Groups In Israel Keep To Themselves When It Comes To Marriages And Friendships’, </w:t>
      </w:r>
      <w:r w:rsidRPr="00EC22CC">
        <w:rPr>
          <w:i/>
          <w:iCs/>
          <w:color w:val="000000" w:themeColor="text1"/>
          <w:sz w:val="20"/>
          <w:szCs w:val="20"/>
          <w:lang w:val="en-GB"/>
        </w:rPr>
        <w:t>Pew Research Center</w:t>
      </w:r>
      <w:r w:rsidRPr="00EC22CC">
        <w:rPr>
          <w:color w:val="000000" w:themeColor="text1"/>
          <w:sz w:val="20"/>
          <w:szCs w:val="20"/>
          <w:lang w:val="en-GB"/>
        </w:rPr>
        <w:t>, 2016 &lt;https://www.pewresearch.org/fact-tank/2016/04/04/religious-groups-in-israel-keep-to-themselves-when-it-comes-to-marriages-and-friendships-2/&gt; [Accessed 15 July 2021].</w:t>
      </w:r>
    </w:p>
  </w:footnote>
  <w:footnote w:id="502">
    <w:p w14:paraId="4E66EB36" w14:textId="0E99D983"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 flyer distributed amongst IDF troops by the Derekh Hayim movement entitled ‘“The War is at Home”’ informed soldiers that ‘“While you are in the army, a war is raging at home / A call has been issued in the Arab media for Arab young men to harass Jewish girls</w:t>
      </w:r>
      <w:r w:rsidR="000C3FB4">
        <w:rPr>
          <w:color w:val="000000" w:themeColor="text1"/>
          <w:sz w:val="20"/>
          <w:szCs w:val="20"/>
        </w:rPr>
        <w:t xml:space="preserve"> […] </w:t>
      </w:r>
      <w:r w:rsidRPr="00FC331F">
        <w:rPr>
          <w:color w:val="000000" w:themeColor="text1"/>
          <w:sz w:val="20"/>
          <w:szCs w:val="20"/>
        </w:rPr>
        <w:t>This war is different from a regular war; it requires a lot of Jewish intelligence and a lot of Jewish feeling. When you are at home you are not on vacation; at home you are on the battlefield”’. Lee.</w:t>
      </w:r>
    </w:p>
  </w:footnote>
  <w:footnote w:id="503">
    <w:p w14:paraId="5D5A60F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Ofra Edelman, ‘Children From Mixed Marriages Look for Answers in Complex Israeli Reality’, </w:t>
      </w:r>
      <w:r w:rsidRPr="00FC331F">
        <w:rPr>
          <w:i/>
          <w:color w:val="000000" w:themeColor="text1"/>
          <w:sz w:val="20"/>
          <w:szCs w:val="20"/>
        </w:rPr>
        <w:t>Haaretz</w:t>
      </w:r>
      <w:r w:rsidRPr="00FC331F">
        <w:rPr>
          <w:color w:val="000000" w:themeColor="text1"/>
          <w:sz w:val="20"/>
          <w:szCs w:val="20"/>
        </w:rPr>
        <w:t xml:space="preserve"> &lt;https://www.haaretz.com/.premium-the-kids-are-alright-confused-but-alright-1.5262284&gt; [accessed 13 August 2020].</w:t>
      </w:r>
    </w:p>
  </w:footnote>
  <w:footnote w:id="504">
    <w:p w14:paraId="6F45CDB9"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 collective Jewish community where all wealth is shared.</w:t>
      </w:r>
    </w:p>
  </w:footnote>
  <w:footnote w:id="505">
    <w:p w14:paraId="63F219AE"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Edelman.</w:t>
      </w:r>
    </w:p>
  </w:footnote>
  <w:footnote w:id="506">
    <w:p w14:paraId="59D02291"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Susan Abulhawa, </w:t>
      </w:r>
      <w:r w:rsidRPr="00FC331F">
        <w:rPr>
          <w:i/>
          <w:color w:val="000000" w:themeColor="text1"/>
          <w:sz w:val="20"/>
          <w:szCs w:val="20"/>
        </w:rPr>
        <w:t>Mornings in Jenin</w:t>
      </w:r>
      <w:r w:rsidRPr="00FC331F">
        <w:rPr>
          <w:color w:val="000000" w:themeColor="text1"/>
          <w:sz w:val="20"/>
          <w:szCs w:val="20"/>
        </w:rPr>
        <w:t xml:space="preserve"> (Bloomsbury Publishing, 2010), p. 123.</w:t>
      </w:r>
    </w:p>
  </w:footnote>
  <w:footnote w:id="507">
    <w:p w14:paraId="20CB0645"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Raf Sanchez, ‘What Is It like to Be a Jew Married to an Arab in Israel?’, </w:t>
      </w:r>
      <w:r w:rsidRPr="00FC331F">
        <w:rPr>
          <w:i/>
          <w:color w:val="000000" w:themeColor="text1"/>
          <w:sz w:val="20"/>
          <w:szCs w:val="20"/>
        </w:rPr>
        <w:t>The Telegraph</w:t>
      </w:r>
      <w:r w:rsidRPr="00FC331F">
        <w:rPr>
          <w:color w:val="000000" w:themeColor="text1"/>
          <w:sz w:val="20"/>
          <w:szCs w:val="20"/>
        </w:rPr>
        <w:t xml:space="preserve"> &lt;https://www.telegraph.co.uk/news/worldnews/middleeast/israel/12090439/What-is-it-like-to-be-a-Jew-married-to-an-Arab-in-Israel.html&gt; [accessed 14 August 2020].</w:t>
      </w:r>
    </w:p>
  </w:footnote>
  <w:footnote w:id="508">
    <w:p w14:paraId="27BC46A1" w14:textId="77777777" w:rsidR="00736D5A" w:rsidRPr="009F016C"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9F016C">
        <w:rPr>
          <w:color w:val="000000" w:themeColor="text1"/>
          <w:sz w:val="20"/>
          <w:szCs w:val="20"/>
        </w:rPr>
        <w:t xml:space="preserve"> Maltz.</w:t>
      </w:r>
    </w:p>
  </w:footnote>
  <w:footnote w:id="509">
    <w:p w14:paraId="7CEE65DA" w14:textId="77777777" w:rsidR="00736D5A" w:rsidRPr="009F016C"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9F016C">
        <w:rPr>
          <w:color w:val="000000" w:themeColor="text1"/>
          <w:sz w:val="20"/>
          <w:szCs w:val="20"/>
        </w:rPr>
        <w:t xml:space="preserve"> Sanchez.</w:t>
      </w:r>
    </w:p>
  </w:footnote>
  <w:footnote w:id="510">
    <w:p w14:paraId="05E2FAF9" w14:textId="77777777" w:rsidR="00736D5A" w:rsidRPr="009F016C" w:rsidRDefault="00736D5A" w:rsidP="008B30BA">
      <w:pPr>
        <w:spacing w:line="276" w:lineRule="auto"/>
        <w:rPr>
          <w:color w:val="000000" w:themeColor="text1"/>
          <w:sz w:val="20"/>
          <w:szCs w:val="20"/>
        </w:rPr>
      </w:pPr>
      <w:r w:rsidRPr="00FC331F">
        <w:rPr>
          <w:color w:val="000000" w:themeColor="text1"/>
          <w:sz w:val="20"/>
          <w:szCs w:val="20"/>
          <w:vertAlign w:val="superscript"/>
        </w:rPr>
        <w:footnoteRef/>
      </w:r>
      <w:r w:rsidRPr="009F016C">
        <w:rPr>
          <w:color w:val="000000" w:themeColor="text1"/>
          <w:sz w:val="20"/>
          <w:szCs w:val="20"/>
        </w:rPr>
        <w:t xml:space="preserve"> Sanchez.</w:t>
      </w:r>
    </w:p>
  </w:footnote>
  <w:footnote w:id="511">
    <w:p w14:paraId="3D827D6A" w14:textId="77777777" w:rsidR="00736D5A" w:rsidRPr="009F016C"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9F016C">
        <w:rPr>
          <w:color w:val="000000" w:themeColor="text1"/>
          <w:sz w:val="20"/>
          <w:szCs w:val="20"/>
        </w:rPr>
        <w:t xml:space="preserve"> Claire Hajaj, </w:t>
      </w:r>
      <w:r w:rsidRPr="009F016C">
        <w:rPr>
          <w:i/>
          <w:color w:val="000000" w:themeColor="text1"/>
          <w:sz w:val="20"/>
          <w:szCs w:val="20"/>
        </w:rPr>
        <w:t>Ishmael’s Oranges</w:t>
      </w:r>
      <w:r w:rsidRPr="009F016C">
        <w:rPr>
          <w:color w:val="000000" w:themeColor="text1"/>
          <w:sz w:val="20"/>
          <w:szCs w:val="20"/>
        </w:rPr>
        <w:t xml:space="preserve"> (Oneworld Publications, 2014).</w:t>
      </w:r>
    </w:p>
  </w:footnote>
  <w:footnote w:id="512">
    <w:p w14:paraId="52121E9A"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Matthew Kalman, ‘Jewish Mother, Palestinian Father - and a Book That Had to Be Written’, </w:t>
      </w:r>
      <w:r w:rsidRPr="00FC331F">
        <w:rPr>
          <w:i/>
          <w:color w:val="000000" w:themeColor="text1"/>
          <w:sz w:val="20"/>
          <w:szCs w:val="20"/>
        </w:rPr>
        <w:t>Haaretz</w:t>
      </w:r>
      <w:r w:rsidRPr="00FC331F">
        <w:rPr>
          <w:color w:val="000000" w:themeColor="text1"/>
          <w:sz w:val="20"/>
          <w:szCs w:val="20"/>
        </w:rPr>
        <w:t xml:space="preserve"> &lt;https://www.haaretz.com/.premium-jewish-mother-palestinian-father-1.5260957&gt; [accessed 17 August 2020].</w:t>
      </w:r>
    </w:p>
  </w:footnote>
  <w:footnote w:id="513">
    <w:p w14:paraId="1C2CE4A5"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Kalman.</w:t>
      </w:r>
    </w:p>
  </w:footnote>
  <w:footnote w:id="514">
    <w:p w14:paraId="05E5EB1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Claire Hajaj, ‘What Is It like to Grow up Half Jewish and Half Palestinian?’, </w:t>
      </w:r>
      <w:r w:rsidRPr="00FC331F">
        <w:rPr>
          <w:i/>
          <w:color w:val="000000" w:themeColor="text1"/>
          <w:sz w:val="20"/>
          <w:szCs w:val="20"/>
        </w:rPr>
        <w:t>The Telegraph</w:t>
      </w:r>
      <w:r w:rsidRPr="00FC331F">
        <w:rPr>
          <w:color w:val="000000" w:themeColor="text1"/>
          <w:sz w:val="20"/>
          <w:szCs w:val="20"/>
        </w:rPr>
        <w:t xml:space="preserve"> &lt;https://www.telegraph.co.uk/comment/personal-view/11061569/What-is-it-like-to-grow-up-half-Jewish-and-half-Palestinian.html&gt; [accessed 17 August 2020].</w:t>
      </w:r>
    </w:p>
  </w:footnote>
  <w:footnote w:id="515">
    <w:p w14:paraId="60778AB8"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in Kalman.</w:t>
      </w:r>
    </w:p>
  </w:footnote>
  <w:footnote w:id="516">
    <w:p w14:paraId="6511A0BD"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73.</w:t>
      </w:r>
    </w:p>
  </w:footnote>
  <w:footnote w:id="517">
    <w:p w14:paraId="70506213"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Achcar, p. 20.</w:t>
      </w:r>
    </w:p>
  </w:footnote>
  <w:footnote w:id="518">
    <w:p w14:paraId="56CF76ED"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162.</w:t>
      </w:r>
    </w:p>
  </w:footnote>
  <w:footnote w:id="519">
    <w:p w14:paraId="70123E08"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108.</w:t>
      </w:r>
    </w:p>
  </w:footnote>
  <w:footnote w:id="520">
    <w:p w14:paraId="06E2B43E"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242.</w:t>
      </w:r>
    </w:p>
  </w:footnote>
  <w:footnote w:id="521">
    <w:p w14:paraId="45349804" w14:textId="77777777" w:rsidR="00736D5A" w:rsidRPr="00FC331F" w:rsidRDefault="00736D5A" w:rsidP="003E0CD4">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203.</w:t>
      </w:r>
    </w:p>
  </w:footnote>
  <w:footnote w:id="522">
    <w:p w14:paraId="488A6CB5"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208.</w:t>
      </w:r>
    </w:p>
  </w:footnote>
  <w:footnote w:id="523">
    <w:p w14:paraId="01792FC1"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242.</w:t>
      </w:r>
    </w:p>
  </w:footnote>
  <w:footnote w:id="524">
    <w:p w14:paraId="2129A3FB"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245.</w:t>
      </w:r>
    </w:p>
  </w:footnote>
  <w:footnote w:id="525">
    <w:p w14:paraId="558495BF"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625.</w:t>
      </w:r>
    </w:p>
  </w:footnote>
  <w:footnote w:id="526">
    <w:p w14:paraId="5A71A341"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783.</w:t>
      </w:r>
    </w:p>
  </w:footnote>
  <w:footnote w:id="527">
    <w:p w14:paraId="5490D51F"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1,185.</w:t>
      </w:r>
    </w:p>
  </w:footnote>
  <w:footnote w:id="528">
    <w:p w14:paraId="534CDE4D"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1,303.</w:t>
      </w:r>
    </w:p>
  </w:footnote>
  <w:footnote w:id="529">
    <w:p w14:paraId="46F91A39"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1,314.</w:t>
      </w:r>
    </w:p>
  </w:footnote>
  <w:footnote w:id="530">
    <w:p w14:paraId="5D6FC5E9" w14:textId="77777777" w:rsidR="00736D5A" w:rsidRPr="009F016C"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9F016C">
        <w:rPr>
          <w:color w:val="000000" w:themeColor="text1"/>
          <w:sz w:val="20"/>
          <w:szCs w:val="20"/>
        </w:rPr>
        <w:t xml:space="preserve"> Erakat, Location 1,088.</w:t>
      </w:r>
    </w:p>
  </w:footnote>
  <w:footnote w:id="531">
    <w:p w14:paraId="2408673E" w14:textId="77777777" w:rsidR="00736D5A" w:rsidRPr="009F016C"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9F016C">
        <w:rPr>
          <w:color w:val="000000" w:themeColor="text1"/>
          <w:sz w:val="20"/>
          <w:szCs w:val="20"/>
        </w:rPr>
        <w:t xml:space="preserve"> Hajaj, </w:t>
      </w:r>
      <w:r w:rsidRPr="009F016C">
        <w:rPr>
          <w:i/>
          <w:color w:val="000000" w:themeColor="text1"/>
          <w:sz w:val="20"/>
          <w:szCs w:val="20"/>
        </w:rPr>
        <w:t>Ishmael’s Oranges</w:t>
      </w:r>
      <w:r w:rsidRPr="009F016C">
        <w:rPr>
          <w:color w:val="000000" w:themeColor="text1"/>
          <w:sz w:val="20"/>
          <w:szCs w:val="20"/>
        </w:rPr>
        <w:t>, Location 327.</w:t>
      </w:r>
    </w:p>
  </w:footnote>
  <w:footnote w:id="532">
    <w:p w14:paraId="716D8911" w14:textId="77777777" w:rsidR="00736D5A" w:rsidRPr="009F016C"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9F016C">
        <w:rPr>
          <w:color w:val="000000" w:themeColor="text1"/>
          <w:sz w:val="20"/>
          <w:szCs w:val="20"/>
        </w:rPr>
        <w:t xml:space="preserve"> Hajaj, </w:t>
      </w:r>
      <w:r w:rsidRPr="009F016C">
        <w:rPr>
          <w:i/>
          <w:color w:val="000000" w:themeColor="text1"/>
          <w:sz w:val="20"/>
          <w:szCs w:val="20"/>
        </w:rPr>
        <w:t>Ishmael’s Oranges</w:t>
      </w:r>
      <w:r w:rsidRPr="009F016C">
        <w:rPr>
          <w:color w:val="000000" w:themeColor="text1"/>
          <w:sz w:val="20"/>
          <w:szCs w:val="20"/>
        </w:rPr>
        <w:t>, Location 390.</w:t>
      </w:r>
    </w:p>
  </w:footnote>
  <w:footnote w:id="533">
    <w:p w14:paraId="12303F53" w14:textId="77777777" w:rsidR="00736D5A" w:rsidRPr="009F016C"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9F016C">
        <w:rPr>
          <w:color w:val="000000" w:themeColor="text1"/>
          <w:sz w:val="20"/>
          <w:szCs w:val="20"/>
        </w:rPr>
        <w:t xml:space="preserve"> Erakat, Location 1,088.</w:t>
      </w:r>
    </w:p>
  </w:footnote>
  <w:footnote w:id="534">
    <w:p w14:paraId="5FFA073A" w14:textId="77777777" w:rsidR="00736D5A" w:rsidRPr="009F016C"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9F016C">
        <w:rPr>
          <w:color w:val="000000" w:themeColor="text1"/>
          <w:sz w:val="20"/>
          <w:szCs w:val="20"/>
        </w:rPr>
        <w:t xml:space="preserve"> Hajaj, </w:t>
      </w:r>
      <w:r w:rsidRPr="009F016C">
        <w:rPr>
          <w:i/>
          <w:color w:val="000000" w:themeColor="text1"/>
          <w:sz w:val="20"/>
          <w:szCs w:val="20"/>
        </w:rPr>
        <w:t>Ishmael’s Oranges</w:t>
      </w:r>
      <w:r w:rsidRPr="009F016C">
        <w:rPr>
          <w:color w:val="000000" w:themeColor="text1"/>
          <w:sz w:val="20"/>
          <w:szCs w:val="20"/>
        </w:rPr>
        <w:t>, Location 1,314.</w:t>
      </w:r>
    </w:p>
  </w:footnote>
  <w:footnote w:id="535">
    <w:p w14:paraId="15F41F21" w14:textId="77777777" w:rsidR="00736D5A" w:rsidRPr="009F016C"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9F016C">
        <w:rPr>
          <w:color w:val="000000" w:themeColor="text1"/>
          <w:sz w:val="20"/>
          <w:szCs w:val="20"/>
        </w:rPr>
        <w:t xml:space="preserve"> Hajaj, </w:t>
      </w:r>
      <w:r w:rsidRPr="009F016C">
        <w:rPr>
          <w:i/>
          <w:color w:val="000000" w:themeColor="text1"/>
          <w:sz w:val="20"/>
          <w:szCs w:val="20"/>
        </w:rPr>
        <w:t>Ishmael’s Oranges</w:t>
      </w:r>
      <w:r w:rsidRPr="009F016C">
        <w:rPr>
          <w:color w:val="000000" w:themeColor="text1"/>
          <w:sz w:val="20"/>
          <w:szCs w:val="20"/>
        </w:rPr>
        <w:t>, Location 1,329.</w:t>
      </w:r>
    </w:p>
  </w:footnote>
  <w:footnote w:id="536">
    <w:p w14:paraId="515AED69" w14:textId="77777777" w:rsidR="00736D5A" w:rsidRPr="009F016C"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9F016C">
        <w:rPr>
          <w:color w:val="000000" w:themeColor="text1"/>
          <w:sz w:val="20"/>
          <w:szCs w:val="20"/>
        </w:rPr>
        <w:t xml:space="preserve"> Hajaj, </w:t>
      </w:r>
      <w:r w:rsidRPr="009F016C">
        <w:rPr>
          <w:i/>
          <w:color w:val="000000" w:themeColor="text1"/>
          <w:sz w:val="20"/>
          <w:szCs w:val="20"/>
        </w:rPr>
        <w:t>Ishmael’s Oranges</w:t>
      </w:r>
      <w:r w:rsidRPr="009F016C">
        <w:rPr>
          <w:color w:val="000000" w:themeColor="text1"/>
          <w:sz w:val="20"/>
          <w:szCs w:val="20"/>
        </w:rPr>
        <w:t>, Location 1,350.</w:t>
      </w:r>
    </w:p>
  </w:footnote>
  <w:footnote w:id="537">
    <w:p w14:paraId="2852A65E" w14:textId="77777777" w:rsidR="00736D5A" w:rsidRPr="009F016C"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9F016C">
        <w:rPr>
          <w:color w:val="000000" w:themeColor="text1"/>
          <w:sz w:val="20"/>
          <w:szCs w:val="20"/>
        </w:rPr>
        <w:t xml:space="preserve"> Hajaj, </w:t>
      </w:r>
      <w:r w:rsidRPr="009F016C">
        <w:rPr>
          <w:i/>
          <w:color w:val="000000" w:themeColor="text1"/>
          <w:sz w:val="20"/>
          <w:szCs w:val="20"/>
        </w:rPr>
        <w:t>Ishmael’s Oranges</w:t>
      </w:r>
      <w:r w:rsidRPr="009F016C">
        <w:rPr>
          <w:color w:val="000000" w:themeColor="text1"/>
          <w:sz w:val="20"/>
          <w:szCs w:val="20"/>
        </w:rPr>
        <w:t>, Location 1,355.</w:t>
      </w:r>
    </w:p>
  </w:footnote>
  <w:footnote w:id="538">
    <w:p w14:paraId="05C53A18"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1,381.</w:t>
      </w:r>
    </w:p>
  </w:footnote>
  <w:footnote w:id="539">
    <w:p w14:paraId="565D8C9C" w14:textId="3F3A2139" w:rsidR="00844C22" w:rsidRPr="00FC331F" w:rsidRDefault="00844C22" w:rsidP="00844C22">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Represented by Judith’s swimming bag which she pushes to the very back of her cupboard. Judith made her gentile friends through swimming, and earlier in the novel identifies being chosen ‘for Sunderland’s North-East Junior Swim Team’ as ‘a far higher honour</w:t>
      </w:r>
      <w:r w:rsidR="000C3FB4">
        <w:rPr>
          <w:color w:val="000000" w:themeColor="text1"/>
          <w:sz w:val="20"/>
          <w:szCs w:val="20"/>
        </w:rPr>
        <w:t xml:space="preserve"> […] </w:t>
      </w:r>
      <w:r w:rsidRPr="00FC331F">
        <w:rPr>
          <w:color w:val="000000" w:themeColor="text1"/>
          <w:sz w:val="20"/>
          <w:szCs w:val="20"/>
        </w:rPr>
        <w:t xml:space="preserve">than being chosen by God’, Hajaj, </w:t>
      </w:r>
      <w:r w:rsidRPr="00FC331F">
        <w:rPr>
          <w:i/>
          <w:color w:val="000000" w:themeColor="text1"/>
          <w:sz w:val="20"/>
          <w:szCs w:val="20"/>
        </w:rPr>
        <w:t>Ishmael’s Oranges</w:t>
      </w:r>
      <w:r w:rsidRPr="00FC331F">
        <w:rPr>
          <w:color w:val="000000" w:themeColor="text1"/>
          <w:sz w:val="20"/>
          <w:szCs w:val="20"/>
        </w:rPr>
        <w:t>, Location, 1,185.</w:t>
      </w:r>
    </w:p>
  </w:footnote>
  <w:footnote w:id="540">
    <w:p w14:paraId="46EB7F34"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1,408.</w:t>
      </w:r>
    </w:p>
  </w:footnote>
  <w:footnote w:id="541">
    <w:p w14:paraId="537BCF12"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‘What Is It like to Grow up Half Jewish and Half Palestinian?’</w:t>
      </w:r>
    </w:p>
  </w:footnote>
  <w:footnote w:id="542">
    <w:p w14:paraId="4FC3D5EE"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1,409.</w:t>
      </w:r>
    </w:p>
  </w:footnote>
  <w:footnote w:id="543">
    <w:p w14:paraId="26F2F6FC"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1,792.</w:t>
      </w:r>
    </w:p>
  </w:footnote>
  <w:footnote w:id="544">
    <w:p w14:paraId="51F9EE1F"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1,826.</w:t>
      </w:r>
    </w:p>
  </w:footnote>
  <w:footnote w:id="545">
    <w:p w14:paraId="3484D1F9" w14:textId="77777777" w:rsidR="00736D5A" w:rsidRPr="00FC331F" w:rsidRDefault="00736D5A" w:rsidP="00F510E0">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1,886.</w:t>
      </w:r>
    </w:p>
  </w:footnote>
  <w:footnote w:id="546">
    <w:p w14:paraId="00E0CDF6"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2,044.</w:t>
      </w:r>
    </w:p>
  </w:footnote>
  <w:footnote w:id="547">
    <w:p w14:paraId="4B4A08A5"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2,057.</w:t>
      </w:r>
    </w:p>
  </w:footnote>
  <w:footnote w:id="548">
    <w:p w14:paraId="723A7735"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2,130.</w:t>
      </w:r>
    </w:p>
  </w:footnote>
  <w:footnote w:id="549">
    <w:p w14:paraId="47FC2CAE"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2,114.</w:t>
      </w:r>
    </w:p>
  </w:footnote>
  <w:footnote w:id="550">
    <w:p w14:paraId="304AF5F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2,140.</w:t>
      </w:r>
    </w:p>
  </w:footnote>
  <w:footnote w:id="551">
    <w:p w14:paraId="46C9D326"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2,169.</w:t>
      </w:r>
    </w:p>
  </w:footnote>
  <w:footnote w:id="552">
    <w:p w14:paraId="47B64646"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2,153.</w:t>
      </w:r>
    </w:p>
  </w:footnote>
  <w:footnote w:id="553">
    <w:p w14:paraId="69F9B05A" w14:textId="77777777" w:rsidR="00736D5A" w:rsidRPr="00FC331F" w:rsidRDefault="00736D5A" w:rsidP="00C05E10">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‘What Is It like to Grow up Half Jewish and Half Palestinian?’</w:t>
      </w:r>
    </w:p>
  </w:footnote>
  <w:footnote w:id="554">
    <w:p w14:paraId="057180C8"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2,731.</w:t>
      </w:r>
    </w:p>
  </w:footnote>
  <w:footnote w:id="555">
    <w:p w14:paraId="6E6635F2"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Partly through Judith’s being unable to display her Jewish identity openly in Kuwait, and partly through Salim’s reluctance to let their children learn about it.</w:t>
      </w:r>
    </w:p>
  </w:footnote>
  <w:footnote w:id="556">
    <w:p w14:paraId="62307514"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2,934.</w:t>
      </w:r>
    </w:p>
  </w:footnote>
  <w:footnote w:id="557">
    <w:p w14:paraId="78087D51"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3,775.</w:t>
      </w:r>
    </w:p>
  </w:footnote>
  <w:footnote w:id="558">
    <w:p w14:paraId="78BC92B2"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3,852.</w:t>
      </w:r>
    </w:p>
  </w:footnote>
  <w:footnote w:id="559">
    <w:p w14:paraId="7554A3AF"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3,106.</w:t>
      </w:r>
    </w:p>
  </w:footnote>
  <w:footnote w:id="560">
    <w:p w14:paraId="7B31EA50" w14:textId="77777777" w:rsidR="00736D5A" w:rsidRPr="00FC331F" w:rsidRDefault="00736D5A" w:rsidP="00600558">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3,384.</w:t>
      </w:r>
    </w:p>
  </w:footnote>
  <w:footnote w:id="561">
    <w:p w14:paraId="454680DD" w14:textId="77777777" w:rsidR="00736D5A" w:rsidRPr="00FC331F" w:rsidRDefault="00736D5A" w:rsidP="00600558">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3,378.</w:t>
      </w:r>
    </w:p>
  </w:footnote>
  <w:footnote w:id="562">
    <w:p w14:paraId="12A553CB"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3,391.</w:t>
      </w:r>
    </w:p>
  </w:footnote>
  <w:footnote w:id="563">
    <w:p w14:paraId="3D30EB89" w14:textId="77777777" w:rsidR="00736D5A" w:rsidRPr="00FC331F" w:rsidRDefault="00736D5A" w:rsidP="00600558">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3,533.</w:t>
      </w:r>
    </w:p>
  </w:footnote>
  <w:footnote w:id="564">
    <w:p w14:paraId="7FA847CA"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3,496.</w:t>
      </w:r>
    </w:p>
  </w:footnote>
  <w:footnote w:id="565">
    <w:p w14:paraId="75D70A97"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3,502.</w:t>
      </w:r>
    </w:p>
  </w:footnote>
  <w:footnote w:id="566">
    <w:p w14:paraId="55BE2696"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w:t>
      </w:r>
      <w:r w:rsidRPr="00FC331F">
        <w:rPr>
          <w:i/>
          <w:color w:val="000000" w:themeColor="text1"/>
          <w:sz w:val="20"/>
          <w:szCs w:val="20"/>
        </w:rPr>
        <w:t>Ishmael’s Oranges</w:t>
      </w:r>
      <w:r w:rsidRPr="00FC331F">
        <w:rPr>
          <w:color w:val="000000" w:themeColor="text1"/>
          <w:sz w:val="20"/>
          <w:szCs w:val="20"/>
        </w:rPr>
        <w:t>, Location 4,315.</w:t>
      </w:r>
    </w:p>
  </w:footnote>
  <w:footnote w:id="567">
    <w:p w14:paraId="7ADB1956"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Hajaj, in Kalman.</w:t>
      </w:r>
    </w:p>
  </w:footnote>
  <w:footnote w:id="568">
    <w:p w14:paraId="1B04DF67" w14:textId="77777777" w:rsidR="00736D5A" w:rsidRPr="00FC331F" w:rsidRDefault="00736D5A" w:rsidP="00E232D1">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Noura Erakat, </w:t>
      </w:r>
      <w:r w:rsidRPr="00FC331F">
        <w:rPr>
          <w:i/>
          <w:color w:val="000000" w:themeColor="text1"/>
          <w:sz w:val="20"/>
          <w:szCs w:val="20"/>
        </w:rPr>
        <w:t>Justice for Some: Law and the Question of Palestine</w:t>
      </w:r>
      <w:r w:rsidRPr="00FC331F">
        <w:rPr>
          <w:color w:val="000000" w:themeColor="text1"/>
          <w:sz w:val="20"/>
          <w:szCs w:val="20"/>
        </w:rPr>
        <w:t>, 1st edition (Stanford University Press, 2019), Location 207.</w:t>
      </w:r>
    </w:p>
  </w:footnote>
  <w:footnote w:id="569">
    <w:p w14:paraId="02BBDABC" w14:textId="29EFF87F"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Erakat, Location 207.</w:t>
      </w:r>
    </w:p>
  </w:footnote>
  <w:footnote w:id="570">
    <w:p w14:paraId="7BC3125E"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Giorgio Agamben, </w:t>
      </w:r>
      <w:r w:rsidRPr="00FC331F">
        <w:rPr>
          <w:i/>
          <w:color w:val="000000" w:themeColor="text1"/>
          <w:sz w:val="20"/>
          <w:szCs w:val="20"/>
        </w:rPr>
        <w:t>State of Exception</w:t>
      </w:r>
      <w:r w:rsidRPr="00FC331F">
        <w:rPr>
          <w:color w:val="000000" w:themeColor="text1"/>
          <w:sz w:val="20"/>
          <w:szCs w:val="20"/>
        </w:rPr>
        <w:t xml:space="preserve"> (University of Chicago Press, 2005), p. 30.</w:t>
      </w:r>
    </w:p>
  </w:footnote>
  <w:footnote w:id="571">
    <w:p w14:paraId="05A4A993" w14:textId="77777777" w:rsidR="00736D5A" w:rsidRPr="00FC331F" w:rsidRDefault="00736D5A" w:rsidP="00FC331F">
      <w:pPr>
        <w:spacing w:line="276" w:lineRule="auto"/>
        <w:rPr>
          <w:b/>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Erakat, Location 400.</w:t>
      </w:r>
    </w:p>
  </w:footnote>
  <w:footnote w:id="572">
    <w:p w14:paraId="190A158A" w14:textId="25B6BF3A"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Erakat, Location 410.</w:t>
      </w:r>
    </w:p>
  </w:footnote>
  <w:footnote w:id="573">
    <w:p w14:paraId="3D57EEC9" w14:textId="77777777" w:rsidR="00736D5A" w:rsidRPr="00FC331F" w:rsidRDefault="00736D5A" w:rsidP="002953F4">
      <w:pPr>
        <w:spacing w:line="276" w:lineRule="auto"/>
        <w:rPr>
          <w:b/>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Balfour, in Erakat, Location 709.</w:t>
      </w:r>
    </w:p>
  </w:footnote>
  <w:footnote w:id="574">
    <w:p w14:paraId="343A9CA0" w14:textId="6ACDB225"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Erakat, Location 421.</w:t>
      </w:r>
    </w:p>
  </w:footnote>
  <w:footnote w:id="575">
    <w:p w14:paraId="5598568F" w14:textId="101E31AF" w:rsidR="00736D5A" w:rsidRPr="00FC331F" w:rsidRDefault="00736D5A" w:rsidP="002953F4">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The UN Security Council initially rejected this application due to the ongoing war between Israel</w:t>
      </w:r>
      <w:r w:rsidR="00433850">
        <w:rPr>
          <w:color w:val="000000" w:themeColor="text1"/>
          <w:sz w:val="20"/>
          <w:szCs w:val="20"/>
        </w:rPr>
        <w:t>i</w:t>
      </w:r>
      <w:r w:rsidRPr="00FC331F">
        <w:rPr>
          <w:color w:val="000000" w:themeColor="text1"/>
          <w:sz w:val="20"/>
          <w:szCs w:val="20"/>
        </w:rPr>
        <w:t xml:space="preserve"> and Arab states, Israel’s lack of established borders, and Israel’s refusal to allow the return of Palestinian refugees. The latter two of these had not been resolved at the time that the UN gave Israel full membership.</w:t>
      </w:r>
    </w:p>
  </w:footnote>
  <w:footnote w:id="576">
    <w:p w14:paraId="1657C378" w14:textId="2CF3F6A2"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Erakat, Location 3648.</w:t>
      </w:r>
    </w:p>
  </w:footnote>
  <w:footnote w:id="577">
    <w:p w14:paraId="3FF2A338" w14:textId="16A8473C"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Erakat, Location 1333.</w:t>
      </w:r>
    </w:p>
  </w:footnote>
  <w:footnote w:id="578">
    <w:p w14:paraId="5A6C5FE7" w14:textId="77777777" w:rsidR="00736D5A" w:rsidRPr="00FC331F" w:rsidRDefault="00736D5A" w:rsidP="00FC331F">
      <w:pPr>
        <w:spacing w:line="276" w:lineRule="auto"/>
        <w:rPr>
          <w:b/>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‘Israeli Health Minister Says Not Country’s Job to Give Vaccine to Palestinians in Occupied Territory’, </w:t>
      </w:r>
      <w:r w:rsidRPr="00FC331F">
        <w:rPr>
          <w:i/>
          <w:color w:val="000000" w:themeColor="text1"/>
          <w:sz w:val="20"/>
          <w:szCs w:val="20"/>
        </w:rPr>
        <w:t>The Independent</w:t>
      </w:r>
      <w:r w:rsidRPr="00FC331F">
        <w:rPr>
          <w:color w:val="000000" w:themeColor="text1"/>
          <w:sz w:val="20"/>
          <w:szCs w:val="20"/>
        </w:rPr>
        <w:t>, 2021 &lt;https://www.independent.co.uk/news/world/middle-east/coronavirus-vaccine-israel-palestinians-b1791884.html&gt; [accessed 23 February 2021].</w:t>
      </w:r>
    </w:p>
  </w:footnote>
  <w:footnote w:id="579">
    <w:p w14:paraId="0AA8027A" w14:textId="77777777" w:rsidR="00736D5A" w:rsidRPr="00FC331F" w:rsidRDefault="00736D5A" w:rsidP="00FC331F">
      <w:pPr>
        <w:spacing w:line="276" w:lineRule="auto"/>
        <w:rPr>
          <w:b/>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‘Treaties, States Parties, and Commentaries - Geneva Convention (IV) on Civilians, 1949 - 56 - Hygiene and Public Health’ &lt;https://ihl-databases.icrc.org/applic/ihl/ihl.nsf/ART/380-600063?OpenDocument&gt; [accessed 23 February 2021].</w:t>
      </w:r>
    </w:p>
  </w:footnote>
  <w:footnote w:id="580">
    <w:p w14:paraId="6A73C8D3" w14:textId="77777777" w:rsidR="00736D5A" w:rsidRPr="00FC331F" w:rsidRDefault="00736D5A" w:rsidP="00FC331F">
      <w:pPr>
        <w:spacing w:line="276" w:lineRule="auto"/>
        <w:rPr>
          <w:b/>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Aaron Boxerman, ‘Israel Blocks Delivery of Truckload of Coronavirus Vaccines Sent by PA to Gaza’ &lt;https://www.timesofisrael.com/israel-holds-up-shipment-of-palestinian-coronavirus-vaccines-to-gaza/&gt; [accessed 23 February 2021].</w:t>
      </w:r>
    </w:p>
  </w:footnote>
  <w:footnote w:id="581">
    <w:p w14:paraId="56D62578" w14:textId="77777777" w:rsidR="00736D5A" w:rsidRPr="00FC331F" w:rsidRDefault="00736D5A" w:rsidP="00964A76">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‘Israeli Health Minister Says Not Country’s Job to Give Vaccine to Palestinians in Occupied Territory’.</w:t>
      </w:r>
    </w:p>
  </w:footnote>
  <w:footnote w:id="582">
    <w:p w14:paraId="60F6F646" w14:textId="200D73D9"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 Michael Lynk, ‘Situation of Human Rights in the Palestinian Territories Occupied since 1967 (Advance Unedited Version)’, 2019, p. 9.</w:t>
      </w:r>
    </w:p>
  </w:footnote>
  <w:footnote w:id="583">
    <w:p w14:paraId="7D52BC29" w14:textId="52307BA0"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Gunar Olsen, ‘Why International Law Can’t Save Palestine’ &lt;</w:t>
      </w:r>
      <w:r w:rsidRPr="008644FE">
        <w:rPr>
          <w:color w:val="000000" w:themeColor="text1"/>
          <w:sz w:val="20"/>
          <w:szCs w:val="20"/>
        </w:rPr>
        <w:t>https://jacobinmag.com/2019/11/israel-palestine-international-law-justice-for-some-review</w:t>
      </w:r>
      <w:r w:rsidRPr="00FC331F">
        <w:rPr>
          <w:color w:val="000000" w:themeColor="text1"/>
          <w:sz w:val="20"/>
          <w:szCs w:val="20"/>
        </w:rPr>
        <w:t>&gt; [accessed 13 November 2020].</w:t>
      </w:r>
    </w:p>
  </w:footnote>
  <w:footnote w:id="584">
    <w:p w14:paraId="6A095DD7" w14:textId="17BA209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Erakat, Location 324.</w:t>
      </w:r>
    </w:p>
  </w:footnote>
  <w:footnote w:id="585">
    <w:p w14:paraId="17D25CAC" w14:textId="77777777" w:rsidR="00736D5A" w:rsidRPr="00FC331F" w:rsidRDefault="00736D5A" w:rsidP="008644FE">
      <w:pPr>
        <w:spacing w:line="276" w:lineRule="auto"/>
        <w:rPr>
          <w:b/>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Peter Beinart, ‘Yavne: A Jewish Case for Equality in Israel-Palestine’, </w:t>
      </w:r>
      <w:r w:rsidRPr="00FC331F">
        <w:rPr>
          <w:i/>
          <w:color w:val="000000" w:themeColor="text1"/>
          <w:sz w:val="20"/>
          <w:szCs w:val="20"/>
        </w:rPr>
        <w:t>Jewish Currents</w:t>
      </w:r>
      <w:r w:rsidRPr="00FC331F">
        <w:rPr>
          <w:color w:val="000000" w:themeColor="text1"/>
          <w:sz w:val="20"/>
          <w:szCs w:val="20"/>
        </w:rPr>
        <w:t>, 2020 &lt;https://jewishcurrents.org/yavne-a-jewish-case-for-equality-in-israel-palestine/&gt; [accessed 20 October 2020].</w:t>
      </w:r>
    </w:p>
  </w:footnote>
  <w:footnote w:id="586">
    <w:p w14:paraId="39BA4058" w14:textId="148DB8FF"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Erakat, Location 4667.</w:t>
      </w:r>
    </w:p>
  </w:footnote>
  <w:footnote w:id="587">
    <w:p w14:paraId="394348C2" w14:textId="7E04143C"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Erakat, Location 4580.</w:t>
      </w:r>
    </w:p>
  </w:footnote>
  <w:footnote w:id="588">
    <w:p w14:paraId="654B1DAE" w14:textId="4DEB72F9"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Lynk, p. 23.</w:t>
      </w:r>
    </w:p>
  </w:footnote>
  <w:footnote w:id="589">
    <w:p w14:paraId="0DBE88EF" w14:textId="27ED016B"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Erakat, Location 4239.</w:t>
      </w:r>
    </w:p>
  </w:footnote>
  <w:footnote w:id="590">
    <w:p w14:paraId="619801CD"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Yousef Munayyer, ‘There Will Be a One-State Solution’, 16 April 2020 &lt;https://www.foreignaffairs.com/articles/israel/2019-10-15/there-will-be-one-state-solution&gt; [accessed 23 October 2020].</w:t>
      </w:r>
    </w:p>
  </w:footnote>
  <w:footnote w:id="591">
    <w:p w14:paraId="1F8A1288" w14:textId="2FAB8AEC"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Lynk, p. 23.</w:t>
      </w:r>
    </w:p>
  </w:footnote>
  <w:footnote w:id="592">
    <w:p w14:paraId="0EF5A4F4" w14:textId="77777777" w:rsidR="00736D5A" w:rsidRPr="00FC331F" w:rsidRDefault="00736D5A" w:rsidP="00FC331F">
      <w:pPr>
        <w:spacing w:line="276" w:lineRule="auto"/>
        <w:rPr>
          <w:b/>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‘Report: Since Inception, UNHRC Condemned Israel More Than Rest of World’s Countries Combined’, </w:t>
      </w:r>
      <w:r w:rsidRPr="00FC331F">
        <w:rPr>
          <w:i/>
          <w:color w:val="000000" w:themeColor="text1"/>
          <w:sz w:val="20"/>
          <w:szCs w:val="20"/>
        </w:rPr>
        <w:t>Algemeiner.Com</w:t>
      </w:r>
      <w:r w:rsidRPr="00FC331F">
        <w:rPr>
          <w:color w:val="000000" w:themeColor="text1"/>
          <w:sz w:val="20"/>
          <w:szCs w:val="20"/>
        </w:rPr>
        <w:t xml:space="preserve"> &lt;http://www.algemeiner.com/2015/06/25/report-since-inception-unhrc-condemned-israel-more-than-rest-of-worlds-countries-combined/&gt; [accessed 21 December 2020].</w:t>
      </w:r>
    </w:p>
  </w:footnote>
  <w:footnote w:id="593">
    <w:p w14:paraId="00C5EB4D"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‘Research Guides: Security Council - Veto List’, </w:t>
      </w:r>
      <w:r w:rsidRPr="00FC331F">
        <w:rPr>
          <w:i/>
          <w:color w:val="000000" w:themeColor="text1"/>
          <w:sz w:val="20"/>
          <w:szCs w:val="20"/>
        </w:rPr>
        <w:t>Dag Hammarskjöld Library</w:t>
      </w:r>
      <w:r w:rsidRPr="00FC331F">
        <w:rPr>
          <w:color w:val="000000" w:themeColor="text1"/>
          <w:sz w:val="20"/>
          <w:szCs w:val="20"/>
        </w:rPr>
        <w:t xml:space="preserve"> (United Nations. Dag Hammarskjöld Library) &lt;https://research.un.org/en/docs/sc/quick/veto&gt; [accessed 21 December 2020].</w:t>
      </w:r>
    </w:p>
  </w:footnote>
  <w:footnote w:id="594">
    <w:p w14:paraId="43E0A777" w14:textId="3BED69E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Erakat, Location 2802.</w:t>
      </w:r>
    </w:p>
  </w:footnote>
  <w:footnote w:id="595">
    <w:p w14:paraId="1C854671"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Herb Keinon, Michael Wilner, and Danielle Ziri, ‘Netanyahu: It May Take Time, but Resolution Will Be Rescinded’, </w:t>
      </w:r>
      <w:r w:rsidRPr="00FC331F">
        <w:rPr>
          <w:i/>
          <w:color w:val="000000" w:themeColor="text1"/>
          <w:sz w:val="20"/>
          <w:szCs w:val="20"/>
        </w:rPr>
        <w:t>The Jerusalem Post | JPost.Com</w:t>
      </w:r>
      <w:r w:rsidRPr="00FC331F">
        <w:rPr>
          <w:color w:val="000000" w:themeColor="text1"/>
          <w:sz w:val="20"/>
          <w:szCs w:val="20"/>
        </w:rPr>
        <w:t xml:space="preserve"> &lt;https://www.jpost.com/israel-news/politics-and-diplomacy/netanyahu-it-may-take-time-but-resolution-will-be-rescinded-476426&gt; [accessed 18 November 2020].</w:t>
      </w:r>
    </w:p>
  </w:footnote>
  <w:footnote w:id="596">
    <w:p w14:paraId="3FEC238F"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‘Pompeo: US No Longer Considers Israeli Settlements Illegal’ &lt;https://www.aljazeera.com/news/2019/11/18/pompeo-us-no-longer-considers-israeli-settlements-illegal&gt; [accessed 18 November 2020].</w:t>
      </w:r>
    </w:p>
  </w:footnote>
  <w:footnote w:id="597">
    <w:p w14:paraId="611CFBDD"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The White House, ‘Peace to Prosperity: A Vision to Improve the Lives of the Palestinian and Israeli People’, 2020, p. 3 &lt;https://www.whitehouse.gov/wp-content/uploads/2020/01/Peace-to-Prosperity-0120.pdf&gt; [accessed 23 November 2020].</w:t>
      </w:r>
    </w:p>
  </w:footnote>
  <w:footnote w:id="598">
    <w:p w14:paraId="2FF7421A"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United Nations Office for the Coordination of Humanitarian Affairs, ‘Data on Casualties’, </w:t>
      </w:r>
      <w:r w:rsidRPr="00FC331F">
        <w:rPr>
          <w:i/>
          <w:color w:val="000000" w:themeColor="text1"/>
          <w:sz w:val="20"/>
          <w:szCs w:val="20"/>
        </w:rPr>
        <w:t>Occupied Palestinian Territory</w:t>
      </w:r>
      <w:r w:rsidRPr="00FC331F">
        <w:rPr>
          <w:color w:val="000000" w:themeColor="text1"/>
          <w:sz w:val="20"/>
          <w:szCs w:val="20"/>
        </w:rPr>
        <w:t xml:space="preserve"> &lt;https://www.ochaopt.org/data/casualties&gt; [accessed 18 November 2020].</w:t>
      </w:r>
    </w:p>
  </w:footnote>
  <w:footnote w:id="599">
    <w:p w14:paraId="3BAF99BD" w14:textId="79D63F5B"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The White House, ‘Peace to Prosperity’, p. 8.</w:t>
      </w:r>
    </w:p>
  </w:footnote>
  <w:footnote w:id="600">
    <w:p w14:paraId="5AA9CDA3"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Adam Rasgon, ‘Israel Quietly Opens Its Borders, and Palestinians Have a Beach Day’, </w:t>
      </w:r>
      <w:r w:rsidRPr="00FC331F">
        <w:rPr>
          <w:i/>
          <w:color w:val="000000" w:themeColor="text1"/>
          <w:sz w:val="20"/>
          <w:szCs w:val="20"/>
        </w:rPr>
        <w:t>The New York Times</w:t>
      </w:r>
      <w:r w:rsidRPr="00FC331F">
        <w:rPr>
          <w:color w:val="000000" w:themeColor="text1"/>
          <w:sz w:val="20"/>
          <w:szCs w:val="20"/>
        </w:rPr>
        <w:t>, 11 August 2020, section World &lt;https://www.nytimes.com/2020/08/11/world/middleeast/israel-palestinian-border-beach.html&gt; [accessed 23 November 2020].</w:t>
      </w:r>
    </w:p>
  </w:footnote>
  <w:footnote w:id="601">
    <w:p w14:paraId="3F42C839"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‘Palestinian Territories - Timeline’, </w:t>
      </w:r>
      <w:r w:rsidRPr="00FC331F">
        <w:rPr>
          <w:i/>
          <w:color w:val="000000" w:themeColor="text1"/>
          <w:sz w:val="20"/>
          <w:szCs w:val="20"/>
        </w:rPr>
        <w:t>BBC News</w:t>
      </w:r>
      <w:r w:rsidRPr="00FC331F">
        <w:rPr>
          <w:color w:val="000000" w:themeColor="text1"/>
          <w:sz w:val="20"/>
          <w:szCs w:val="20"/>
        </w:rPr>
        <w:t>, 8 April 2019, section Middle East &lt;https://www.bbc.com/news/world-middle-east-29362505&gt; [accessed 17 February 2021]; ‘The Occupation of Water’ &lt;https://www.amnesty.org/en/latest/campaigns/2017/11/the-occupation-of-water/&gt; [accessed 17 February 2021].</w:t>
      </w:r>
    </w:p>
  </w:footnote>
  <w:footnote w:id="602">
    <w:p w14:paraId="0007FCAA" w14:textId="5628D61E"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Erakat, Location 3937.</w:t>
      </w:r>
    </w:p>
  </w:footnote>
  <w:footnote w:id="603">
    <w:p w14:paraId="4D74C3F3"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Brent Sasley, ‘The White House Peace Plan Puts Israel’s Concerns First — and Shortchanges Palestinians’, </w:t>
      </w:r>
      <w:r w:rsidRPr="00FC331F">
        <w:rPr>
          <w:i/>
          <w:color w:val="000000" w:themeColor="text1"/>
          <w:sz w:val="20"/>
          <w:szCs w:val="20"/>
        </w:rPr>
        <w:t>The Washington Post</w:t>
      </w:r>
      <w:r w:rsidRPr="00FC331F">
        <w:rPr>
          <w:color w:val="000000" w:themeColor="text1"/>
          <w:sz w:val="20"/>
          <w:szCs w:val="20"/>
        </w:rPr>
        <w:t xml:space="preserve"> &lt;https://www.washingtonpost.com/politics/2020/01/30/white-house-peace-plan-puts-israels-concerns-first-shortchanges-palestinians/&gt; [accessed 23 November 2020].</w:t>
      </w:r>
    </w:p>
  </w:footnote>
  <w:footnote w:id="604">
    <w:p w14:paraId="138E11FB"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‘Saudi Arabia Will Soon Move to Normalize Ties with Israel, Official Predicts | The Times of Israel’ &lt;https://www.timesofisrael.com/saudi-arabia-will-soon-move-to-normalize-ties-with-israel-official-predicts/&gt; [accessed 24 November 2020].</w:t>
      </w:r>
    </w:p>
  </w:footnote>
  <w:footnote w:id="605">
    <w:p w14:paraId="5E721D6C" w14:textId="77777777" w:rsidR="00736D5A"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‘Text: Beirut Declaration’, 28 March 2002 </w:t>
      </w:r>
    </w:p>
    <w:p w14:paraId="4C547CFC" w14:textId="4D0BF2E5"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rPr>
        <w:t>&lt;http://news.bbc.co.uk/1/hi/world/monitoring/media_reports/1899395.stm&gt; [accessed 24 November 2020].</w:t>
      </w:r>
    </w:p>
  </w:footnote>
  <w:footnote w:id="606">
    <w:p w14:paraId="39FD4D3C" w14:textId="77777777" w:rsidR="00736D5A" w:rsidRPr="00FC331F" w:rsidRDefault="00736D5A" w:rsidP="00643585">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‘Lieberman: Right of Return Makes Arab Plan Unacceptable’, </w:t>
      </w:r>
      <w:r w:rsidRPr="00FC331F">
        <w:rPr>
          <w:i/>
          <w:color w:val="000000" w:themeColor="text1"/>
          <w:sz w:val="20"/>
          <w:szCs w:val="20"/>
        </w:rPr>
        <w:t>Haaretz</w:t>
      </w:r>
      <w:r w:rsidRPr="00FC331F">
        <w:rPr>
          <w:color w:val="000000" w:themeColor="text1"/>
          <w:sz w:val="20"/>
          <w:szCs w:val="20"/>
        </w:rPr>
        <w:t xml:space="preserve"> &lt;https://www.haaretz.com/1.5041235&gt; [accessed 24 November 2020].</w:t>
      </w:r>
    </w:p>
  </w:footnote>
  <w:footnote w:id="607">
    <w:p w14:paraId="528E428C" w14:textId="77777777" w:rsidR="00736D5A" w:rsidRPr="00FC331F" w:rsidRDefault="00736D5A" w:rsidP="00FC331F">
      <w:pPr>
        <w:spacing w:line="276" w:lineRule="auto"/>
        <w:rPr>
          <w:i/>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Oliver Holmes, Hazem Balousha, and Sufian Taha, ‘“It’s a Game and We Lost”: Palestinians Decry Gulf Moves towards Israel’, </w:t>
      </w:r>
      <w:r w:rsidRPr="00FC331F">
        <w:rPr>
          <w:i/>
          <w:color w:val="000000" w:themeColor="text1"/>
          <w:sz w:val="20"/>
          <w:szCs w:val="20"/>
        </w:rPr>
        <w:t>The Guardian,</w:t>
      </w:r>
    </w:p>
    <w:p w14:paraId="369BE614"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rPr>
        <w:t>&lt;https://amp.theguardian.com/world/2020/aug/14/its-a-game-and-we-lost-palestinians-decry-gulf-moves-towards-israel&gt; [accessed 24 November 2020].</w:t>
      </w:r>
    </w:p>
  </w:footnote>
  <w:footnote w:id="608">
    <w:p w14:paraId="15D6525A"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Such as Israel’s aforementioned creation of the new category ‘armed conflict short of war’, or their refusal to withdraw from all Arab lands in the aftermath of Resolution 242 due to the absence of a definite article in the resolution, explored in more detail, albeit briefly, later in the chapter.</w:t>
      </w:r>
    </w:p>
  </w:footnote>
  <w:footnote w:id="609">
    <w:p w14:paraId="5A220C4D" w14:textId="72E02283"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Holmes, Balousha, and Taha.</w:t>
      </w:r>
    </w:p>
  </w:footnote>
  <w:footnote w:id="610">
    <w:p w14:paraId="45C7BC5F" w14:textId="77777777" w:rsidR="00736D5A" w:rsidRPr="00FC331F" w:rsidRDefault="00736D5A" w:rsidP="00643585">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Diane Buttu, Mouin Rabbani, and Rami G. Kouri, Expert Q&amp;A: The Iran Nuclear Deal &amp; Palestine/Israel | IMEU &lt;https://imeu.org/article/expert-qa-the-iran-nuclear-deal-palestine-israel&gt; [accessed 26 November 2020].</w:t>
      </w:r>
    </w:p>
  </w:footnote>
  <w:footnote w:id="611">
    <w:p w14:paraId="71988EF5" w14:textId="36311F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Holmes, Balousha, and Taha.</w:t>
      </w:r>
    </w:p>
  </w:footnote>
  <w:footnote w:id="612">
    <w:p w14:paraId="04B14F88"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Bill Barrow, ‘Biden Calls Sanders’ Pitch to Leverage Israel Aid “Bizarre”’, </w:t>
      </w:r>
      <w:r w:rsidRPr="00FC331F">
        <w:rPr>
          <w:i/>
          <w:color w:val="000000" w:themeColor="text1"/>
          <w:sz w:val="20"/>
          <w:szCs w:val="20"/>
        </w:rPr>
        <w:t>AP NEWS</w:t>
      </w:r>
      <w:r w:rsidRPr="00FC331F">
        <w:rPr>
          <w:color w:val="000000" w:themeColor="text1"/>
          <w:sz w:val="20"/>
          <w:szCs w:val="20"/>
        </w:rPr>
        <w:t>, 2019 &lt;https://apnews.com/article/f78dd392f8250caf2c8a9f9655e6fef2&gt; [accessed 23 November 2020].</w:t>
      </w:r>
    </w:p>
  </w:footnote>
  <w:footnote w:id="613">
    <w:p w14:paraId="2144D812"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Linah Alsaafin, ‘Joe Biden “No Saviour” of the Palestinians’, </w:t>
      </w:r>
      <w:r w:rsidRPr="00FC331F">
        <w:rPr>
          <w:i/>
          <w:color w:val="000000" w:themeColor="text1"/>
          <w:sz w:val="20"/>
          <w:szCs w:val="20"/>
        </w:rPr>
        <w:t>Al Jazeera</w:t>
      </w:r>
      <w:r w:rsidRPr="00FC331F">
        <w:rPr>
          <w:color w:val="000000" w:themeColor="text1"/>
          <w:sz w:val="20"/>
          <w:szCs w:val="20"/>
        </w:rPr>
        <w:t xml:space="preserve"> &lt;https://www.aljazeera.com/news/2020/11/8/joe-biden-no-savior-to-the-palestinians&gt; [accessed 23 November 2020].</w:t>
      </w:r>
    </w:p>
  </w:footnote>
  <w:footnote w:id="614">
    <w:p w14:paraId="6921DED6"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Richard Silverstein, ‘A Biden Presidency Would Not Be Good News for Palestine’ &lt;https://www.aljazeera.com/opinions/2020/6/4/a-biden-presidency-would-not-be-good-news-for-palestine/&gt; [accessed 23 November 2020].</w:t>
      </w:r>
    </w:p>
  </w:footnote>
  <w:footnote w:id="615">
    <w:p w14:paraId="536EAFB4"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Ali Harb, ‘Kamala Harris Pledges Unconditional Support for Israel’, </w:t>
      </w:r>
      <w:r w:rsidRPr="00FC331F">
        <w:rPr>
          <w:i/>
          <w:color w:val="000000" w:themeColor="text1"/>
          <w:sz w:val="20"/>
          <w:szCs w:val="20"/>
        </w:rPr>
        <w:t>Middle East Eye</w:t>
      </w:r>
      <w:r w:rsidRPr="00FC331F">
        <w:rPr>
          <w:color w:val="000000" w:themeColor="text1"/>
          <w:sz w:val="20"/>
          <w:szCs w:val="20"/>
        </w:rPr>
        <w:t xml:space="preserve"> &lt;http://www.middleeasteye.net/news/kamala-harris-pledges-unconditional-support-israel&gt; [accessed 23 November 2020].</w:t>
      </w:r>
    </w:p>
  </w:footnote>
  <w:footnote w:id="616">
    <w:p w14:paraId="58575ED0"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‘Arab Normalisation with Israel’ &lt;https://www.aljazeera.com/news/2020/11/23/the-normalisation-of-ties-between-israel-and-arab-countries&gt; [accessed 24 November 2020].</w:t>
      </w:r>
    </w:p>
  </w:footnote>
  <w:footnote w:id="617">
    <w:p w14:paraId="00B76D07"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Aaron David Miller, ‘Opinion: Biden Is Hitting the Reset Button with Israel’, </w:t>
      </w:r>
      <w:r w:rsidRPr="00FC331F">
        <w:rPr>
          <w:i/>
          <w:color w:val="000000" w:themeColor="text1"/>
          <w:sz w:val="20"/>
          <w:szCs w:val="20"/>
        </w:rPr>
        <w:t>CNN</w:t>
      </w:r>
      <w:r w:rsidRPr="00FC331F">
        <w:rPr>
          <w:color w:val="000000" w:themeColor="text1"/>
          <w:sz w:val="20"/>
          <w:szCs w:val="20"/>
        </w:rPr>
        <w:t xml:space="preserve"> &lt;https://www.cnn.com/2021/02/15/opinions/biden-netanyahu-israel-reset-button-miller/index.html&gt; [accessed 18 February 2021].</w:t>
      </w:r>
    </w:p>
  </w:footnote>
  <w:footnote w:id="618">
    <w:p w14:paraId="17DE4EAE"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Jacob Magid, ‘Biden Breaks from Predecessors by Taking It Slow on Israeli-Palestinian Peace’ &lt;https://www.timesofisrael.com/biden-breaks-from-predecessors-by-taking-it-slow-on-israeli-palestinian-peace/&gt; [accessed 18 February 2021].</w:t>
      </w:r>
    </w:p>
  </w:footnote>
  <w:footnote w:id="619">
    <w:p w14:paraId="467D3856"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‘Israel May Not Be Part of Strategy If US Returns to Nuclear Deal’ &lt;https://www.aljazeera.com/news/2021/2/16/israel-may-halt-future-cooperation-if-us-returns-to-nuclear-deal&gt; [accessed 18 February 2021].</w:t>
      </w:r>
    </w:p>
  </w:footnote>
  <w:footnote w:id="620">
    <w:p w14:paraId="4CE71964" w14:textId="161EC4D4"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As mentioned in the introduction, the application of the term ‘apartheid’ to Israel and its persecution of Palestinians in both Israeli and Palestinian lands is widely debated. Whilst perspectives on this issue vary most significantly due to varied </w:t>
      </w:r>
      <w:r>
        <w:rPr>
          <w:color w:val="000000" w:themeColor="text1"/>
          <w:sz w:val="20"/>
          <w:szCs w:val="20"/>
        </w:rPr>
        <w:t>understandings of</w:t>
      </w:r>
      <w:r w:rsidRPr="00FC331F">
        <w:rPr>
          <w:color w:val="000000" w:themeColor="text1"/>
          <w:sz w:val="20"/>
          <w:szCs w:val="20"/>
        </w:rPr>
        <w:t xml:space="preserve"> </w:t>
      </w:r>
      <w:r>
        <w:rPr>
          <w:color w:val="000000" w:themeColor="text1"/>
          <w:sz w:val="20"/>
          <w:szCs w:val="20"/>
        </w:rPr>
        <w:t>the extent of Israeli control over Palestinian lands</w:t>
      </w:r>
      <w:r w:rsidRPr="00FC331F">
        <w:rPr>
          <w:color w:val="000000" w:themeColor="text1"/>
          <w:sz w:val="20"/>
          <w:szCs w:val="20"/>
        </w:rPr>
        <w:t>, if we view apartheid as</w:t>
      </w:r>
      <w:r w:rsidR="00AE2FAD">
        <w:rPr>
          <w:color w:val="000000" w:themeColor="text1"/>
          <w:sz w:val="20"/>
          <w:szCs w:val="20"/>
        </w:rPr>
        <w:t xml:space="preserve"> a form of legal </w:t>
      </w:r>
      <w:r w:rsidR="00081068">
        <w:rPr>
          <w:color w:val="000000" w:themeColor="text1"/>
          <w:sz w:val="20"/>
          <w:szCs w:val="20"/>
        </w:rPr>
        <w:t>discrimination</w:t>
      </w:r>
      <w:r w:rsidR="00AE2FAD">
        <w:rPr>
          <w:color w:val="000000" w:themeColor="text1"/>
          <w:sz w:val="20"/>
          <w:szCs w:val="20"/>
        </w:rPr>
        <w:t xml:space="preserve"> wherein certain citizens are segregated and denied access to equal rights, </w:t>
      </w:r>
      <w:r w:rsidRPr="00FC331F">
        <w:rPr>
          <w:color w:val="000000" w:themeColor="text1"/>
          <w:sz w:val="20"/>
          <w:szCs w:val="20"/>
        </w:rPr>
        <w:t>then apartheid exists undeniably within Israel. To name just a few, legal inequalities exist in the shape of separate roads for Palestinians around settlements, the pipelining of Israeli law to Israelis living in West Bank settlements, and the Basic Law which restricts the right to self-determination to Jews alone. If applied to the Occupied Territories</w:t>
      </w:r>
      <w:r>
        <w:rPr>
          <w:color w:val="000000" w:themeColor="text1"/>
          <w:sz w:val="20"/>
          <w:szCs w:val="20"/>
        </w:rPr>
        <w:t xml:space="preserve"> specifically</w:t>
      </w:r>
      <w:r w:rsidRPr="00FC331F">
        <w:rPr>
          <w:color w:val="000000" w:themeColor="text1"/>
          <w:sz w:val="20"/>
          <w:szCs w:val="20"/>
        </w:rPr>
        <w:t>, the charge of Israeli apartheid becomes even more self-evident. The term ‘quasi-apartheid’ is used here to bypass the digressions that the use of the word ‘apartheid’ might cause, thus distracting from the core issue, legal inequality in Israel.</w:t>
      </w:r>
    </w:p>
  </w:footnote>
  <w:footnote w:id="621">
    <w:p w14:paraId="58C5E0E7" w14:textId="76736272" w:rsidR="00736D5A" w:rsidRPr="00DA6964"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DA6964">
        <w:rPr>
          <w:color w:val="000000" w:themeColor="text1"/>
          <w:sz w:val="20"/>
          <w:szCs w:val="20"/>
        </w:rPr>
        <w:t xml:space="preserve"> Erakat, Location 4547.</w:t>
      </w:r>
    </w:p>
  </w:footnote>
  <w:footnote w:id="622">
    <w:p w14:paraId="3A51D403" w14:textId="21AC27F5" w:rsidR="00736D5A" w:rsidRPr="00DA6964"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DA6964">
        <w:rPr>
          <w:color w:val="000000" w:themeColor="text1"/>
          <w:sz w:val="20"/>
          <w:szCs w:val="20"/>
        </w:rPr>
        <w:t xml:space="preserve"> Erakat, Location 4516.</w:t>
      </w:r>
    </w:p>
  </w:footnote>
  <w:footnote w:id="623">
    <w:p w14:paraId="00BD3C49" w14:textId="77777777" w:rsidR="00736D5A" w:rsidRPr="00DA6964" w:rsidRDefault="00736D5A" w:rsidP="00792CB2">
      <w:pPr>
        <w:spacing w:line="276" w:lineRule="auto"/>
        <w:rPr>
          <w:color w:val="000000" w:themeColor="text1"/>
          <w:sz w:val="20"/>
          <w:szCs w:val="20"/>
        </w:rPr>
      </w:pPr>
      <w:r w:rsidRPr="00FC331F">
        <w:rPr>
          <w:color w:val="000000" w:themeColor="text1"/>
          <w:sz w:val="20"/>
          <w:szCs w:val="20"/>
          <w:vertAlign w:val="superscript"/>
        </w:rPr>
        <w:footnoteRef/>
      </w:r>
      <w:r w:rsidRPr="00DA6964">
        <w:rPr>
          <w:color w:val="000000" w:themeColor="text1"/>
          <w:sz w:val="20"/>
          <w:szCs w:val="20"/>
        </w:rPr>
        <w:t xml:space="preserve"> Erakat, Location 4564.</w:t>
      </w:r>
    </w:p>
  </w:footnote>
  <w:footnote w:id="624">
    <w:p w14:paraId="465E7FA9"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See comments on Jordanian Draft Resolution of 2014, Ilan Baruch, ‘PIJ.ORG: The Case for Namibia in Palestine’, </w:t>
      </w:r>
      <w:r w:rsidRPr="00FC331F">
        <w:rPr>
          <w:i/>
          <w:color w:val="000000" w:themeColor="text1"/>
          <w:sz w:val="20"/>
          <w:szCs w:val="20"/>
        </w:rPr>
        <w:t>PIJ.ORG</w:t>
      </w:r>
      <w:r w:rsidRPr="00FC331F">
        <w:rPr>
          <w:color w:val="000000" w:themeColor="text1"/>
          <w:sz w:val="20"/>
          <w:szCs w:val="20"/>
        </w:rPr>
        <w:t xml:space="preserve"> &lt;https://pij.org/articles/1605/the-case-for-namibia-in-palestine&gt; [accessed 26 October 2020].</w:t>
      </w:r>
    </w:p>
  </w:footnote>
  <w:footnote w:id="625">
    <w:p w14:paraId="57EC6F48" w14:textId="77777777" w:rsidR="00736D5A" w:rsidRPr="00FC331F" w:rsidRDefault="00736D5A" w:rsidP="00EF0991">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Erakat, Location 4564.</w:t>
      </w:r>
    </w:p>
  </w:footnote>
  <w:footnote w:id="626">
    <w:p w14:paraId="68CD5180" w14:textId="6524CFF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Erakat, Location 4553.</w:t>
      </w:r>
    </w:p>
  </w:footnote>
  <w:footnote w:id="627">
    <w:p w14:paraId="27BC842D" w14:textId="3B4CDA4C"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Two days after </w:t>
      </w:r>
      <w:r w:rsidR="00DA6964">
        <w:rPr>
          <w:color w:val="000000" w:themeColor="text1"/>
          <w:sz w:val="20"/>
          <w:szCs w:val="20"/>
        </w:rPr>
        <w:t>this section was first written</w:t>
      </w:r>
      <w:r w:rsidRPr="00FC331F">
        <w:rPr>
          <w:color w:val="000000" w:themeColor="text1"/>
          <w:sz w:val="20"/>
          <w:szCs w:val="20"/>
        </w:rPr>
        <w:t xml:space="preserve">, Iran’s foremost nuclear scientist Mohsen Fakhrizadeh was assassinated with a </w:t>
      </w:r>
      <w:r w:rsidR="00B81846" w:rsidRPr="00FC331F">
        <w:rPr>
          <w:color w:val="000000" w:themeColor="text1"/>
          <w:sz w:val="20"/>
          <w:szCs w:val="20"/>
        </w:rPr>
        <w:t>remote-controlled</w:t>
      </w:r>
      <w:r w:rsidRPr="00FC331F">
        <w:rPr>
          <w:color w:val="000000" w:themeColor="text1"/>
          <w:sz w:val="20"/>
          <w:szCs w:val="20"/>
        </w:rPr>
        <w:t xml:space="preserve"> machine gun, with Iranian officials blaming Israel directly and promising ‘a calculated and decisive answer’ to the violence. Israel is widely believed to have been behind the assassination, and in response to Fakhrizadeh’s death Iran has now passed a bill that blocks inspections of its nuclear program. Jewish Chronicle reports as of the 13th of February identified the </w:t>
      </w:r>
      <w:r w:rsidR="00DA6964" w:rsidRPr="00FC331F">
        <w:rPr>
          <w:color w:val="000000" w:themeColor="text1"/>
          <w:sz w:val="20"/>
          <w:szCs w:val="20"/>
        </w:rPr>
        <w:t>assassination</w:t>
      </w:r>
      <w:r w:rsidRPr="00FC331F">
        <w:rPr>
          <w:color w:val="000000" w:themeColor="text1"/>
          <w:sz w:val="20"/>
          <w:szCs w:val="20"/>
        </w:rPr>
        <w:t xml:space="preserve"> as having been undertaken by Mossad. </w:t>
      </w:r>
    </w:p>
    <w:p w14:paraId="062782AD"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rPr>
        <w:t xml:space="preserve">Sara Mazloumsaki and Eliott C. McLaughlin CNN, ‘Assassinated Iranian Nuclear Scientist Shot with Remote-Controlled Machine Gun, News Agency Says’, </w:t>
      </w:r>
      <w:r w:rsidRPr="00FC331F">
        <w:rPr>
          <w:i/>
          <w:color w:val="000000" w:themeColor="text1"/>
          <w:sz w:val="20"/>
          <w:szCs w:val="20"/>
        </w:rPr>
        <w:t>CNN</w:t>
      </w:r>
      <w:r w:rsidRPr="00FC331F">
        <w:rPr>
          <w:color w:val="000000" w:themeColor="text1"/>
          <w:sz w:val="20"/>
          <w:szCs w:val="20"/>
        </w:rPr>
        <w:t xml:space="preserve"> &lt;https://www.cnn.com/2020/11/29/middleeast/iran-mohsen-fakhrizadeh-remote-control-machine-gun/index.html&gt; [accessed 30 November 2020].</w:t>
      </w:r>
    </w:p>
  </w:footnote>
  <w:footnote w:id="628">
    <w:p w14:paraId="34CCCF89"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‘Trump “Asked for Options on Strike on Iran Nuclear Site”’, </w:t>
      </w:r>
      <w:r w:rsidRPr="00FC331F">
        <w:rPr>
          <w:i/>
          <w:color w:val="000000" w:themeColor="text1"/>
          <w:sz w:val="20"/>
          <w:szCs w:val="20"/>
        </w:rPr>
        <w:t>BBC News</w:t>
      </w:r>
      <w:r w:rsidRPr="00FC331F">
        <w:rPr>
          <w:color w:val="000000" w:themeColor="text1"/>
          <w:sz w:val="20"/>
          <w:szCs w:val="20"/>
        </w:rPr>
        <w:t>, 17 November 2020, section Middle East &lt;https://www.bbc.co.uk/news/world-middle-east-54972269&gt; [accessed 25 November 2020].</w:t>
      </w:r>
    </w:p>
  </w:footnote>
  <w:footnote w:id="629">
    <w:p w14:paraId="30428673"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Barak Ravid, ‘Trump Administration Plans “Flood” of Sanctions on Iran by Jan. 20’, </w:t>
      </w:r>
      <w:r w:rsidRPr="00FC331F">
        <w:rPr>
          <w:i/>
          <w:color w:val="000000" w:themeColor="text1"/>
          <w:sz w:val="20"/>
          <w:szCs w:val="20"/>
        </w:rPr>
        <w:t>Axios</w:t>
      </w:r>
      <w:r w:rsidRPr="00FC331F">
        <w:rPr>
          <w:color w:val="000000" w:themeColor="text1"/>
          <w:sz w:val="20"/>
          <w:szCs w:val="20"/>
        </w:rPr>
        <w:t xml:space="preserve"> &lt;https://www.axios.com/trump-administration-iran-sanctions-january-3951f776-09c9-4e55-b0f5-4a9c80e9e974.html&gt; [accessed 25 November 2020].</w:t>
      </w:r>
    </w:p>
  </w:footnote>
  <w:footnote w:id="630">
    <w:p w14:paraId="032CAECA" w14:textId="6201B0E0"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‘Trump “Asked for Options on Strike on Iran Nuclear Site”’.</w:t>
      </w:r>
    </w:p>
  </w:footnote>
  <w:footnote w:id="631">
    <w:p w14:paraId="643A3A05"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Barak Ravid, ‘Israeli Military Prepares for Possibility Trump Will Strike Iran’, </w:t>
      </w:r>
      <w:r w:rsidRPr="00FC331F">
        <w:rPr>
          <w:i/>
          <w:color w:val="000000" w:themeColor="text1"/>
          <w:sz w:val="20"/>
          <w:szCs w:val="20"/>
        </w:rPr>
        <w:t>Axios</w:t>
      </w:r>
      <w:r w:rsidRPr="00FC331F">
        <w:rPr>
          <w:color w:val="000000" w:themeColor="text1"/>
          <w:sz w:val="20"/>
          <w:szCs w:val="20"/>
        </w:rPr>
        <w:t xml:space="preserve"> &lt;https://www.axios.com/israeli-military-prepares-trump-iran-0d0a5725-c410-4f5c-a0ea-9c6f9add4966.html&gt; [accessed 25 November 2020].</w:t>
      </w:r>
    </w:p>
  </w:footnote>
  <w:footnote w:id="632">
    <w:p w14:paraId="28D0CC54"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Whilst Iran has been accused of having ties to numerous other terrorist groups, it is those directly implicated in the Israeli-Palestinian conflict that this section focuses on.</w:t>
      </w:r>
    </w:p>
  </w:footnote>
  <w:footnote w:id="633">
    <w:p w14:paraId="6D3B7C51" w14:textId="2F2F2652"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Buttu, Rabbani, and Kouri.</w:t>
      </w:r>
    </w:p>
  </w:footnote>
  <w:footnote w:id="634">
    <w:p w14:paraId="1E1D2C69" w14:textId="13645FF3"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00B81846">
        <w:rPr>
          <w:color w:val="000000" w:themeColor="text1"/>
          <w:sz w:val="20"/>
          <w:szCs w:val="20"/>
        </w:rPr>
        <w:t xml:space="preserve"> </w:t>
      </w:r>
      <w:r w:rsidRPr="00FC331F">
        <w:rPr>
          <w:color w:val="000000" w:themeColor="text1"/>
          <w:sz w:val="20"/>
          <w:szCs w:val="20"/>
        </w:rPr>
        <w:t>Trita Parsi, ‘To Save the Iran Nuclear Deal, Think Bigger’, 10 November 2020 &lt;https://www.foreignaffairs.com/articles/iran/2020-11-10/save-iran-nuclear-deal-think-bigger&gt; [accessed 25 November 2020].</w:t>
      </w:r>
    </w:p>
  </w:footnote>
  <w:footnote w:id="635">
    <w:p w14:paraId="603D6AB8" w14:textId="491FB367" w:rsidR="00736D5A" w:rsidRPr="00FC331F" w:rsidRDefault="00736D5A" w:rsidP="00FC331F">
      <w:pPr>
        <w:spacing w:line="276" w:lineRule="auto"/>
        <w:rPr>
          <w:b/>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Whilst the amount of uranium th</w:t>
      </w:r>
      <w:r w:rsidR="00B81846">
        <w:rPr>
          <w:color w:val="000000" w:themeColor="text1"/>
          <w:sz w:val="20"/>
          <w:szCs w:val="20"/>
        </w:rPr>
        <w:t>at</w:t>
      </w:r>
      <w:r w:rsidRPr="00FC331F">
        <w:rPr>
          <w:color w:val="000000" w:themeColor="text1"/>
          <w:sz w:val="20"/>
          <w:szCs w:val="20"/>
        </w:rPr>
        <w:t xml:space="preserve"> Iran has stockpiled is ‘theoretically enough to produce two nuclear weapons’, the amount of nuclear weapons Israel has is estimated at ninety functional warheads, ‘with fissile material for up to 200’. ‘Trump “Asked for Options on Strike on Iran Nuclear Site”’; ‘Nuclear Weapons: Who Has What at a Glance | Arms Control Association’ &lt;https://www.armscontrol.org/factsheets/Nuclearweaponswhohaswhat&gt; [accessed 19 February 2021].</w:t>
      </w:r>
    </w:p>
  </w:footnote>
  <w:footnote w:id="636">
    <w:p w14:paraId="2F3405FD" w14:textId="2BDB9132"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Buttu, Rabbani, and Kouri.</w:t>
      </w:r>
    </w:p>
  </w:footnote>
  <w:footnote w:id="637">
    <w:p w14:paraId="79D67906" w14:textId="1411E40C"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Buttu, Rabbani, and Kouri.</w:t>
      </w:r>
    </w:p>
  </w:footnote>
  <w:footnote w:id="638">
    <w:p w14:paraId="33EDCB46" w14:textId="7429ED90"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00B81846">
        <w:rPr>
          <w:color w:val="000000" w:themeColor="text1"/>
          <w:sz w:val="20"/>
          <w:szCs w:val="20"/>
        </w:rPr>
        <w:t xml:space="preserve"> </w:t>
      </w:r>
      <w:r w:rsidRPr="00FC331F">
        <w:rPr>
          <w:color w:val="000000" w:themeColor="text1"/>
          <w:sz w:val="20"/>
          <w:szCs w:val="20"/>
        </w:rPr>
        <w:t xml:space="preserve">‘“Israel’s Obliteration Is Certain”’, </w:t>
      </w:r>
      <w:r w:rsidRPr="00FC331F">
        <w:rPr>
          <w:i/>
          <w:color w:val="000000" w:themeColor="text1"/>
          <w:sz w:val="20"/>
          <w:szCs w:val="20"/>
        </w:rPr>
        <w:t>The Jerusalem Post | JPost.Com</w:t>
      </w:r>
      <w:r w:rsidRPr="00FC331F">
        <w:rPr>
          <w:color w:val="000000" w:themeColor="text1"/>
          <w:sz w:val="20"/>
          <w:szCs w:val="20"/>
        </w:rPr>
        <w:t xml:space="preserve"> &lt;https://www.jpost.com/iranian-threat/news/israels-obliteration-is-certain&gt; [accessed 25 November 2020]; Dudi Cohen, ‘Iran Says Can Destroy Israel in Week’, </w:t>
      </w:r>
      <w:r w:rsidRPr="00FC331F">
        <w:rPr>
          <w:i/>
          <w:color w:val="000000" w:themeColor="text1"/>
          <w:sz w:val="20"/>
          <w:szCs w:val="20"/>
        </w:rPr>
        <w:t>Ynetnews</w:t>
      </w:r>
      <w:r w:rsidRPr="00FC331F">
        <w:rPr>
          <w:color w:val="000000" w:themeColor="text1"/>
          <w:sz w:val="20"/>
          <w:szCs w:val="20"/>
        </w:rPr>
        <w:t>, 2010 &lt;https://www.ynetnews.com/articles/0,7340,L-3891781,00.html&gt; [accessed 25 November 2020].</w:t>
      </w:r>
    </w:p>
  </w:footnote>
  <w:footnote w:id="639">
    <w:p w14:paraId="449C0C14"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Merkel, in Gilbert Achcar, </w:t>
      </w:r>
      <w:r w:rsidRPr="00FC331F">
        <w:rPr>
          <w:i/>
          <w:color w:val="000000" w:themeColor="text1"/>
          <w:sz w:val="20"/>
          <w:szCs w:val="20"/>
        </w:rPr>
        <w:t>The Arabs and the Holocaust: The Arab-Israeli War of Narratives</w:t>
      </w:r>
      <w:r w:rsidRPr="00FC331F">
        <w:rPr>
          <w:color w:val="000000" w:themeColor="text1"/>
          <w:sz w:val="20"/>
          <w:szCs w:val="20"/>
        </w:rPr>
        <w:t xml:space="preserve"> (Saqi Books, 2012), p. 266.</w:t>
      </w:r>
    </w:p>
  </w:footnote>
  <w:footnote w:id="640">
    <w:p w14:paraId="31883854" w14:textId="16D33EFA"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Buttu, Rabbani, and Kouri.</w:t>
      </w:r>
    </w:p>
  </w:footnote>
  <w:footnote w:id="641">
    <w:p w14:paraId="4806FE37" w14:textId="2E387B29" w:rsidR="00856E35" w:rsidRPr="00856E35" w:rsidRDefault="00856E35">
      <w:pPr>
        <w:pStyle w:val="FootnoteText"/>
        <w:rPr>
          <w:lang w:val="en-GB"/>
        </w:rPr>
      </w:pPr>
      <w:r>
        <w:rPr>
          <w:rStyle w:val="FootnoteReference"/>
        </w:rPr>
        <w:footnoteRef/>
      </w:r>
      <w:r>
        <w:t xml:space="preserve"> </w:t>
      </w:r>
      <w:r>
        <w:rPr>
          <w:lang w:val="en-GB"/>
        </w:rPr>
        <w:t>“</w:t>
      </w:r>
      <w:r w:rsidRPr="00856E35">
        <w:rPr>
          <w:lang w:val="en-GB"/>
        </w:rPr>
        <w:t>Hamas Covenant 1988</w:t>
      </w:r>
      <w:r>
        <w:rPr>
          <w:lang w:val="en-GB"/>
        </w:rPr>
        <w:t>”</w:t>
      </w:r>
      <w:r w:rsidRPr="00856E35">
        <w:rPr>
          <w:lang w:val="en-GB"/>
        </w:rPr>
        <w:t>, </w:t>
      </w:r>
      <w:r w:rsidRPr="00856E35">
        <w:rPr>
          <w:i/>
          <w:iCs/>
          <w:lang w:val="en-GB"/>
        </w:rPr>
        <w:t>Avalon.Law.Yale.Edu</w:t>
      </w:r>
      <w:r w:rsidRPr="00856E35">
        <w:rPr>
          <w:lang w:val="en-GB"/>
        </w:rPr>
        <w:t>, 1988 &lt;https://avalon.law.yale.edu/20th_century/hamas.asp&gt; [Accessed 9 September 2021].</w:t>
      </w:r>
    </w:p>
  </w:footnote>
  <w:footnote w:id="642">
    <w:p w14:paraId="662EC883" w14:textId="379BA6CB" w:rsidR="00063791" w:rsidRPr="00063791" w:rsidRDefault="00063791" w:rsidP="00063791">
      <w:pPr>
        <w:pStyle w:val="FootnoteText"/>
        <w:rPr>
          <w:lang w:val="en-GB"/>
        </w:rPr>
      </w:pPr>
      <w:r>
        <w:rPr>
          <w:rStyle w:val="FootnoteReference"/>
        </w:rPr>
        <w:footnoteRef/>
      </w:r>
      <w:r>
        <w:t xml:space="preserve"> </w:t>
      </w:r>
      <w:r w:rsidRPr="00063791">
        <w:rPr>
          <w:lang w:val="en-GB"/>
        </w:rPr>
        <w:t>Dimitris Bouris, </w:t>
      </w:r>
      <w:r w:rsidRPr="00063791">
        <w:rPr>
          <w:i/>
          <w:iCs/>
          <w:lang w:val="en-GB"/>
        </w:rPr>
        <w:t>The European Union And Occupied Palestinian Territories: State-Building Without A State</w:t>
      </w:r>
      <w:r w:rsidRPr="00063791">
        <w:rPr>
          <w:lang w:val="en-GB"/>
        </w:rPr>
        <w:t> (Abingdon: Routledge, 2014), p. 54.</w:t>
      </w:r>
    </w:p>
    <w:p w14:paraId="18075790" w14:textId="2BCF27B4" w:rsidR="00063791" w:rsidRPr="00063791" w:rsidRDefault="00063791">
      <w:pPr>
        <w:pStyle w:val="FootnoteText"/>
        <w:rPr>
          <w:lang w:val="en-GB"/>
        </w:rPr>
      </w:pPr>
    </w:p>
  </w:footnote>
  <w:footnote w:id="643">
    <w:p w14:paraId="22B7FD0F" w14:textId="2C1A6DC0" w:rsidR="00842CBF" w:rsidRPr="00BD503F" w:rsidRDefault="00842CBF">
      <w:pPr>
        <w:pStyle w:val="FootnoteText"/>
        <w:rPr>
          <w:lang w:val="en-GB"/>
        </w:rPr>
      </w:pPr>
      <w:r>
        <w:rPr>
          <w:rStyle w:val="FootnoteReference"/>
        </w:rPr>
        <w:footnoteRef/>
      </w:r>
      <w:r>
        <w:t xml:space="preserve"> </w:t>
      </w:r>
      <w:r>
        <w:rPr>
          <w:lang w:val="en-GB"/>
        </w:rPr>
        <w:t>Erakat, Location 4079.</w:t>
      </w:r>
    </w:p>
  </w:footnote>
  <w:footnote w:id="644">
    <w:p w14:paraId="4A0B4F03" w14:textId="0C1C1488" w:rsidR="00BD503F" w:rsidRPr="00160BF6" w:rsidRDefault="00BD503F">
      <w:pPr>
        <w:pStyle w:val="FootnoteText"/>
        <w:rPr>
          <w:lang w:val="en-GB"/>
        </w:rPr>
      </w:pPr>
      <w:r>
        <w:rPr>
          <w:rStyle w:val="FootnoteReference"/>
        </w:rPr>
        <w:footnoteRef/>
      </w:r>
      <w:r>
        <w:t xml:space="preserve"> </w:t>
      </w:r>
      <w:r w:rsidR="00160BF6">
        <w:rPr>
          <w:lang w:val="en-GB"/>
        </w:rPr>
        <w:t>“</w:t>
      </w:r>
      <w:r w:rsidRPr="00BD503F">
        <w:rPr>
          <w:lang w:val="en-GB"/>
        </w:rPr>
        <w:t>Palestine (State Of) 2020 Archives</w:t>
      </w:r>
      <w:r w:rsidR="00160BF6">
        <w:rPr>
          <w:lang w:val="en-GB"/>
        </w:rPr>
        <w:t>”</w:t>
      </w:r>
      <w:r w:rsidRPr="00BD503F">
        <w:rPr>
          <w:lang w:val="en-GB"/>
        </w:rPr>
        <w:t>, </w:t>
      </w:r>
      <w:r w:rsidRPr="00BD503F">
        <w:rPr>
          <w:i/>
          <w:iCs/>
          <w:lang w:val="en-GB"/>
        </w:rPr>
        <w:t>Amnesty International</w:t>
      </w:r>
      <w:r w:rsidRPr="00BD503F">
        <w:rPr>
          <w:lang w:val="en-GB"/>
        </w:rPr>
        <w:t>, 2021 &lt;https://www.amnesty.org/en/location/middle-east-and-north-africa/palestine-state-of/report-palestine-state-of/&gt; [Accessed 12 September 2021].</w:t>
      </w:r>
    </w:p>
  </w:footnote>
  <w:footnote w:id="645">
    <w:p w14:paraId="6BA384EA" w14:textId="16EBF350" w:rsidR="00160BF6" w:rsidRPr="00160BF6" w:rsidRDefault="00160BF6">
      <w:pPr>
        <w:pStyle w:val="FootnoteText"/>
        <w:rPr>
          <w:lang w:val="en-GB"/>
        </w:rPr>
      </w:pPr>
      <w:r>
        <w:rPr>
          <w:rStyle w:val="FootnoteReference"/>
        </w:rPr>
        <w:footnoteRef/>
      </w:r>
      <w:r>
        <w:t xml:space="preserve"> </w:t>
      </w:r>
      <w:r w:rsidRPr="00160BF6">
        <w:t xml:space="preserve">United Nations Office for the Coordination of Humanitarian Affairs, ‘Data on Casualties’, </w:t>
      </w:r>
      <w:r w:rsidRPr="00160BF6">
        <w:rPr>
          <w:i/>
        </w:rPr>
        <w:t>Occupied Palestinian Territory</w:t>
      </w:r>
      <w:r w:rsidRPr="00160BF6">
        <w:t xml:space="preserve"> &lt;https://www.ochaopt.org/data/casualties&gt; [accessed </w:t>
      </w:r>
      <w:r>
        <w:t>10</w:t>
      </w:r>
      <w:r w:rsidRPr="00160BF6">
        <w:t xml:space="preserve"> </w:t>
      </w:r>
      <w:r>
        <w:t>October</w:t>
      </w:r>
      <w:r w:rsidRPr="00160BF6">
        <w:t xml:space="preserve"> 202</w:t>
      </w:r>
      <w:r>
        <w:t>1</w:t>
      </w:r>
      <w:r w:rsidRPr="00160BF6">
        <w:t>].</w:t>
      </w:r>
    </w:p>
  </w:footnote>
  <w:footnote w:id="646">
    <w:p w14:paraId="51E5B8EB"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Alan M. Dershowitz, ‘Ten Reasons Why BDS Is Immoral and Hinders Peace’, </w:t>
      </w:r>
      <w:r w:rsidRPr="00FC331F">
        <w:rPr>
          <w:i/>
          <w:color w:val="000000" w:themeColor="text1"/>
          <w:sz w:val="20"/>
          <w:szCs w:val="20"/>
        </w:rPr>
        <w:t>Haaretz</w:t>
      </w:r>
      <w:r w:rsidRPr="00FC331F">
        <w:rPr>
          <w:color w:val="000000" w:themeColor="text1"/>
          <w:sz w:val="20"/>
          <w:szCs w:val="20"/>
        </w:rPr>
        <w:t xml:space="preserve"> &lt;https://www.haaretz.com/opinion/.premium-ten-reasons-why-bds-is-immoral-1.5321568&gt; [accessed 27 November 2020].</w:t>
      </w:r>
    </w:p>
  </w:footnote>
  <w:footnote w:id="647">
    <w:p w14:paraId="74F3F75E" w14:textId="77777777" w:rsidR="00736D5A" w:rsidRPr="00FC331F" w:rsidRDefault="00736D5A" w:rsidP="00FC331F">
      <w:pPr>
        <w:spacing w:line="276" w:lineRule="auto"/>
        <w:rPr>
          <w:b/>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‘What Is BDS?’, </w:t>
      </w:r>
      <w:r w:rsidRPr="00FC331F">
        <w:rPr>
          <w:i/>
          <w:color w:val="000000" w:themeColor="text1"/>
          <w:sz w:val="20"/>
          <w:szCs w:val="20"/>
        </w:rPr>
        <w:t>BDS Movement</w:t>
      </w:r>
      <w:r w:rsidRPr="00FC331F">
        <w:rPr>
          <w:color w:val="000000" w:themeColor="text1"/>
          <w:sz w:val="20"/>
          <w:szCs w:val="20"/>
        </w:rPr>
        <w:t xml:space="preserve">, 2016 &lt;https://bdsmovement.net/what-is-bds&gt; [accessed 27 November 2020]; Resolution 194 states that ‘refugees wishing to return to their homes and live at peace with their neighbours should be permitted to do so at the earliest practicable date, and that compensation should be paid for the property of those choosing not to return and for loss of or damage to property which, under principles of international law or equity, should be made good by the Governments or authorities responsible’, ‘Resolution 194’, </w:t>
      </w:r>
      <w:r w:rsidRPr="00FC331F">
        <w:rPr>
          <w:i/>
          <w:color w:val="000000" w:themeColor="text1"/>
          <w:sz w:val="20"/>
          <w:szCs w:val="20"/>
        </w:rPr>
        <w:t>UNRWA</w:t>
      </w:r>
      <w:r w:rsidRPr="00FC331F">
        <w:rPr>
          <w:color w:val="000000" w:themeColor="text1"/>
          <w:sz w:val="20"/>
          <w:szCs w:val="20"/>
        </w:rPr>
        <w:t xml:space="preserve"> &lt;https://www.unrwa.org/content/resolution-194&gt; [accessed 27 November 2020].</w:t>
      </w:r>
    </w:p>
  </w:footnote>
  <w:footnote w:id="648">
    <w:p w14:paraId="4E65D5D9" w14:textId="77777777" w:rsidR="00736D5A" w:rsidRPr="00FC331F" w:rsidRDefault="00736D5A" w:rsidP="00FC331F">
      <w:pPr>
        <w:spacing w:line="276" w:lineRule="auto"/>
        <w:rPr>
          <w:b/>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‘Israel’s Settlements Have No Legal Validity, Constitute Flagrant Violation of International Law, Security Council Reaffirms | Meetings Coverage and Press Releases’ &lt;https://www.un.org/press/en/2016/sc12657.doc.htm&gt; [accessed 27 November 2020]; ‘Latest Developments | Legal Consequences of the Construction of a Wall in the Occupied Palestinian Territory | International Court of Justice’ &lt;https://www.icj-cij.org/en/case/131&gt; [accessed 27 November 2020].</w:t>
      </w:r>
    </w:p>
  </w:footnote>
  <w:footnote w:id="649">
    <w:p w14:paraId="5BFF0FD9"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‘Discriminatory Laws in Israel - Adalah’ &lt;https://www.adalah.org/en/law/index?page=4&gt; [accessed 27 November 2020].</w:t>
      </w:r>
    </w:p>
  </w:footnote>
  <w:footnote w:id="650">
    <w:p w14:paraId="630FD86A"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‘Resolution 194’, p. 194.</w:t>
      </w:r>
    </w:p>
  </w:footnote>
  <w:footnote w:id="651">
    <w:p w14:paraId="71EE3984"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‘What Is BDS?’</w:t>
      </w:r>
    </w:p>
  </w:footnote>
  <w:footnote w:id="652">
    <w:p w14:paraId="5B216314"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‘Israel Okays $72 Million Anti-BDS Project | The Times of Israel’ &lt;https://www.timesofisrael.com/israel-okays-72-million-anti-bds-project/&gt; [accessed 27 November 2020].</w:t>
      </w:r>
    </w:p>
  </w:footnote>
  <w:footnote w:id="653">
    <w:p w14:paraId="2AE2E649"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‘State Anti-BDS Legislation’ &lt;https://www.jewishvirtuallibrary.org/anti-bds-legislation&gt; [accessed 27 November 2020].</w:t>
      </w:r>
    </w:p>
  </w:footnote>
  <w:footnote w:id="654">
    <w:p w14:paraId="5DA94733"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‘Opinion: Boris Johnson’s BDS Bill Brings Britain Closer to America and Israel Further from Peace’, </w:t>
      </w:r>
      <w:r w:rsidRPr="00FC331F">
        <w:rPr>
          <w:i/>
          <w:color w:val="000000" w:themeColor="text1"/>
          <w:sz w:val="20"/>
          <w:szCs w:val="20"/>
        </w:rPr>
        <w:t>The Independent</w:t>
      </w:r>
      <w:r w:rsidRPr="00FC331F">
        <w:rPr>
          <w:color w:val="000000" w:themeColor="text1"/>
          <w:sz w:val="20"/>
          <w:szCs w:val="20"/>
        </w:rPr>
        <w:t>, 2020 &lt;https://www.independent.co.uk/voices/bds-boris-johnson-israel-palestine-boycott-occupation-netanyahu-a9268721.html&gt; [accessed 27 November 2020].</w:t>
      </w:r>
    </w:p>
  </w:footnote>
  <w:footnote w:id="655">
    <w:p w14:paraId="67A0F3DE" w14:textId="5ADCD872" w:rsidR="00736D5A" w:rsidRPr="00FC331F" w:rsidRDefault="00736D5A" w:rsidP="00E82020">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 form of law where a consistent behavioural pattern between states becomes legally arguable due to the continued existence of this very pattern, as well as due to a lack of protest specifically targeting this behaviour. An example is the use of pre-emptive military force, which has become legally arguable due to its consistent use as a means of self-</w:t>
      </w:r>
      <w:r w:rsidRPr="00E82020">
        <w:rPr>
          <w:color w:val="000000" w:themeColor="text1"/>
          <w:sz w:val="20"/>
          <w:szCs w:val="20"/>
          <w:lang w:val="en-GB"/>
        </w:rPr>
        <w:t>defence</w:t>
      </w:r>
      <w:r w:rsidRPr="00FC331F">
        <w:rPr>
          <w:color w:val="000000" w:themeColor="text1"/>
          <w:sz w:val="20"/>
          <w:szCs w:val="20"/>
        </w:rPr>
        <w:t>.</w:t>
      </w:r>
    </w:p>
  </w:footnote>
  <w:footnote w:id="656">
    <w:p w14:paraId="1613F732" w14:textId="40B392D2" w:rsidR="00736D5A" w:rsidRPr="00511FED" w:rsidRDefault="00736D5A">
      <w:pPr>
        <w:pStyle w:val="FootnoteText"/>
        <w:rPr>
          <w:lang w:val="en-GB"/>
        </w:rPr>
      </w:pPr>
      <w:r>
        <w:rPr>
          <w:rStyle w:val="FootnoteReference"/>
        </w:rPr>
        <w:footnoteRef/>
      </w:r>
      <w:r>
        <w:t xml:space="preserve"> </w:t>
      </w:r>
      <w:r>
        <w:rPr>
          <w:lang w:val="en-GB"/>
        </w:rPr>
        <w:t>Dershowitz.</w:t>
      </w:r>
    </w:p>
  </w:footnote>
  <w:footnote w:id="657">
    <w:p w14:paraId="5CD44783" w14:textId="5C17A2B8" w:rsidR="00736D5A" w:rsidRPr="00511FED" w:rsidRDefault="00736D5A">
      <w:pPr>
        <w:pStyle w:val="FootnoteText"/>
        <w:rPr>
          <w:lang w:val="en-GB"/>
        </w:rPr>
      </w:pPr>
      <w:r>
        <w:rPr>
          <w:rStyle w:val="FootnoteReference"/>
        </w:rPr>
        <w:footnoteRef/>
      </w:r>
      <w:r>
        <w:t xml:space="preserve"> </w:t>
      </w:r>
      <w:r>
        <w:rPr>
          <w:lang w:val="en-GB"/>
        </w:rPr>
        <w:t>Dershowitz.</w:t>
      </w:r>
    </w:p>
  </w:footnote>
  <w:footnote w:id="658">
    <w:p w14:paraId="79AE2025"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Hussein Agha and Robert Malley, ‘Camp David: The Tragedy of Errors’ &lt;https://www.nybooks.com/articles/2001/08/09/camp-david-the-tragedy-of-errors/&gt; [accessed 30 November 2020].</w:t>
      </w:r>
    </w:p>
  </w:footnote>
  <w:footnote w:id="659">
    <w:p w14:paraId="281416F7"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Jeremy Pressman, ‘Visions in Collision: What Happened at Camp David and Taba?’, </w:t>
      </w:r>
      <w:r w:rsidRPr="00FC331F">
        <w:rPr>
          <w:i/>
          <w:color w:val="000000" w:themeColor="text1"/>
          <w:sz w:val="20"/>
          <w:szCs w:val="20"/>
        </w:rPr>
        <w:t>Belfer Center for Science and International Affairs</w:t>
      </w:r>
      <w:r w:rsidRPr="00FC331F">
        <w:rPr>
          <w:color w:val="000000" w:themeColor="text1"/>
          <w:sz w:val="20"/>
          <w:szCs w:val="20"/>
        </w:rPr>
        <w:t>, Quarterly Journal: International Security, 28.2 (2003), 5–43 (p. 17).</w:t>
      </w:r>
    </w:p>
  </w:footnote>
  <w:footnote w:id="660">
    <w:p w14:paraId="25C1CE62"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Gilead Sher, </w:t>
      </w:r>
      <w:r w:rsidRPr="00FC331F">
        <w:rPr>
          <w:i/>
          <w:color w:val="000000" w:themeColor="text1"/>
          <w:sz w:val="20"/>
          <w:szCs w:val="20"/>
        </w:rPr>
        <w:t>The Israeli-Palestinian Peace Negotiations, 1999-2001: Within Reach</w:t>
      </w:r>
      <w:r w:rsidRPr="00FC331F">
        <w:rPr>
          <w:color w:val="000000" w:themeColor="text1"/>
          <w:sz w:val="20"/>
          <w:szCs w:val="20"/>
        </w:rPr>
        <w:t xml:space="preserve"> (Psychology Press, 2006), p. 70.</w:t>
      </w:r>
    </w:p>
  </w:footnote>
  <w:footnote w:id="661">
    <w:p w14:paraId="1717587A"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Aluf Benn, ‘PA Rejects Olmert’s Offer to Withdraw from 93% of West Bank’, </w:t>
      </w:r>
      <w:r w:rsidRPr="00FC331F">
        <w:rPr>
          <w:i/>
          <w:color w:val="000000" w:themeColor="text1"/>
          <w:sz w:val="20"/>
          <w:szCs w:val="20"/>
        </w:rPr>
        <w:t>Haaretz</w:t>
      </w:r>
      <w:r w:rsidRPr="00FC331F">
        <w:rPr>
          <w:color w:val="000000" w:themeColor="text1"/>
          <w:sz w:val="20"/>
          <w:szCs w:val="20"/>
        </w:rPr>
        <w:t xml:space="preserve"> &lt;https://www.haaretz.com/1.5014018?v=1606754970017&gt; [accessed 30 November 2020].</w:t>
      </w:r>
    </w:p>
  </w:footnote>
  <w:footnote w:id="662">
    <w:p w14:paraId="75A9EFBF"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Nathan Thrall, ‘What Future for Israel?’ &lt;https://www.nybooks.com/articles/2013/08/15/what-future-israel/&gt; [accessed 30 November 2020].</w:t>
      </w:r>
    </w:p>
  </w:footnote>
  <w:footnote w:id="663">
    <w:p w14:paraId="135F71C5" w14:textId="4A52E41A"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Erakat, Location 1587.</w:t>
      </w:r>
    </w:p>
  </w:footnote>
  <w:footnote w:id="664">
    <w:p w14:paraId="655D514C" w14:textId="637DFE52" w:rsidR="00736D5A" w:rsidRPr="00511FED" w:rsidRDefault="00736D5A">
      <w:pPr>
        <w:pStyle w:val="FootnoteText"/>
        <w:rPr>
          <w:lang w:val="en-GB"/>
        </w:rPr>
      </w:pPr>
      <w:r>
        <w:rPr>
          <w:rStyle w:val="FootnoteReference"/>
        </w:rPr>
        <w:footnoteRef/>
      </w:r>
      <w:r>
        <w:t xml:space="preserve"> </w:t>
      </w:r>
      <w:r>
        <w:rPr>
          <w:lang w:val="en-GB"/>
        </w:rPr>
        <w:t>Dershowitz.</w:t>
      </w:r>
    </w:p>
  </w:footnote>
  <w:footnote w:id="665">
    <w:p w14:paraId="2D73CBBF" w14:textId="5BB88DB9" w:rsidR="00736D5A" w:rsidRPr="00093B5F" w:rsidRDefault="00736D5A">
      <w:pPr>
        <w:pStyle w:val="FootnoteText"/>
        <w:rPr>
          <w:lang w:val="en-GB"/>
        </w:rPr>
      </w:pPr>
      <w:r>
        <w:rPr>
          <w:rStyle w:val="FootnoteReference"/>
        </w:rPr>
        <w:footnoteRef/>
      </w:r>
      <w:r>
        <w:t xml:space="preserve"> </w:t>
      </w:r>
      <w:r w:rsidRPr="00FC331F">
        <w:rPr>
          <w:color w:val="000000" w:themeColor="text1"/>
        </w:rPr>
        <w:t xml:space="preserve">David M. Halbfinger, Michael Wines, and Steven Erlanger, ‘Is B.D.S. Anti-Semitic? A Closer Look at the Boycott Israel Campaign’, </w:t>
      </w:r>
      <w:r w:rsidRPr="00FC331F">
        <w:rPr>
          <w:i/>
          <w:color w:val="000000" w:themeColor="text1"/>
        </w:rPr>
        <w:t>The New York Times</w:t>
      </w:r>
      <w:r w:rsidRPr="00FC331F">
        <w:rPr>
          <w:color w:val="000000" w:themeColor="text1"/>
        </w:rPr>
        <w:t>, 27 July 2019, section World &lt;https://www.nytimes.com/2019/07/27/world/middleeast/bds-israel-boycott-antisemitic.html&gt; [accessed 30 November 2020].</w:t>
      </w:r>
    </w:p>
  </w:footnote>
  <w:footnote w:id="666">
    <w:p w14:paraId="4F9C3DF3" w14:textId="77777777" w:rsidR="00736D5A" w:rsidRPr="00FC331F" w:rsidRDefault="00736D5A" w:rsidP="00FC331F">
      <w:pPr>
        <w:spacing w:line="276" w:lineRule="auto"/>
        <w:rPr>
          <w:b/>
          <w:color w:val="000000" w:themeColor="text1"/>
          <w:sz w:val="20"/>
          <w:szCs w:val="20"/>
        </w:rPr>
      </w:pPr>
      <w:r w:rsidRPr="00FC331F">
        <w:rPr>
          <w:color w:val="000000" w:themeColor="text1"/>
          <w:sz w:val="20"/>
          <w:szCs w:val="20"/>
          <w:vertAlign w:val="superscript"/>
        </w:rPr>
        <w:footnoteRef/>
      </w:r>
      <w:r w:rsidRPr="00DA6964">
        <w:rPr>
          <w:color w:val="000000" w:themeColor="text1"/>
          <w:sz w:val="20"/>
          <w:szCs w:val="20"/>
        </w:rPr>
        <w:t xml:space="preserve"> Ben White, ‘Dialogue vs. BDS? </w:t>
      </w:r>
      <w:r w:rsidRPr="00FC331F">
        <w:rPr>
          <w:color w:val="000000" w:themeColor="text1"/>
          <w:sz w:val="20"/>
          <w:szCs w:val="20"/>
        </w:rPr>
        <w:t xml:space="preserve">Responding to Arguments against an Academic Boycott of Israel’, </w:t>
      </w:r>
      <w:r w:rsidRPr="00FC331F">
        <w:rPr>
          <w:i/>
          <w:color w:val="000000" w:themeColor="text1"/>
          <w:sz w:val="20"/>
          <w:szCs w:val="20"/>
        </w:rPr>
        <w:t>Middle East Monitor</w:t>
      </w:r>
      <w:r w:rsidRPr="00FC331F">
        <w:rPr>
          <w:color w:val="000000" w:themeColor="text1"/>
          <w:sz w:val="20"/>
          <w:szCs w:val="20"/>
        </w:rPr>
        <w:t>, 2015 &lt;https://www.middleeastmonitor.com/20151106-dialogue-vs-bds-responding-to-arguments-against-an-academic-boycott-of-israel/&gt; [accessed 25 February 2021].</w:t>
      </w:r>
    </w:p>
  </w:footnote>
  <w:footnote w:id="667">
    <w:p w14:paraId="523557BD" w14:textId="443C8E28" w:rsidR="00736D5A" w:rsidRPr="00093B5F" w:rsidRDefault="00736D5A">
      <w:pPr>
        <w:pStyle w:val="FootnoteText"/>
        <w:rPr>
          <w:lang w:val="en-GB"/>
        </w:rPr>
      </w:pPr>
      <w:r>
        <w:rPr>
          <w:rStyle w:val="FootnoteReference"/>
        </w:rPr>
        <w:footnoteRef/>
      </w:r>
      <w:r>
        <w:t xml:space="preserve"> </w:t>
      </w:r>
      <w:r>
        <w:rPr>
          <w:lang w:val="en-GB"/>
        </w:rPr>
        <w:t>Dershowitz.</w:t>
      </w:r>
    </w:p>
  </w:footnote>
  <w:footnote w:id="668">
    <w:p w14:paraId="380173A3" w14:textId="7EB01E9E"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‘What Is BDS?’</w:t>
      </w:r>
    </w:p>
  </w:footnote>
  <w:footnote w:id="669">
    <w:p w14:paraId="6D80C893" w14:textId="312B3151" w:rsidR="00736D5A" w:rsidRPr="00093B5F" w:rsidRDefault="00736D5A">
      <w:pPr>
        <w:pStyle w:val="FootnoteText"/>
        <w:rPr>
          <w:lang w:val="en-GB"/>
        </w:rPr>
      </w:pPr>
      <w:r>
        <w:rPr>
          <w:rStyle w:val="FootnoteReference"/>
        </w:rPr>
        <w:footnoteRef/>
      </w:r>
      <w:r>
        <w:t xml:space="preserve"> </w:t>
      </w:r>
      <w:r>
        <w:rPr>
          <w:lang w:val="en-GB"/>
        </w:rPr>
        <w:t>Dershowitz.</w:t>
      </w:r>
    </w:p>
  </w:footnote>
  <w:footnote w:id="670">
    <w:p w14:paraId="2ABDFE52"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Ali Abunimah, ‘Palestinian Writers, Activists Disavow Racism, Anti-Semitism of Gilad Atzmon’, </w:t>
      </w:r>
      <w:r w:rsidRPr="00FC331F">
        <w:rPr>
          <w:i/>
          <w:color w:val="000000" w:themeColor="text1"/>
          <w:sz w:val="20"/>
          <w:szCs w:val="20"/>
        </w:rPr>
        <w:t>The Electronic Intifada</w:t>
      </w:r>
      <w:r w:rsidRPr="00FC331F">
        <w:rPr>
          <w:color w:val="000000" w:themeColor="text1"/>
          <w:sz w:val="20"/>
          <w:szCs w:val="20"/>
        </w:rPr>
        <w:t>, 2012 &lt;https://electronicintifada.net/blogs/ali-abunimah/palestinian-writers-activists-disavow-racism-anti-semitism-gilad-atzmon&gt; [accessed 2 December 2020].</w:t>
      </w:r>
    </w:p>
  </w:footnote>
  <w:footnote w:id="671">
    <w:p w14:paraId="55D25BEA"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‘“Who Needs so Many Arabs?” Meet the Man Tasked with Improving Israel’s Ties with the Jewish Diaspora’, </w:t>
      </w:r>
      <w:r w:rsidRPr="00FC331F">
        <w:rPr>
          <w:i/>
          <w:color w:val="000000" w:themeColor="text1"/>
          <w:sz w:val="20"/>
          <w:szCs w:val="20"/>
        </w:rPr>
        <w:t>Haaretz</w:t>
      </w:r>
      <w:r w:rsidRPr="00FC331F">
        <w:rPr>
          <w:color w:val="000000" w:themeColor="text1"/>
          <w:sz w:val="20"/>
          <w:szCs w:val="20"/>
        </w:rPr>
        <w:t xml:space="preserve"> &lt;https://www.haaretz.com/israel-news/.premium-meet-the-man-tasked-with-improving-israel-s-ties-with-the-jewish-diaspora-1.9269883&gt; [accessed 2 December 2020].</w:t>
      </w:r>
    </w:p>
  </w:footnote>
  <w:footnote w:id="672">
    <w:p w14:paraId="021D0ED5"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Nathan Thrall, ‘BDS: How a Controversial Non-Violent Movement Has Transformed the Israeli-Palestinian Debate’, </w:t>
      </w:r>
      <w:r w:rsidRPr="00FC331F">
        <w:rPr>
          <w:i/>
          <w:color w:val="000000" w:themeColor="text1"/>
          <w:sz w:val="20"/>
          <w:szCs w:val="20"/>
        </w:rPr>
        <w:t>The Guardian</w:t>
      </w:r>
      <w:r w:rsidRPr="00FC331F">
        <w:rPr>
          <w:color w:val="000000" w:themeColor="text1"/>
          <w:sz w:val="20"/>
          <w:szCs w:val="20"/>
        </w:rPr>
        <w:t>, 14 August 2018 &lt;https://www.theguardian.com/news/2018/aug/14/bds-boycott-divestment-sanctions-movement-transformed-israeli-palestinian-debate&gt; [accessed 13 July 2020].</w:t>
      </w:r>
    </w:p>
  </w:footnote>
  <w:footnote w:id="673">
    <w:p w14:paraId="2FCEA74B" w14:textId="26DEA3D0"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Thrall, ‘BDS’.</w:t>
      </w:r>
    </w:p>
  </w:footnote>
  <w:footnote w:id="674">
    <w:p w14:paraId="25F4BEA5"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Harvard Law Review Staff, ‘Wielding Antidiscrimination Law to Suppress the Movement for Palestinian Rights’ &lt;https://harvardlawreview.org/2020/02/wielding-antidiscrimination-law-to-suppress-the-movement-for-palestinian-rights/&gt; [accessed 3 December 2020].</w:t>
      </w:r>
    </w:p>
  </w:footnote>
  <w:footnote w:id="675">
    <w:p w14:paraId="3942749E" w14:textId="46A01A22"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Harvard Law Review Staff.</w:t>
      </w:r>
    </w:p>
  </w:footnote>
  <w:footnote w:id="676">
    <w:p w14:paraId="45809F79" w14:textId="365B2F2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Harvard Law Review Staff.</w:t>
      </w:r>
    </w:p>
  </w:footnote>
  <w:footnote w:id="677">
    <w:p w14:paraId="43A0BD8D" w14:textId="5F3B9923" w:rsidR="00736D5A" w:rsidRPr="0010110D" w:rsidRDefault="00736D5A">
      <w:pPr>
        <w:pStyle w:val="FootnoteText"/>
        <w:rPr>
          <w:lang w:val="en-GB"/>
        </w:rPr>
      </w:pPr>
      <w:r>
        <w:rPr>
          <w:rStyle w:val="FootnoteReference"/>
        </w:rPr>
        <w:footnoteRef/>
      </w:r>
      <w:r>
        <w:t xml:space="preserve"> </w:t>
      </w:r>
      <w:r>
        <w:rPr>
          <w:lang w:val="en-GB"/>
        </w:rPr>
        <w:t>Dershowitz.</w:t>
      </w:r>
    </w:p>
  </w:footnote>
  <w:footnote w:id="678">
    <w:p w14:paraId="7272C922"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‘“A Huge and Timely BDS Victory”: Microsoft Divests from Israeli Tech Firm AnyVision’, </w:t>
      </w:r>
      <w:r w:rsidRPr="00FC331F">
        <w:rPr>
          <w:i/>
          <w:color w:val="000000" w:themeColor="text1"/>
          <w:sz w:val="20"/>
          <w:szCs w:val="20"/>
        </w:rPr>
        <w:t>Mondoweiss</w:t>
      </w:r>
      <w:r w:rsidRPr="00FC331F">
        <w:rPr>
          <w:color w:val="000000" w:themeColor="text1"/>
          <w:sz w:val="20"/>
          <w:szCs w:val="20"/>
        </w:rPr>
        <w:t xml:space="preserve">, 2020 &lt;https://mondoweiss.net/2020/03/a-huge-and-timely-bds-victory-microsoft-divests-from-israeli-tech-firm-anyvision/&gt; [accessed 8 December 2020]; ‘Joint Statement by Microsoft &amp; AnyVision – AnyVision Audit’, </w:t>
      </w:r>
      <w:r w:rsidRPr="00FC331F">
        <w:rPr>
          <w:i/>
          <w:color w:val="000000" w:themeColor="text1"/>
          <w:sz w:val="20"/>
          <w:szCs w:val="20"/>
        </w:rPr>
        <w:t>M12</w:t>
      </w:r>
      <w:r w:rsidRPr="00FC331F">
        <w:rPr>
          <w:color w:val="000000" w:themeColor="text1"/>
          <w:sz w:val="20"/>
          <w:szCs w:val="20"/>
        </w:rPr>
        <w:t xml:space="preserve"> &lt;https://m12.vc/news/joint-statement-by-microsoft-anyvision-anyvision-audit/&gt; [accessed 8 December 2020].</w:t>
      </w:r>
    </w:p>
  </w:footnote>
  <w:footnote w:id="679">
    <w:p w14:paraId="389B17EF"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‘Israeli Facial Recognition Co AnyVision Raises $43m’, </w:t>
      </w:r>
      <w:r w:rsidRPr="00FC331F">
        <w:rPr>
          <w:i/>
          <w:color w:val="000000" w:themeColor="text1"/>
          <w:sz w:val="20"/>
          <w:szCs w:val="20"/>
        </w:rPr>
        <w:t>Globes</w:t>
      </w:r>
      <w:r w:rsidRPr="00FC331F">
        <w:rPr>
          <w:color w:val="000000" w:themeColor="text1"/>
          <w:sz w:val="20"/>
          <w:szCs w:val="20"/>
        </w:rPr>
        <w:t>, 9 April 2020, section News &lt;https://en.globes.co.il/en/article-israeli-facial-recognition-co-anyvision-raises-43m-1001341654&gt; [accessed 8 December 2020].</w:t>
      </w:r>
    </w:p>
  </w:footnote>
  <w:footnote w:id="680">
    <w:p w14:paraId="30F20BF5" w14:textId="137C5073" w:rsidR="00736D5A" w:rsidRPr="00DA6964"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DA6964">
        <w:rPr>
          <w:color w:val="000000" w:themeColor="text1"/>
          <w:sz w:val="20"/>
          <w:szCs w:val="20"/>
          <w:vertAlign w:val="superscript"/>
        </w:rPr>
        <w:t xml:space="preserve"> </w:t>
      </w:r>
      <w:r w:rsidRPr="00DA6964">
        <w:rPr>
          <w:color w:val="000000" w:themeColor="text1"/>
          <w:sz w:val="20"/>
          <w:szCs w:val="20"/>
        </w:rPr>
        <w:t>Halbfinger, Wines, and Erlanger.</w:t>
      </w:r>
    </w:p>
  </w:footnote>
  <w:footnote w:id="681">
    <w:p w14:paraId="50C19191" w14:textId="4571F0D0" w:rsidR="00736D5A" w:rsidRPr="00DA6964"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DA6964">
        <w:rPr>
          <w:color w:val="000000" w:themeColor="text1"/>
          <w:sz w:val="20"/>
          <w:szCs w:val="20"/>
        </w:rPr>
        <w:t xml:space="preserve"> Thrall, ‘BDS’.</w:t>
      </w:r>
    </w:p>
  </w:footnote>
  <w:footnote w:id="682">
    <w:p w14:paraId="2CFA402B" w14:textId="6E917182"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Erakat, Location 4641.</w:t>
      </w:r>
    </w:p>
  </w:footnote>
  <w:footnote w:id="683">
    <w:p w14:paraId="177C78F5" w14:textId="77777777" w:rsidR="00736D5A" w:rsidRPr="00FC331F" w:rsidRDefault="00736D5A" w:rsidP="00FC331F">
      <w:pPr>
        <w:spacing w:line="276" w:lineRule="auto"/>
        <w:rPr>
          <w:b/>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Erakat, Location 4653.</w:t>
      </w:r>
    </w:p>
  </w:footnote>
  <w:footnote w:id="684">
    <w:p w14:paraId="078AFCC1" w14:textId="77777777" w:rsidR="00736D5A" w:rsidRPr="00FC331F" w:rsidRDefault="00736D5A" w:rsidP="004B7336">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Thrall, ‘BDS’.</w:t>
      </w:r>
    </w:p>
  </w:footnote>
  <w:footnote w:id="685">
    <w:p w14:paraId="2EADFF88" w14:textId="2F661633"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Thrall, ‘BDS’.</w:t>
      </w:r>
    </w:p>
  </w:footnote>
  <w:footnote w:id="686">
    <w:p w14:paraId="6430C2D2" w14:textId="0FDEC44C"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Thrall, ‘BDS’.</w:t>
      </w:r>
    </w:p>
  </w:footnote>
  <w:footnote w:id="687">
    <w:p w14:paraId="3DAED7E4" w14:textId="64DBE604"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There is little peace between India and Pakistan, or North and South Korea,</w:t>
      </w:r>
      <w:r>
        <w:rPr>
          <w:color w:val="000000" w:themeColor="text1"/>
          <w:sz w:val="20"/>
          <w:szCs w:val="20"/>
        </w:rPr>
        <w:t xml:space="preserve"> </w:t>
      </w:r>
      <w:r w:rsidR="005E79D5">
        <w:rPr>
          <w:color w:val="000000" w:themeColor="text1"/>
          <w:sz w:val="20"/>
          <w:szCs w:val="20"/>
        </w:rPr>
        <w:t>whilst previously hostile</w:t>
      </w:r>
      <w:r>
        <w:rPr>
          <w:color w:val="000000" w:themeColor="text1"/>
          <w:sz w:val="20"/>
          <w:szCs w:val="20"/>
        </w:rPr>
        <w:t xml:space="preserve"> relations between Northern Ireland and the Republic of Ireland are buoyed by freedom of movement and a soft border.</w:t>
      </w:r>
      <w:r w:rsidRPr="00FC331F">
        <w:rPr>
          <w:color w:val="000000" w:themeColor="text1"/>
          <w:sz w:val="20"/>
          <w:szCs w:val="20"/>
        </w:rPr>
        <w:t xml:space="preserve"> </w:t>
      </w:r>
      <w:r>
        <w:rPr>
          <w:color w:val="000000" w:themeColor="text1"/>
          <w:sz w:val="20"/>
          <w:szCs w:val="20"/>
        </w:rPr>
        <w:t>W</w:t>
      </w:r>
      <w:r w:rsidRPr="00FC331F">
        <w:rPr>
          <w:color w:val="000000" w:themeColor="text1"/>
          <w:sz w:val="20"/>
          <w:szCs w:val="20"/>
        </w:rPr>
        <w:t xml:space="preserve">hilst there are examples of division being preferable to turbulent unity, the case of Israel/Palestine is unique since Jewish and Palestinian people lived in harmony for many years prior to </w:t>
      </w:r>
      <w:r w:rsidR="00695F66">
        <w:rPr>
          <w:color w:val="000000" w:themeColor="text1"/>
          <w:sz w:val="20"/>
          <w:szCs w:val="20"/>
        </w:rPr>
        <w:t>British involvement</w:t>
      </w:r>
      <w:r w:rsidRPr="00FC331F">
        <w:rPr>
          <w:color w:val="000000" w:themeColor="text1"/>
          <w:sz w:val="20"/>
          <w:szCs w:val="20"/>
        </w:rPr>
        <w:t>, the massive ingress of post-war Jewish immigrants, and the transference of Palestinian land ownership.</w:t>
      </w:r>
    </w:p>
  </w:footnote>
  <w:footnote w:id="688">
    <w:p w14:paraId="779D2B5A" w14:textId="2F811D42"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Munayyer.</w:t>
      </w:r>
    </w:p>
  </w:footnote>
  <w:footnote w:id="689">
    <w:p w14:paraId="6395209E"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Ghada Karmi, ‘Only One Way Out: A Unitary State with Equal Rights in Palestine-Israel’, </w:t>
      </w:r>
      <w:r w:rsidRPr="00FC331F">
        <w:rPr>
          <w:i/>
          <w:color w:val="000000" w:themeColor="text1"/>
          <w:sz w:val="20"/>
          <w:szCs w:val="20"/>
        </w:rPr>
        <w:t>OpenDemocracy</w:t>
      </w:r>
      <w:r w:rsidRPr="00FC331F">
        <w:rPr>
          <w:color w:val="000000" w:themeColor="text1"/>
          <w:sz w:val="20"/>
          <w:szCs w:val="20"/>
        </w:rPr>
        <w:t xml:space="preserve"> &lt;https://www.opendemocracy.net/en/north-africa-west-asia/only-one-way-out-unitary-state-equal-rights-palestine-israel/&gt; [accessed 14 December 2020].</w:t>
      </w:r>
    </w:p>
  </w:footnote>
  <w:footnote w:id="690">
    <w:p w14:paraId="6B11303A" w14:textId="77777777" w:rsidR="00736D5A" w:rsidRPr="00FC331F" w:rsidRDefault="00736D5A" w:rsidP="00FC331F">
      <w:pPr>
        <w:spacing w:line="276" w:lineRule="auto"/>
        <w:rPr>
          <w:b/>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‘Middle East :: Israel — The World Factbook - Central Intelligence Agency’ &lt;https://www.cia.gov/library/publications/the-world-factbook/geos/is.html&gt; [accessed 14 December 2020]; ‘Middle East :: West Bank — The World Factbook - Central Intelligence Agency’ &lt;https://www.cia.gov/library/publications/the-world-factbook/geos/we.html&gt; [accessed 14 December 2020]; ‘Middle East :: Gaza Strip — The World Factbook - Central Intelligence Agency’ &lt;https://www.cia.gov/library/publications/the-world-factbook/geos/gz.html&gt; [accessed 14 December 2020].</w:t>
      </w:r>
    </w:p>
  </w:footnote>
  <w:footnote w:id="691">
    <w:p w14:paraId="0D741151"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‘Data on Annexation and Populated Land Swaps under the Trump Plan’, </w:t>
      </w:r>
      <w:r w:rsidRPr="00FC331F">
        <w:rPr>
          <w:i/>
          <w:color w:val="000000" w:themeColor="text1"/>
          <w:sz w:val="20"/>
          <w:szCs w:val="20"/>
        </w:rPr>
        <w:t>Peace Now</w:t>
      </w:r>
      <w:r w:rsidRPr="00FC331F">
        <w:rPr>
          <w:color w:val="000000" w:themeColor="text1"/>
          <w:sz w:val="20"/>
          <w:szCs w:val="20"/>
        </w:rPr>
        <w:t>, 2020 &lt;https://peacenow.org.il/en/data-on-annexation-and-populated-land-swaps-under-the-trump-plan&gt; [accessed 22 December 2020].</w:t>
      </w:r>
    </w:p>
  </w:footnote>
  <w:footnote w:id="692">
    <w:p w14:paraId="14B1902D" w14:textId="77777777" w:rsidR="00736D5A" w:rsidRPr="00FC331F" w:rsidRDefault="00736D5A" w:rsidP="007C72B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Beinart, ‘Yavne’.</w:t>
      </w:r>
    </w:p>
  </w:footnote>
  <w:footnote w:id="693">
    <w:p w14:paraId="133CFFDE"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Yousef Munayyer, ‘There Will Be a One-State Solution’, 16 April 2020 &lt;https://www.foreignaffairs.com/articles/israel/2019-10-15/there-will-be-one-state-solution&gt; [accessed 23 October 2020].</w:t>
      </w:r>
    </w:p>
  </w:footnote>
  <w:footnote w:id="694">
    <w:p w14:paraId="2630AA90"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Peter Beinart, ‘Opinion | I No Longer Believe in a Jewish State’, </w:t>
      </w:r>
      <w:r w:rsidRPr="00FC331F">
        <w:rPr>
          <w:i/>
          <w:color w:val="000000" w:themeColor="text1"/>
          <w:sz w:val="20"/>
          <w:szCs w:val="20"/>
        </w:rPr>
        <w:t>The New York Times</w:t>
      </w:r>
      <w:r w:rsidRPr="00FC331F">
        <w:rPr>
          <w:color w:val="000000" w:themeColor="text1"/>
          <w:sz w:val="20"/>
          <w:szCs w:val="20"/>
        </w:rPr>
        <w:t>, 8 July 2020, section Opinion &lt;https://www.nytimes.com/2020/07/08/opinion/israel-annexation-two-state-solution.html&gt; [accessed 19 October 2020].</w:t>
      </w:r>
    </w:p>
  </w:footnote>
  <w:footnote w:id="695">
    <w:p w14:paraId="340C11A8" w14:textId="062F6DA1"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‘Beinart’s Final Solution: End Israel as Nation-State of the Jewish </w:t>
      </w:r>
      <w:r w:rsidRPr="00093B5F">
        <w:rPr>
          <w:color w:val="000000" w:themeColor="text1"/>
          <w:sz w:val="20"/>
          <w:szCs w:val="20"/>
          <w:lang w:val="en-GB"/>
        </w:rPr>
        <w:t>People | Opinion | Alan Dershowitz</w:t>
      </w:r>
      <w:r w:rsidRPr="00FC331F">
        <w:rPr>
          <w:color w:val="000000" w:themeColor="text1"/>
          <w:sz w:val="20"/>
          <w:szCs w:val="20"/>
        </w:rPr>
        <w:t xml:space="preserve">’, </w:t>
      </w:r>
      <w:r w:rsidRPr="00FC331F">
        <w:rPr>
          <w:i/>
          <w:color w:val="000000" w:themeColor="text1"/>
          <w:sz w:val="20"/>
          <w:szCs w:val="20"/>
        </w:rPr>
        <w:t>Newsweek</w:t>
      </w:r>
      <w:r w:rsidRPr="00FC331F">
        <w:rPr>
          <w:color w:val="000000" w:themeColor="text1"/>
          <w:sz w:val="20"/>
          <w:szCs w:val="20"/>
        </w:rPr>
        <w:t>, 2020 &lt;https://www.newsweek.com/beinarts-final-solution-end-israel-nation-state-jewish-people-opinion-1517437&gt; [accessed 15 December 2020].</w:t>
      </w:r>
    </w:p>
  </w:footnote>
  <w:footnote w:id="696">
    <w:p w14:paraId="4E0E2E7A"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Khalil Shikaki, ‘Do Palestinians Still Support the Two-State Solution?’, 17 September 2018 &lt;https://www.foreignaffairs.com/articles/middle-east/2018-09-12/do-palestinians-still-support-two-state-solution&gt; [accessed 16 December 2020].</w:t>
      </w:r>
    </w:p>
  </w:footnote>
  <w:footnote w:id="697">
    <w:p w14:paraId="1119CD00"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Eid, in Thrall, ‘BDS’.</w:t>
      </w:r>
    </w:p>
  </w:footnote>
  <w:footnote w:id="698">
    <w:p w14:paraId="25DA21D6" w14:textId="53B2F10B"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Beinart, ‘Opinion | I No Longer Believe in a Jewish State’.</w:t>
      </w:r>
    </w:p>
  </w:footnote>
  <w:footnote w:id="699">
    <w:p w14:paraId="3C50E85B" w14:textId="1EFC779C"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Beinart, ‘Yavne’.</w:t>
      </w:r>
    </w:p>
  </w:footnote>
  <w:footnote w:id="700">
    <w:p w14:paraId="06EECE31" w14:textId="58DC325F"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Beinart, ‘Yavne’.</w:t>
      </w:r>
    </w:p>
  </w:footnote>
  <w:footnote w:id="701">
    <w:p w14:paraId="1268ED31" w14:textId="5B0519FA"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Munayyer.</w:t>
      </w:r>
    </w:p>
  </w:footnote>
  <w:footnote w:id="702">
    <w:p w14:paraId="5E603DE7" w14:textId="5045D359"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Beinart, ‘Yavne’.</w:t>
      </w:r>
    </w:p>
  </w:footnote>
  <w:footnote w:id="703">
    <w:p w14:paraId="2D339D3D" w14:textId="3866DC32"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Munayyer.</w:t>
      </w:r>
    </w:p>
  </w:footnote>
  <w:footnote w:id="704">
    <w:p w14:paraId="3023EA3A" w14:textId="12A9BFF1"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Beinart, ‘Yavne’.</w:t>
      </w:r>
    </w:p>
  </w:footnote>
  <w:footnote w:id="705">
    <w:p w14:paraId="6CDD8E55"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Mairav Zonszein, ‘Binyamin Netanyahu: “Arab Voters Are Heading to the Polling Stations in Droves”’, </w:t>
      </w:r>
      <w:r w:rsidRPr="00FC331F">
        <w:rPr>
          <w:i/>
          <w:color w:val="000000" w:themeColor="text1"/>
          <w:sz w:val="20"/>
          <w:szCs w:val="20"/>
        </w:rPr>
        <w:t>The Guardian</w:t>
      </w:r>
      <w:r w:rsidRPr="00FC331F">
        <w:rPr>
          <w:color w:val="000000" w:themeColor="text1"/>
          <w:sz w:val="20"/>
          <w:szCs w:val="20"/>
        </w:rPr>
        <w:t>, 2015 &lt;http://www.theguardian.com/world/2015/mar/17/binyamin-netanyahu-israel-arab-election&gt; [accessed 16 December 2020].</w:t>
      </w:r>
    </w:p>
  </w:footnote>
  <w:footnote w:id="706">
    <w:p w14:paraId="0AAA35DD" w14:textId="7685808A"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Munayyer.</w:t>
      </w:r>
    </w:p>
  </w:footnote>
  <w:footnote w:id="707">
    <w:p w14:paraId="3EE110D0" w14:textId="15E9F198"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Beinart, ‘Yavne’.</w:t>
      </w:r>
    </w:p>
  </w:footnote>
  <w:footnote w:id="708">
    <w:p w14:paraId="5B4ED7DF" w14:textId="393289AA"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Munayyer.</w:t>
      </w:r>
    </w:p>
  </w:footnote>
  <w:footnote w:id="709">
    <w:p w14:paraId="7ABC7DD2"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Gilead Sher, in Edward P. Djerejian, Marwan Muasher, and Nathan J. Brown, ‘Two States or One? Reappraising the Israeli-Palestinian Impasse’ (Rice University’s Baker Institute for Public Policy and Carnegie Endowment for International Peace, 2018), p. 9.</w:t>
      </w:r>
    </w:p>
  </w:footnote>
  <w:footnote w:id="710">
    <w:p w14:paraId="1F672869" w14:textId="1DAFEB8D" w:rsidR="00736D5A" w:rsidRPr="001C087B" w:rsidRDefault="00736D5A">
      <w:pPr>
        <w:pStyle w:val="FootnoteText"/>
        <w:rPr>
          <w:lang w:val="en-GB"/>
        </w:rPr>
      </w:pPr>
      <w:r>
        <w:rPr>
          <w:rStyle w:val="FootnoteReference"/>
        </w:rPr>
        <w:footnoteRef/>
      </w:r>
      <w:r>
        <w:t xml:space="preserve"> </w:t>
      </w:r>
      <w:r>
        <w:rPr>
          <w:lang w:val="en-GB"/>
        </w:rPr>
        <w:t xml:space="preserve">Sher, in </w:t>
      </w:r>
      <w:r w:rsidRPr="00FC331F">
        <w:rPr>
          <w:color w:val="000000" w:themeColor="text1"/>
        </w:rPr>
        <w:t>Djerejian, Muasher, and Brown, p. 1</w:t>
      </w:r>
      <w:r>
        <w:rPr>
          <w:color w:val="000000" w:themeColor="text1"/>
        </w:rPr>
        <w:t>0</w:t>
      </w:r>
      <w:r w:rsidRPr="00FC331F">
        <w:rPr>
          <w:color w:val="000000" w:themeColor="text1"/>
        </w:rPr>
        <w:t>.</w:t>
      </w:r>
    </w:p>
  </w:footnote>
  <w:footnote w:id="711">
    <w:p w14:paraId="2C33CC23" w14:textId="7B5EDD03" w:rsidR="00736D5A" w:rsidRPr="00DA6964"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DA6964">
        <w:rPr>
          <w:color w:val="000000" w:themeColor="text1"/>
          <w:sz w:val="20"/>
          <w:szCs w:val="20"/>
        </w:rPr>
        <w:t xml:space="preserve"> Beinart, ‘Yavne’.</w:t>
      </w:r>
    </w:p>
  </w:footnote>
  <w:footnote w:id="712">
    <w:p w14:paraId="5A2B3574" w14:textId="684BC37E" w:rsidR="00736D5A" w:rsidRPr="00DA6964"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DA6964">
        <w:rPr>
          <w:color w:val="000000" w:themeColor="text1"/>
          <w:sz w:val="20"/>
          <w:szCs w:val="20"/>
        </w:rPr>
        <w:t xml:space="preserve"> Nelson Mandela, in Erakat, Location 2208.</w:t>
      </w:r>
    </w:p>
  </w:footnote>
  <w:footnote w:id="713">
    <w:p w14:paraId="46AE7BB5" w14:textId="01B2591F"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Beinart, ‘Yavne’.</w:t>
      </w:r>
    </w:p>
  </w:footnote>
  <w:footnote w:id="714">
    <w:p w14:paraId="4D6F6AC0" w14:textId="77777777" w:rsidR="00736D5A" w:rsidRPr="00FC331F" w:rsidRDefault="00736D5A" w:rsidP="004A6017">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Beinart, ‘Opinion | I No Longer Believe in a Jewish State’.</w:t>
      </w:r>
    </w:p>
  </w:footnote>
  <w:footnote w:id="715">
    <w:p w14:paraId="7AB1F4CE" w14:textId="54C95945"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Erakat, Location 4837.</w:t>
      </w:r>
    </w:p>
  </w:footnote>
  <w:footnote w:id="716">
    <w:p w14:paraId="1809710F" w14:textId="30F1B6D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Djerejian, Muasher, and Brown, p. 11.</w:t>
      </w:r>
    </w:p>
  </w:footnote>
  <w:footnote w:id="717">
    <w:p w14:paraId="3D43076B"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‘Palestine Refugees’, </w:t>
      </w:r>
      <w:r w:rsidRPr="00FC331F">
        <w:rPr>
          <w:i/>
          <w:color w:val="000000" w:themeColor="text1"/>
          <w:sz w:val="20"/>
          <w:szCs w:val="20"/>
        </w:rPr>
        <w:t>UNRWA</w:t>
      </w:r>
      <w:r w:rsidRPr="00FC331F">
        <w:rPr>
          <w:color w:val="000000" w:themeColor="text1"/>
          <w:sz w:val="20"/>
          <w:szCs w:val="20"/>
        </w:rPr>
        <w:t xml:space="preserve"> &lt;https://www.unrwa.org/palestine-refugees&gt; [accessed 17 December 2020].</w:t>
      </w:r>
    </w:p>
  </w:footnote>
  <w:footnote w:id="718">
    <w:p w14:paraId="71D5BE6E" w14:textId="1AEF127A" w:rsidR="009D577E" w:rsidRPr="009D577E" w:rsidRDefault="009D577E">
      <w:pPr>
        <w:pStyle w:val="FootnoteText"/>
        <w:rPr>
          <w:lang w:val="en-GB"/>
        </w:rPr>
      </w:pPr>
      <w:r>
        <w:rPr>
          <w:rStyle w:val="FootnoteReference"/>
        </w:rPr>
        <w:footnoteRef/>
      </w:r>
      <w:r>
        <w:t xml:space="preserve"> </w:t>
      </w:r>
      <w:r w:rsidRPr="00FC331F">
        <w:rPr>
          <w:color w:val="000000" w:themeColor="text1"/>
        </w:rPr>
        <w:t>Beinart, ‘Yavne’.</w:t>
      </w:r>
    </w:p>
  </w:footnote>
  <w:footnote w:id="719">
    <w:p w14:paraId="4F806BD6" w14:textId="31AAE7C1"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Djerejian, Muasher, and Brown, p. 27.</w:t>
      </w:r>
    </w:p>
  </w:footnote>
  <w:footnote w:id="720">
    <w:p w14:paraId="0CB5D407" w14:textId="011D241C"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Djerejian, Muasher, and Brown, p. 13.</w:t>
      </w:r>
    </w:p>
  </w:footnote>
  <w:footnote w:id="721">
    <w:p w14:paraId="3693B782" w14:textId="4BA934B4"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Djerejian, Muasher, and Brown, p. 11.</w:t>
      </w:r>
    </w:p>
  </w:footnote>
  <w:footnote w:id="722">
    <w:p w14:paraId="5BF3BB16" w14:textId="580969CA"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Djerejian, Muasher, and Brown, p. 28.</w:t>
      </w:r>
    </w:p>
  </w:footnote>
  <w:footnote w:id="723">
    <w:p w14:paraId="305D120F" w14:textId="2B041F52"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Muasher and Brown suggest that the active inclusion of groups unconducive to two-state negotiations </w:t>
      </w:r>
      <w:r w:rsidR="000D1826">
        <w:rPr>
          <w:color w:val="000000" w:themeColor="text1"/>
          <w:sz w:val="20"/>
          <w:szCs w:val="20"/>
        </w:rPr>
        <w:t>–</w:t>
      </w:r>
      <w:r w:rsidRPr="00FC331F">
        <w:rPr>
          <w:color w:val="000000" w:themeColor="text1"/>
          <w:sz w:val="20"/>
          <w:szCs w:val="20"/>
        </w:rPr>
        <w:t xml:space="preserve"> such as ‘Israeli settlers or Hamas supporters’ </w:t>
      </w:r>
      <w:r w:rsidR="000D1826">
        <w:rPr>
          <w:color w:val="000000" w:themeColor="text1"/>
          <w:sz w:val="20"/>
          <w:szCs w:val="20"/>
        </w:rPr>
        <w:t>–</w:t>
      </w:r>
      <w:r w:rsidRPr="00FC331F">
        <w:rPr>
          <w:color w:val="000000" w:themeColor="text1"/>
          <w:sz w:val="20"/>
          <w:szCs w:val="20"/>
        </w:rPr>
        <w:t xml:space="preserve"> into one-state negotiations could make such groups more inclined to be involved in peace processes. Djerejian, Muasher, and Brown, p. 29.</w:t>
      </w:r>
    </w:p>
  </w:footnote>
  <w:footnote w:id="724">
    <w:p w14:paraId="7D8AA5D5" w14:textId="2B837C91"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Djerejian, Muasher, and Brown, p. 28.</w:t>
      </w:r>
    </w:p>
  </w:footnote>
  <w:footnote w:id="725">
    <w:p w14:paraId="4B08DB28" w14:textId="7777777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King, in White.</w:t>
      </w:r>
    </w:p>
  </w:footnote>
  <w:footnote w:id="726">
    <w:p w14:paraId="2DCC7442" w14:textId="6C211994"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Djerejian, Muasher, and Brown, p. 28.</w:t>
      </w:r>
    </w:p>
  </w:footnote>
  <w:footnote w:id="727">
    <w:p w14:paraId="1794E2F1"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i/>
          <w:color w:val="000000" w:themeColor="text1"/>
          <w:sz w:val="20"/>
          <w:szCs w:val="20"/>
        </w:rPr>
        <w:t>Rethinking the Politics of Israel/Palestine: Partition and Its Alternatives</w:t>
      </w:r>
      <w:r w:rsidRPr="00FC331F">
        <w:rPr>
          <w:color w:val="000000" w:themeColor="text1"/>
          <w:sz w:val="20"/>
          <w:szCs w:val="20"/>
        </w:rPr>
        <w:t>, ed. by Bashir Bashir and Dakwar Azar, 2014.</w:t>
      </w:r>
    </w:p>
  </w:footnote>
  <w:footnote w:id="728">
    <w:p w14:paraId="45D2FEA8" w14:textId="3E095989"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Bashir and Azar, p. 143.</w:t>
      </w:r>
    </w:p>
  </w:footnote>
  <w:footnote w:id="729">
    <w:p w14:paraId="4A805B55" w14:textId="6B3C4458"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Djerejian, Muasher, and Brown, p. 29.</w:t>
      </w:r>
    </w:p>
  </w:footnote>
  <w:footnote w:id="730">
    <w:p w14:paraId="393C9FB9"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Iqbal Jassat, ‘Israel Is on Edge as the George Floyd Murder Sparks Global Demands for Justice – Middle East Monitor’ &lt;https://www.middleeastmonitor.com/20200608-israel-is-on-edge-as-the-george-floyd-murder-sparks-global-demands-for-justice/&gt; [accessed 21 December 2020].</w:t>
      </w:r>
    </w:p>
  </w:footnote>
  <w:footnote w:id="731">
    <w:p w14:paraId="65C85FDC"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Jacob Magid, ‘“It’s a War Crime”: Thousands Rally in Tel Aviv against Netanyahu Annexation Bid’ &lt;https://www.timesofisrael.com/thousands-rally-in-tel-aviv-against-netanyahus-annexation-plans/&gt; [accessed 21 December 2020].</w:t>
      </w:r>
    </w:p>
  </w:footnote>
  <w:footnote w:id="732">
    <w:p w14:paraId="53126B17"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Lee Yaron and Josh Breiner, ‘Thousands Protest Israeli Annexation in Tel Aviv; Bernie Sanders Calls to “Stand Up to Authoritarian Leaders”’, </w:t>
      </w:r>
      <w:r w:rsidRPr="00FC331F">
        <w:rPr>
          <w:i/>
          <w:color w:val="000000" w:themeColor="text1"/>
          <w:sz w:val="20"/>
          <w:szCs w:val="20"/>
        </w:rPr>
        <w:t>Haaretz</w:t>
      </w:r>
      <w:r w:rsidRPr="00FC331F">
        <w:rPr>
          <w:color w:val="000000" w:themeColor="text1"/>
          <w:sz w:val="20"/>
          <w:szCs w:val="20"/>
        </w:rPr>
        <w:t xml:space="preserve"> &lt;https://www.haaretz.com/israel-news/.premium-after-backlash-israeli-police-to-allow-anti-annexation-rally-1.8900305&gt; [accessed 21 December 2020].</w:t>
      </w:r>
    </w:p>
  </w:footnote>
  <w:footnote w:id="733">
    <w:p w14:paraId="04A327FA" w14:textId="012D8647" w:rsidR="00736D5A" w:rsidRPr="00FC331F" w:rsidRDefault="00736D5A" w:rsidP="00FC331F">
      <w:pPr>
        <w:spacing w:line="276" w:lineRule="auto"/>
        <w:rPr>
          <w:color w:val="000000" w:themeColor="text1"/>
          <w:sz w:val="20"/>
          <w:szCs w:val="20"/>
        </w:rPr>
      </w:pPr>
      <w:r w:rsidRPr="00FC331F">
        <w:rPr>
          <w:color w:val="000000" w:themeColor="text1"/>
          <w:sz w:val="20"/>
          <w:szCs w:val="20"/>
          <w:vertAlign w:val="superscript"/>
        </w:rPr>
        <w:footnoteRef/>
      </w:r>
      <w:r w:rsidRPr="00FC331F">
        <w:rPr>
          <w:color w:val="000000" w:themeColor="text1"/>
          <w:sz w:val="20"/>
          <w:szCs w:val="20"/>
        </w:rPr>
        <w:t xml:space="preserve"> Beinart, ‘Yavne’.</w:t>
      </w:r>
    </w:p>
  </w:footnote>
  <w:footnote w:id="734">
    <w:p w14:paraId="02415467"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Harriet Sherwood, ‘Lisa Nandy Urges Ban on Imports of West Bank Goods’, </w:t>
      </w:r>
      <w:r w:rsidRPr="00FC331F">
        <w:rPr>
          <w:i/>
          <w:color w:val="000000" w:themeColor="text1"/>
          <w:sz w:val="20"/>
          <w:szCs w:val="20"/>
        </w:rPr>
        <w:t>The Guardian</w:t>
      </w:r>
      <w:r w:rsidRPr="00FC331F">
        <w:rPr>
          <w:color w:val="000000" w:themeColor="text1"/>
          <w:sz w:val="20"/>
          <w:szCs w:val="20"/>
        </w:rPr>
        <w:t>, 2020 &lt;http://www.theguardian.com/world/2020/jun/27/lisa-nandy-leads-calls-for-sanctions-on-israel-over-west-bank-annexations&gt; [accessed 21 December 2020].</w:t>
      </w:r>
    </w:p>
  </w:footnote>
  <w:footnote w:id="735">
    <w:p w14:paraId="1F4F97D6" w14:textId="77777777" w:rsidR="00736D5A" w:rsidRPr="00FC331F" w:rsidRDefault="00736D5A" w:rsidP="00FC331F">
      <w:pPr>
        <w:spacing w:line="276" w:lineRule="auto"/>
        <w:rPr>
          <w:b/>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Jerusalem Post Staff, ‘AOC Annexation Letter: Full Letter on Israel’s West Bank Annexation’, </w:t>
      </w:r>
      <w:r w:rsidRPr="00FC331F">
        <w:rPr>
          <w:i/>
          <w:color w:val="000000" w:themeColor="text1"/>
          <w:sz w:val="20"/>
          <w:szCs w:val="20"/>
        </w:rPr>
        <w:t>The Jerusalem Post | JPost.Com</w:t>
      </w:r>
      <w:r w:rsidRPr="00FC331F">
        <w:rPr>
          <w:color w:val="000000" w:themeColor="text1"/>
          <w:sz w:val="20"/>
          <w:szCs w:val="20"/>
        </w:rPr>
        <w:t xml:space="preserve"> &lt;https://www.jpost.com/arab-israeli-conflict/full-letter-submitted-by-democrats-opposing-annexation-633396&gt; [accessed 21 December 2020].</w:t>
      </w:r>
    </w:p>
  </w:footnote>
  <w:footnote w:id="736">
    <w:p w14:paraId="4B80AADC" w14:textId="77777777" w:rsidR="00736D5A" w:rsidRPr="00FC331F" w:rsidRDefault="00736D5A" w:rsidP="00FC331F">
      <w:pPr>
        <w:spacing w:line="276" w:lineRule="auto"/>
        <w:rPr>
          <w:color w:val="000000" w:themeColor="text1"/>
          <w:sz w:val="20"/>
          <w:szCs w:val="20"/>
          <w:vertAlign w:val="superscript"/>
        </w:rPr>
      </w:pPr>
      <w:r w:rsidRPr="00FC331F">
        <w:rPr>
          <w:color w:val="000000" w:themeColor="text1"/>
          <w:sz w:val="20"/>
          <w:szCs w:val="20"/>
          <w:vertAlign w:val="superscript"/>
        </w:rPr>
        <w:footnoteRef/>
      </w:r>
      <w:r w:rsidRPr="00FC331F">
        <w:rPr>
          <w:color w:val="000000" w:themeColor="text1"/>
          <w:sz w:val="20"/>
          <w:szCs w:val="20"/>
          <w:vertAlign w:val="superscript"/>
        </w:rPr>
        <w:t xml:space="preserve"> </w:t>
      </w:r>
      <w:r w:rsidRPr="00FC331F">
        <w:rPr>
          <w:color w:val="000000" w:themeColor="text1"/>
          <w:sz w:val="20"/>
          <w:szCs w:val="20"/>
        </w:rPr>
        <w:t xml:space="preserve">‘The New Annexation Battle: AIPAC vs. AOC’, </w:t>
      </w:r>
      <w:r w:rsidRPr="00FC331F">
        <w:rPr>
          <w:i/>
          <w:color w:val="000000" w:themeColor="text1"/>
          <w:sz w:val="20"/>
          <w:szCs w:val="20"/>
        </w:rPr>
        <w:t>Haaretz</w:t>
      </w:r>
      <w:r w:rsidRPr="00FC331F">
        <w:rPr>
          <w:color w:val="000000" w:themeColor="text1"/>
          <w:sz w:val="20"/>
          <w:szCs w:val="20"/>
        </w:rPr>
        <w:t xml:space="preserve"> &lt;https://www.haaretz.com/us-news/.premium-the-new-annexation-battle-aipac-vs-aoc-1.8957226&gt; [accessed 21 December 2020].</w:t>
      </w:r>
    </w:p>
  </w:footnote>
  <w:footnote w:id="737">
    <w:p w14:paraId="16C7E1A0" w14:textId="77777777" w:rsidR="00736D5A" w:rsidRDefault="00736D5A" w:rsidP="00FC331F">
      <w:pPr>
        <w:spacing w:line="240" w:lineRule="auto"/>
        <w:rPr>
          <w:sz w:val="20"/>
          <w:szCs w:val="20"/>
        </w:rPr>
      </w:pPr>
      <w:r>
        <w:rPr>
          <w:vertAlign w:val="superscript"/>
        </w:rPr>
        <w:footnoteRef/>
      </w:r>
      <w:r>
        <w:rPr>
          <w:sz w:val="20"/>
          <w:szCs w:val="20"/>
        </w:rPr>
        <w:t xml:space="preserve"> </w:t>
      </w:r>
      <w:r>
        <w:rPr>
          <w:i/>
          <w:sz w:val="20"/>
          <w:szCs w:val="20"/>
        </w:rPr>
        <w:t>The Holocaust and the Nakba: A New Grammar of Trauma and History</w:t>
      </w:r>
      <w:r>
        <w:rPr>
          <w:sz w:val="20"/>
          <w:szCs w:val="20"/>
        </w:rPr>
        <w:t xml:space="preserve">, ed. by Bashir Bashir and Amos Goldberg (Columbia University Press, 2018); </w:t>
      </w:r>
      <w:r>
        <w:rPr>
          <w:i/>
          <w:sz w:val="20"/>
          <w:szCs w:val="20"/>
        </w:rPr>
        <w:t>The Arab and Jewish Questions: Geographies of Engagement in Palestine and Beyond</w:t>
      </w:r>
      <w:r>
        <w:rPr>
          <w:sz w:val="20"/>
          <w:szCs w:val="20"/>
        </w:rPr>
        <w:t>, ed. by Bashir Bashir and Leila Farsakh (Columbia University Press, 2020).</w:t>
      </w:r>
    </w:p>
  </w:footnote>
  <w:footnote w:id="738">
    <w:p w14:paraId="0D277CE3" w14:textId="77777777" w:rsidR="00736D5A" w:rsidRDefault="00736D5A" w:rsidP="00FC331F">
      <w:pPr>
        <w:spacing w:line="240" w:lineRule="auto"/>
        <w:rPr>
          <w:b/>
          <w:sz w:val="20"/>
          <w:szCs w:val="20"/>
        </w:rPr>
      </w:pPr>
      <w:r>
        <w:rPr>
          <w:vertAlign w:val="superscript"/>
        </w:rPr>
        <w:footnoteRef/>
      </w:r>
      <w:r>
        <w:rPr>
          <w:sz w:val="20"/>
          <w:szCs w:val="20"/>
        </w:rPr>
        <w:t xml:space="preserve"> Adania Shibli, </w:t>
      </w:r>
      <w:r>
        <w:rPr>
          <w:i/>
          <w:sz w:val="20"/>
          <w:szCs w:val="20"/>
        </w:rPr>
        <w:t>Minor Detail</w:t>
      </w:r>
      <w:r>
        <w:rPr>
          <w:sz w:val="20"/>
          <w:szCs w:val="20"/>
        </w:rPr>
        <w:t>, trans. by Elisabeth Jaquette (Fitzcarraldo Editions, 2020).</w:t>
      </w:r>
    </w:p>
  </w:footnote>
  <w:footnote w:id="739">
    <w:p w14:paraId="3EEEC810" w14:textId="77777777" w:rsidR="00736D5A" w:rsidRDefault="00736D5A" w:rsidP="00FC331F">
      <w:pPr>
        <w:spacing w:line="240" w:lineRule="auto"/>
        <w:rPr>
          <w:sz w:val="20"/>
          <w:szCs w:val="20"/>
        </w:rPr>
      </w:pPr>
      <w:r>
        <w:rPr>
          <w:vertAlign w:val="superscript"/>
        </w:rPr>
        <w:footnoteRef/>
      </w:r>
      <w:r>
        <w:rPr>
          <w:sz w:val="20"/>
          <w:szCs w:val="20"/>
        </w:rPr>
        <w:t xml:space="preserve"> Michael Chabon, </w:t>
      </w:r>
      <w:r>
        <w:rPr>
          <w:i/>
          <w:sz w:val="20"/>
          <w:szCs w:val="20"/>
        </w:rPr>
        <w:t>The Yiddish Policemen’s Union</w:t>
      </w:r>
      <w:r>
        <w:rPr>
          <w:sz w:val="20"/>
          <w:szCs w:val="20"/>
        </w:rPr>
        <w:t xml:space="preserve"> (London: Harper Perennial, 2008).</w:t>
      </w:r>
    </w:p>
  </w:footnote>
  <w:footnote w:id="740">
    <w:p w14:paraId="697DDF1C" w14:textId="77777777" w:rsidR="00736D5A" w:rsidRDefault="00736D5A" w:rsidP="00FC331F">
      <w:pPr>
        <w:spacing w:line="240" w:lineRule="auto"/>
        <w:rPr>
          <w:sz w:val="20"/>
          <w:szCs w:val="20"/>
        </w:rPr>
      </w:pPr>
      <w:r>
        <w:rPr>
          <w:vertAlign w:val="superscript"/>
        </w:rPr>
        <w:footnoteRef/>
      </w:r>
      <w:r>
        <w:rPr>
          <w:sz w:val="20"/>
          <w:szCs w:val="20"/>
        </w:rPr>
        <w:t xml:space="preserve"> Selma Dabbagh and others, </w:t>
      </w:r>
      <w:r>
        <w:rPr>
          <w:i/>
          <w:sz w:val="20"/>
          <w:szCs w:val="20"/>
        </w:rPr>
        <w:t>Palestine +100: Stories From a Century After the Nakba</w:t>
      </w:r>
      <w:r>
        <w:rPr>
          <w:sz w:val="20"/>
          <w:szCs w:val="20"/>
        </w:rPr>
        <w:t>, ed. by Basma Ghalayini (Manchester: Comma Press, 2019).</w:t>
      </w:r>
    </w:p>
  </w:footnote>
  <w:footnote w:id="741">
    <w:p w14:paraId="1CE51216" w14:textId="77777777" w:rsidR="00736D5A" w:rsidRDefault="00736D5A" w:rsidP="00FC331F">
      <w:pPr>
        <w:spacing w:line="240" w:lineRule="auto"/>
        <w:rPr>
          <w:b/>
          <w:sz w:val="20"/>
          <w:szCs w:val="20"/>
        </w:rPr>
      </w:pPr>
      <w:r>
        <w:rPr>
          <w:vertAlign w:val="superscript"/>
        </w:rPr>
        <w:footnoteRef/>
      </w:r>
      <w:r>
        <w:rPr>
          <w:sz w:val="20"/>
          <w:szCs w:val="20"/>
        </w:rPr>
        <w:t xml:space="preserve"> ‘ICC Opens Investigation into War Crimes in Palestinian Territories’, </w:t>
      </w:r>
      <w:r>
        <w:rPr>
          <w:i/>
          <w:sz w:val="20"/>
          <w:szCs w:val="20"/>
        </w:rPr>
        <w:t>The Guardian</w:t>
      </w:r>
      <w:r>
        <w:rPr>
          <w:sz w:val="20"/>
          <w:szCs w:val="20"/>
        </w:rPr>
        <w:t>, 2021 &lt;http://www.theguardian.com/law/2021/mar/03/icc-open-formal-investigation-war-crimes-palestine&gt; [accessed 8 March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97284679"/>
      <w:docPartObj>
        <w:docPartGallery w:val="Page Numbers (Top of Page)"/>
        <w:docPartUnique/>
      </w:docPartObj>
    </w:sdtPr>
    <w:sdtEndPr>
      <w:rPr>
        <w:rStyle w:val="PageNumber"/>
      </w:rPr>
    </w:sdtEndPr>
    <w:sdtContent>
      <w:p w14:paraId="06EAE5B6" w14:textId="1C6B8E65" w:rsidR="00736D5A" w:rsidRDefault="00736D5A" w:rsidP="00FE12C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95728937"/>
      <w:docPartObj>
        <w:docPartGallery w:val="Page Numbers (Top of Page)"/>
        <w:docPartUnique/>
      </w:docPartObj>
    </w:sdtPr>
    <w:sdtEndPr>
      <w:rPr>
        <w:rStyle w:val="PageNumber"/>
      </w:rPr>
    </w:sdtEndPr>
    <w:sdtContent>
      <w:p w14:paraId="3B709D92" w14:textId="0D1ECA0E" w:rsidR="00736D5A" w:rsidRDefault="00736D5A" w:rsidP="009953FE">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20430891"/>
      <w:docPartObj>
        <w:docPartGallery w:val="Page Numbers (Top of Page)"/>
        <w:docPartUnique/>
      </w:docPartObj>
    </w:sdtPr>
    <w:sdtEndPr>
      <w:rPr>
        <w:rStyle w:val="PageNumber"/>
      </w:rPr>
    </w:sdtEndPr>
    <w:sdtContent>
      <w:p w14:paraId="35374155" w14:textId="5078FE23" w:rsidR="00736D5A" w:rsidRDefault="00736D5A" w:rsidP="009953FE">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64241242"/>
      <w:docPartObj>
        <w:docPartGallery w:val="Page Numbers (Top of Page)"/>
        <w:docPartUnique/>
      </w:docPartObj>
    </w:sdtPr>
    <w:sdtEndPr>
      <w:rPr>
        <w:rStyle w:val="PageNumber"/>
      </w:rPr>
    </w:sdtEndPr>
    <w:sdtContent>
      <w:p w14:paraId="5A5AEF18" w14:textId="49BD2422" w:rsidR="00736D5A" w:rsidRDefault="00736D5A" w:rsidP="009953FE">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6BCB15" w14:textId="77777777" w:rsidR="00736D5A" w:rsidRDefault="00736D5A" w:rsidP="00DB08D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ADC4E" w14:textId="55CB14A2" w:rsidR="00736D5A" w:rsidRDefault="00736D5A" w:rsidP="009953FE">
    <w:pPr>
      <w:pStyle w:val="Header"/>
      <w:framePr w:wrap="none" w:vAnchor="text" w:hAnchor="margin" w:xAlign="right" w:y="1"/>
      <w:rPr>
        <w:rStyle w:val="PageNumber"/>
      </w:rPr>
    </w:pPr>
  </w:p>
  <w:p w14:paraId="174EE248" w14:textId="21FCFE82" w:rsidR="00736D5A" w:rsidRPr="00AF18FC" w:rsidRDefault="00736D5A" w:rsidP="00DB08DC">
    <w:pPr>
      <w:ind w:right="360"/>
      <w:jc w:val="right"/>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98284883"/>
      <w:docPartObj>
        <w:docPartGallery w:val="Page Numbers (Top of Page)"/>
        <w:docPartUnique/>
      </w:docPartObj>
    </w:sdtPr>
    <w:sdtEndPr>
      <w:rPr>
        <w:rStyle w:val="PageNumber"/>
      </w:rPr>
    </w:sdtEndPr>
    <w:sdtContent>
      <w:p w14:paraId="1DB83223" w14:textId="498DCE3B" w:rsidR="00736D5A" w:rsidRDefault="00736D5A" w:rsidP="009953F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95768">
          <w:rPr>
            <w:rStyle w:val="PageNumber"/>
            <w:noProof/>
          </w:rPr>
          <w:t>326</w:t>
        </w:r>
        <w:r>
          <w:rPr>
            <w:rStyle w:val="PageNumber"/>
          </w:rPr>
          <w:fldChar w:fldCharType="end"/>
        </w:r>
      </w:p>
    </w:sdtContent>
  </w:sdt>
  <w:p w14:paraId="3E68202A" w14:textId="77777777" w:rsidR="00736D5A" w:rsidRPr="00AF18FC" w:rsidRDefault="00736D5A" w:rsidP="00DB08DC">
    <w:pPr>
      <w:ind w:right="360"/>
      <w:jc w:val="right"/>
      <w:rPr>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pt-PT" w:vendorID="64" w:dllVersion="0" w:nlCheck="1" w:checkStyle="0"/>
  <w:activeWritingStyle w:appName="MSWord" w:lang="es-ES_tradnl" w:vendorID="64" w:dllVersion="0" w:nlCheck="1" w:checkStyle="0"/>
  <w:activeWritingStyle w:appName="MSWord" w:lang="it-IT" w:vendorID="64" w:dllVersion="0" w:nlCheck="1" w:checkStyle="0"/>
  <w:activeWritingStyle w:appName="MSWord" w:lang="pl-PL" w:vendorID="64" w:dllVersion="0" w:nlCheck="1" w:checkStyle="0"/>
  <w:activeWritingStyle w:appName="MSWord" w:lang="sv-SE" w:vendorID="64" w:dllVersion="0" w:nlCheck="1" w:checkStyle="0"/>
  <w:proofState w:spelling="clean" w:grammar="clean"/>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9B9"/>
    <w:rsid w:val="00002216"/>
    <w:rsid w:val="00003C76"/>
    <w:rsid w:val="00003F6C"/>
    <w:rsid w:val="0000606D"/>
    <w:rsid w:val="00010A3A"/>
    <w:rsid w:val="00017509"/>
    <w:rsid w:val="00022BD8"/>
    <w:rsid w:val="00023FE1"/>
    <w:rsid w:val="00026BA5"/>
    <w:rsid w:val="00027D78"/>
    <w:rsid w:val="00030F06"/>
    <w:rsid w:val="000319EC"/>
    <w:rsid w:val="00031C15"/>
    <w:rsid w:val="00033BB8"/>
    <w:rsid w:val="00034C23"/>
    <w:rsid w:val="00051C65"/>
    <w:rsid w:val="00052567"/>
    <w:rsid w:val="000530A3"/>
    <w:rsid w:val="00055CA2"/>
    <w:rsid w:val="0005642C"/>
    <w:rsid w:val="00057150"/>
    <w:rsid w:val="00057474"/>
    <w:rsid w:val="00063791"/>
    <w:rsid w:val="00063A0B"/>
    <w:rsid w:val="00064F94"/>
    <w:rsid w:val="00071BA2"/>
    <w:rsid w:val="00071E1B"/>
    <w:rsid w:val="0008000B"/>
    <w:rsid w:val="00081068"/>
    <w:rsid w:val="00092E5F"/>
    <w:rsid w:val="00093B5F"/>
    <w:rsid w:val="00094C98"/>
    <w:rsid w:val="0009592C"/>
    <w:rsid w:val="00097FA9"/>
    <w:rsid w:val="000A1319"/>
    <w:rsid w:val="000A3BAD"/>
    <w:rsid w:val="000A3D45"/>
    <w:rsid w:val="000A6BB0"/>
    <w:rsid w:val="000A70CC"/>
    <w:rsid w:val="000B2C3C"/>
    <w:rsid w:val="000B2EDF"/>
    <w:rsid w:val="000B5269"/>
    <w:rsid w:val="000C16F1"/>
    <w:rsid w:val="000C1CB4"/>
    <w:rsid w:val="000C242D"/>
    <w:rsid w:val="000C311B"/>
    <w:rsid w:val="000C3FB4"/>
    <w:rsid w:val="000D0D6F"/>
    <w:rsid w:val="000D12F2"/>
    <w:rsid w:val="000D1826"/>
    <w:rsid w:val="000D29BC"/>
    <w:rsid w:val="000D3095"/>
    <w:rsid w:val="000D353D"/>
    <w:rsid w:val="000D4696"/>
    <w:rsid w:val="000D4855"/>
    <w:rsid w:val="000D4A68"/>
    <w:rsid w:val="000D6073"/>
    <w:rsid w:val="000D78E7"/>
    <w:rsid w:val="000E038A"/>
    <w:rsid w:val="000E2826"/>
    <w:rsid w:val="000E40B5"/>
    <w:rsid w:val="000E50CC"/>
    <w:rsid w:val="000E5715"/>
    <w:rsid w:val="000E5F86"/>
    <w:rsid w:val="000F38D9"/>
    <w:rsid w:val="000F5B35"/>
    <w:rsid w:val="0010110D"/>
    <w:rsid w:val="00101CBD"/>
    <w:rsid w:val="001035C5"/>
    <w:rsid w:val="00106460"/>
    <w:rsid w:val="0011083D"/>
    <w:rsid w:val="00110BAD"/>
    <w:rsid w:val="00110BCD"/>
    <w:rsid w:val="001126BF"/>
    <w:rsid w:val="001142F0"/>
    <w:rsid w:val="001223EF"/>
    <w:rsid w:val="001226D6"/>
    <w:rsid w:val="00122E7D"/>
    <w:rsid w:val="00124BA0"/>
    <w:rsid w:val="001307AD"/>
    <w:rsid w:val="00131A80"/>
    <w:rsid w:val="0014178A"/>
    <w:rsid w:val="001435D7"/>
    <w:rsid w:val="00145F46"/>
    <w:rsid w:val="00152216"/>
    <w:rsid w:val="0015249A"/>
    <w:rsid w:val="00157B10"/>
    <w:rsid w:val="00160BF6"/>
    <w:rsid w:val="001628B5"/>
    <w:rsid w:val="00162C9B"/>
    <w:rsid w:val="00164E43"/>
    <w:rsid w:val="001700B5"/>
    <w:rsid w:val="001722C7"/>
    <w:rsid w:val="001741CE"/>
    <w:rsid w:val="001744E4"/>
    <w:rsid w:val="00183CEF"/>
    <w:rsid w:val="0018453A"/>
    <w:rsid w:val="0019028E"/>
    <w:rsid w:val="00192A62"/>
    <w:rsid w:val="00192AE2"/>
    <w:rsid w:val="0019337F"/>
    <w:rsid w:val="00195653"/>
    <w:rsid w:val="001A0F8E"/>
    <w:rsid w:val="001A10BF"/>
    <w:rsid w:val="001A14F7"/>
    <w:rsid w:val="001A42D5"/>
    <w:rsid w:val="001A4C12"/>
    <w:rsid w:val="001A656A"/>
    <w:rsid w:val="001A6D90"/>
    <w:rsid w:val="001B06E5"/>
    <w:rsid w:val="001B619D"/>
    <w:rsid w:val="001C087B"/>
    <w:rsid w:val="001C2850"/>
    <w:rsid w:val="001C47C6"/>
    <w:rsid w:val="001C4995"/>
    <w:rsid w:val="001C545F"/>
    <w:rsid w:val="001C75E7"/>
    <w:rsid w:val="001D0CD8"/>
    <w:rsid w:val="001D3592"/>
    <w:rsid w:val="001D43CB"/>
    <w:rsid w:val="001D59B9"/>
    <w:rsid w:val="001D6617"/>
    <w:rsid w:val="001E34E8"/>
    <w:rsid w:val="001E5C32"/>
    <w:rsid w:val="001E70ED"/>
    <w:rsid w:val="001F48A3"/>
    <w:rsid w:val="001F5380"/>
    <w:rsid w:val="001F7B7F"/>
    <w:rsid w:val="001F7D8B"/>
    <w:rsid w:val="0020102F"/>
    <w:rsid w:val="00205978"/>
    <w:rsid w:val="002108B3"/>
    <w:rsid w:val="002113E8"/>
    <w:rsid w:val="00212C79"/>
    <w:rsid w:val="00213666"/>
    <w:rsid w:val="00213F4C"/>
    <w:rsid w:val="00216432"/>
    <w:rsid w:val="00217655"/>
    <w:rsid w:val="002210C5"/>
    <w:rsid w:val="002211E7"/>
    <w:rsid w:val="002219A6"/>
    <w:rsid w:val="00221C56"/>
    <w:rsid w:val="0022211B"/>
    <w:rsid w:val="002230B8"/>
    <w:rsid w:val="002239D9"/>
    <w:rsid w:val="002251D3"/>
    <w:rsid w:val="00226DF9"/>
    <w:rsid w:val="002278C1"/>
    <w:rsid w:val="0023678C"/>
    <w:rsid w:val="0024225B"/>
    <w:rsid w:val="00243338"/>
    <w:rsid w:val="00246305"/>
    <w:rsid w:val="00250034"/>
    <w:rsid w:val="00250A1D"/>
    <w:rsid w:val="00252807"/>
    <w:rsid w:val="00256FD4"/>
    <w:rsid w:val="00261487"/>
    <w:rsid w:val="00262C2D"/>
    <w:rsid w:val="00270073"/>
    <w:rsid w:val="00271D9A"/>
    <w:rsid w:val="0027719D"/>
    <w:rsid w:val="00277410"/>
    <w:rsid w:val="00280E92"/>
    <w:rsid w:val="00282972"/>
    <w:rsid w:val="00286B13"/>
    <w:rsid w:val="00287DA6"/>
    <w:rsid w:val="0029114E"/>
    <w:rsid w:val="00292EF0"/>
    <w:rsid w:val="002953F4"/>
    <w:rsid w:val="0029597E"/>
    <w:rsid w:val="0029599C"/>
    <w:rsid w:val="0029609F"/>
    <w:rsid w:val="00296345"/>
    <w:rsid w:val="002A0C87"/>
    <w:rsid w:val="002A1554"/>
    <w:rsid w:val="002A5FAE"/>
    <w:rsid w:val="002B3786"/>
    <w:rsid w:val="002B5F6D"/>
    <w:rsid w:val="002B6BCF"/>
    <w:rsid w:val="002C0241"/>
    <w:rsid w:val="002C1E54"/>
    <w:rsid w:val="002C41E8"/>
    <w:rsid w:val="002C607D"/>
    <w:rsid w:val="002C6752"/>
    <w:rsid w:val="002E167F"/>
    <w:rsid w:val="002E5748"/>
    <w:rsid w:val="002E63BA"/>
    <w:rsid w:val="002F2BBA"/>
    <w:rsid w:val="002F4F2D"/>
    <w:rsid w:val="002F6641"/>
    <w:rsid w:val="0030094A"/>
    <w:rsid w:val="00305288"/>
    <w:rsid w:val="00306266"/>
    <w:rsid w:val="00310F93"/>
    <w:rsid w:val="00314BAF"/>
    <w:rsid w:val="00324CC0"/>
    <w:rsid w:val="0032590F"/>
    <w:rsid w:val="00325CC6"/>
    <w:rsid w:val="0032620C"/>
    <w:rsid w:val="00326270"/>
    <w:rsid w:val="00326E71"/>
    <w:rsid w:val="00330DDC"/>
    <w:rsid w:val="00332B48"/>
    <w:rsid w:val="00333840"/>
    <w:rsid w:val="00336C3B"/>
    <w:rsid w:val="00341534"/>
    <w:rsid w:val="00342E0F"/>
    <w:rsid w:val="00345C9F"/>
    <w:rsid w:val="00353497"/>
    <w:rsid w:val="00355870"/>
    <w:rsid w:val="00360C05"/>
    <w:rsid w:val="003622DC"/>
    <w:rsid w:val="0036340A"/>
    <w:rsid w:val="00364870"/>
    <w:rsid w:val="00365A61"/>
    <w:rsid w:val="003800CB"/>
    <w:rsid w:val="00380905"/>
    <w:rsid w:val="00381A4E"/>
    <w:rsid w:val="00381F7A"/>
    <w:rsid w:val="0038392F"/>
    <w:rsid w:val="00391BB0"/>
    <w:rsid w:val="00392D9C"/>
    <w:rsid w:val="0039637F"/>
    <w:rsid w:val="003A6962"/>
    <w:rsid w:val="003B0751"/>
    <w:rsid w:val="003B0E00"/>
    <w:rsid w:val="003B4AAD"/>
    <w:rsid w:val="003B63D8"/>
    <w:rsid w:val="003B6638"/>
    <w:rsid w:val="003B68B6"/>
    <w:rsid w:val="003C27CA"/>
    <w:rsid w:val="003C28AB"/>
    <w:rsid w:val="003C340A"/>
    <w:rsid w:val="003C3AB4"/>
    <w:rsid w:val="003C3F71"/>
    <w:rsid w:val="003D09A3"/>
    <w:rsid w:val="003D3464"/>
    <w:rsid w:val="003D3D66"/>
    <w:rsid w:val="003D5075"/>
    <w:rsid w:val="003E0CD4"/>
    <w:rsid w:val="003E0DB2"/>
    <w:rsid w:val="003E1C58"/>
    <w:rsid w:val="003E718A"/>
    <w:rsid w:val="003F28E3"/>
    <w:rsid w:val="003F39E3"/>
    <w:rsid w:val="0040487B"/>
    <w:rsid w:val="00404AF1"/>
    <w:rsid w:val="004078E7"/>
    <w:rsid w:val="00413D06"/>
    <w:rsid w:val="00415C82"/>
    <w:rsid w:val="00415DE5"/>
    <w:rsid w:val="0041727A"/>
    <w:rsid w:val="00426D31"/>
    <w:rsid w:val="00430220"/>
    <w:rsid w:val="0043197D"/>
    <w:rsid w:val="00433850"/>
    <w:rsid w:val="00435B66"/>
    <w:rsid w:val="00442729"/>
    <w:rsid w:val="00443975"/>
    <w:rsid w:val="004459CE"/>
    <w:rsid w:val="00450CA0"/>
    <w:rsid w:val="00453977"/>
    <w:rsid w:val="004554CF"/>
    <w:rsid w:val="00456B42"/>
    <w:rsid w:val="00457075"/>
    <w:rsid w:val="00462FFF"/>
    <w:rsid w:val="004655B2"/>
    <w:rsid w:val="00470243"/>
    <w:rsid w:val="00473F6D"/>
    <w:rsid w:val="0048465B"/>
    <w:rsid w:val="00491E38"/>
    <w:rsid w:val="004930F3"/>
    <w:rsid w:val="004977C1"/>
    <w:rsid w:val="00497D36"/>
    <w:rsid w:val="004A0A26"/>
    <w:rsid w:val="004A6017"/>
    <w:rsid w:val="004A61CF"/>
    <w:rsid w:val="004B1D73"/>
    <w:rsid w:val="004B2AF4"/>
    <w:rsid w:val="004B53C1"/>
    <w:rsid w:val="004B61D8"/>
    <w:rsid w:val="004B7336"/>
    <w:rsid w:val="004C125C"/>
    <w:rsid w:val="004C33A3"/>
    <w:rsid w:val="004C4678"/>
    <w:rsid w:val="004C5945"/>
    <w:rsid w:val="004D1864"/>
    <w:rsid w:val="004D2C7E"/>
    <w:rsid w:val="004D3F67"/>
    <w:rsid w:val="004E00A4"/>
    <w:rsid w:val="004E34DA"/>
    <w:rsid w:val="00502642"/>
    <w:rsid w:val="005052ED"/>
    <w:rsid w:val="005053F2"/>
    <w:rsid w:val="00507E54"/>
    <w:rsid w:val="00511FED"/>
    <w:rsid w:val="0051204C"/>
    <w:rsid w:val="0051232E"/>
    <w:rsid w:val="00517B2B"/>
    <w:rsid w:val="00526250"/>
    <w:rsid w:val="005264B3"/>
    <w:rsid w:val="00530224"/>
    <w:rsid w:val="005331BC"/>
    <w:rsid w:val="00534A94"/>
    <w:rsid w:val="00535F1C"/>
    <w:rsid w:val="00537350"/>
    <w:rsid w:val="00541221"/>
    <w:rsid w:val="00543AEF"/>
    <w:rsid w:val="00546702"/>
    <w:rsid w:val="005516E0"/>
    <w:rsid w:val="0055254A"/>
    <w:rsid w:val="00553244"/>
    <w:rsid w:val="005533B8"/>
    <w:rsid w:val="00556C6E"/>
    <w:rsid w:val="0056028F"/>
    <w:rsid w:val="0056610D"/>
    <w:rsid w:val="0057002F"/>
    <w:rsid w:val="00571EB9"/>
    <w:rsid w:val="005722EE"/>
    <w:rsid w:val="00574252"/>
    <w:rsid w:val="0057439F"/>
    <w:rsid w:val="00574AF7"/>
    <w:rsid w:val="0057765E"/>
    <w:rsid w:val="00577E7A"/>
    <w:rsid w:val="00581C6E"/>
    <w:rsid w:val="00583CBF"/>
    <w:rsid w:val="00585DD5"/>
    <w:rsid w:val="0058668E"/>
    <w:rsid w:val="0059202B"/>
    <w:rsid w:val="005959AA"/>
    <w:rsid w:val="00596DC7"/>
    <w:rsid w:val="0059729A"/>
    <w:rsid w:val="00597337"/>
    <w:rsid w:val="005A07EC"/>
    <w:rsid w:val="005A23E9"/>
    <w:rsid w:val="005A42AD"/>
    <w:rsid w:val="005A786D"/>
    <w:rsid w:val="005B2E0A"/>
    <w:rsid w:val="005B5CFE"/>
    <w:rsid w:val="005D1565"/>
    <w:rsid w:val="005D1C4F"/>
    <w:rsid w:val="005D214B"/>
    <w:rsid w:val="005D2174"/>
    <w:rsid w:val="005D2841"/>
    <w:rsid w:val="005D772A"/>
    <w:rsid w:val="005E0936"/>
    <w:rsid w:val="005E12C7"/>
    <w:rsid w:val="005E1723"/>
    <w:rsid w:val="005E3206"/>
    <w:rsid w:val="005E5A8B"/>
    <w:rsid w:val="005E79D5"/>
    <w:rsid w:val="005F6B60"/>
    <w:rsid w:val="00600558"/>
    <w:rsid w:val="00600564"/>
    <w:rsid w:val="006013BB"/>
    <w:rsid w:val="00604028"/>
    <w:rsid w:val="00607C9E"/>
    <w:rsid w:val="00613A05"/>
    <w:rsid w:val="00624188"/>
    <w:rsid w:val="00624793"/>
    <w:rsid w:val="0063009E"/>
    <w:rsid w:val="0063376C"/>
    <w:rsid w:val="00643585"/>
    <w:rsid w:val="0064542E"/>
    <w:rsid w:val="0064704B"/>
    <w:rsid w:val="00650800"/>
    <w:rsid w:val="00651265"/>
    <w:rsid w:val="00651934"/>
    <w:rsid w:val="00655122"/>
    <w:rsid w:val="0066099B"/>
    <w:rsid w:val="00661156"/>
    <w:rsid w:val="006616D1"/>
    <w:rsid w:val="00662782"/>
    <w:rsid w:val="00666821"/>
    <w:rsid w:val="00671A0C"/>
    <w:rsid w:val="0067334B"/>
    <w:rsid w:val="0067551C"/>
    <w:rsid w:val="006779F4"/>
    <w:rsid w:val="006809D2"/>
    <w:rsid w:val="00683203"/>
    <w:rsid w:val="00687193"/>
    <w:rsid w:val="00692910"/>
    <w:rsid w:val="00695DDB"/>
    <w:rsid w:val="00695F66"/>
    <w:rsid w:val="006A04E6"/>
    <w:rsid w:val="006A070D"/>
    <w:rsid w:val="006A07D7"/>
    <w:rsid w:val="006A5B6F"/>
    <w:rsid w:val="006B3C9C"/>
    <w:rsid w:val="006B3E14"/>
    <w:rsid w:val="006B5D3A"/>
    <w:rsid w:val="006B71B8"/>
    <w:rsid w:val="006B7BEC"/>
    <w:rsid w:val="006C17DD"/>
    <w:rsid w:val="006C1D55"/>
    <w:rsid w:val="006C2563"/>
    <w:rsid w:val="006C4690"/>
    <w:rsid w:val="006C5F2F"/>
    <w:rsid w:val="006C6AD2"/>
    <w:rsid w:val="006D27FD"/>
    <w:rsid w:val="006D46F7"/>
    <w:rsid w:val="006D50B4"/>
    <w:rsid w:val="006D513D"/>
    <w:rsid w:val="006D619E"/>
    <w:rsid w:val="006E1BB6"/>
    <w:rsid w:val="006E1C1E"/>
    <w:rsid w:val="006E24CA"/>
    <w:rsid w:val="006E2D70"/>
    <w:rsid w:val="006E4B26"/>
    <w:rsid w:val="006F24B9"/>
    <w:rsid w:val="006F6603"/>
    <w:rsid w:val="00703A05"/>
    <w:rsid w:val="00705FB8"/>
    <w:rsid w:val="00714416"/>
    <w:rsid w:val="0072030F"/>
    <w:rsid w:val="00723B50"/>
    <w:rsid w:val="007260D9"/>
    <w:rsid w:val="00727EC4"/>
    <w:rsid w:val="00735F0A"/>
    <w:rsid w:val="00736D5A"/>
    <w:rsid w:val="00737313"/>
    <w:rsid w:val="0073798D"/>
    <w:rsid w:val="00741EAB"/>
    <w:rsid w:val="00743851"/>
    <w:rsid w:val="007442CA"/>
    <w:rsid w:val="00750660"/>
    <w:rsid w:val="0075207B"/>
    <w:rsid w:val="007522DD"/>
    <w:rsid w:val="00755849"/>
    <w:rsid w:val="0075641E"/>
    <w:rsid w:val="007576B7"/>
    <w:rsid w:val="00761153"/>
    <w:rsid w:val="00762A11"/>
    <w:rsid w:val="00762D1C"/>
    <w:rsid w:val="00763BAB"/>
    <w:rsid w:val="0077389C"/>
    <w:rsid w:val="007750E4"/>
    <w:rsid w:val="0078788B"/>
    <w:rsid w:val="00790241"/>
    <w:rsid w:val="0079065F"/>
    <w:rsid w:val="00792CB2"/>
    <w:rsid w:val="0079398C"/>
    <w:rsid w:val="00794B99"/>
    <w:rsid w:val="007950A4"/>
    <w:rsid w:val="007A2084"/>
    <w:rsid w:val="007A225A"/>
    <w:rsid w:val="007A27B9"/>
    <w:rsid w:val="007A4894"/>
    <w:rsid w:val="007A4B6E"/>
    <w:rsid w:val="007B14FD"/>
    <w:rsid w:val="007B1FE3"/>
    <w:rsid w:val="007B25E0"/>
    <w:rsid w:val="007B4206"/>
    <w:rsid w:val="007B581C"/>
    <w:rsid w:val="007B7005"/>
    <w:rsid w:val="007C1FA2"/>
    <w:rsid w:val="007C5101"/>
    <w:rsid w:val="007C71E8"/>
    <w:rsid w:val="007C72BF"/>
    <w:rsid w:val="007D1676"/>
    <w:rsid w:val="007D2461"/>
    <w:rsid w:val="007D35B0"/>
    <w:rsid w:val="007E56BA"/>
    <w:rsid w:val="007E744A"/>
    <w:rsid w:val="00803871"/>
    <w:rsid w:val="0081330A"/>
    <w:rsid w:val="00815231"/>
    <w:rsid w:val="00815F47"/>
    <w:rsid w:val="00817FA4"/>
    <w:rsid w:val="00823A73"/>
    <w:rsid w:val="00823A84"/>
    <w:rsid w:val="0082734E"/>
    <w:rsid w:val="008307C0"/>
    <w:rsid w:val="00831820"/>
    <w:rsid w:val="008321D4"/>
    <w:rsid w:val="00834171"/>
    <w:rsid w:val="00842CBF"/>
    <w:rsid w:val="00842CD5"/>
    <w:rsid w:val="00844C22"/>
    <w:rsid w:val="00845ECF"/>
    <w:rsid w:val="008466EA"/>
    <w:rsid w:val="00851863"/>
    <w:rsid w:val="00852AF6"/>
    <w:rsid w:val="00856E35"/>
    <w:rsid w:val="0085767C"/>
    <w:rsid w:val="00860AF8"/>
    <w:rsid w:val="008644FE"/>
    <w:rsid w:val="008646C7"/>
    <w:rsid w:val="00866DCB"/>
    <w:rsid w:val="008736DA"/>
    <w:rsid w:val="00874596"/>
    <w:rsid w:val="00874A9E"/>
    <w:rsid w:val="00876076"/>
    <w:rsid w:val="008766DF"/>
    <w:rsid w:val="00880724"/>
    <w:rsid w:val="00891D2E"/>
    <w:rsid w:val="00894826"/>
    <w:rsid w:val="00895768"/>
    <w:rsid w:val="00896E3E"/>
    <w:rsid w:val="008A1CE2"/>
    <w:rsid w:val="008A2B3D"/>
    <w:rsid w:val="008A3ECC"/>
    <w:rsid w:val="008A6661"/>
    <w:rsid w:val="008B081F"/>
    <w:rsid w:val="008B30BA"/>
    <w:rsid w:val="008B3A82"/>
    <w:rsid w:val="008B3AA1"/>
    <w:rsid w:val="008B458E"/>
    <w:rsid w:val="008B5D29"/>
    <w:rsid w:val="008C555F"/>
    <w:rsid w:val="008C62B1"/>
    <w:rsid w:val="008D0603"/>
    <w:rsid w:val="008D33CD"/>
    <w:rsid w:val="008D344F"/>
    <w:rsid w:val="008D4AC9"/>
    <w:rsid w:val="008E0C30"/>
    <w:rsid w:val="008E18FA"/>
    <w:rsid w:val="008E1EE8"/>
    <w:rsid w:val="008E7D20"/>
    <w:rsid w:val="008F2A91"/>
    <w:rsid w:val="008F395B"/>
    <w:rsid w:val="008F554C"/>
    <w:rsid w:val="008F5FE3"/>
    <w:rsid w:val="0090027C"/>
    <w:rsid w:val="00910BCE"/>
    <w:rsid w:val="00913B5D"/>
    <w:rsid w:val="009174AE"/>
    <w:rsid w:val="00920287"/>
    <w:rsid w:val="0092030B"/>
    <w:rsid w:val="009214E1"/>
    <w:rsid w:val="00922CF3"/>
    <w:rsid w:val="00923704"/>
    <w:rsid w:val="00924736"/>
    <w:rsid w:val="0092519C"/>
    <w:rsid w:val="009261BC"/>
    <w:rsid w:val="009269B9"/>
    <w:rsid w:val="00931D01"/>
    <w:rsid w:val="00933BBF"/>
    <w:rsid w:val="009342AB"/>
    <w:rsid w:val="009352E3"/>
    <w:rsid w:val="00935811"/>
    <w:rsid w:val="009362D9"/>
    <w:rsid w:val="00941274"/>
    <w:rsid w:val="00943B10"/>
    <w:rsid w:val="009475BA"/>
    <w:rsid w:val="00950256"/>
    <w:rsid w:val="00962447"/>
    <w:rsid w:val="009631D4"/>
    <w:rsid w:val="009641D5"/>
    <w:rsid w:val="00964A76"/>
    <w:rsid w:val="009666A6"/>
    <w:rsid w:val="009708DB"/>
    <w:rsid w:val="009716E1"/>
    <w:rsid w:val="00973432"/>
    <w:rsid w:val="00973662"/>
    <w:rsid w:val="009757D7"/>
    <w:rsid w:val="00984B5C"/>
    <w:rsid w:val="00984BFC"/>
    <w:rsid w:val="00990AB9"/>
    <w:rsid w:val="009916C7"/>
    <w:rsid w:val="00994AF1"/>
    <w:rsid w:val="009953FE"/>
    <w:rsid w:val="00996244"/>
    <w:rsid w:val="00997EAB"/>
    <w:rsid w:val="009A0836"/>
    <w:rsid w:val="009A33EF"/>
    <w:rsid w:val="009A37D5"/>
    <w:rsid w:val="009A6F24"/>
    <w:rsid w:val="009A77F7"/>
    <w:rsid w:val="009A7B72"/>
    <w:rsid w:val="009A7F18"/>
    <w:rsid w:val="009B34A2"/>
    <w:rsid w:val="009B3C85"/>
    <w:rsid w:val="009C3A9B"/>
    <w:rsid w:val="009C3CA6"/>
    <w:rsid w:val="009C6BA9"/>
    <w:rsid w:val="009C76CD"/>
    <w:rsid w:val="009D0E47"/>
    <w:rsid w:val="009D221B"/>
    <w:rsid w:val="009D28D4"/>
    <w:rsid w:val="009D577E"/>
    <w:rsid w:val="009E57D8"/>
    <w:rsid w:val="009E6BEF"/>
    <w:rsid w:val="009F016C"/>
    <w:rsid w:val="009F3103"/>
    <w:rsid w:val="009F43F1"/>
    <w:rsid w:val="009F5E55"/>
    <w:rsid w:val="00A06C03"/>
    <w:rsid w:val="00A072C4"/>
    <w:rsid w:val="00A10549"/>
    <w:rsid w:val="00A15298"/>
    <w:rsid w:val="00A152DA"/>
    <w:rsid w:val="00A15CAF"/>
    <w:rsid w:val="00A203AD"/>
    <w:rsid w:val="00A25A00"/>
    <w:rsid w:val="00A26120"/>
    <w:rsid w:val="00A32E66"/>
    <w:rsid w:val="00A335E5"/>
    <w:rsid w:val="00A3464C"/>
    <w:rsid w:val="00A477F6"/>
    <w:rsid w:val="00A53961"/>
    <w:rsid w:val="00A55563"/>
    <w:rsid w:val="00A55A58"/>
    <w:rsid w:val="00A57468"/>
    <w:rsid w:val="00A615F2"/>
    <w:rsid w:val="00A623DC"/>
    <w:rsid w:val="00A6358B"/>
    <w:rsid w:val="00A65BBE"/>
    <w:rsid w:val="00A762FE"/>
    <w:rsid w:val="00A83030"/>
    <w:rsid w:val="00A84F3A"/>
    <w:rsid w:val="00A8556E"/>
    <w:rsid w:val="00A904E6"/>
    <w:rsid w:val="00A920A9"/>
    <w:rsid w:val="00A95ED3"/>
    <w:rsid w:val="00AA076A"/>
    <w:rsid w:val="00AA0BF8"/>
    <w:rsid w:val="00AA1B44"/>
    <w:rsid w:val="00AA1C23"/>
    <w:rsid w:val="00AA4644"/>
    <w:rsid w:val="00AB18C0"/>
    <w:rsid w:val="00AB2B01"/>
    <w:rsid w:val="00AB77C6"/>
    <w:rsid w:val="00AB7FD2"/>
    <w:rsid w:val="00AC019D"/>
    <w:rsid w:val="00AC15B7"/>
    <w:rsid w:val="00AC19D0"/>
    <w:rsid w:val="00AD0613"/>
    <w:rsid w:val="00AD2C98"/>
    <w:rsid w:val="00AD4745"/>
    <w:rsid w:val="00AD6212"/>
    <w:rsid w:val="00AD7313"/>
    <w:rsid w:val="00AE2FAD"/>
    <w:rsid w:val="00AE3271"/>
    <w:rsid w:val="00AE36F6"/>
    <w:rsid w:val="00AE40C6"/>
    <w:rsid w:val="00AE6CF0"/>
    <w:rsid w:val="00AE6D44"/>
    <w:rsid w:val="00AF18FC"/>
    <w:rsid w:val="00AF3B3E"/>
    <w:rsid w:val="00AF4B6A"/>
    <w:rsid w:val="00AF59C0"/>
    <w:rsid w:val="00B00603"/>
    <w:rsid w:val="00B03705"/>
    <w:rsid w:val="00B0687D"/>
    <w:rsid w:val="00B07295"/>
    <w:rsid w:val="00B32514"/>
    <w:rsid w:val="00B342D8"/>
    <w:rsid w:val="00B36F0A"/>
    <w:rsid w:val="00B43E92"/>
    <w:rsid w:val="00B45635"/>
    <w:rsid w:val="00B468E1"/>
    <w:rsid w:val="00B515C6"/>
    <w:rsid w:val="00B57915"/>
    <w:rsid w:val="00B62201"/>
    <w:rsid w:val="00B7266A"/>
    <w:rsid w:val="00B760E0"/>
    <w:rsid w:val="00B81846"/>
    <w:rsid w:val="00B824E5"/>
    <w:rsid w:val="00B84C15"/>
    <w:rsid w:val="00B85626"/>
    <w:rsid w:val="00BA1339"/>
    <w:rsid w:val="00BA2E40"/>
    <w:rsid w:val="00BA4676"/>
    <w:rsid w:val="00BA5BE4"/>
    <w:rsid w:val="00BA778A"/>
    <w:rsid w:val="00BB525D"/>
    <w:rsid w:val="00BB6280"/>
    <w:rsid w:val="00BB6FD1"/>
    <w:rsid w:val="00BC341F"/>
    <w:rsid w:val="00BC374E"/>
    <w:rsid w:val="00BD11B0"/>
    <w:rsid w:val="00BD26D3"/>
    <w:rsid w:val="00BD38F9"/>
    <w:rsid w:val="00BD4FD8"/>
    <w:rsid w:val="00BD503F"/>
    <w:rsid w:val="00BD76F1"/>
    <w:rsid w:val="00BD798A"/>
    <w:rsid w:val="00BE419C"/>
    <w:rsid w:val="00BF172C"/>
    <w:rsid w:val="00BF28EF"/>
    <w:rsid w:val="00BF3A4A"/>
    <w:rsid w:val="00C002BC"/>
    <w:rsid w:val="00C00B02"/>
    <w:rsid w:val="00C0567A"/>
    <w:rsid w:val="00C05E10"/>
    <w:rsid w:val="00C079F5"/>
    <w:rsid w:val="00C112B0"/>
    <w:rsid w:val="00C14E08"/>
    <w:rsid w:val="00C15425"/>
    <w:rsid w:val="00C167B4"/>
    <w:rsid w:val="00C16996"/>
    <w:rsid w:val="00C17516"/>
    <w:rsid w:val="00C20AB2"/>
    <w:rsid w:val="00C20F74"/>
    <w:rsid w:val="00C22CEE"/>
    <w:rsid w:val="00C26343"/>
    <w:rsid w:val="00C27536"/>
    <w:rsid w:val="00C3104B"/>
    <w:rsid w:val="00C3379B"/>
    <w:rsid w:val="00C342B6"/>
    <w:rsid w:val="00C349FC"/>
    <w:rsid w:val="00C35F8D"/>
    <w:rsid w:val="00C4283A"/>
    <w:rsid w:val="00C42E4B"/>
    <w:rsid w:val="00C4330E"/>
    <w:rsid w:val="00C439C4"/>
    <w:rsid w:val="00C43C28"/>
    <w:rsid w:val="00C462F3"/>
    <w:rsid w:val="00C46376"/>
    <w:rsid w:val="00C47077"/>
    <w:rsid w:val="00C51B07"/>
    <w:rsid w:val="00C51DCD"/>
    <w:rsid w:val="00C60093"/>
    <w:rsid w:val="00C60289"/>
    <w:rsid w:val="00C60370"/>
    <w:rsid w:val="00C6260E"/>
    <w:rsid w:val="00C62C58"/>
    <w:rsid w:val="00C63191"/>
    <w:rsid w:val="00C64CB3"/>
    <w:rsid w:val="00C678FA"/>
    <w:rsid w:val="00C849A8"/>
    <w:rsid w:val="00C91361"/>
    <w:rsid w:val="00C91B2F"/>
    <w:rsid w:val="00C95839"/>
    <w:rsid w:val="00C95B30"/>
    <w:rsid w:val="00CA0C1C"/>
    <w:rsid w:val="00CA0C64"/>
    <w:rsid w:val="00CA2059"/>
    <w:rsid w:val="00CA2D09"/>
    <w:rsid w:val="00CA3551"/>
    <w:rsid w:val="00CB0F0F"/>
    <w:rsid w:val="00CB19FD"/>
    <w:rsid w:val="00CB4815"/>
    <w:rsid w:val="00CC1517"/>
    <w:rsid w:val="00CC2532"/>
    <w:rsid w:val="00CC2F8B"/>
    <w:rsid w:val="00CC3751"/>
    <w:rsid w:val="00CD20BF"/>
    <w:rsid w:val="00CD3501"/>
    <w:rsid w:val="00CD41F5"/>
    <w:rsid w:val="00CD54BE"/>
    <w:rsid w:val="00CD797A"/>
    <w:rsid w:val="00CE0BBC"/>
    <w:rsid w:val="00CE6EDF"/>
    <w:rsid w:val="00CF1337"/>
    <w:rsid w:val="00CF1E83"/>
    <w:rsid w:val="00CF2046"/>
    <w:rsid w:val="00CF3BC9"/>
    <w:rsid w:val="00CF526C"/>
    <w:rsid w:val="00D001EC"/>
    <w:rsid w:val="00D00A82"/>
    <w:rsid w:val="00D012E9"/>
    <w:rsid w:val="00D0319F"/>
    <w:rsid w:val="00D061A7"/>
    <w:rsid w:val="00D0656F"/>
    <w:rsid w:val="00D10DA7"/>
    <w:rsid w:val="00D1437C"/>
    <w:rsid w:val="00D16568"/>
    <w:rsid w:val="00D178E0"/>
    <w:rsid w:val="00D210E7"/>
    <w:rsid w:val="00D26E82"/>
    <w:rsid w:val="00D332D5"/>
    <w:rsid w:val="00D33A4D"/>
    <w:rsid w:val="00D36875"/>
    <w:rsid w:val="00D3780A"/>
    <w:rsid w:val="00D4262D"/>
    <w:rsid w:val="00D42ED7"/>
    <w:rsid w:val="00D43D91"/>
    <w:rsid w:val="00D46DFC"/>
    <w:rsid w:val="00D51876"/>
    <w:rsid w:val="00D52DAA"/>
    <w:rsid w:val="00D56EF2"/>
    <w:rsid w:val="00D57158"/>
    <w:rsid w:val="00D60D6C"/>
    <w:rsid w:val="00D62F31"/>
    <w:rsid w:val="00D64DD6"/>
    <w:rsid w:val="00D658E2"/>
    <w:rsid w:val="00D70C70"/>
    <w:rsid w:val="00D76CC5"/>
    <w:rsid w:val="00D76F2E"/>
    <w:rsid w:val="00D80BDE"/>
    <w:rsid w:val="00D820DE"/>
    <w:rsid w:val="00D852A5"/>
    <w:rsid w:val="00D85AF9"/>
    <w:rsid w:val="00D90F71"/>
    <w:rsid w:val="00D92EA3"/>
    <w:rsid w:val="00D92ED1"/>
    <w:rsid w:val="00D935C7"/>
    <w:rsid w:val="00D94D54"/>
    <w:rsid w:val="00DA25EC"/>
    <w:rsid w:val="00DA3186"/>
    <w:rsid w:val="00DA6964"/>
    <w:rsid w:val="00DA7DF9"/>
    <w:rsid w:val="00DB06EC"/>
    <w:rsid w:val="00DB08DC"/>
    <w:rsid w:val="00DB48DC"/>
    <w:rsid w:val="00DD13DC"/>
    <w:rsid w:val="00DD19B4"/>
    <w:rsid w:val="00DD3A9F"/>
    <w:rsid w:val="00DE456B"/>
    <w:rsid w:val="00DE463B"/>
    <w:rsid w:val="00DE5245"/>
    <w:rsid w:val="00DE5698"/>
    <w:rsid w:val="00DF4E41"/>
    <w:rsid w:val="00E010E8"/>
    <w:rsid w:val="00E033B8"/>
    <w:rsid w:val="00E05304"/>
    <w:rsid w:val="00E11663"/>
    <w:rsid w:val="00E129BD"/>
    <w:rsid w:val="00E14B48"/>
    <w:rsid w:val="00E15769"/>
    <w:rsid w:val="00E16EA1"/>
    <w:rsid w:val="00E174BA"/>
    <w:rsid w:val="00E232D1"/>
    <w:rsid w:val="00E2665A"/>
    <w:rsid w:val="00E27B6C"/>
    <w:rsid w:val="00E31B98"/>
    <w:rsid w:val="00E32A26"/>
    <w:rsid w:val="00E32B6E"/>
    <w:rsid w:val="00E3309E"/>
    <w:rsid w:val="00E3449E"/>
    <w:rsid w:val="00E36EF9"/>
    <w:rsid w:val="00E3776A"/>
    <w:rsid w:val="00E422C8"/>
    <w:rsid w:val="00E43D98"/>
    <w:rsid w:val="00E46050"/>
    <w:rsid w:val="00E6072D"/>
    <w:rsid w:val="00E643E7"/>
    <w:rsid w:val="00E73431"/>
    <w:rsid w:val="00E76BC7"/>
    <w:rsid w:val="00E76F86"/>
    <w:rsid w:val="00E82020"/>
    <w:rsid w:val="00E84B82"/>
    <w:rsid w:val="00E864AD"/>
    <w:rsid w:val="00E9191E"/>
    <w:rsid w:val="00E93822"/>
    <w:rsid w:val="00E93B7D"/>
    <w:rsid w:val="00EA038B"/>
    <w:rsid w:val="00EA32F0"/>
    <w:rsid w:val="00EA5299"/>
    <w:rsid w:val="00EA70A2"/>
    <w:rsid w:val="00EA73FF"/>
    <w:rsid w:val="00EB441E"/>
    <w:rsid w:val="00EC22CC"/>
    <w:rsid w:val="00EC264F"/>
    <w:rsid w:val="00EC569C"/>
    <w:rsid w:val="00EC7C09"/>
    <w:rsid w:val="00ED1632"/>
    <w:rsid w:val="00ED237F"/>
    <w:rsid w:val="00ED32AB"/>
    <w:rsid w:val="00ED3CAC"/>
    <w:rsid w:val="00ED3DBE"/>
    <w:rsid w:val="00ED6FBF"/>
    <w:rsid w:val="00ED7125"/>
    <w:rsid w:val="00EE497D"/>
    <w:rsid w:val="00EE4B7A"/>
    <w:rsid w:val="00EE62DA"/>
    <w:rsid w:val="00EF0991"/>
    <w:rsid w:val="00F00ADD"/>
    <w:rsid w:val="00F05D19"/>
    <w:rsid w:val="00F12023"/>
    <w:rsid w:val="00F13356"/>
    <w:rsid w:val="00F14FBA"/>
    <w:rsid w:val="00F17A1E"/>
    <w:rsid w:val="00F2010D"/>
    <w:rsid w:val="00F22355"/>
    <w:rsid w:val="00F2316C"/>
    <w:rsid w:val="00F24B94"/>
    <w:rsid w:val="00F24E1C"/>
    <w:rsid w:val="00F2581A"/>
    <w:rsid w:val="00F266BD"/>
    <w:rsid w:val="00F3116A"/>
    <w:rsid w:val="00F341F7"/>
    <w:rsid w:val="00F35B37"/>
    <w:rsid w:val="00F36B9F"/>
    <w:rsid w:val="00F41C85"/>
    <w:rsid w:val="00F42FF5"/>
    <w:rsid w:val="00F433F7"/>
    <w:rsid w:val="00F437CE"/>
    <w:rsid w:val="00F4448C"/>
    <w:rsid w:val="00F510E0"/>
    <w:rsid w:val="00F56991"/>
    <w:rsid w:val="00F57231"/>
    <w:rsid w:val="00F57D5A"/>
    <w:rsid w:val="00F57F60"/>
    <w:rsid w:val="00F6238A"/>
    <w:rsid w:val="00F6600F"/>
    <w:rsid w:val="00F66FE3"/>
    <w:rsid w:val="00F75D64"/>
    <w:rsid w:val="00F76E25"/>
    <w:rsid w:val="00F774FE"/>
    <w:rsid w:val="00F80488"/>
    <w:rsid w:val="00F85816"/>
    <w:rsid w:val="00F9230C"/>
    <w:rsid w:val="00F9458C"/>
    <w:rsid w:val="00F96AB7"/>
    <w:rsid w:val="00F97F43"/>
    <w:rsid w:val="00FA3397"/>
    <w:rsid w:val="00FA6191"/>
    <w:rsid w:val="00FB043E"/>
    <w:rsid w:val="00FB05B6"/>
    <w:rsid w:val="00FB152B"/>
    <w:rsid w:val="00FB3A93"/>
    <w:rsid w:val="00FB4C71"/>
    <w:rsid w:val="00FB76A7"/>
    <w:rsid w:val="00FC159E"/>
    <w:rsid w:val="00FC331F"/>
    <w:rsid w:val="00FC48D6"/>
    <w:rsid w:val="00FC5332"/>
    <w:rsid w:val="00FC6FE4"/>
    <w:rsid w:val="00FD03EE"/>
    <w:rsid w:val="00FD546C"/>
    <w:rsid w:val="00FE12C3"/>
    <w:rsid w:val="00FE2A4D"/>
    <w:rsid w:val="00FE31CE"/>
    <w:rsid w:val="00FF214F"/>
    <w:rsid w:val="00FF361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63E709"/>
  <w15:docId w15:val="{9616377C-3E85-3D48-9998-E532E595C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 w:eastAsia="en-GB"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FootnoteText">
    <w:name w:val="footnote text"/>
    <w:basedOn w:val="Normal"/>
    <w:link w:val="FootnoteTextChar"/>
    <w:uiPriority w:val="99"/>
    <w:semiHidden/>
    <w:unhideWhenUsed/>
    <w:rsid w:val="00AF18FC"/>
    <w:pPr>
      <w:spacing w:line="240" w:lineRule="auto"/>
    </w:pPr>
    <w:rPr>
      <w:sz w:val="20"/>
      <w:szCs w:val="20"/>
    </w:rPr>
  </w:style>
  <w:style w:type="character" w:customStyle="1" w:styleId="FootnoteTextChar">
    <w:name w:val="Footnote Text Char"/>
    <w:basedOn w:val="DefaultParagraphFont"/>
    <w:link w:val="FootnoteText"/>
    <w:uiPriority w:val="99"/>
    <w:semiHidden/>
    <w:rsid w:val="00AF18FC"/>
    <w:rPr>
      <w:sz w:val="20"/>
      <w:szCs w:val="20"/>
    </w:rPr>
  </w:style>
  <w:style w:type="character" w:styleId="FootnoteReference">
    <w:name w:val="footnote reference"/>
    <w:basedOn w:val="DefaultParagraphFont"/>
    <w:uiPriority w:val="99"/>
    <w:semiHidden/>
    <w:unhideWhenUsed/>
    <w:rsid w:val="00AF18FC"/>
    <w:rPr>
      <w:vertAlign w:val="superscript"/>
    </w:rPr>
  </w:style>
  <w:style w:type="paragraph" w:styleId="Header">
    <w:name w:val="header"/>
    <w:basedOn w:val="Normal"/>
    <w:link w:val="HeaderChar"/>
    <w:uiPriority w:val="99"/>
    <w:unhideWhenUsed/>
    <w:rsid w:val="00AF18FC"/>
    <w:pPr>
      <w:tabs>
        <w:tab w:val="center" w:pos="4513"/>
        <w:tab w:val="right" w:pos="9026"/>
      </w:tabs>
      <w:spacing w:line="240" w:lineRule="auto"/>
    </w:pPr>
  </w:style>
  <w:style w:type="character" w:customStyle="1" w:styleId="HeaderChar">
    <w:name w:val="Header Char"/>
    <w:basedOn w:val="DefaultParagraphFont"/>
    <w:link w:val="Header"/>
    <w:uiPriority w:val="99"/>
    <w:rsid w:val="00AF18FC"/>
  </w:style>
  <w:style w:type="paragraph" w:styleId="Footer">
    <w:name w:val="footer"/>
    <w:basedOn w:val="Normal"/>
    <w:link w:val="FooterChar"/>
    <w:uiPriority w:val="99"/>
    <w:unhideWhenUsed/>
    <w:rsid w:val="00AF18FC"/>
    <w:pPr>
      <w:tabs>
        <w:tab w:val="center" w:pos="4513"/>
        <w:tab w:val="right" w:pos="9026"/>
      </w:tabs>
      <w:spacing w:line="240" w:lineRule="auto"/>
    </w:pPr>
  </w:style>
  <w:style w:type="character" w:customStyle="1" w:styleId="FooterChar">
    <w:name w:val="Footer Char"/>
    <w:basedOn w:val="DefaultParagraphFont"/>
    <w:link w:val="Footer"/>
    <w:uiPriority w:val="99"/>
    <w:rsid w:val="00AF18FC"/>
  </w:style>
  <w:style w:type="paragraph" w:styleId="EndnoteText">
    <w:name w:val="endnote text"/>
    <w:basedOn w:val="Normal"/>
    <w:link w:val="EndnoteTextChar"/>
    <w:uiPriority w:val="99"/>
    <w:semiHidden/>
    <w:unhideWhenUsed/>
    <w:rsid w:val="00AF18FC"/>
    <w:pPr>
      <w:spacing w:line="240" w:lineRule="auto"/>
    </w:pPr>
    <w:rPr>
      <w:sz w:val="20"/>
      <w:szCs w:val="20"/>
    </w:rPr>
  </w:style>
  <w:style w:type="character" w:customStyle="1" w:styleId="EndnoteTextChar">
    <w:name w:val="Endnote Text Char"/>
    <w:basedOn w:val="DefaultParagraphFont"/>
    <w:link w:val="EndnoteText"/>
    <w:uiPriority w:val="99"/>
    <w:semiHidden/>
    <w:rsid w:val="00AF18FC"/>
    <w:rPr>
      <w:sz w:val="20"/>
      <w:szCs w:val="20"/>
    </w:rPr>
  </w:style>
  <w:style w:type="character" w:styleId="EndnoteReference">
    <w:name w:val="endnote reference"/>
    <w:basedOn w:val="DefaultParagraphFont"/>
    <w:uiPriority w:val="99"/>
    <w:semiHidden/>
    <w:unhideWhenUsed/>
    <w:rsid w:val="00AF18FC"/>
    <w:rPr>
      <w:vertAlign w:val="superscript"/>
    </w:rPr>
  </w:style>
  <w:style w:type="character" w:styleId="PageNumber">
    <w:name w:val="page number"/>
    <w:basedOn w:val="DefaultParagraphFont"/>
    <w:uiPriority w:val="99"/>
    <w:semiHidden/>
    <w:unhideWhenUsed/>
    <w:rsid w:val="00B32514"/>
  </w:style>
  <w:style w:type="character" w:styleId="CommentReference">
    <w:name w:val="annotation reference"/>
    <w:basedOn w:val="DefaultParagraphFont"/>
    <w:uiPriority w:val="99"/>
    <w:semiHidden/>
    <w:unhideWhenUsed/>
    <w:rsid w:val="00B85626"/>
    <w:rPr>
      <w:sz w:val="16"/>
      <w:szCs w:val="16"/>
    </w:rPr>
  </w:style>
  <w:style w:type="paragraph" w:styleId="CommentText">
    <w:name w:val="annotation text"/>
    <w:basedOn w:val="Normal"/>
    <w:link w:val="CommentTextChar"/>
    <w:uiPriority w:val="99"/>
    <w:semiHidden/>
    <w:unhideWhenUsed/>
    <w:rsid w:val="00B85626"/>
    <w:pPr>
      <w:spacing w:line="240" w:lineRule="auto"/>
    </w:pPr>
    <w:rPr>
      <w:sz w:val="20"/>
      <w:szCs w:val="20"/>
    </w:rPr>
  </w:style>
  <w:style w:type="character" w:customStyle="1" w:styleId="CommentTextChar">
    <w:name w:val="Comment Text Char"/>
    <w:basedOn w:val="DefaultParagraphFont"/>
    <w:link w:val="CommentText"/>
    <w:uiPriority w:val="99"/>
    <w:semiHidden/>
    <w:rsid w:val="00B85626"/>
    <w:rPr>
      <w:sz w:val="20"/>
      <w:szCs w:val="20"/>
    </w:rPr>
  </w:style>
  <w:style w:type="paragraph" w:styleId="CommentSubject">
    <w:name w:val="annotation subject"/>
    <w:basedOn w:val="CommentText"/>
    <w:next w:val="CommentText"/>
    <w:link w:val="CommentSubjectChar"/>
    <w:uiPriority w:val="99"/>
    <w:semiHidden/>
    <w:unhideWhenUsed/>
    <w:rsid w:val="00B85626"/>
    <w:rPr>
      <w:b/>
      <w:bCs/>
    </w:rPr>
  </w:style>
  <w:style w:type="character" w:customStyle="1" w:styleId="CommentSubjectChar">
    <w:name w:val="Comment Subject Char"/>
    <w:basedOn w:val="CommentTextChar"/>
    <w:link w:val="CommentSubject"/>
    <w:uiPriority w:val="99"/>
    <w:semiHidden/>
    <w:rsid w:val="00B85626"/>
    <w:rPr>
      <w:b/>
      <w:bCs/>
      <w:sz w:val="20"/>
      <w:szCs w:val="20"/>
    </w:rPr>
  </w:style>
  <w:style w:type="paragraph" w:styleId="BalloonText">
    <w:name w:val="Balloon Text"/>
    <w:basedOn w:val="Normal"/>
    <w:link w:val="BalloonTextChar"/>
    <w:uiPriority w:val="99"/>
    <w:semiHidden/>
    <w:unhideWhenUsed/>
    <w:rsid w:val="006D46F7"/>
    <w:pPr>
      <w:spacing w:line="240" w:lineRule="auto"/>
    </w:pPr>
    <w:rPr>
      <w:sz w:val="18"/>
      <w:szCs w:val="18"/>
    </w:rPr>
  </w:style>
  <w:style w:type="character" w:customStyle="1" w:styleId="BalloonTextChar">
    <w:name w:val="Balloon Text Char"/>
    <w:basedOn w:val="DefaultParagraphFont"/>
    <w:link w:val="BalloonText"/>
    <w:uiPriority w:val="99"/>
    <w:semiHidden/>
    <w:rsid w:val="006D46F7"/>
    <w:rPr>
      <w:sz w:val="18"/>
      <w:szCs w:val="18"/>
    </w:rPr>
  </w:style>
  <w:style w:type="character" w:styleId="Hyperlink">
    <w:name w:val="Hyperlink"/>
    <w:basedOn w:val="DefaultParagraphFont"/>
    <w:uiPriority w:val="99"/>
    <w:unhideWhenUsed/>
    <w:rsid w:val="00057474"/>
    <w:rPr>
      <w:color w:val="0000FF" w:themeColor="hyperlink"/>
      <w:u w:val="single"/>
    </w:rPr>
  </w:style>
  <w:style w:type="character" w:styleId="UnresolvedMention">
    <w:name w:val="Unresolved Mention"/>
    <w:basedOn w:val="DefaultParagraphFont"/>
    <w:uiPriority w:val="99"/>
    <w:semiHidden/>
    <w:unhideWhenUsed/>
    <w:rsid w:val="00057474"/>
    <w:rPr>
      <w:color w:val="605E5C"/>
      <w:shd w:val="clear" w:color="auto" w:fill="E1DFDD"/>
    </w:rPr>
  </w:style>
  <w:style w:type="paragraph" w:styleId="Revision">
    <w:name w:val="Revision"/>
    <w:hidden/>
    <w:uiPriority w:val="99"/>
    <w:semiHidden/>
    <w:rsid w:val="000C3FB4"/>
    <w:pPr>
      <w:spacing w:line="240" w:lineRule="auto"/>
      <w:jc w:val="left"/>
    </w:pPr>
  </w:style>
  <w:style w:type="paragraph" w:styleId="NormalWeb">
    <w:name w:val="Normal (Web)"/>
    <w:basedOn w:val="Normal"/>
    <w:uiPriority w:val="99"/>
    <w:semiHidden/>
    <w:unhideWhenUsed/>
    <w:rsid w:val="00023FE1"/>
    <w:pPr>
      <w:spacing w:before="100" w:beforeAutospacing="1" w:after="100" w:afterAutospacing="1" w:line="240" w:lineRule="auto"/>
      <w:jc w:val="left"/>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60119">
      <w:bodyDiv w:val="1"/>
      <w:marLeft w:val="0"/>
      <w:marRight w:val="0"/>
      <w:marTop w:val="0"/>
      <w:marBottom w:val="0"/>
      <w:divBdr>
        <w:top w:val="none" w:sz="0" w:space="0" w:color="auto"/>
        <w:left w:val="none" w:sz="0" w:space="0" w:color="auto"/>
        <w:bottom w:val="none" w:sz="0" w:space="0" w:color="auto"/>
        <w:right w:val="none" w:sz="0" w:space="0" w:color="auto"/>
      </w:divBdr>
    </w:div>
    <w:div w:id="183637571">
      <w:bodyDiv w:val="1"/>
      <w:marLeft w:val="0"/>
      <w:marRight w:val="0"/>
      <w:marTop w:val="0"/>
      <w:marBottom w:val="0"/>
      <w:divBdr>
        <w:top w:val="none" w:sz="0" w:space="0" w:color="auto"/>
        <w:left w:val="none" w:sz="0" w:space="0" w:color="auto"/>
        <w:bottom w:val="none" w:sz="0" w:space="0" w:color="auto"/>
        <w:right w:val="none" w:sz="0" w:space="0" w:color="auto"/>
      </w:divBdr>
    </w:div>
    <w:div w:id="261377600">
      <w:bodyDiv w:val="1"/>
      <w:marLeft w:val="0"/>
      <w:marRight w:val="0"/>
      <w:marTop w:val="0"/>
      <w:marBottom w:val="0"/>
      <w:divBdr>
        <w:top w:val="none" w:sz="0" w:space="0" w:color="auto"/>
        <w:left w:val="none" w:sz="0" w:space="0" w:color="auto"/>
        <w:bottom w:val="none" w:sz="0" w:space="0" w:color="auto"/>
        <w:right w:val="none" w:sz="0" w:space="0" w:color="auto"/>
      </w:divBdr>
    </w:div>
    <w:div w:id="264388969">
      <w:bodyDiv w:val="1"/>
      <w:marLeft w:val="0"/>
      <w:marRight w:val="0"/>
      <w:marTop w:val="0"/>
      <w:marBottom w:val="0"/>
      <w:divBdr>
        <w:top w:val="none" w:sz="0" w:space="0" w:color="auto"/>
        <w:left w:val="none" w:sz="0" w:space="0" w:color="auto"/>
        <w:bottom w:val="none" w:sz="0" w:space="0" w:color="auto"/>
        <w:right w:val="none" w:sz="0" w:space="0" w:color="auto"/>
      </w:divBdr>
    </w:div>
    <w:div w:id="329598237">
      <w:bodyDiv w:val="1"/>
      <w:marLeft w:val="0"/>
      <w:marRight w:val="0"/>
      <w:marTop w:val="0"/>
      <w:marBottom w:val="0"/>
      <w:divBdr>
        <w:top w:val="none" w:sz="0" w:space="0" w:color="auto"/>
        <w:left w:val="none" w:sz="0" w:space="0" w:color="auto"/>
        <w:bottom w:val="none" w:sz="0" w:space="0" w:color="auto"/>
        <w:right w:val="none" w:sz="0" w:space="0" w:color="auto"/>
      </w:divBdr>
    </w:div>
    <w:div w:id="361714908">
      <w:bodyDiv w:val="1"/>
      <w:marLeft w:val="0"/>
      <w:marRight w:val="0"/>
      <w:marTop w:val="0"/>
      <w:marBottom w:val="0"/>
      <w:divBdr>
        <w:top w:val="none" w:sz="0" w:space="0" w:color="auto"/>
        <w:left w:val="none" w:sz="0" w:space="0" w:color="auto"/>
        <w:bottom w:val="none" w:sz="0" w:space="0" w:color="auto"/>
        <w:right w:val="none" w:sz="0" w:space="0" w:color="auto"/>
      </w:divBdr>
    </w:div>
    <w:div w:id="561404153">
      <w:bodyDiv w:val="1"/>
      <w:marLeft w:val="0"/>
      <w:marRight w:val="0"/>
      <w:marTop w:val="0"/>
      <w:marBottom w:val="0"/>
      <w:divBdr>
        <w:top w:val="none" w:sz="0" w:space="0" w:color="auto"/>
        <w:left w:val="none" w:sz="0" w:space="0" w:color="auto"/>
        <w:bottom w:val="none" w:sz="0" w:space="0" w:color="auto"/>
        <w:right w:val="none" w:sz="0" w:space="0" w:color="auto"/>
      </w:divBdr>
    </w:div>
    <w:div w:id="576212026">
      <w:bodyDiv w:val="1"/>
      <w:marLeft w:val="0"/>
      <w:marRight w:val="0"/>
      <w:marTop w:val="0"/>
      <w:marBottom w:val="0"/>
      <w:divBdr>
        <w:top w:val="none" w:sz="0" w:space="0" w:color="auto"/>
        <w:left w:val="none" w:sz="0" w:space="0" w:color="auto"/>
        <w:bottom w:val="none" w:sz="0" w:space="0" w:color="auto"/>
        <w:right w:val="none" w:sz="0" w:space="0" w:color="auto"/>
      </w:divBdr>
    </w:div>
    <w:div w:id="587690425">
      <w:bodyDiv w:val="1"/>
      <w:marLeft w:val="0"/>
      <w:marRight w:val="0"/>
      <w:marTop w:val="0"/>
      <w:marBottom w:val="0"/>
      <w:divBdr>
        <w:top w:val="none" w:sz="0" w:space="0" w:color="auto"/>
        <w:left w:val="none" w:sz="0" w:space="0" w:color="auto"/>
        <w:bottom w:val="none" w:sz="0" w:space="0" w:color="auto"/>
        <w:right w:val="none" w:sz="0" w:space="0" w:color="auto"/>
      </w:divBdr>
    </w:div>
    <w:div w:id="649754951">
      <w:bodyDiv w:val="1"/>
      <w:marLeft w:val="0"/>
      <w:marRight w:val="0"/>
      <w:marTop w:val="0"/>
      <w:marBottom w:val="0"/>
      <w:divBdr>
        <w:top w:val="none" w:sz="0" w:space="0" w:color="auto"/>
        <w:left w:val="none" w:sz="0" w:space="0" w:color="auto"/>
        <w:bottom w:val="none" w:sz="0" w:space="0" w:color="auto"/>
        <w:right w:val="none" w:sz="0" w:space="0" w:color="auto"/>
      </w:divBdr>
    </w:div>
    <w:div w:id="658382952">
      <w:bodyDiv w:val="1"/>
      <w:marLeft w:val="0"/>
      <w:marRight w:val="0"/>
      <w:marTop w:val="0"/>
      <w:marBottom w:val="0"/>
      <w:divBdr>
        <w:top w:val="none" w:sz="0" w:space="0" w:color="auto"/>
        <w:left w:val="none" w:sz="0" w:space="0" w:color="auto"/>
        <w:bottom w:val="none" w:sz="0" w:space="0" w:color="auto"/>
        <w:right w:val="none" w:sz="0" w:space="0" w:color="auto"/>
      </w:divBdr>
    </w:div>
    <w:div w:id="806623646">
      <w:bodyDiv w:val="1"/>
      <w:marLeft w:val="0"/>
      <w:marRight w:val="0"/>
      <w:marTop w:val="0"/>
      <w:marBottom w:val="0"/>
      <w:divBdr>
        <w:top w:val="none" w:sz="0" w:space="0" w:color="auto"/>
        <w:left w:val="none" w:sz="0" w:space="0" w:color="auto"/>
        <w:bottom w:val="none" w:sz="0" w:space="0" w:color="auto"/>
        <w:right w:val="none" w:sz="0" w:space="0" w:color="auto"/>
      </w:divBdr>
    </w:div>
    <w:div w:id="840513437">
      <w:bodyDiv w:val="1"/>
      <w:marLeft w:val="0"/>
      <w:marRight w:val="0"/>
      <w:marTop w:val="0"/>
      <w:marBottom w:val="0"/>
      <w:divBdr>
        <w:top w:val="none" w:sz="0" w:space="0" w:color="auto"/>
        <w:left w:val="none" w:sz="0" w:space="0" w:color="auto"/>
        <w:bottom w:val="none" w:sz="0" w:space="0" w:color="auto"/>
        <w:right w:val="none" w:sz="0" w:space="0" w:color="auto"/>
      </w:divBdr>
    </w:div>
    <w:div w:id="856043688">
      <w:bodyDiv w:val="1"/>
      <w:marLeft w:val="0"/>
      <w:marRight w:val="0"/>
      <w:marTop w:val="0"/>
      <w:marBottom w:val="0"/>
      <w:divBdr>
        <w:top w:val="none" w:sz="0" w:space="0" w:color="auto"/>
        <w:left w:val="none" w:sz="0" w:space="0" w:color="auto"/>
        <w:bottom w:val="none" w:sz="0" w:space="0" w:color="auto"/>
        <w:right w:val="none" w:sz="0" w:space="0" w:color="auto"/>
      </w:divBdr>
    </w:div>
    <w:div w:id="920219985">
      <w:bodyDiv w:val="1"/>
      <w:marLeft w:val="0"/>
      <w:marRight w:val="0"/>
      <w:marTop w:val="0"/>
      <w:marBottom w:val="0"/>
      <w:divBdr>
        <w:top w:val="none" w:sz="0" w:space="0" w:color="auto"/>
        <w:left w:val="none" w:sz="0" w:space="0" w:color="auto"/>
        <w:bottom w:val="none" w:sz="0" w:space="0" w:color="auto"/>
        <w:right w:val="none" w:sz="0" w:space="0" w:color="auto"/>
      </w:divBdr>
    </w:div>
    <w:div w:id="922376559">
      <w:bodyDiv w:val="1"/>
      <w:marLeft w:val="0"/>
      <w:marRight w:val="0"/>
      <w:marTop w:val="0"/>
      <w:marBottom w:val="0"/>
      <w:divBdr>
        <w:top w:val="none" w:sz="0" w:space="0" w:color="auto"/>
        <w:left w:val="none" w:sz="0" w:space="0" w:color="auto"/>
        <w:bottom w:val="none" w:sz="0" w:space="0" w:color="auto"/>
        <w:right w:val="none" w:sz="0" w:space="0" w:color="auto"/>
      </w:divBdr>
    </w:div>
    <w:div w:id="1161198017">
      <w:bodyDiv w:val="1"/>
      <w:marLeft w:val="0"/>
      <w:marRight w:val="0"/>
      <w:marTop w:val="0"/>
      <w:marBottom w:val="0"/>
      <w:divBdr>
        <w:top w:val="none" w:sz="0" w:space="0" w:color="auto"/>
        <w:left w:val="none" w:sz="0" w:space="0" w:color="auto"/>
        <w:bottom w:val="none" w:sz="0" w:space="0" w:color="auto"/>
        <w:right w:val="none" w:sz="0" w:space="0" w:color="auto"/>
      </w:divBdr>
    </w:div>
    <w:div w:id="1217933004">
      <w:bodyDiv w:val="1"/>
      <w:marLeft w:val="0"/>
      <w:marRight w:val="0"/>
      <w:marTop w:val="0"/>
      <w:marBottom w:val="0"/>
      <w:divBdr>
        <w:top w:val="none" w:sz="0" w:space="0" w:color="auto"/>
        <w:left w:val="none" w:sz="0" w:space="0" w:color="auto"/>
        <w:bottom w:val="none" w:sz="0" w:space="0" w:color="auto"/>
        <w:right w:val="none" w:sz="0" w:space="0" w:color="auto"/>
      </w:divBdr>
    </w:div>
    <w:div w:id="1313212719">
      <w:bodyDiv w:val="1"/>
      <w:marLeft w:val="0"/>
      <w:marRight w:val="0"/>
      <w:marTop w:val="0"/>
      <w:marBottom w:val="0"/>
      <w:divBdr>
        <w:top w:val="none" w:sz="0" w:space="0" w:color="auto"/>
        <w:left w:val="none" w:sz="0" w:space="0" w:color="auto"/>
        <w:bottom w:val="none" w:sz="0" w:space="0" w:color="auto"/>
        <w:right w:val="none" w:sz="0" w:space="0" w:color="auto"/>
      </w:divBdr>
    </w:div>
    <w:div w:id="1354264177">
      <w:bodyDiv w:val="1"/>
      <w:marLeft w:val="0"/>
      <w:marRight w:val="0"/>
      <w:marTop w:val="0"/>
      <w:marBottom w:val="0"/>
      <w:divBdr>
        <w:top w:val="none" w:sz="0" w:space="0" w:color="auto"/>
        <w:left w:val="none" w:sz="0" w:space="0" w:color="auto"/>
        <w:bottom w:val="none" w:sz="0" w:space="0" w:color="auto"/>
        <w:right w:val="none" w:sz="0" w:space="0" w:color="auto"/>
      </w:divBdr>
    </w:div>
    <w:div w:id="1354843792">
      <w:bodyDiv w:val="1"/>
      <w:marLeft w:val="0"/>
      <w:marRight w:val="0"/>
      <w:marTop w:val="0"/>
      <w:marBottom w:val="0"/>
      <w:divBdr>
        <w:top w:val="none" w:sz="0" w:space="0" w:color="auto"/>
        <w:left w:val="none" w:sz="0" w:space="0" w:color="auto"/>
        <w:bottom w:val="none" w:sz="0" w:space="0" w:color="auto"/>
        <w:right w:val="none" w:sz="0" w:space="0" w:color="auto"/>
      </w:divBdr>
    </w:div>
    <w:div w:id="1431852933">
      <w:bodyDiv w:val="1"/>
      <w:marLeft w:val="0"/>
      <w:marRight w:val="0"/>
      <w:marTop w:val="0"/>
      <w:marBottom w:val="0"/>
      <w:divBdr>
        <w:top w:val="none" w:sz="0" w:space="0" w:color="auto"/>
        <w:left w:val="none" w:sz="0" w:space="0" w:color="auto"/>
        <w:bottom w:val="none" w:sz="0" w:space="0" w:color="auto"/>
        <w:right w:val="none" w:sz="0" w:space="0" w:color="auto"/>
      </w:divBdr>
    </w:div>
    <w:div w:id="1585384145">
      <w:bodyDiv w:val="1"/>
      <w:marLeft w:val="0"/>
      <w:marRight w:val="0"/>
      <w:marTop w:val="0"/>
      <w:marBottom w:val="0"/>
      <w:divBdr>
        <w:top w:val="none" w:sz="0" w:space="0" w:color="auto"/>
        <w:left w:val="none" w:sz="0" w:space="0" w:color="auto"/>
        <w:bottom w:val="none" w:sz="0" w:space="0" w:color="auto"/>
        <w:right w:val="none" w:sz="0" w:space="0" w:color="auto"/>
      </w:divBdr>
    </w:div>
    <w:div w:id="1587230717">
      <w:bodyDiv w:val="1"/>
      <w:marLeft w:val="0"/>
      <w:marRight w:val="0"/>
      <w:marTop w:val="0"/>
      <w:marBottom w:val="0"/>
      <w:divBdr>
        <w:top w:val="none" w:sz="0" w:space="0" w:color="auto"/>
        <w:left w:val="none" w:sz="0" w:space="0" w:color="auto"/>
        <w:bottom w:val="none" w:sz="0" w:space="0" w:color="auto"/>
        <w:right w:val="none" w:sz="0" w:space="0" w:color="auto"/>
      </w:divBdr>
    </w:div>
    <w:div w:id="1602373837">
      <w:bodyDiv w:val="1"/>
      <w:marLeft w:val="0"/>
      <w:marRight w:val="0"/>
      <w:marTop w:val="0"/>
      <w:marBottom w:val="0"/>
      <w:divBdr>
        <w:top w:val="none" w:sz="0" w:space="0" w:color="auto"/>
        <w:left w:val="none" w:sz="0" w:space="0" w:color="auto"/>
        <w:bottom w:val="none" w:sz="0" w:space="0" w:color="auto"/>
        <w:right w:val="none" w:sz="0" w:space="0" w:color="auto"/>
      </w:divBdr>
    </w:div>
    <w:div w:id="1613509319">
      <w:bodyDiv w:val="1"/>
      <w:marLeft w:val="0"/>
      <w:marRight w:val="0"/>
      <w:marTop w:val="0"/>
      <w:marBottom w:val="0"/>
      <w:divBdr>
        <w:top w:val="none" w:sz="0" w:space="0" w:color="auto"/>
        <w:left w:val="none" w:sz="0" w:space="0" w:color="auto"/>
        <w:bottom w:val="none" w:sz="0" w:space="0" w:color="auto"/>
        <w:right w:val="none" w:sz="0" w:space="0" w:color="auto"/>
      </w:divBdr>
    </w:div>
    <w:div w:id="1660159271">
      <w:bodyDiv w:val="1"/>
      <w:marLeft w:val="0"/>
      <w:marRight w:val="0"/>
      <w:marTop w:val="0"/>
      <w:marBottom w:val="0"/>
      <w:divBdr>
        <w:top w:val="none" w:sz="0" w:space="0" w:color="auto"/>
        <w:left w:val="none" w:sz="0" w:space="0" w:color="auto"/>
        <w:bottom w:val="none" w:sz="0" w:space="0" w:color="auto"/>
        <w:right w:val="none" w:sz="0" w:space="0" w:color="auto"/>
      </w:divBdr>
    </w:div>
    <w:div w:id="1672636894">
      <w:bodyDiv w:val="1"/>
      <w:marLeft w:val="0"/>
      <w:marRight w:val="0"/>
      <w:marTop w:val="0"/>
      <w:marBottom w:val="0"/>
      <w:divBdr>
        <w:top w:val="none" w:sz="0" w:space="0" w:color="auto"/>
        <w:left w:val="none" w:sz="0" w:space="0" w:color="auto"/>
        <w:bottom w:val="none" w:sz="0" w:space="0" w:color="auto"/>
        <w:right w:val="none" w:sz="0" w:space="0" w:color="auto"/>
      </w:divBdr>
    </w:div>
    <w:div w:id="1730373830">
      <w:bodyDiv w:val="1"/>
      <w:marLeft w:val="0"/>
      <w:marRight w:val="0"/>
      <w:marTop w:val="0"/>
      <w:marBottom w:val="0"/>
      <w:divBdr>
        <w:top w:val="none" w:sz="0" w:space="0" w:color="auto"/>
        <w:left w:val="none" w:sz="0" w:space="0" w:color="auto"/>
        <w:bottom w:val="none" w:sz="0" w:space="0" w:color="auto"/>
        <w:right w:val="none" w:sz="0" w:space="0" w:color="auto"/>
      </w:divBdr>
    </w:div>
    <w:div w:id="1774669660">
      <w:bodyDiv w:val="1"/>
      <w:marLeft w:val="0"/>
      <w:marRight w:val="0"/>
      <w:marTop w:val="0"/>
      <w:marBottom w:val="0"/>
      <w:divBdr>
        <w:top w:val="none" w:sz="0" w:space="0" w:color="auto"/>
        <w:left w:val="none" w:sz="0" w:space="0" w:color="auto"/>
        <w:bottom w:val="none" w:sz="0" w:space="0" w:color="auto"/>
        <w:right w:val="none" w:sz="0" w:space="0" w:color="auto"/>
      </w:divBdr>
    </w:div>
    <w:div w:id="1831479137">
      <w:bodyDiv w:val="1"/>
      <w:marLeft w:val="0"/>
      <w:marRight w:val="0"/>
      <w:marTop w:val="0"/>
      <w:marBottom w:val="0"/>
      <w:divBdr>
        <w:top w:val="none" w:sz="0" w:space="0" w:color="auto"/>
        <w:left w:val="none" w:sz="0" w:space="0" w:color="auto"/>
        <w:bottom w:val="none" w:sz="0" w:space="0" w:color="auto"/>
        <w:right w:val="none" w:sz="0" w:space="0" w:color="auto"/>
      </w:divBdr>
    </w:div>
    <w:div w:id="1955088263">
      <w:bodyDiv w:val="1"/>
      <w:marLeft w:val="0"/>
      <w:marRight w:val="0"/>
      <w:marTop w:val="0"/>
      <w:marBottom w:val="0"/>
      <w:divBdr>
        <w:top w:val="none" w:sz="0" w:space="0" w:color="auto"/>
        <w:left w:val="none" w:sz="0" w:space="0" w:color="auto"/>
        <w:bottom w:val="none" w:sz="0" w:space="0" w:color="auto"/>
        <w:right w:val="none" w:sz="0" w:space="0" w:color="auto"/>
      </w:divBdr>
    </w:div>
    <w:div w:id="1956448906">
      <w:bodyDiv w:val="1"/>
      <w:marLeft w:val="0"/>
      <w:marRight w:val="0"/>
      <w:marTop w:val="0"/>
      <w:marBottom w:val="0"/>
      <w:divBdr>
        <w:top w:val="none" w:sz="0" w:space="0" w:color="auto"/>
        <w:left w:val="none" w:sz="0" w:space="0" w:color="auto"/>
        <w:bottom w:val="none" w:sz="0" w:space="0" w:color="auto"/>
        <w:right w:val="none" w:sz="0" w:space="0" w:color="auto"/>
      </w:divBdr>
    </w:div>
    <w:div w:id="1983150230">
      <w:bodyDiv w:val="1"/>
      <w:marLeft w:val="0"/>
      <w:marRight w:val="0"/>
      <w:marTop w:val="0"/>
      <w:marBottom w:val="0"/>
      <w:divBdr>
        <w:top w:val="none" w:sz="0" w:space="0" w:color="auto"/>
        <w:left w:val="none" w:sz="0" w:space="0" w:color="auto"/>
        <w:bottom w:val="none" w:sz="0" w:space="0" w:color="auto"/>
        <w:right w:val="none" w:sz="0" w:space="0" w:color="auto"/>
      </w:divBdr>
    </w:div>
    <w:div w:id="2016111117">
      <w:bodyDiv w:val="1"/>
      <w:marLeft w:val="0"/>
      <w:marRight w:val="0"/>
      <w:marTop w:val="0"/>
      <w:marBottom w:val="0"/>
      <w:divBdr>
        <w:top w:val="none" w:sz="0" w:space="0" w:color="auto"/>
        <w:left w:val="none" w:sz="0" w:space="0" w:color="auto"/>
        <w:bottom w:val="none" w:sz="0" w:space="0" w:color="auto"/>
        <w:right w:val="none" w:sz="0" w:space="0" w:color="auto"/>
      </w:divBdr>
    </w:div>
    <w:div w:id="2025862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hyperlink" Target="http://www.oed.com" TargetMode="Externa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125C2-5133-4C12-BABA-21884E0AE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369</Pages>
  <Words>95965</Words>
  <Characters>547002</Characters>
  <Application>Microsoft Office Word</Application>
  <DocSecurity>0</DocSecurity>
  <Lines>4558</Lines>
  <Paragraphs>1283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CS4CON187 CS4CON187</dc:creator>
  <cp:lastModifiedBy>rebecca burney</cp:lastModifiedBy>
  <cp:revision>8</cp:revision>
  <dcterms:created xsi:type="dcterms:W3CDTF">2022-03-09T15:28:00Z</dcterms:created>
  <dcterms:modified xsi:type="dcterms:W3CDTF">2022-03-09T16:13:00Z</dcterms:modified>
</cp:coreProperties>
</file>