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5AC6F" w14:textId="77777777" w:rsidR="003E14AA" w:rsidRPr="0092670C" w:rsidRDefault="003E14AA">
      <w:pPr>
        <w:rPr>
          <w:rFonts w:ascii="Arial" w:hAnsi="Arial" w:cs="Arial"/>
        </w:rPr>
      </w:pPr>
    </w:p>
    <w:p w14:paraId="57F8F9DE" w14:textId="0FECA8FF" w:rsidR="00E63385" w:rsidRPr="0092670C" w:rsidRDefault="009113AD" w:rsidP="008E072F">
      <w:pPr>
        <w:jc w:val="center"/>
        <w:rPr>
          <w:rFonts w:ascii="Arial" w:hAnsi="Arial" w:cs="Arial"/>
          <w:sz w:val="56"/>
          <w:szCs w:val="56"/>
        </w:rPr>
      </w:pPr>
      <w:r w:rsidRPr="0092670C">
        <w:rPr>
          <w:rFonts w:ascii="Arial" w:hAnsi="Arial" w:cs="Arial"/>
          <w:sz w:val="56"/>
          <w:szCs w:val="56"/>
        </w:rPr>
        <w:t>I</w:t>
      </w:r>
      <w:r w:rsidR="00E63385" w:rsidRPr="0092670C">
        <w:rPr>
          <w:rFonts w:ascii="Arial" w:hAnsi="Arial" w:cs="Arial"/>
          <w:sz w:val="56"/>
          <w:szCs w:val="56"/>
        </w:rPr>
        <w:t xml:space="preserve">mproving the </w:t>
      </w:r>
      <w:r w:rsidR="005D6F5F" w:rsidRPr="0092670C">
        <w:rPr>
          <w:rFonts w:ascii="Arial" w:hAnsi="Arial" w:cs="Arial"/>
          <w:sz w:val="56"/>
          <w:szCs w:val="56"/>
        </w:rPr>
        <w:t>S</w:t>
      </w:r>
      <w:r w:rsidR="00E63385" w:rsidRPr="0092670C">
        <w:rPr>
          <w:rFonts w:ascii="Arial" w:hAnsi="Arial" w:cs="Arial"/>
          <w:sz w:val="56"/>
          <w:szCs w:val="56"/>
        </w:rPr>
        <w:t xml:space="preserve">olid </w:t>
      </w:r>
      <w:r w:rsidR="005D6F5F" w:rsidRPr="0092670C">
        <w:rPr>
          <w:rFonts w:ascii="Arial" w:hAnsi="Arial" w:cs="Arial"/>
          <w:sz w:val="56"/>
          <w:szCs w:val="56"/>
        </w:rPr>
        <w:t>E</w:t>
      </w:r>
      <w:r w:rsidR="00E63385" w:rsidRPr="0092670C">
        <w:rPr>
          <w:rFonts w:ascii="Arial" w:hAnsi="Arial" w:cs="Arial"/>
          <w:sz w:val="56"/>
          <w:szCs w:val="56"/>
        </w:rPr>
        <w:t xml:space="preserve">lectrolyte </w:t>
      </w:r>
      <w:r w:rsidR="005D6F5F" w:rsidRPr="0092670C">
        <w:rPr>
          <w:rFonts w:ascii="Arial" w:hAnsi="Arial" w:cs="Arial"/>
          <w:sz w:val="56"/>
          <w:szCs w:val="56"/>
        </w:rPr>
        <w:t>I</w:t>
      </w:r>
      <w:r w:rsidR="00E63385" w:rsidRPr="0092670C">
        <w:rPr>
          <w:rFonts w:ascii="Arial" w:hAnsi="Arial" w:cs="Arial"/>
          <w:sz w:val="56"/>
          <w:szCs w:val="56"/>
        </w:rPr>
        <w:t xml:space="preserve">nterphase using </w:t>
      </w:r>
      <w:r w:rsidR="005D6F5F" w:rsidRPr="0092670C">
        <w:rPr>
          <w:rFonts w:ascii="Arial" w:hAnsi="Arial" w:cs="Arial"/>
          <w:sz w:val="56"/>
          <w:szCs w:val="56"/>
        </w:rPr>
        <w:t>P</w:t>
      </w:r>
      <w:r w:rsidR="00E63385" w:rsidRPr="0092670C">
        <w:rPr>
          <w:rFonts w:ascii="Arial" w:hAnsi="Arial" w:cs="Arial"/>
          <w:sz w:val="56"/>
          <w:szCs w:val="56"/>
        </w:rPr>
        <w:t>re-</w:t>
      </w:r>
      <w:r w:rsidR="005D6F5F" w:rsidRPr="0092670C">
        <w:rPr>
          <w:rFonts w:ascii="Arial" w:hAnsi="Arial" w:cs="Arial"/>
          <w:sz w:val="56"/>
          <w:szCs w:val="56"/>
        </w:rPr>
        <w:t>L</w:t>
      </w:r>
      <w:r w:rsidR="00E63385" w:rsidRPr="0092670C">
        <w:rPr>
          <w:rFonts w:ascii="Arial" w:hAnsi="Arial" w:cs="Arial"/>
          <w:sz w:val="56"/>
          <w:szCs w:val="56"/>
        </w:rPr>
        <w:t>ithiation</w:t>
      </w:r>
    </w:p>
    <w:p w14:paraId="7C153A8C" w14:textId="051BE7ED" w:rsidR="00E63385" w:rsidRPr="0092670C" w:rsidRDefault="00E63385" w:rsidP="00E63385">
      <w:pPr>
        <w:jc w:val="center"/>
        <w:rPr>
          <w:rFonts w:ascii="Arial" w:hAnsi="Arial" w:cs="Arial"/>
          <w:sz w:val="56"/>
          <w:szCs w:val="56"/>
        </w:rPr>
      </w:pPr>
    </w:p>
    <w:p w14:paraId="6E3C0296" w14:textId="77777777" w:rsidR="008E072F" w:rsidRPr="0092670C" w:rsidRDefault="008E072F" w:rsidP="00D032A8">
      <w:pPr>
        <w:rPr>
          <w:rFonts w:ascii="Arial" w:hAnsi="Arial" w:cs="Arial"/>
          <w:sz w:val="56"/>
          <w:szCs w:val="56"/>
        </w:rPr>
      </w:pPr>
    </w:p>
    <w:p w14:paraId="73D142F7" w14:textId="3E62E22D" w:rsidR="00FA7CE8" w:rsidRPr="0092670C" w:rsidRDefault="00FA7CE8" w:rsidP="00FA7CE8">
      <w:pPr>
        <w:jc w:val="center"/>
        <w:rPr>
          <w:rFonts w:ascii="Arial" w:hAnsi="Arial" w:cs="Arial"/>
          <w:noProof/>
        </w:rPr>
      </w:pPr>
    </w:p>
    <w:p w14:paraId="3127A0F3" w14:textId="28A4CB30" w:rsidR="00FA7CE8" w:rsidRPr="0092670C" w:rsidRDefault="00FA7CE8" w:rsidP="00334B90">
      <w:pPr>
        <w:jc w:val="center"/>
        <w:rPr>
          <w:rFonts w:ascii="Arial" w:hAnsi="Arial" w:cs="Arial"/>
          <w:noProof/>
        </w:rPr>
      </w:pPr>
      <w:r w:rsidRPr="0092670C">
        <w:rPr>
          <w:rFonts w:ascii="Arial" w:hAnsi="Arial" w:cs="Arial"/>
          <w:noProof/>
        </w:rPr>
        <w:drawing>
          <wp:inline distT="0" distB="0" distL="0" distR="0" wp14:anchorId="5513A76F" wp14:editId="4D170E37">
            <wp:extent cx="4465320" cy="211828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825"/>
                    <a:stretch/>
                  </pic:blipFill>
                  <pic:spPr bwMode="auto">
                    <a:xfrm>
                      <a:off x="0" y="0"/>
                      <a:ext cx="4465483" cy="2118360"/>
                    </a:xfrm>
                    <a:prstGeom prst="rect">
                      <a:avLst/>
                    </a:prstGeom>
                    <a:noFill/>
                    <a:ln>
                      <a:noFill/>
                    </a:ln>
                    <a:extLst>
                      <a:ext uri="{53640926-AAD7-44D8-BBD7-CCE9431645EC}">
                        <a14:shadowObscured xmlns:a14="http://schemas.microsoft.com/office/drawing/2010/main"/>
                      </a:ext>
                    </a:extLst>
                  </pic:spPr>
                </pic:pic>
              </a:graphicData>
            </a:graphic>
          </wp:inline>
        </w:drawing>
      </w:r>
    </w:p>
    <w:p w14:paraId="3899A82D" w14:textId="77777777" w:rsidR="00FA7CE8" w:rsidRPr="0092670C" w:rsidRDefault="00FA7CE8" w:rsidP="00FA7CE8">
      <w:pPr>
        <w:jc w:val="center"/>
        <w:rPr>
          <w:rFonts w:ascii="Arial" w:hAnsi="Arial" w:cs="Arial"/>
          <w:sz w:val="40"/>
          <w:szCs w:val="40"/>
        </w:rPr>
      </w:pPr>
    </w:p>
    <w:p w14:paraId="7FC71785" w14:textId="77777777" w:rsidR="00FA7CE8" w:rsidRPr="0092670C" w:rsidRDefault="00FA7CE8" w:rsidP="00FA7CE8">
      <w:pPr>
        <w:jc w:val="center"/>
        <w:rPr>
          <w:rFonts w:ascii="Arial" w:hAnsi="Arial" w:cs="Arial"/>
          <w:sz w:val="40"/>
          <w:szCs w:val="40"/>
        </w:rPr>
      </w:pPr>
    </w:p>
    <w:p w14:paraId="47725A3A" w14:textId="77777777" w:rsidR="00FA7CE8" w:rsidRPr="0092670C" w:rsidRDefault="00FA7CE8" w:rsidP="00FA7CE8">
      <w:pPr>
        <w:jc w:val="center"/>
        <w:rPr>
          <w:rFonts w:ascii="Arial" w:hAnsi="Arial" w:cs="Arial"/>
          <w:sz w:val="40"/>
          <w:szCs w:val="40"/>
        </w:rPr>
      </w:pPr>
    </w:p>
    <w:p w14:paraId="6DD0A276" w14:textId="77777777" w:rsidR="00FA7CE8" w:rsidRPr="0092670C" w:rsidRDefault="00FA7CE8" w:rsidP="00FA7CE8">
      <w:pPr>
        <w:jc w:val="center"/>
        <w:rPr>
          <w:rFonts w:ascii="Arial" w:hAnsi="Arial" w:cs="Arial"/>
          <w:sz w:val="40"/>
          <w:szCs w:val="40"/>
        </w:rPr>
      </w:pPr>
    </w:p>
    <w:p w14:paraId="26D6B713" w14:textId="4F759B38" w:rsidR="00FA7CE8" w:rsidRPr="0092670C" w:rsidRDefault="00FA7CE8" w:rsidP="00FA7CE8">
      <w:pPr>
        <w:jc w:val="center"/>
        <w:rPr>
          <w:rFonts w:ascii="Arial" w:hAnsi="Arial" w:cs="Arial"/>
          <w:sz w:val="40"/>
          <w:szCs w:val="40"/>
        </w:rPr>
      </w:pPr>
      <w:r w:rsidRPr="0092670C">
        <w:rPr>
          <w:rFonts w:ascii="Arial" w:hAnsi="Arial" w:cs="Arial"/>
          <w:sz w:val="40"/>
          <w:szCs w:val="40"/>
        </w:rPr>
        <w:t>Department of Chemical and Biological Engineering</w:t>
      </w:r>
    </w:p>
    <w:p w14:paraId="163A1F48" w14:textId="77777777" w:rsidR="00FA7CE8" w:rsidRPr="0092670C" w:rsidRDefault="00FA7CE8" w:rsidP="00FA7CE8">
      <w:pPr>
        <w:jc w:val="center"/>
        <w:rPr>
          <w:rFonts w:ascii="Arial" w:hAnsi="Arial" w:cs="Arial"/>
          <w:sz w:val="40"/>
          <w:szCs w:val="40"/>
        </w:rPr>
      </w:pPr>
      <w:r w:rsidRPr="0092670C">
        <w:rPr>
          <w:rFonts w:ascii="Arial" w:hAnsi="Arial" w:cs="Arial"/>
          <w:sz w:val="40"/>
          <w:szCs w:val="40"/>
        </w:rPr>
        <w:t>The University of Sheffield</w:t>
      </w:r>
    </w:p>
    <w:p w14:paraId="4ECEDCA8" w14:textId="77777777" w:rsidR="00FA7CE8" w:rsidRPr="0092670C" w:rsidRDefault="00FA7CE8" w:rsidP="00FA7CE8">
      <w:pPr>
        <w:jc w:val="center"/>
        <w:rPr>
          <w:rFonts w:ascii="Arial" w:hAnsi="Arial" w:cs="Arial"/>
          <w:sz w:val="40"/>
          <w:szCs w:val="40"/>
        </w:rPr>
      </w:pPr>
      <w:r w:rsidRPr="0092670C">
        <w:rPr>
          <w:rFonts w:ascii="Arial" w:hAnsi="Arial" w:cs="Arial"/>
          <w:sz w:val="40"/>
          <w:szCs w:val="40"/>
        </w:rPr>
        <w:t>Daniel Atkinson</w:t>
      </w:r>
    </w:p>
    <w:p w14:paraId="70F3E827" w14:textId="16DD8822" w:rsidR="00FA7CE8" w:rsidRPr="0092670C" w:rsidRDefault="00FA7CE8" w:rsidP="00FA7CE8">
      <w:pPr>
        <w:jc w:val="center"/>
        <w:rPr>
          <w:rFonts w:ascii="Arial" w:hAnsi="Arial" w:cs="Arial"/>
          <w:sz w:val="40"/>
          <w:szCs w:val="40"/>
        </w:rPr>
      </w:pPr>
      <w:r w:rsidRPr="0092670C">
        <w:rPr>
          <w:rFonts w:ascii="Arial" w:hAnsi="Arial" w:cs="Arial"/>
          <w:sz w:val="40"/>
          <w:szCs w:val="40"/>
        </w:rPr>
        <w:t xml:space="preserve">Supervisor: </w:t>
      </w:r>
      <w:r w:rsidR="00334B90" w:rsidRPr="0092670C">
        <w:rPr>
          <w:rFonts w:ascii="Arial" w:hAnsi="Arial" w:cs="Arial"/>
          <w:sz w:val="40"/>
          <w:szCs w:val="40"/>
        </w:rPr>
        <w:t xml:space="preserve">Dr. </w:t>
      </w:r>
      <w:r w:rsidRPr="0092670C">
        <w:rPr>
          <w:rFonts w:ascii="Arial" w:hAnsi="Arial" w:cs="Arial"/>
          <w:sz w:val="40"/>
          <w:szCs w:val="40"/>
        </w:rPr>
        <w:t>Jon</w:t>
      </w:r>
      <w:r w:rsidR="00334B90" w:rsidRPr="0092670C">
        <w:rPr>
          <w:rFonts w:ascii="Arial" w:hAnsi="Arial" w:cs="Arial"/>
          <w:sz w:val="40"/>
          <w:szCs w:val="40"/>
        </w:rPr>
        <w:t>athan</w:t>
      </w:r>
      <w:r w:rsidRPr="0092670C">
        <w:rPr>
          <w:rFonts w:ascii="Arial" w:hAnsi="Arial" w:cs="Arial"/>
          <w:sz w:val="40"/>
          <w:szCs w:val="40"/>
        </w:rPr>
        <w:t xml:space="preserve"> Howse</w:t>
      </w:r>
    </w:p>
    <w:p w14:paraId="581E192D" w14:textId="22951FD2" w:rsidR="00FA7CE8" w:rsidRPr="0092670C" w:rsidRDefault="008D4F1A" w:rsidP="00FA7CE8">
      <w:pPr>
        <w:jc w:val="center"/>
        <w:rPr>
          <w:rFonts w:ascii="Arial" w:hAnsi="Arial" w:cs="Arial"/>
          <w:sz w:val="40"/>
          <w:szCs w:val="40"/>
        </w:rPr>
        <w:sectPr w:rsidR="00FA7CE8" w:rsidRPr="0092670C" w:rsidSect="00FA7CE8">
          <w:footerReference w:type="first" r:id="rId12"/>
          <w:pgSz w:w="11906" w:h="16838"/>
          <w:pgMar w:top="1440" w:right="1440" w:bottom="1440" w:left="1440" w:header="709" w:footer="709" w:gutter="0"/>
          <w:pgNumType w:fmt="lowerRoman"/>
          <w:cols w:space="708"/>
          <w:titlePg/>
          <w:docGrid w:linePitch="360"/>
        </w:sectPr>
      </w:pPr>
      <w:r>
        <w:rPr>
          <w:rFonts w:ascii="Arial" w:hAnsi="Arial" w:cs="Arial"/>
          <w:sz w:val="40"/>
          <w:szCs w:val="40"/>
        </w:rPr>
        <w:t>19</w:t>
      </w:r>
      <w:r w:rsidRPr="008D4F1A">
        <w:rPr>
          <w:rFonts w:ascii="Arial" w:hAnsi="Arial" w:cs="Arial"/>
          <w:sz w:val="40"/>
          <w:szCs w:val="40"/>
          <w:vertAlign w:val="superscript"/>
        </w:rPr>
        <w:t>th</w:t>
      </w:r>
      <w:r>
        <w:rPr>
          <w:rFonts w:ascii="Arial" w:hAnsi="Arial" w:cs="Arial"/>
          <w:sz w:val="40"/>
          <w:szCs w:val="40"/>
        </w:rPr>
        <w:t xml:space="preserve"> March</w:t>
      </w:r>
      <w:r w:rsidR="00FA7CE8" w:rsidRPr="0092670C">
        <w:rPr>
          <w:rFonts w:ascii="Arial" w:hAnsi="Arial" w:cs="Arial"/>
          <w:sz w:val="40"/>
          <w:szCs w:val="40"/>
        </w:rPr>
        <w:t xml:space="preserve"> 202</w:t>
      </w:r>
      <w:r w:rsidR="00CB7469">
        <w:rPr>
          <w:rFonts w:ascii="Arial" w:hAnsi="Arial" w:cs="Arial"/>
          <w:sz w:val="40"/>
          <w:szCs w:val="40"/>
        </w:rPr>
        <w:t>1</w:t>
      </w:r>
    </w:p>
    <w:p w14:paraId="7AD5257E" w14:textId="658C6BFE" w:rsidR="003E14AA" w:rsidRPr="0092670C" w:rsidRDefault="003E14AA" w:rsidP="00FA7CE8">
      <w:pPr>
        <w:rPr>
          <w:rFonts w:ascii="Arial" w:hAnsi="Arial" w:cs="Arial"/>
        </w:rPr>
      </w:pPr>
    </w:p>
    <w:sdt>
      <w:sdtPr>
        <w:rPr>
          <w:rFonts w:ascii="Arial" w:eastAsiaTheme="minorHAnsi" w:hAnsi="Arial" w:cs="Arial"/>
          <w:spacing w:val="0"/>
          <w:kern w:val="0"/>
          <w:sz w:val="22"/>
          <w:szCs w:val="22"/>
        </w:rPr>
        <w:id w:val="-1934049642"/>
        <w:docPartObj>
          <w:docPartGallery w:val="Table of Contents"/>
          <w:docPartUnique/>
        </w:docPartObj>
      </w:sdtPr>
      <w:sdtEndPr>
        <w:rPr>
          <w:b/>
          <w:bCs/>
          <w:noProof/>
        </w:rPr>
      </w:sdtEndPr>
      <w:sdtContent>
        <w:p w14:paraId="5C276BDB" w14:textId="06D577A9" w:rsidR="008773FE" w:rsidRPr="0092670C" w:rsidRDefault="008773FE" w:rsidP="00EC5323">
          <w:pPr>
            <w:pStyle w:val="Title"/>
            <w:rPr>
              <w:rFonts w:ascii="Arial" w:hAnsi="Arial" w:cs="Arial"/>
            </w:rPr>
          </w:pPr>
          <w:r w:rsidRPr="0092670C">
            <w:rPr>
              <w:rFonts w:ascii="Arial" w:hAnsi="Arial" w:cs="Arial"/>
            </w:rPr>
            <w:t>Contents</w:t>
          </w:r>
        </w:p>
        <w:p w14:paraId="4189803A" w14:textId="03D9EE88" w:rsidR="005037AC" w:rsidRDefault="008773FE">
          <w:pPr>
            <w:pStyle w:val="TOC1"/>
            <w:tabs>
              <w:tab w:val="right" w:leader="dot" w:pos="8494"/>
            </w:tabs>
            <w:rPr>
              <w:rFonts w:eastAsiaTheme="minorEastAsia"/>
              <w:noProof/>
              <w:lang w:eastAsia="en-GB"/>
            </w:rPr>
          </w:pPr>
          <w:r w:rsidRPr="0092670C">
            <w:rPr>
              <w:rFonts w:ascii="Arial" w:hAnsi="Arial" w:cs="Arial"/>
            </w:rPr>
            <w:fldChar w:fldCharType="begin"/>
          </w:r>
          <w:r w:rsidRPr="0092670C">
            <w:rPr>
              <w:rFonts w:ascii="Arial" w:hAnsi="Arial" w:cs="Arial"/>
            </w:rPr>
            <w:instrText xml:space="preserve"> TOC \o "1-3" \h \z \u </w:instrText>
          </w:r>
          <w:r w:rsidRPr="0092670C">
            <w:rPr>
              <w:rFonts w:ascii="Arial" w:hAnsi="Arial" w:cs="Arial"/>
            </w:rPr>
            <w:fldChar w:fldCharType="separate"/>
          </w:r>
          <w:hyperlink w:anchor="_Toc82538706" w:history="1">
            <w:r w:rsidR="005037AC" w:rsidRPr="00E90B19">
              <w:rPr>
                <w:rStyle w:val="Hyperlink"/>
                <w:rFonts w:ascii="Arial" w:hAnsi="Arial" w:cs="Arial"/>
                <w:noProof/>
              </w:rPr>
              <w:t>Abbreviation table</w:t>
            </w:r>
            <w:r w:rsidR="005037AC">
              <w:rPr>
                <w:noProof/>
                <w:webHidden/>
              </w:rPr>
              <w:tab/>
            </w:r>
            <w:r w:rsidR="005037AC">
              <w:rPr>
                <w:noProof/>
                <w:webHidden/>
              </w:rPr>
              <w:fldChar w:fldCharType="begin"/>
            </w:r>
            <w:r w:rsidR="005037AC">
              <w:rPr>
                <w:noProof/>
                <w:webHidden/>
              </w:rPr>
              <w:instrText xml:space="preserve"> PAGEREF _Toc82538706 \h </w:instrText>
            </w:r>
            <w:r w:rsidR="005037AC">
              <w:rPr>
                <w:noProof/>
                <w:webHidden/>
              </w:rPr>
            </w:r>
            <w:r w:rsidR="005037AC">
              <w:rPr>
                <w:noProof/>
                <w:webHidden/>
              </w:rPr>
              <w:fldChar w:fldCharType="separate"/>
            </w:r>
            <w:r w:rsidR="005037AC">
              <w:rPr>
                <w:noProof/>
                <w:webHidden/>
              </w:rPr>
              <w:t>vi</w:t>
            </w:r>
            <w:r w:rsidR="005037AC">
              <w:rPr>
                <w:noProof/>
                <w:webHidden/>
              </w:rPr>
              <w:fldChar w:fldCharType="end"/>
            </w:r>
          </w:hyperlink>
        </w:p>
        <w:p w14:paraId="53090105" w14:textId="1CE0EB7E" w:rsidR="005037AC" w:rsidRDefault="0067644A">
          <w:pPr>
            <w:pStyle w:val="TOC1"/>
            <w:tabs>
              <w:tab w:val="right" w:leader="dot" w:pos="8494"/>
            </w:tabs>
            <w:rPr>
              <w:rFonts w:eastAsiaTheme="minorEastAsia"/>
              <w:noProof/>
              <w:lang w:eastAsia="en-GB"/>
            </w:rPr>
          </w:pPr>
          <w:hyperlink w:anchor="_Toc82538707" w:history="1">
            <w:r w:rsidR="005037AC" w:rsidRPr="00E90B19">
              <w:rPr>
                <w:rStyle w:val="Hyperlink"/>
                <w:rFonts w:ascii="Arial" w:hAnsi="Arial" w:cs="Arial"/>
                <w:noProof/>
              </w:rPr>
              <w:t>Acknowledgments</w:t>
            </w:r>
            <w:r w:rsidR="005037AC">
              <w:rPr>
                <w:noProof/>
                <w:webHidden/>
              </w:rPr>
              <w:tab/>
            </w:r>
            <w:r w:rsidR="005037AC">
              <w:rPr>
                <w:noProof/>
                <w:webHidden/>
              </w:rPr>
              <w:fldChar w:fldCharType="begin"/>
            </w:r>
            <w:r w:rsidR="005037AC">
              <w:rPr>
                <w:noProof/>
                <w:webHidden/>
              </w:rPr>
              <w:instrText xml:space="preserve"> PAGEREF _Toc82538707 \h </w:instrText>
            </w:r>
            <w:r w:rsidR="005037AC">
              <w:rPr>
                <w:noProof/>
                <w:webHidden/>
              </w:rPr>
            </w:r>
            <w:r w:rsidR="005037AC">
              <w:rPr>
                <w:noProof/>
                <w:webHidden/>
              </w:rPr>
              <w:fldChar w:fldCharType="separate"/>
            </w:r>
            <w:r w:rsidR="005037AC">
              <w:rPr>
                <w:noProof/>
                <w:webHidden/>
              </w:rPr>
              <w:t>vii</w:t>
            </w:r>
            <w:r w:rsidR="005037AC">
              <w:rPr>
                <w:noProof/>
                <w:webHidden/>
              </w:rPr>
              <w:fldChar w:fldCharType="end"/>
            </w:r>
          </w:hyperlink>
        </w:p>
        <w:p w14:paraId="1B78EF64" w14:textId="25F67517" w:rsidR="005037AC" w:rsidRDefault="0067644A">
          <w:pPr>
            <w:pStyle w:val="TOC1"/>
            <w:tabs>
              <w:tab w:val="right" w:leader="dot" w:pos="8494"/>
            </w:tabs>
            <w:rPr>
              <w:rFonts w:eastAsiaTheme="minorEastAsia"/>
              <w:noProof/>
              <w:lang w:eastAsia="en-GB"/>
            </w:rPr>
          </w:pPr>
          <w:hyperlink w:anchor="_Toc82538708" w:history="1">
            <w:r w:rsidR="005037AC" w:rsidRPr="00E90B19">
              <w:rPr>
                <w:rStyle w:val="Hyperlink"/>
                <w:rFonts w:ascii="Arial" w:hAnsi="Arial" w:cs="Arial"/>
                <w:noProof/>
              </w:rPr>
              <w:t>Abstract</w:t>
            </w:r>
            <w:r w:rsidR="005037AC">
              <w:rPr>
                <w:noProof/>
                <w:webHidden/>
              </w:rPr>
              <w:tab/>
            </w:r>
            <w:r w:rsidR="005037AC">
              <w:rPr>
                <w:noProof/>
                <w:webHidden/>
              </w:rPr>
              <w:fldChar w:fldCharType="begin"/>
            </w:r>
            <w:r w:rsidR="005037AC">
              <w:rPr>
                <w:noProof/>
                <w:webHidden/>
              </w:rPr>
              <w:instrText xml:space="preserve"> PAGEREF _Toc82538708 \h </w:instrText>
            </w:r>
            <w:r w:rsidR="005037AC">
              <w:rPr>
                <w:noProof/>
                <w:webHidden/>
              </w:rPr>
            </w:r>
            <w:r w:rsidR="005037AC">
              <w:rPr>
                <w:noProof/>
                <w:webHidden/>
              </w:rPr>
              <w:fldChar w:fldCharType="separate"/>
            </w:r>
            <w:r w:rsidR="005037AC">
              <w:rPr>
                <w:noProof/>
                <w:webHidden/>
              </w:rPr>
              <w:t>viii</w:t>
            </w:r>
            <w:r w:rsidR="005037AC">
              <w:rPr>
                <w:noProof/>
                <w:webHidden/>
              </w:rPr>
              <w:fldChar w:fldCharType="end"/>
            </w:r>
          </w:hyperlink>
        </w:p>
        <w:p w14:paraId="09848940" w14:textId="4C66CCD8" w:rsidR="005037AC" w:rsidRDefault="0067644A">
          <w:pPr>
            <w:pStyle w:val="TOC1"/>
            <w:tabs>
              <w:tab w:val="right" w:leader="dot" w:pos="8494"/>
            </w:tabs>
            <w:rPr>
              <w:rFonts w:eastAsiaTheme="minorEastAsia"/>
              <w:noProof/>
              <w:lang w:eastAsia="en-GB"/>
            </w:rPr>
          </w:pPr>
          <w:hyperlink w:anchor="_Toc82538709" w:history="1">
            <w:r w:rsidR="005037AC" w:rsidRPr="00E90B19">
              <w:rPr>
                <w:rStyle w:val="Hyperlink"/>
                <w:rFonts w:ascii="Arial" w:hAnsi="Arial" w:cs="Arial"/>
                <w:b/>
                <w:noProof/>
              </w:rPr>
              <w:t>Chapter 1:</w:t>
            </w:r>
            <w:r w:rsidR="005037AC" w:rsidRPr="00E90B19">
              <w:rPr>
                <w:rStyle w:val="Hyperlink"/>
                <w:rFonts w:ascii="Arial" w:hAnsi="Arial" w:cs="Arial"/>
                <w:noProof/>
              </w:rPr>
              <w:t xml:space="preserve"> Literature review</w:t>
            </w:r>
            <w:r w:rsidR="005037AC">
              <w:rPr>
                <w:noProof/>
                <w:webHidden/>
              </w:rPr>
              <w:tab/>
            </w:r>
            <w:r w:rsidR="005037AC">
              <w:rPr>
                <w:noProof/>
                <w:webHidden/>
              </w:rPr>
              <w:fldChar w:fldCharType="begin"/>
            </w:r>
            <w:r w:rsidR="005037AC">
              <w:rPr>
                <w:noProof/>
                <w:webHidden/>
              </w:rPr>
              <w:instrText xml:space="preserve"> PAGEREF _Toc82538709 \h </w:instrText>
            </w:r>
            <w:r w:rsidR="005037AC">
              <w:rPr>
                <w:noProof/>
                <w:webHidden/>
              </w:rPr>
            </w:r>
            <w:r w:rsidR="005037AC">
              <w:rPr>
                <w:noProof/>
                <w:webHidden/>
              </w:rPr>
              <w:fldChar w:fldCharType="separate"/>
            </w:r>
            <w:r w:rsidR="005037AC">
              <w:rPr>
                <w:noProof/>
                <w:webHidden/>
              </w:rPr>
              <w:t>3</w:t>
            </w:r>
            <w:r w:rsidR="005037AC">
              <w:rPr>
                <w:noProof/>
                <w:webHidden/>
              </w:rPr>
              <w:fldChar w:fldCharType="end"/>
            </w:r>
          </w:hyperlink>
        </w:p>
        <w:p w14:paraId="3C921F63" w14:textId="5AACEC05" w:rsidR="005037AC" w:rsidRDefault="0067644A">
          <w:pPr>
            <w:pStyle w:val="TOC2"/>
            <w:tabs>
              <w:tab w:val="right" w:leader="dot" w:pos="8494"/>
            </w:tabs>
            <w:rPr>
              <w:rFonts w:eastAsiaTheme="minorEastAsia"/>
              <w:noProof/>
              <w:lang w:eastAsia="en-GB"/>
            </w:rPr>
          </w:pPr>
          <w:hyperlink w:anchor="_Toc82538710" w:history="1">
            <w:r w:rsidR="005037AC" w:rsidRPr="00E90B19">
              <w:rPr>
                <w:rStyle w:val="Hyperlink"/>
                <w:rFonts w:ascii="Arial" w:hAnsi="Arial" w:cs="Arial"/>
                <w:noProof/>
              </w:rPr>
              <w:t>1.1 Introduction</w:t>
            </w:r>
            <w:r w:rsidR="005037AC">
              <w:rPr>
                <w:noProof/>
                <w:webHidden/>
              </w:rPr>
              <w:tab/>
            </w:r>
            <w:r w:rsidR="005037AC">
              <w:rPr>
                <w:noProof/>
                <w:webHidden/>
              </w:rPr>
              <w:fldChar w:fldCharType="begin"/>
            </w:r>
            <w:r w:rsidR="005037AC">
              <w:rPr>
                <w:noProof/>
                <w:webHidden/>
              </w:rPr>
              <w:instrText xml:space="preserve"> PAGEREF _Toc82538710 \h </w:instrText>
            </w:r>
            <w:r w:rsidR="005037AC">
              <w:rPr>
                <w:noProof/>
                <w:webHidden/>
              </w:rPr>
            </w:r>
            <w:r w:rsidR="005037AC">
              <w:rPr>
                <w:noProof/>
                <w:webHidden/>
              </w:rPr>
              <w:fldChar w:fldCharType="separate"/>
            </w:r>
            <w:r w:rsidR="005037AC">
              <w:rPr>
                <w:noProof/>
                <w:webHidden/>
              </w:rPr>
              <w:t>4</w:t>
            </w:r>
            <w:r w:rsidR="005037AC">
              <w:rPr>
                <w:noProof/>
                <w:webHidden/>
              </w:rPr>
              <w:fldChar w:fldCharType="end"/>
            </w:r>
          </w:hyperlink>
        </w:p>
        <w:p w14:paraId="4CCAE936" w14:textId="09635836" w:rsidR="005037AC" w:rsidRDefault="0067644A">
          <w:pPr>
            <w:pStyle w:val="TOC2"/>
            <w:tabs>
              <w:tab w:val="right" w:leader="dot" w:pos="8494"/>
            </w:tabs>
            <w:rPr>
              <w:rFonts w:eastAsiaTheme="minorEastAsia"/>
              <w:noProof/>
              <w:lang w:eastAsia="en-GB"/>
            </w:rPr>
          </w:pPr>
          <w:hyperlink w:anchor="_Toc82538711" w:history="1">
            <w:r w:rsidR="005037AC" w:rsidRPr="00E90B19">
              <w:rPr>
                <w:rStyle w:val="Hyperlink"/>
                <w:rFonts w:ascii="Arial" w:hAnsi="Arial" w:cs="Arial"/>
                <w:noProof/>
              </w:rPr>
              <w:t>1.2 Li-ion battery fundamentals</w:t>
            </w:r>
            <w:r w:rsidR="005037AC">
              <w:rPr>
                <w:noProof/>
                <w:webHidden/>
              </w:rPr>
              <w:tab/>
            </w:r>
            <w:r w:rsidR="005037AC">
              <w:rPr>
                <w:noProof/>
                <w:webHidden/>
              </w:rPr>
              <w:fldChar w:fldCharType="begin"/>
            </w:r>
            <w:r w:rsidR="005037AC">
              <w:rPr>
                <w:noProof/>
                <w:webHidden/>
              </w:rPr>
              <w:instrText xml:space="preserve"> PAGEREF _Toc82538711 \h </w:instrText>
            </w:r>
            <w:r w:rsidR="005037AC">
              <w:rPr>
                <w:noProof/>
                <w:webHidden/>
              </w:rPr>
            </w:r>
            <w:r w:rsidR="005037AC">
              <w:rPr>
                <w:noProof/>
                <w:webHidden/>
              </w:rPr>
              <w:fldChar w:fldCharType="separate"/>
            </w:r>
            <w:r w:rsidR="005037AC">
              <w:rPr>
                <w:noProof/>
                <w:webHidden/>
              </w:rPr>
              <w:t>4</w:t>
            </w:r>
            <w:r w:rsidR="005037AC">
              <w:rPr>
                <w:noProof/>
                <w:webHidden/>
              </w:rPr>
              <w:fldChar w:fldCharType="end"/>
            </w:r>
          </w:hyperlink>
        </w:p>
        <w:p w14:paraId="1F61AB10" w14:textId="607F13EB" w:rsidR="005037AC" w:rsidRDefault="0067644A">
          <w:pPr>
            <w:pStyle w:val="TOC3"/>
            <w:tabs>
              <w:tab w:val="right" w:leader="dot" w:pos="8494"/>
            </w:tabs>
            <w:rPr>
              <w:rFonts w:cstheme="minorBidi"/>
              <w:noProof/>
              <w:lang w:val="en-GB" w:eastAsia="en-GB"/>
            </w:rPr>
          </w:pPr>
          <w:hyperlink w:anchor="_Toc82538712" w:history="1">
            <w:r w:rsidR="005037AC" w:rsidRPr="00E90B19">
              <w:rPr>
                <w:rStyle w:val="Hyperlink"/>
                <w:rFonts w:ascii="Arial" w:hAnsi="Arial" w:cs="Arial"/>
                <w:noProof/>
              </w:rPr>
              <w:t>1.2.1 The Anode</w:t>
            </w:r>
            <w:r w:rsidR="005037AC">
              <w:rPr>
                <w:noProof/>
                <w:webHidden/>
              </w:rPr>
              <w:tab/>
            </w:r>
            <w:r w:rsidR="005037AC">
              <w:rPr>
                <w:noProof/>
                <w:webHidden/>
              </w:rPr>
              <w:fldChar w:fldCharType="begin"/>
            </w:r>
            <w:r w:rsidR="005037AC">
              <w:rPr>
                <w:noProof/>
                <w:webHidden/>
              </w:rPr>
              <w:instrText xml:space="preserve"> PAGEREF _Toc82538712 \h </w:instrText>
            </w:r>
            <w:r w:rsidR="005037AC">
              <w:rPr>
                <w:noProof/>
                <w:webHidden/>
              </w:rPr>
            </w:r>
            <w:r w:rsidR="005037AC">
              <w:rPr>
                <w:noProof/>
                <w:webHidden/>
              </w:rPr>
              <w:fldChar w:fldCharType="separate"/>
            </w:r>
            <w:r w:rsidR="005037AC">
              <w:rPr>
                <w:noProof/>
                <w:webHidden/>
              </w:rPr>
              <w:t>5</w:t>
            </w:r>
            <w:r w:rsidR="005037AC">
              <w:rPr>
                <w:noProof/>
                <w:webHidden/>
              </w:rPr>
              <w:fldChar w:fldCharType="end"/>
            </w:r>
          </w:hyperlink>
        </w:p>
        <w:p w14:paraId="00EC549E" w14:textId="34C0AE05" w:rsidR="005037AC" w:rsidRDefault="0067644A">
          <w:pPr>
            <w:pStyle w:val="TOC3"/>
            <w:tabs>
              <w:tab w:val="right" w:leader="dot" w:pos="8494"/>
            </w:tabs>
            <w:rPr>
              <w:rFonts w:cstheme="minorBidi"/>
              <w:noProof/>
              <w:lang w:val="en-GB" w:eastAsia="en-GB"/>
            </w:rPr>
          </w:pPr>
          <w:hyperlink w:anchor="_Toc82538713" w:history="1">
            <w:r w:rsidR="005037AC" w:rsidRPr="00E90B19">
              <w:rPr>
                <w:rStyle w:val="Hyperlink"/>
                <w:rFonts w:ascii="Arial" w:hAnsi="Arial" w:cs="Arial"/>
                <w:noProof/>
              </w:rPr>
              <w:t>1.2.2 The Cathode</w:t>
            </w:r>
            <w:r w:rsidR="005037AC">
              <w:rPr>
                <w:noProof/>
                <w:webHidden/>
              </w:rPr>
              <w:tab/>
            </w:r>
            <w:r w:rsidR="005037AC">
              <w:rPr>
                <w:noProof/>
                <w:webHidden/>
              </w:rPr>
              <w:fldChar w:fldCharType="begin"/>
            </w:r>
            <w:r w:rsidR="005037AC">
              <w:rPr>
                <w:noProof/>
                <w:webHidden/>
              </w:rPr>
              <w:instrText xml:space="preserve"> PAGEREF _Toc82538713 \h </w:instrText>
            </w:r>
            <w:r w:rsidR="005037AC">
              <w:rPr>
                <w:noProof/>
                <w:webHidden/>
              </w:rPr>
            </w:r>
            <w:r w:rsidR="005037AC">
              <w:rPr>
                <w:noProof/>
                <w:webHidden/>
              </w:rPr>
              <w:fldChar w:fldCharType="separate"/>
            </w:r>
            <w:r w:rsidR="005037AC">
              <w:rPr>
                <w:noProof/>
                <w:webHidden/>
              </w:rPr>
              <w:t>7</w:t>
            </w:r>
            <w:r w:rsidR="005037AC">
              <w:rPr>
                <w:noProof/>
                <w:webHidden/>
              </w:rPr>
              <w:fldChar w:fldCharType="end"/>
            </w:r>
          </w:hyperlink>
        </w:p>
        <w:p w14:paraId="0576CFAC" w14:textId="5281BF68" w:rsidR="005037AC" w:rsidRDefault="0067644A">
          <w:pPr>
            <w:pStyle w:val="TOC3"/>
            <w:tabs>
              <w:tab w:val="right" w:leader="dot" w:pos="8494"/>
            </w:tabs>
            <w:rPr>
              <w:rFonts w:cstheme="minorBidi"/>
              <w:noProof/>
              <w:lang w:val="en-GB" w:eastAsia="en-GB"/>
            </w:rPr>
          </w:pPr>
          <w:hyperlink w:anchor="_Toc82538714" w:history="1">
            <w:r w:rsidR="005037AC" w:rsidRPr="00E90B19">
              <w:rPr>
                <w:rStyle w:val="Hyperlink"/>
                <w:rFonts w:ascii="Arial" w:hAnsi="Arial" w:cs="Arial"/>
                <w:noProof/>
              </w:rPr>
              <w:t>1.2.3 The Electrolyte</w:t>
            </w:r>
            <w:r w:rsidR="005037AC">
              <w:rPr>
                <w:noProof/>
                <w:webHidden/>
              </w:rPr>
              <w:tab/>
            </w:r>
            <w:r w:rsidR="005037AC">
              <w:rPr>
                <w:noProof/>
                <w:webHidden/>
              </w:rPr>
              <w:fldChar w:fldCharType="begin"/>
            </w:r>
            <w:r w:rsidR="005037AC">
              <w:rPr>
                <w:noProof/>
                <w:webHidden/>
              </w:rPr>
              <w:instrText xml:space="preserve"> PAGEREF _Toc82538714 \h </w:instrText>
            </w:r>
            <w:r w:rsidR="005037AC">
              <w:rPr>
                <w:noProof/>
                <w:webHidden/>
              </w:rPr>
            </w:r>
            <w:r w:rsidR="005037AC">
              <w:rPr>
                <w:noProof/>
                <w:webHidden/>
              </w:rPr>
              <w:fldChar w:fldCharType="separate"/>
            </w:r>
            <w:r w:rsidR="005037AC">
              <w:rPr>
                <w:noProof/>
                <w:webHidden/>
              </w:rPr>
              <w:t>8</w:t>
            </w:r>
            <w:r w:rsidR="005037AC">
              <w:rPr>
                <w:noProof/>
                <w:webHidden/>
              </w:rPr>
              <w:fldChar w:fldCharType="end"/>
            </w:r>
          </w:hyperlink>
        </w:p>
        <w:p w14:paraId="3A09BBA6" w14:textId="521494BF" w:rsidR="005037AC" w:rsidRDefault="0067644A">
          <w:pPr>
            <w:pStyle w:val="TOC3"/>
            <w:tabs>
              <w:tab w:val="right" w:leader="dot" w:pos="8494"/>
            </w:tabs>
            <w:rPr>
              <w:rFonts w:cstheme="minorBidi"/>
              <w:noProof/>
              <w:lang w:val="en-GB" w:eastAsia="en-GB"/>
            </w:rPr>
          </w:pPr>
          <w:hyperlink w:anchor="_Toc82538715" w:history="1">
            <w:r w:rsidR="005037AC" w:rsidRPr="00E90B19">
              <w:rPr>
                <w:rStyle w:val="Hyperlink"/>
                <w:rFonts w:ascii="Arial" w:hAnsi="Arial" w:cs="Arial"/>
                <w:noProof/>
              </w:rPr>
              <w:t>1.2.4 The Separator</w:t>
            </w:r>
            <w:r w:rsidR="005037AC">
              <w:rPr>
                <w:noProof/>
                <w:webHidden/>
              </w:rPr>
              <w:tab/>
            </w:r>
            <w:r w:rsidR="005037AC">
              <w:rPr>
                <w:noProof/>
                <w:webHidden/>
              </w:rPr>
              <w:fldChar w:fldCharType="begin"/>
            </w:r>
            <w:r w:rsidR="005037AC">
              <w:rPr>
                <w:noProof/>
                <w:webHidden/>
              </w:rPr>
              <w:instrText xml:space="preserve"> PAGEREF _Toc82538715 \h </w:instrText>
            </w:r>
            <w:r w:rsidR="005037AC">
              <w:rPr>
                <w:noProof/>
                <w:webHidden/>
              </w:rPr>
            </w:r>
            <w:r w:rsidR="005037AC">
              <w:rPr>
                <w:noProof/>
                <w:webHidden/>
              </w:rPr>
              <w:fldChar w:fldCharType="separate"/>
            </w:r>
            <w:r w:rsidR="005037AC">
              <w:rPr>
                <w:noProof/>
                <w:webHidden/>
              </w:rPr>
              <w:t>11</w:t>
            </w:r>
            <w:r w:rsidR="005037AC">
              <w:rPr>
                <w:noProof/>
                <w:webHidden/>
              </w:rPr>
              <w:fldChar w:fldCharType="end"/>
            </w:r>
          </w:hyperlink>
        </w:p>
        <w:p w14:paraId="22709D31" w14:textId="67B64C72" w:rsidR="005037AC" w:rsidRDefault="0067644A">
          <w:pPr>
            <w:pStyle w:val="TOC3"/>
            <w:tabs>
              <w:tab w:val="right" w:leader="dot" w:pos="8494"/>
            </w:tabs>
            <w:rPr>
              <w:rFonts w:cstheme="minorBidi"/>
              <w:noProof/>
              <w:lang w:val="en-GB" w:eastAsia="en-GB"/>
            </w:rPr>
          </w:pPr>
          <w:hyperlink w:anchor="_Toc82538716" w:history="1">
            <w:r w:rsidR="005037AC" w:rsidRPr="00E90B19">
              <w:rPr>
                <w:rStyle w:val="Hyperlink"/>
                <w:rFonts w:ascii="Arial" w:hAnsi="Arial" w:cs="Arial"/>
                <w:noProof/>
              </w:rPr>
              <w:t>1.2.5 Current Collectors</w:t>
            </w:r>
            <w:r w:rsidR="005037AC">
              <w:rPr>
                <w:noProof/>
                <w:webHidden/>
              </w:rPr>
              <w:tab/>
            </w:r>
            <w:r w:rsidR="005037AC">
              <w:rPr>
                <w:noProof/>
                <w:webHidden/>
              </w:rPr>
              <w:fldChar w:fldCharType="begin"/>
            </w:r>
            <w:r w:rsidR="005037AC">
              <w:rPr>
                <w:noProof/>
                <w:webHidden/>
              </w:rPr>
              <w:instrText xml:space="preserve"> PAGEREF _Toc82538716 \h </w:instrText>
            </w:r>
            <w:r w:rsidR="005037AC">
              <w:rPr>
                <w:noProof/>
                <w:webHidden/>
              </w:rPr>
            </w:r>
            <w:r w:rsidR="005037AC">
              <w:rPr>
                <w:noProof/>
                <w:webHidden/>
              </w:rPr>
              <w:fldChar w:fldCharType="separate"/>
            </w:r>
            <w:r w:rsidR="005037AC">
              <w:rPr>
                <w:noProof/>
                <w:webHidden/>
              </w:rPr>
              <w:t>11</w:t>
            </w:r>
            <w:r w:rsidR="005037AC">
              <w:rPr>
                <w:noProof/>
                <w:webHidden/>
              </w:rPr>
              <w:fldChar w:fldCharType="end"/>
            </w:r>
          </w:hyperlink>
        </w:p>
        <w:p w14:paraId="554B18C5" w14:textId="3C562245" w:rsidR="005037AC" w:rsidRDefault="0067644A">
          <w:pPr>
            <w:pStyle w:val="TOC2"/>
            <w:tabs>
              <w:tab w:val="right" w:leader="dot" w:pos="8494"/>
            </w:tabs>
            <w:rPr>
              <w:rFonts w:eastAsiaTheme="minorEastAsia"/>
              <w:noProof/>
              <w:lang w:eastAsia="en-GB"/>
            </w:rPr>
          </w:pPr>
          <w:hyperlink w:anchor="_Toc82538717" w:history="1">
            <w:r w:rsidR="005037AC" w:rsidRPr="00E90B19">
              <w:rPr>
                <w:rStyle w:val="Hyperlink"/>
                <w:rFonts w:ascii="Arial" w:hAnsi="Arial" w:cs="Arial"/>
                <w:noProof/>
              </w:rPr>
              <w:t>1.3 Introduction To Electrochemistry</w:t>
            </w:r>
            <w:r w:rsidR="005037AC">
              <w:rPr>
                <w:noProof/>
                <w:webHidden/>
              </w:rPr>
              <w:tab/>
            </w:r>
            <w:r w:rsidR="005037AC">
              <w:rPr>
                <w:noProof/>
                <w:webHidden/>
              </w:rPr>
              <w:fldChar w:fldCharType="begin"/>
            </w:r>
            <w:r w:rsidR="005037AC">
              <w:rPr>
                <w:noProof/>
                <w:webHidden/>
              </w:rPr>
              <w:instrText xml:space="preserve"> PAGEREF _Toc82538717 \h </w:instrText>
            </w:r>
            <w:r w:rsidR="005037AC">
              <w:rPr>
                <w:noProof/>
                <w:webHidden/>
              </w:rPr>
            </w:r>
            <w:r w:rsidR="005037AC">
              <w:rPr>
                <w:noProof/>
                <w:webHidden/>
              </w:rPr>
              <w:fldChar w:fldCharType="separate"/>
            </w:r>
            <w:r w:rsidR="005037AC">
              <w:rPr>
                <w:noProof/>
                <w:webHidden/>
              </w:rPr>
              <w:t>12</w:t>
            </w:r>
            <w:r w:rsidR="005037AC">
              <w:rPr>
                <w:noProof/>
                <w:webHidden/>
              </w:rPr>
              <w:fldChar w:fldCharType="end"/>
            </w:r>
          </w:hyperlink>
        </w:p>
        <w:p w14:paraId="3D0231B5" w14:textId="66BDBC59" w:rsidR="005037AC" w:rsidRDefault="0067644A">
          <w:pPr>
            <w:pStyle w:val="TOC2"/>
            <w:tabs>
              <w:tab w:val="right" w:leader="dot" w:pos="8494"/>
            </w:tabs>
            <w:rPr>
              <w:rFonts w:eastAsiaTheme="minorEastAsia"/>
              <w:noProof/>
              <w:lang w:eastAsia="en-GB"/>
            </w:rPr>
          </w:pPr>
          <w:hyperlink w:anchor="_Toc82538718" w:history="1">
            <w:r w:rsidR="005037AC" w:rsidRPr="00E90B19">
              <w:rPr>
                <w:rStyle w:val="Hyperlink"/>
                <w:rFonts w:ascii="Arial" w:hAnsi="Arial" w:cs="Arial"/>
                <w:noProof/>
              </w:rPr>
              <w:t>1.4 The use of the SEI in Li-ion batteries</w:t>
            </w:r>
            <w:r w:rsidR="005037AC">
              <w:rPr>
                <w:noProof/>
                <w:webHidden/>
              </w:rPr>
              <w:tab/>
            </w:r>
            <w:r w:rsidR="005037AC">
              <w:rPr>
                <w:noProof/>
                <w:webHidden/>
              </w:rPr>
              <w:fldChar w:fldCharType="begin"/>
            </w:r>
            <w:r w:rsidR="005037AC">
              <w:rPr>
                <w:noProof/>
                <w:webHidden/>
              </w:rPr>
              <w:instrText xml:space="preserve"> PAGEREF _Toc82538718 \h </w:instrText>
            </w:r>
            <w:r w:rsidR="005037AC">
              <w:rPr>
                <w:noProof/>
                <w:webHidden/>
              </w:rPr>
            </w:r>
            <w:r w:rsidR="005037AC">
              <w:rPr>
                <w:noProof/>
                <w:webHidden/>
              </w:rPr>
              <w:fldChar w:fldCharType="separate"/>
            </w:r>
            <w:r w:rsidR="005037AC">
              <w:rPr>
                <w:noProof/>
                <w:webHidden/>
              </w:rPr>
              <w:t>13</w:t>
            </w:r>
            <w:r w:rsidR="005037AC">
              <w:rPr>
                <w:noProof/>
                <w:webHidden/>
              </w:rPr>
              <w:fldChar w:fldCharType="end"/>
            </w:r>
          </w:hyperlink>
        </w:p>
        <w:p w14:paraId="1839B510" w14:textId="7095DD14" w:rsidR="005037AC" w:rsidRDefault="0067644A">
          <w:pPr>
            <w:pStyle w:val="TOC2"/>
            <w:tabs>
              <w:tab w:val="right" w:leader="dot" w:pos="8494"/>
            </w:tabs>
            <w:rPr>
              <w:rFonts w:eastAsiaTheme="minorEastAsia"/>
              <w:noProof/>
              <w:lang w:eastAsia="en-GB"/>
            </w:rPr>
          </w:pPr>
          <w:hyperlink w:anchor="_Toc82538719" w:history="1">
            <w:r w:rsidR="005037AC" w:rsidRPr="00E90B19">
              <w:rPr>
                <w:rStyle w:val="Hyperlink"/>
                <w:rFonts w:ascii="Arial" w:hAnsi="Arial" w:cs="Arial"/>
                <w:noProof/>
              </w:rPr>
              <w:t>1.5 How the SEI is formed</w:t>
            </w:r>
            <w:r w:rsidR="005037AC">
              <w:rPr>
                <w:noProof/>
                <w:webHidden/>
              </w:rPr>
              <w:tab/>
            </w:r>
            <w:r w:rsidR="005037AC">
              <w:rPr>
                <w:noProof/>
                <w:webHidden/>
              </w:rPr>
              <w:fldChar w:fldCharType="begin"/>
            </w:r>
            <w:r w:rsidR="005037AC">
              <w:rPr>
                <w:noProof/>
                <w:webHidden/>
              </w:rPr>
              <w:instrText xml:space="preserve"> PAGEREF _Toc82538719 \h </w:instrText>
            </w:r>
            <w:r w:rsidR="005037AC">
              <w:rPr>
                <w:noProof/>
                <w:webHidden/>
              </w:rPr>
            </w:r>
            <w:r w:rsidR="005037AC">
              <w:rPr>
                <w:noProof/>
                <w:webHidden/>
              </w:rPr>
              <w:fldChar w:fldCharType="separate"/>
            </w:r>
            <w:r w:rsidR="005037AC">
              <w:rPr>
                <w:noProof/>
                <w:webHidden/>
              </w:rPr>
              <w:t>14</w:t>
            </w:r>
            <w:r w:rsidR="005037AC">
              <w:rPr>
                <w:noProof/>
                <w:webHidden/>
              </w:rPr>
              <w:fldChar w:fldCharType="end"/>
            </w:r>
          </w:hyperlink>
        </w:p>
        <w:p w14:paraId="78E3E526" w14:textId="5C463805" w:rsidR="005037AC" w:rsidRDefault="0067644A">
          <w:pPr>
            <w:pStyle w:val="TOC2"/>
            <w:tabs>
              <w:tab w:val="right" w:leader="dot" w:pos="8494"/>
            </w:tabs>
            <w:rPr>
              <w:rFonts w:eastAsiaTheme="minorEastAsia"/>
              <w:noProof/>
              <w:lang w:eastAsia="en-GB"/>
            </w:rPr>
          </w:pPr>
          <w:hyperlink w:anchor="_Toc82538720" w:history="1">
            <w:r w:rsidR="005037AC" w:rsidRPr="00E90B19">
              <w:rPr>
                <w:rStyle w:val="Hyperlink"/>
                <w:rFonts w:ascii="Arial" w:hAnsi="Arial" w:cs="Arial"/>
                <w:noProof/>
              </w:rPr>
              <w:t>1.6 SEI structure</w:t>
            </w:r>
            <w:r w:rsidR="005037AC">
              <w:rPr>
                <w:noProof/>
                <w:webHidden/>
              </w:rPr>
              <w:tab/>
            </w:r>
            <w:r w:rsidR="005037AC">
              <w:rPr>
                <w:noProof/>
                <w:webHidden/>
              </w:rPr>
              <w:fldChar w:fldCharType="begin"/>
            </w:r>
            <w:r w:rsidR="005037AC">
              <w:rPr>
                <w:noProof/>
                <w:webHidden/>
              </w:rPr>
              <w:instrText xml:space="preserve"> PAGEREF _Toc82538720 \h </w:instrText>
            </w:r>
            <w:r w:rsidR="005037AC">
              <w:rPr>
                <w:noProof/>
                <w:webHidden/>
              </w:rPr>
            </w:r>
            <w:r w:rsidR="005037AC">
              <w:rPr>
                <w:noProof/>
                <w:webHidden/>
              </w:rPr>
              <w:fldChar w:fldCharType="separate"/>
            </w:r>
            <w:r w:rsidR="005037AC">
              <w:rPr>
                <w:noProof/>
                <w:webHidden/>
              </w:rPr>
              <w:t>21</w:t>
            </w:r>
            <w:r w:rsidR="005037AC">
              <w:rPr>
                <w:noProof/>
                <w:webHidden/>
              </w:rPr>
              <w:fldChar w:fldCharType="end"/>
            </w:r>
          </w:hyperlink>
        </w:p>
        <w:p w14:paraId="59DAE7CD" w14:textId="4DD12E58" w:rsidR="005037AC" w:rsidRDefault="0067644A">
          <w:pPr>
            <w:pStyle w:val="TOC2"/>
            <w:tabs>
              <w:tab w:val="right" w:leader="dot" w:pos="8494"/>
            </w:tabs>
            <w:rPr>
              <w:rFonts w:eastAsiaTheme="minorEastAsia"/>
              <w:noProof/>
              <w:lang w:eastAsia="en-GB"/>
            </w:rPr>
          </w:pPr>
          <w:hyperlink w:anchor="_Toc82538721" w:history="1">
            <w:r w:rsidR="005037AC" w:rsidRPr="00E90B19">
              <w:rPr>
                <w:rStyle w:val="Hyperlink"/>
                <w:rFonts w:ascii="Arial" w:hAnsi="Arial" w:cs="Arial"/>
                <w:noProof/>
              </w:rPr>
              <w:t>1.7 Composition of the SEI</w:t>
            </w:r>
            <w:r w:rsidR="005037AC">
              <w:rPr>
                <w:noProof/>
                <w:webHidden/>
              </w:rPr>
              <w:tab/>
            </w:r>
            <w:r w:rsidR="005037AC">
              <w:rPr>
                <w:noProof/>
                <w:webHidden/>
              </w:rPr>
              <w:fldChar w:fldCharType="begin"/>
            </w:r>
            <w:r w:rsidR="005037AC">
              <w:rPr>
                <w:noProof/>
                <w:webHidden/>
              </w:rPr>
              <w:instrText xml:space="preserve"> PAGEREF _Toc82538721 \h </w:instrText>
            </w:r>
            <w:r w:rsidR="005037AC">
              <w:rPr>
                <w:noProof/>
                <w:webHidden/>
              </w:rPr>
            </w:r>
            <w:r w:rsidR="005037AC">
              <w:rPr>
                <w:noProof/>
                <w:webHidden/>
              </w:rPr>
              <w:fldChar w:fldCharType="separate"/>
            </w:r>
            <w:r w:rsidR="005037AC">
              <w:rPr>
                <w:noProof/>
                <w:webHidden/>
              </w:rPr>
              <w:t>22</w:t>
            </w:r>
            <w:r w:rsidR="005037AC">
              <w:rPr>
                <w:noProof/>
                <w:webHidden/>
              </w:rPr>
              <w:fldChar w:fldCharType="end"/>
            </w:r>
          </w:hyperlink>
        </w:p>
        <w:p w14:paraId="3DFB8D32" w14:textId="6F940039" w:rsidR="005037AC" w:rsidRDefault="0067644A">
          <w:pPr>
            <w:pStyle w:val="TOC2"/>
            <w:tabs>
              <w:tab w:val="right" w:leader="dot" w:pos="8494"/>
            </w:tabs>
            <w:rPr>
              <w:rFonts w:eastAsiaTheme="minorEastAsia"/>
              <w:noProof/>
              <w:lang w:eastAsia="en-GB"/>
            </w:rPr>
          </w:pPr>
          <w:hyperlink w:anchor="_Toc82538722" w:history="1">
            <w:r w:rsidR="005037AC" w:rsidRPr="00E90B19">
              <w:rPr>
                <w:rStyle w:val="Hyperlink"/>
                <w:rFonts w:ascii="Arial" w:hAnsi="Arial" w:cs="Arial"/>
                <w:noProof/>
              </w:rPr>
              <w:t>1.8 The role of the electrolyte in SEI formation</w:t>
            </w:r>
            <w:r w:rsidR="005037AC">
              <w:rPr>
                <w:noProof/>
                <w:webHidden/>
              </w:rPr>
              <w:tab/>
            </w:r>
            <w:r w:rsidR="005037AC">
              <w:rPr>
                <w:noProof/>
                <w:webHidden/>
              </w:rPr>
              <w:fldChar w:fldCharType="begin"/>
            </w:r>
            <w:r w:rsidR="005037AC">
              <w:rPr>
                <w:noProof/>
                <w:webHidden/>
              </w:rPr>
              <w:instrText xml:space="preserve"> PAGEREF _Toc82538722 \h </w:instrText>
            </w:r>
            <w:r w:rsidR="005037AC">
              <w:rPr>
                <w:noProof/>
                <w:webHidden/>
              </w:rPr>
            </w:r>
            <w:r w:rsidR="005037AC">
              <w:rPr>
                <w:noProof/>
                <w:webHidden/>
              </w:rPr>
              <w:fldChar w:fldCharType="separate"/>
            </w:r>
            <w:r w:rsidR="005037AC">
              <w:rPr>
                <w:noProof/>
                <w:webHidden/>
              </w:rPr>
              <w:t>23</w:t>
            </w:r>
            <w:r w:rsidR="005037AC">
              <w:rPr>
                <w:noProof/>
                <w:webHidden/>
              </w:rPr>
              <w:fldChar w:fldCharType="end"/>
            </w:r>
          </w:hyperlink>
        </w:p>
        <w:p w14:paraId="76649C50" w14:textId="3FF8617B" w:rsidR="005037AC" w:rsidRDefault="0067644A">
          <w:pPr>
            <w:pStyle w:val="TOC2"/>
            <w:tabs>
              <w:tab w:val="right" w:leader="dot" w:pos="8494"/>
            </w:tabs>
            <w:rPr>
              <w:rFonts w:eastAsiaTheme="minorEastAsia"/>
              <w:noProof/>
              <w:lang w:eastAsia="en-GB"/>
            </w:rPr>
          </w:pPr>
          <w:hyperlink w:anchor="_Toc82538723" w:history="1">
            <w:r w:rsidR="005037AC" w:rsidRPr="00E90B19">
              <w:rPr>
                <w:rStyle w:val="Hyperlink"/>
                <w:rFonts w:ascii="Arial" w:hAnsi="Arial" w:cs="Arial"/>
                <w:noProof/>
              </w:rPr>
              <w:t>1.9 Electrolyte additives and their influence on the SEI</w:t>
            </w:r>
            <w:r w:rsidR="005037AC">
              <w:rPr>
                <w:noProof/>
                <w:webHidden/>
              </w:rPr>
              <w:tab/>
            </w:r>
            <w:r w:rsidR="005037AC">
              <w:rPr>
                <w:noProof/>
                <w:webHidden/>
              </w:rPr>
              <w:fldChar w:fldCharType="begin"/>
            </w:r>
            <w:r w:rsidR="005037AC">
              <w:rPr>
                <w:noProof/>
                <w:webHidden/>
              </w:rPr>
              <w:instrText xml:space="preserve"> PAGEREF _Toc82538723 \h </w:instrText>
            </w:r>
            <w:r w:rsidR="005037AC">
              <w:rPr>
                <w:noProof/>
                <w:webHidden/>
              </w:rPr>
            </w:r>
            <w:r w:rsidR="005037AC">
              <w:rPr>
                <w:noProof/>
                <w:webHidden/>
              </w:rPr>
              <w:fldChar w:fldCharType="separate"/>
            </w:r>
            <w:r w:rsidR="005037AC">
              <w:rPr>
                <w:noProof/>
                <w:webHidden/>
              </w:rPr>
              <w:t>24</w:t>
            </w:r>
            <w:r w:rsidR="005037AC">
              <w:rPr>
                <w:noProof/>
                <w:webHidden/>
              </w:rPr>
              <w:fldChar w:fldCharType="end"/>
            </w:r>
          </w:hyperlink>
        </w:p>
        <w:p w14:paraId="0CCDB183" w14:textId="21F6BDB6" w:rsidR="005037AC" w:rsidRDefault="0067644A">
          <w:pPr>
            <w:pStyle w:val="TOC3"/>
            <w:tabs>
              <w:tab w:val="right" w:leader="dot" w:pos="8494"/>
            </w:tabs>
            <w:rPr>
              <w:rFonts w:cstheme="minorBidi"/>
              <w:noProof/>
              <w:lang w:val="en-GB" w:eastAsia="en-GB"/>
            </w:rPr>
          </w:pPr>
          <w:hyperlink w:anchor="_Toc82538724" w:history="1">
            <w:r w:rsidR="005037AC" w:rsidRPr="00E90B19">
              <w:rPr>
                <w:rStyle w:val="Hyperlink"/>
                <w:rFonts w:ascii="Arial" w:hAnsi="Arial" w:cs="Arial"/>
                <w:noProof/>
              </w:rPr>
              <w:t>1.9.1 EC-based additives</w:t>
            </w:r>
            <w:r w:rsidR="005037AC">
              <w:rPr>
                <w:noProof/>
                <w:webHidden/>
              </w:rPr>
              <w:tab/>
            </w:r>
            <w:r w:rsidR="005037AC">
              <w:rPr>
                <w:noProof/>
                <w:webHidden/>
              </w:rPr>
              <w:fldChar w:fldCharType="begin"/>
            </w:r>
            <w:r w:rsidR="005037AC">
              <w:rPr>
                <w:noProof/>
                <w:webHidden/>
              </w:rPr>
              <w:instrText xml:space="preserve"> PAGEREF _Toc82538724 \h </w:instrText>
            </w:r>
            <w:r w:rsidR="005037AC">
              <w:rPr>
                <w:noProof/>
                <w:webHidden/>
              </w:rPr>
            </w:r>
            <w:r w:rsidR="005037AC">
              <w:rPr>
                <w:noProof/>
                <w:webHidden/>
              </w:rPr>
              <w:fldChar w:fldCharType="separate"/>
            </w:r>
            <w:r w:rsidR="005037AC">
              <w:rPr>
                <w:noProof/>
                <w:webHidden/>
              </w:rPr>
              <w:t>24</w:t>
            </w:r>
            <w:r w:rsidR="005037AC">
              <w:rPr>
                <w:noProof/>
                <w:webHidden/>
              </w:rPr>
              <w:fldChar w:fldCharType="end"/>
            </w:r>
          </w:hyperlink>
        </w:p>
        <w:p w14:paraId="4A1F9939" w14:textId="2BBB4D78" w:rsidR="005037AC" w:rsidRDefault="0067644A">
          <w:pPr>
            <w:pStyle w:val="TOC3"/>
            <w:tabs>
              <w:tab w:val="right" w:leader="dot" w:pos="8494"/>
            </w:tabs>
            <w:rPr>
              <w:rFonts w:cstheme="minorBidi"/>
              <w:noProof/>
              <w:lang w:val="en-GB" w:eastAsia="en-GB"/>
            </w:rPr>
          </w:pPr>
          <w:hyperlink w:anchor="_Toc82538725" w:history="1">
            <w:r w:rsidR="005037AC" w:rsidRPr="00E90B19">
              <w:rPr>
                <w:rStyle w:val="Hyperlink"/>
                <w:rFonts w:ascii="Arial" w:hAnsi="Arial" w:cs="Arial"/>
                <w:noProof/>
              </w:rPr>
              <w:t>1.9.2 Sulphites</w:t>
            </w:r>
            <w:r w:rsidR="005037AC">
              <w:rPr>
                <w:noProof/>
                <w:webHidden/>
              </w:rPr>
              <w:tab/>
            </w:r>
            <w:r w:rsidR="005037AC">
              <w:rPr>
                <w:noProof/>
                <w:webHidden/>
              </w:rPr>
              <w:fldChar w:fldCharType="begin"/>
            </w:r>
            <w:r w:rsidR="005037AC">
              <w:rPr>
                <w:noProof/>
                <w:webHidden/>
              </w:rPr>
              <w:instrText xml:space="preserve"> PAGEREF _Toc82538725 \h </w:instrText>
            </w:r>
            <w:r w:rsidR="005037AC">
              <w:rPr>
                <w:noProof/>
                <w:webHidden/>
              </w:rPr>
            </w:r>
            <w:r w:rsidR="005037AC">
              <w:rPr>
                <w:noProof/>
                <w:webHidden/>
              </w:rPr>
              <w:fldChar w:fldCharType="separate"/>
            </w:r>
            <w:r w:rsidR="005037AC">
              <w:rPr>
                <w:noProof/>
                <w:webHidden/>
              </w:rPr>
              <w:t>26</w:t>
            </w:r>
            <w:r w:rsidR="005037AC">
              <w:rPr>
                <w:noProof/>
                <w:webHidden/>
              </w:rPr>
              <w:fldChar w:fldCharType="end"/>
            </w:r>
          </w:hyperlink>
        </w:p>
        <w:p w14:paraId="3946071C" w14:textId="4D5CE08D" w:rsidR="005037AC" w:rsidRDefault="0067644A">
          <w:pPr>
            <w:pStyle w:val="TOC3"/>
            <w:tabs>
              <w:tab w:val="right" w:leader="dot" w:pos="8494"/>
            </w:tabs>
            <w:rPr>
              <w:rFonts w:cstheme="minorBidi"/>
              <w:noProof/>
              <w:lang w:val="en-GB" w:eastAsia="en-GB"/>
            </w:rPr>
          </w:pPr>
          <w:hyperlink w:anchor="_Toc82538726" w:history="1">
            <w:r w:rsidR="005037AC" w:rsidRPr="00E90B19">
              <w:rPr>
                <w:rStyle w:val="Hyperlink"/>
                <w:rFonts w:ascii="Arial" w:hAnsi="Arial" w:cs="Arial"/>
                <w:noProof/>
              </w:rPr>
              <w:t>1.9.3 Other additives</w:t>
            </w:r>
            <w:r w:rsidR="005037AC">
              <w:rPr>
                <w:noProof/>
                <w:webHidden/>
              </w:rPr>
              <w:tab/>
            </w:r>
            <w:r w:rsidR="005037AC">
              <w:rPr>
                <w:noProof/>
                <w:webHidden/>
              </w:rPr>
              <w:fldChar w:fldCharType="begin"/>
            </w:r>
            <w:r w:rsidR="005037AC">
              <w:rPr>
                <w:noProof/>
                <w:webHidden/>
              </w:rPr>
              <w:instrText xml:space="preserve"> PAGEREF _Toc82538726 \h </w:instrText>
            </w:r>
            <w:r w:rsidR="005037AC">
              <w:rPr>
                <w:noProof/>
                <w:webHidden/>
              </w:rPr>
            </w:r>
            <w:r w:rsidR="005037AC">
              <w:rPr>
                <w:noProof/>
                <w:webHidden/>
              </w:rPr>
              <w:fldChar w:fldCharType="separate"/>
            </w:r>
            <w:r w:rsidR="005037AC">
              <w:rPr>
                <w:noProof/>
                <w:webHidden/>
              </w:rPr>
              <w:t>27</w:t>
            </w:r>
            <w:r w:rsidR="005037AC">
              <w:rPr>
                <w:noProof/>
                <w:webHidden/>
              </w:rPr>
              <w:fldChar w:fldCharType="end"/>
            </w:r>
          </w:hyperlink>
        </w:p>
        <w:p w14:paraId="4E8B8A1F" w14:textId="3A9355E4" w:rsidR="005037AC" w:rsidRDefault="0067644A">
          <w:pPr>
            <w:pStyle w:val="TOC2"/>
            <w:tabs>
              <w:tab w:val="right" w:leader="dot" w:pos="8494"/>
            </w:tabs>
            <w:rPr>
              <w:rFonts w:eastAsiaTheme="minorEastAsia"/>
              <w:noProof/>
              <w:lang w:eastAsia="en-GB"/>
            </w:rPr>
          </w:pPr>
          <w:hyperlink w:anchor="_Toc82538727" w:history="1">
            <w:r w:rsidR="005037AC" w:rsidRPr="00E90B19">
              <w:rPr>
                <w:rStyle w:val="Hyperlink"/>
                <w:rFonts w:ascii="Arial" w:hAnsi="Arial" w:cs="Arial"/>
                <w:noProof/>
              </w:rPr>
              <w:t>1.10 Formation cycling</w:t>
            </w:r>
            <w:r w:rsidR="005037AC">
              <w:rPr>
                <w:noProof/>
                <w:webHidden/>
              </w:rPr>
              <w:tab/>
            </w:r>
            <w:r w:rsidR="005037AC">
              <w:rPr>
                <w:noProof/>
                <w:webHidden/>
              </w:rPr>
              <w:fldChar w:fldCharType="begin"/>
            </w:r>
            <w:r w:rsidR="005037AC">
              <w:rPr>
                <w:noProof/>
                <w:webHidden/>
              </w:rPr>
              <w:instrText xml:space="preserve"> PAGEREF _Toc82538727 \h </w:instrText>
            </w:r>
            <w:r w:rsidR="005037AC">
              <w:rPr>
                <w:noProof/>
                <w:webHidden/>
              </w:rPr>
            </w:r>
            <w:r w:rsidR="005037AC">
              <w:rPr>
                <w:noProof/>
                <w:webHidden/>
              </w:rPr>
              <w:fldChar w:fldCharType="separate"/>
            </w:r>
            <w:r w:rsidR="005037AC">
              <w:rPr>
                <w:noProof/>
                <w:webHidden/>
              </w:rPr>
              <w:t>29</w:t>
            </w:r>
            <w:r w:rsidR="005037AC">
              <w:rPr>
                <w:noProof/>
                <w:webHidden/>
              </w:rPr>
              <w:fldChar w:fldCharType="end"/>
            </w:r>
          </w:hyperlink>
        </w:p>
        <w:p w14:paraId="5A3EB601" w14:textId="2922D986" w:rsidR="005037AC" w:rsidRDefault="0067644A">
          <w:pPr>
            <w:pStyle w:val="TOC2"/>
            <w:tabs>
              <w:tab w:val="right" w:leader="dot" w:pos="8494"/>
            </w:tabs>
            <w:rPr>
              <w:rFonts w:eastAsiaTheme="minorEastAsia"/>
              <w:noProof/>
              <w:lang w:eastAsia="en-GB"/>
            </w:rPr>
          </w:pPr>
          <w:hyperlink w:anchor="_Toc82538728" w:history="1">
            <w:r w:rsidR="005037AC" w:rsidRPr="00E90B19">
              <w:rPr>
                <w:rStyle w:val="Hyperlink"/>
                <w:rFonts w:ascii="Arial" w:hAnsi="Arial" w:cs="Arial"/>
                <w:noProof/>
              </w:rPr>
              <w:t>1.11 Pre-lithiation techniques</w:t>
            </w:r>
            <w:r w:rsidR="005037AC">
              <w:rPr>
                <w:noProof/>
                <w:webHidden/>
              </w:rPr>
              <w:tab/>
            </w:r>
            <w:r w:rsidR="005037AC">
              <w:rPr>
                <w:noProof/>
                <w:webHidden/>
              </w:rPr>
              <w:fldChar w:fldCharType="begin"/>
            </w:r>
            <w:r w:rsidR="005037AC">
              <w:rPr>
                <w:noProof/>
                <w:webHidden/>
              </w:rPr>
              <w:instrText xml:space="preserve"> PAGEREF _Toc82538728 \h </w:instrText>
            </w:r>
            <w:r w:rsidR="005037AC">
              <w:rPr>
                <w:noProof/>
                <w:webHidden/>
              </w:rPr>
            </w:r>
            <w:r w:rsidR="005037AC">
              <w:rPr>
                <w:noProof/>
                <w:webHidden/>
              </w:rPr>
              <w:fldChar w:fldCharType="separate"/>
            </w:r>
            <w:r w:rsidR="005037AC">
              <w:rPr>
                <w:noProof/>
                <w:webHidden/>
              </w:rPr>
              <w:t>35</w:t>
            </w:r>
            <w:r w:rsidR="005037AC">
              <w:rPr>
                <w:noProof/>
                <w:webHidden/>
              </w:rPr>
              <w:fldChar w:fldCharType="end"/>
            </w:r>
          </w:hyperlink>
        </w:p>
        <w:p w14:paraId="32D93009" w14:textId="421D7D3F" w:rsidR="005037AC" w:rsidRDefault="0067644A">
          <w:pPr>
            <w:pStyle w:val="TOC2"/>
            <w:tabs>
              <w:tab w:val="right" w:leader="dot" w:pos="8494"/>
            </w:tabs>
            <w:rPr>
              <w:rFonts w:eastAsiaTheme="minorEastAsia"/>
              <w:noProof/>
              <w:lang w:eastAsia="en-GB"/>
            </w:rPr>
          </w:pPr>
          <w:hyperlink w:anchor="_Toc82538729" w:history="1">
            <w:r w:rsidR="005037AC" w:rsidRPr="00E90B19">
              <w:rPr>
                <w:rStyle w:val="Hyperlink"/>
                <w:rFonts w:ascii="Arial" w:hAnsi="Arial" w:cs="Arial"/>
                <w:noProof/>
              </w:rPr>
              <w:t>1.12 Other artificial SEI’s</w:t>
            </w:r>
            <w:r w:rsidR="005037AC">
              <w:rPr>
                <w:noProof/>
                <w:webHidden/>
              </w:rPr>
              <w:tab/>
            </w:r>
            <w:r w:rsidR="005037AC">
              <w:rPr>
                <w:noProof/>
                <w:webHidden/>
              </w:rPr>
              <w:fldChar w:fldCharType="begin"/>
            </w:r>
            <w:r w:rsidR="005037AC">
              <w:rPr>
                <w:noProof/>
                <w:webHidden/>
              </w:rPr>
              <w:instrText xml:space="preserve"> PAGEREF _Toc82538729 \h </w:instrText>
            </w:r>
            <w:r w:rsidR="005037AC">
              <w:rPr>
                <w:noProof/>
                <w:webHidden/>
              </w:rPr>
            </w:r>
            <w:r w:rsidR="005037AC">
              <w:rPr>
                <w:noProof/>
                <w:webHidden/>
              </w:rPr>
              <w:fldChar w:fldCharType="separate"/>
            </w:r>
            <w:r w:rsidR="005037AC">
              <w:rPr>
                <w:noProof/>
                <w:webHidden/>
              </w:rPr>
              <w:t>39</w:t>
            </w:r>
            <w:r w:rsidR="005037AC">
              <w:rPr>
                <w:noProof/>
                <w:webHidden/>
              </w:rPr>
              <w:fldChar w:fldCharType="end"/>
            </w:r>
          </w:hyperlink>
        </w:p>
        <w:p w14:paraId="5114A3C8" w14:textId="0CC624B1" w:rsidR="005037AC" w:rsidRDefault="0067644A">
          <w:pPr>
            <w:pStyle w:val="TOC2"/>
            <w:tabs>
              <w:tab w:val="right" w:leader="dot" w:pos="8494"/>
            </w:tabs>
            <w:rPr>
              <w:rFonts w:eastAsiaTheme="minorEastAsia"/>
              <w:noProof/>
              <w:lang w:eastAsia="en-GB"/>
            </w:rPr>
          </w:pPr>
          <w:hyperlink w:anchor="_Toc82538730" w:history="1">
            <w:r w:rsidR="005037AC" w:rsidRPr="00E90B19">
              <w:rPr>
                <w:rStyle w:val="Hyperlink"/>
                <w:rFonts w:ascii="Arial" w:eastAsia="Calibri" w:hAnsi="Arial" w:cs="Arial"/>
                <w:noProof/>
              </w:rPr>
              <w:t>1.13 Sodium-ion batteries</w:t>
            </w:r>
            <w:r w:rsidR="005037AC">
              <w:rPr>
                <w:noProof/>
                <w:webHidden/>
              </w:rPr>
              <w:tab/>
            </w:r>
            <w:r w:rsidR="005037AC">
              <w:rPr>
                <w:noProof/>
                <w:webHidden/>
              </w:rPr>
              <w:fldChar w:fldCharType="begin"/>
            </w:r>
            <w:r w:rsidR="005037AC">
              <w:rPr>
                <w:noProof/>
                <w:webHidden/>
              </w:rPr>
              <w:instrText xml:space="preserve"> PAGEREF _Toc82538730 \h </w:instrText>
            </w:r>
            <w:r w:rsidR="005037AC">
              <w:rPr>
                <w:noProof/>
                <w:webHidden/>
              </w:rPr>
            </w:r>
            <w:r w:rsidR="005037AC">
              <w:rPr>
                <w:noProof/>
                <w:webHidden/>
              </w:rPr>
              <w:fldChar w:fldCharType="separate"/>
            </w:r>
            <w:r w:rsidR="005037AC">
              <w:rPr>
                <w:noProof/>
                <w:webHidden/>
              </w:rPr>
              <w:t>41</w:t>
            </w:r>
            <w:r w:rsidR="005037AC">
              <w:rPr>
                <w:noProof/>
                <w:webHidden/>
              </w:rPr>
              <w:fldChar w:fldCharType="end"/>
            </w:r>
          </w:hyperlink>
        </w:p>
        <w:p w14:paraId="1FDC19AF" w14:textId="28D039B3" w:rsidR="005037AC" w:rsidRDefault="0067644A">
          <w:pPr>
            <w:pStyle w:val="TOC2"/>
            <w:tabs>
              <w:tab w:val="right" w:leader="dot" w:pos="8494"/>
            </w:tabs>
            <w:rPr>
              <w:rFonts w:eastAsiaTheme="minorEastAsia"/>
              <w:noProof/>
              <w:lang w:eastAsia="en-GB"/>
            </w:rPr>
          </w:pPr>
          <w:hyperlink w:anchor="_Toc82538731" w:history="1">
            <w:r w:rsidR="005037AC" w:rsidRPr="00E90B19">
              <w:rPr>
                <w:rStyle w:val="Hyperlink"/>
                <w:rFonts w:ascii="Arial" w:hAnsi="Arial" w:cs="Arial"/>
                <w:noProof/>
              </w:rPr>
              <w:t>1.14 Na-ion SEI</w:t>
            </w:r>
            <w:r w:rsidR="005037AC">
              <w:rPr>
                <w:noProof/>
                <w:webHidden/>
              </w:rPr>
              <w:tab/>
            </w:r>
            <w:r w:rsidR="005037AC">
              <w:rPr>
                <w:noProof/>
                <w:webHidden/>
              </w:rPr>
              <w:fldChar w:fldCharType="begin"/>
            </w:r>
            <w:r w:rsidR="005037AC">
              <w:rPr>
                <w:noProof/>
                <w:webHidden/>
              </w:rPr>
              <w:instrText xml:space="preserve"> PAGEREF _Toc82538731 \h </w:instrText>
            </w:r>
            <w:r w:rsidR="005037AC">
              <w:rPr>
                <w:noProof/>
                <w:webHidden/>
              </w:rPr>
            </w:r>
            <w:r w:rsidR="005037AC">
              <w:rPr>
                <w:noProof/>
                <w:webHidden/>
              </w:rPr>
              <w:fldChar w:fldCharType="separate"/>
            </w:r>
            <w:r w:rsidR="005037AC">
              <w:rPr>
                <w:noProof/>
                <w:webHidden/>
              </w:rPr>
              <w:t>42</w:t>
            </w:r>
            <w:r w:rsidR="005037AC">
              <w:rPr>
                <w:noProof/>
                <w:webHidden/>
              </w:rPr>
              <w:fldChar w:fldCharType="end"/>
            </w:r>
          </w:hyperlink>
        </w:p>
        <w:p w14:paraId="59D202DF" w14:textId="18437145" w:rsidR="005037AC" w:rsidRDefault="0067644A">
          <w:pPr>
            <w:pStyle w:val="TOC2"/>
            <w:tabs>
              <w:tab w:val="right" w:leader="dot" w:pos="8494"/>
            </w:tabs>
            <w:rPr>
              <w:rFonts w:eastAsiaTheme="minorEastAsia"/>
              <w:noProof/>
              <w:lang w:eastAsia="en-GB"/>
            </w:rPr>
          </w:pPr>
          <w:hyperlink w:anchor="_Toc82538732" w:history="1">
            <w:r w:rsidR="005037AC" w:rsidRPr="00E90B19">
              <w:rPr>
                <w:rStyle w:val="Hyperlink"/>
                <w:rFonts w:ascii="Arial" w:eastAsia="Calibri" w:hAnsi="Arial" w:cs="Arial"/>
                <w:noProof/>
              </w:rPr>
              <w:t>1.15 Conclusion</w:t>
            </w:r>
            <w:r w:rsidR="005037AC">
              <w:rPr>
                <w:noProof/>
                <w:webHidden/>
              </w:rPr>
              <w:tab/>
            </w:r>
            <w:r w:rsidR="005037AC">
              <w:rPr>
                <w:noProof/>
                <w:webHidden/>
              </w:rPr>
              <w:fldChar w:fldCharType="begin"/>
            </w:r>
            <w:r w:rsidR="005037AC">
              <w:rPr>
                <w:noProof/>
                <w:webHidden/>
              </w:rPr>
              <w:instrText xml:space="preserve"> PAGEREF _Toc82538732 \h </w:instrText>
            </w:r>
            <w:r w:rsidR="005037AC">
              <w:rPr>
                <w:noProof/>
                <w:webHidden/>
              </w:rPr>
            </w:r>
            <w:r w:rsidR="005037AC">
              <w:rPr>
                <w:noProof/>
                <w:webHidden/>
              </w:rPr>
              <w:fldChar w:fldCharType="separate"/>
            </w:r>
            <w:r w:rsidR="005037AC">
              <w:rPr>
                <w:noProof/>
                <w:webHidden/>
              </w:rPr>
              <w:t>43</w:t>
            </w:r>
            <w:r w:rsidR="005037AC">
              <w:rPr>
                <w:noProof/>
                <w:webHidden/>
              </w:rPr>
              <w:fldChar w:fldCharType="end"/>
            </w:r>
          </w:hyperlink>
        </w:p>
        <w:p w14:paraId="68C51CF8" w14:textId="33E1FB79" w:rsidR="005037AC" w:rsidRDefault="0067644A">
          <w:pPr>
            <w:pStyle w:val="TOC1"/>
            <w:tabs>
              <w:tab w:val="right" w:leader="dot" w:pos="8494"/>
            </w:tabs>
            <w:rPr>
              <w:rFonts w:eastAsiaTheme="minorEastAsia"/>
              <w:noProof/>
              <w:lang w:eastAsia="en-GB"/>
            </w:rPr>
          </w:pPr>
          <w:hyperlink w:anchor="_Toc82538733" w:history="1">
            <w:r w:rsidR="005037AC" w:rsidRPr="00E90B19">
              <w:rPr>
                <w:rStyle w:val="Hyperlink"/>
                <w:rFonts w:ascii="Arial" w:eastAsia="Calibri" w:hAnsi="Arial" w:cs="Arial"/>
                <w:b/>
                <w:noProof/>
              </w:rPr>
              <w:t>Chapter 2: Experimental techniques</w:t>
            </w:r>
            <w:r w:rsidR="005037AC">
              <w:rPr>
                <w:noProof/>
                <w:webHidden/>
              </w:rPr>
              <w:tab/>
            </w:r>
            <w:r w:rsidR="005037AC">
              <w:rPr>
                <w:noProof/>
                <w:webHidden/>
              </w:rPr>
              <w:fldChar w:fldCharType="begin"/>
            </w:r>
            <w:r w:rsidR="005037AC">
              <w:rPr>
                <w:noProof/>
                <w:webHidden/>
              </w:rPr>
              <w:instrText xml:space="preserve"> PAGEREF _Toc82538733 \h </w:instrText>
            </w:r>
            <w:r w:rsidR="005037AC">
              <w:rPr>
                <w:noProof/>
                <w:webHidden/>
              </w:rPr>
            </w:r>
            <w:r w:rsidR="005037AC">
              <w:rPr>
                <w:noProof/>
                <w:webHidden/>
              </w:rPr>
              <w:fldChar w:fldCharType="separate"/>
            </w:r>
            <w:r w:rsidR="005037AC">
              <w:rPr>
                <w:noProof/>
                <w:webHidden/>
              </w:rPr>
              <w:t>44</w:t>
            </w:r>
            <w:r w:rsidR="005037AC">
              <w:rPr>
                <w:noProof/>
                <w:webHidden/>
              </w:rPr>
              <w:fldChar w:fldCharType="end"/>
            </w:r>
          </w:hyperlink>
        </w:p>
        <w:p w14:paraId="6CF54EE0" w14:textId="007722D7" w:rsidR="005037AC" w:rsidRDefault="0067644A">
          <w:pPr>
            <w:pStyle w:val="TOC2"/>
            <w:tabs>
              <w:tab w:val="right" w:leader="dot" w:pos="8494"/>
            </w:tabs>
            <w:rPr>
              <w:rFonts w:eastAsiaTheme="minorEastAsia"/>
              <w:noProof/>
              <w:lang w:eastAsia="en-GB"/>
            </w:rPr>
          </w:pPr>
          <w:hyperlink w:anchor="_Toc82538734" w:history="1">
            <w:r w:rsidR="005037AC" w:rsidRPr="00E90B19">
              <w:rPr>
                <w:rStyle w:val="Hyperlink"/>
                <w:rFonts w:ascii="Arial" w:hAnsi="Arial" w:cs="Arial"/>
                <w:noProof/>
              </w:rPr>
              <w:t>2.1 Material synthesis</w:t>
            </w:r>
            <w:r w:rsidR="005037AC">
              <w:rPr>
                <w:noProof/>
                <w:webHidden/>
              </w:rPr>
              <w:tab/>
            </w:r>
            <w:r w:rsidR="005037AC">
              <w:rPr>
                <w:noProof/>
                <w:webHidden/>
              </w:rPr>
              <w:fldChar w:fldCharType="begin"/>
            </w:r>
            <w:r w:rsidR="005037AC">
              <w:rPr>
                <w:noProof/>
                <w:webHidden/>
              </w:rPr>
              <w:instrText xml:space="preserve"> PAGEREF _Toc82538734 \h </w:instrText>
            </w:r>
            <w:r w:rsidR="005037AC">
              <w:rPr>
                <w:noProof/>
                <w:webHidden/>
              </w:rPr>
            </w:r>
            <w:r w:rsidR="005037AC">
              <w:rPr>
                <w:noProof/>
                <w:webHidden/>
              </w:rPr>
              <w:fldChar w:fldCharType="separate"/>
            </w:r>
            <w:r w:rsidR="005037AC">
              <w:rPr>
                <w:noProof/>
                <w:webHidden/>
              </w:rPr>
              <w:t>45</w:t>
            </w:r>
            <w:r w:rsidR="005037AC">
              <w:rPr>
                <w:noProof/>
                <w:webHidden/>
              </w:rPr>
              <w:fldChar w:fldCharType="end"/>
            </w:r>
          </w:hyperlink>
        </w:p>
        <w:p w14:paraId="19DFE016" w14:textId="590D4E0C" w:rsidR="005037AC" w:rsidRDefault="0067644A">
          <w:pPr>
            <w:pStyle w:val="TOC3"/>
            <w:tabs>
              <w:tab w:val="right" w:leader="dot" w:pos="8494"/>
            </w:tabs>
            <w:rPr>
              <w:rFonts w:cstheme="minorBidi"/>
              <w:noProof/>
              <w:lang w:val="en-GB" w:eastAsia="en-GB"/>
            </w:rPr>
          </w:pPr>
          <w:hyperlink w:anchor="_Toc82538735" w:history="1">
            <w:r w:rsidR="005037AC" w:rsidRPr="00E90B19">
              <w:rPr>
                <w:rStyle w:val="Hyperlink"/>
                <w:rFonts w:ascii="Arial" w:hAnsi="Arial" w:cs="Arial"/>
                <w:noProof/>
              </w:rPr>
              <w:t>2.1.1 Hard carbon</w:t>
            </w:r>
            <w:r w:rsidR="005037AC">
              <w:rPr>
                <w:noProof/>
                <w:webHidden/>
              </w:rPr>
              <w:tab/>
            </w:r>
            <w:r w:rsidR="005037AC">
              <w:rPr>
                <w:noProof/>
                <w:webHidden/>
              </w:rPr>
              <w:fldChar w:fldCharType="begin"/>
            </w:r>
            <w:r w:rsidR="005037AC">
              <w:rPr>
                <w:noProof/>
                <w:webHidden/>
              </w:rPr>
              <w:instrText xml:space="preserve"> PAGEREF _Toc82538735 \h </w:instrText>
            </w:r>
            <w:r w:rsidR="005037AC">
              <w:rPr>
                <w:noProof/>
                <w:webHidden/>
              </w:rPr>
            </w:r>
            <w:r w:rsidR="005037AC">
              <w:rPr>
                <w:noProof/>
                <w:webHidden/>
              </w:rPr>
              <w:fldChar w:fldCharType="separate"/>
            </w:r>
            <w:r w:rsidR="005037AC">
              <w:rPr>
                <w:noProof/>
                <w:webHidden/>
              </w:rPr>
              <w:t>45</w:t>
            </w:r>
            <w:r w:rsidR="005037AC">
              <w:rPr>
                <w:noProof/>
                <w:webHidden/>
              </w:rPr>
              <w:fldChar w:fldCharType="end"/>
            </w:r>
          </w:hyperlink>
        </w:p>
        <w:p w14:paraId="3CA47772" w14:textId="20C070FE" w:rsidR="005037AC" w:rsidRDefault="0067644A">
          <w:pPr>
            <w:pStyle w:val="TOC3"/>
            <w:tabs>
              <w:tab w:val="right" w:leader="dot" w:pos="8494"/>
            </w:tabs>
            <w:rPr>
              <w:rFonts w:cstheme="minorBidi"/>
              <w:noProof/>
              <w:lang w:val="en-GB" w:eastAsia="en-GB"/>
            </w:rPr>
          </w:pPr>
          <w:hyperlink w:anchor="_Toc82538736" w:history="1">
            <w:r w:rsidR="005037AC" w:rsidRPr="00E90B19">
              <w:rPr>
                <w:rStyle w:val="Hyperlink"/>
                <w:rFonts w:ascii="Arial" w:hAnsi="Arial" w:cs="Arial"/>
                <w:noProof/>
              </w:rPr>
              <w:t>2.1.2 SiO</w:t>
            </w:r>
            <w:r w:rsidR="005037AC" w:rsidRPr="00E90B19">
              <w:rPr>
                <w:rStyle w:val="Hyperlink"/>
                <w:rFonts w:ascii="Arial" w:hAnsi="Arial" w:cs="Arial"/>
                <w:noProof/>
                <w:vertAlign w:val="subscript"/>
              </w:rPr>
              <w:t>X</w:t>
            </w:r>
            <w:r w:rsidR="005037AC">
              <w:rPr>
                <w:noProof/>
                <w:webHidden/>
              </w:rPr>
              <w:tab/>
            </w:r>
            <w:r w:rsidR="005037AC">
              <w:rPr>
                <w:noProof/>
                <w:webHidden/>
              </w:rPr>
              <w:fldChar w:fldCharType="begin"/>
            </w:r>
            <w:r w:rsidR="005037AC">
              <w:rPr>
                <w:noProof/>
                <w:webHidden/>
              </w:rPr>
              <w:instrText xml:space="preserve"> PAGEREF _Toc82538736 \h </w:instrText>
            </w:r>
            <w:r w:rsidR="005037AC">
              <w:rPr>
                <w:noProof/>
                <w:webHidden/>
              </w:rPr>
            </w:r>
            <w:r w:rsidR="005037AC">
              <w:rPr>
                <w:noProof/>
                <w:webHidden/>
              </w:rPr>
              <w:fldChar w:fldCharType="separate"/>
            </w:r>
            <w:r w:rsidR="005037AC">
              <w:rPr>
                <w:noProof/>
                <w:webHidden/>
              </w:rPr>
              <w:t>45</w:t>
            </w:r>
            <w:r w:rsidR="005037AC">
              <w:rPr>
                <w:noProof/>
                <w:webHidden/>
              </w:rPr>
              <w:fldChar w:fldCharType="end"/>
            </w:r>
          </w:hyperlink>
        </w:p>
        <w:p w14:paraId="0C8726E3" w14:textId="06BAA690" w:rsidR="005037AC" w:rsidRDefault="0067644A">
          <w:pPr>
            <w:pStyle w:val="TOC2"/>
            <w:tabs>
              <w:tab w:val="right" w:leader="dot" w:pos="8494"/>
            </w:tabs>
            <w:rPr>
              <w:rFonts w:eastAsiaTheme="minorEastAsia"/>
              <w:noProof/>
              <w:lang w:eastAsia="en-GB"/>
            </w:rPr>
          </w:pPr>
          <w:hyperlink w:anchor="_Toc82538737" w:history="1">
            <w:r w:rsidR="005037AC" w:rsidRPr="00E90B19">
              <w:rPr>
                <w:rStyle w:val="Hyperlink"/>
                <w:rFonts w:ascii="Arial" w:hAnsi="Arial" w:cs="Arial"/>
                <w:noProof/>
              </w:rPr>
              <w:t>2.2 Cell preparation</w:t>
            </w:r>
            <w:r w:rsidR="005037AC">
              <w:rPr>
                <w:noProof/>
                <w:webHidden/>
              </w:rPr>
              <w:tab/>
            </w:r>
            <w:r w:rsidR="005037AC">
              <w:rPr>
                <w:noProof/>
                <w:webHidden/>
              </w:rPr>
              <w:fldChar w:fldCharType="begin"/>
            </w:r>
            <w:r w:rsidR="005037AC">
              <w:rPr>
                <w:noProof/>
                <w:webHidden/>
              </w:rPr>
              <w:instrText xml:space="preserve"> PAGEREF _Toc82538737 \h </w:instrText>
            </w:r>
            <w:r w:rsidR="005037AC">
              <w:rPr>
                <w:noProof/>
                <w:webHidden/>
              </w:rPr>
            </w:r>
            <w:r w:rsidR="005037AC">
              <w:rPr>
                <w:noProof/>
                <w:webHidden/>
              </w:rPr>
              <w:fldChar w:fldCharType="separate"/>
            </w:r>
            <w:r w:rsidR="005037AC">
              <w:rPr>
                <w:noProof/>
                <w:webHidden/>
              </w:rPr>
              <w:t>45</w:t>
            </w:r>
            <w:r w:rsidR="005037AC">
              <w:rPr>
                <w:noProof/>
                <w:webHidden/>
              </w:rPr>
              <w:fldChar w:fldCharType="end"/>
            </w:r>
          </w:hyperlink>
        </w:p>
        <w:p w14:paraId="37EB771B" w14:textId="54135D3C" w:rsidR="005037AC" w:rsidRDefault="0067644A">
          <w:pPr>
            <w:pStyle w:val="TOC3"/>
            <w:tabs>
              <w:tab w:val="right" w:leader="dot" w:pos="8494"/>
            </w:tabs>
            <w:rPr>
              <w:rFonts w:cstheme="minorBidi"/>
              <w:noProof/>
              <w:lang w:val="en-GB" w:eastAsia="en-GB"/>
            </w:rPr>
          </w:pPr>
          <w:hyperlink w:anchor="_Toc82538738" w:history="1">
            <w:r w:rsidR="005037AC" w:rsidRPr="00E90B19">
              <w:rPr>
                <w:rStyle w:val="Hyperlink"/>
                <w:rFonts w:ascii="Arial" w:hAnsi="Arial" w:cs="Arial"/>
                <w:noProof/>
              </w:rPr>
              <w:t>2.2.1 Slurry mixing and coating</w:t>
            </w:r>
            <w:r w:rsidR="005037AC">
              <w:rPr>
                <w:noProof/>
                <w:webHidden/>
              </w:rPr>
              <w:tab/>
            </w:r>
            <w:r w:rsidR="005037AC">
              <w:rPr>
                <w:noProof/>
                <w:webHidden/>
              </w:rPr>
              <w:fldChar w:fldCharType="begin"/>
            </w:r>
            <w:r w:rsidR="005037AC">
              <w:rPr>
                <w:noProof/>
                <w:webHidden/>
              </w:rPr>
              <w:instrText xml:space="preserve"> PAGEREF _Toc82538738 \h </w:instrText>
            </w:r>
            <w:r w:rsidR="005037AC">
              <w:rPr>
                <w:noProof/>
                <w:webHidden/>
              </w:rPr>
            </w:r>
            <w:r w:rsidR="005037AC">
              <w:rPr>
                <w:noProof/>
                <w:webHidden/>
              </w:rPr>
              <w:fldChar w:fldCharType="separate"/>
            </w:r>
            <w:r w:rsidR="005037AC">
              <w:rPr>
                <w:noProof/>
                <w:webHidden/>
              </w:rPr>
              <w:t>45</w:t>
            </w:r>
            <w:r w:rsidR="005037AC">
              <w:rPr>
                <w:noProof/>
                <w:webHidden/>
              </w:rPr>
              <w:fldChar w:fldCharType="end"/>
            </w:r>
          </w:hyperlink>
        </w:p>
        <w:p w14:paraId="5F4519D4" w14:textId="122BCBB5" w:rsidR="005037AC" w:rsidRDefault="0067644A">
          <w:pPr>
            <w:pStyle w:val="TOC3"/>
            <w:tabs>
              <w:tab w:val="right" w:leader="dot" w:pos="8494"/>
            </w:tabs>
            <w:rPr>
              <w:rFonts w:cstheme="minorBidi"/>
              <w:noProof/>
              <w:lang w:val="en-GB" w:eastAsia="en-GB"/>
            </w:rPr>
          </w:pPr>
          <w:hyperlink w:anchor="_Toc82538739" w:history="1">
            <w:r w:rsidR="005037AC" w:rsidRPr="00E90B19">
              <w:rPr>
                <w:rStyle w:val="Hyperlink"/>
                <w:rFonts w:ascii="Arial" w:hAnsi="Arial" w:cs="Arial"/>
                <w:noProof/>
              </w:rPr>
              <w:t>2.2.2 Calendering and drying</w:t>
            </w:r>
            <w:r w:rsidR="005037AC">
              <w:rPr>
                <w:noProof/>
                <w:webHidden/>
              </w:rPr>
              <w:tab/>
            </w:r>
            <w:r w:rsidR="005037AC">
              <w:rPr>
                <w:noProof/>
                <w:webHidden/>
              </w:rPr>
              <w:fldChar w:fldCharType="begin"/>
            </w:r>
            <w:r w:rsidR="005037AC">
              <w:rPr>
                <w:noProof/>
                <w:webHidden/>
              </w:rPr>
              <w:instrText xml:space="preserve"> PAGEREF _Toc82538739 \h </w:instrText>
            </w:r>
            <w:r w:rsidR="005037AC">
              <w:rPr>
                <w:noProof/>
                <w:webHidden/>
              </w:rPr>
            </w:r>
            <w:r w:rsidR="005037AC">
              <w:rPr>
                <w:noProof/>
                <w:webHidden/>
              </w:rPr>
              <w:fldChar w:fldCharType="separate"/>
            </w:r>
            <w:r w:rsidR="005037AC">
              <w:rPr>
                <w:noProof/>
                <w:webHidden/>
              </w:rPr>
              <w:t>46</w:t>
            </w:r>
            <w:r w:rsidR="005037AC">
              <w:rPr>
                <w:noProof/>
                <w:webHidden/>
              </w:rPr>
              <w:fldChar w:fldCharType="end"/>
            </w:r>
          </w:hyperlink>
        </w:p>
        <w:p w14:paraId="78FCBDBE" w14:textId="112C4D52" w:rsidR="005037AC" w:rsidRDefault="0067644A">
          <w:pPr>
            <w:pStyle w:val="TOC3"/>
            <w:tabs>
              <w:tab w:val="right" w:leader="dot" w:pos="8494"/>
            </w:tabs>
            <w:rPr>
              <w:rFonts w:cstheme="minorBidi"/>
              <w:noProof/>
              <w:lang w:val="en-GB" w:eastAsia="en-GB"/>
            </w:rPr>
          </w:pPr>
          <w:hyperlink w:anchor="_Toc82538740" w:history="1">
            <w:r w:rsidR="005037AC" w:rsidRPr="00E90B19">
              <w:rPr>
                <w:rStyle w:val="Hyperlink"/>
                <w:rFonts w:ascii="Arial" w:hAnsi="Arial" w:cs="Arial"/>
                <w:noProof/>
              </w:rPr>
              <w:t>2.2.3 Cell assembly</w:t>
            </w:r>
            <w:r w:rsidR="005037AC">
              <w:rPr>
                <w:noProof/>
                <w:webHidden/>
              </w:rPr>
              <w:tab/>
            </w:r>
            <w:r w:rsidR="005037AC">
              <w:rPr>
                <w:noProof/>
                <w:webHidden/>
              </w:rPr>
              <w:fldChar w:fldCharType="begin"/>
            </w:r>
            <w:r w:rsidR="005037AC">
              <w:rPr>
                <w:noProof/>
                <w:webHidden/>
              </w:rPr>
              <w:instrText xml:space="preserve"> PAGEREF _Toc82538740 \h </w:instrText>
            </w:r>
            <w:r w:rsidR="005037AC">
              <w:rPr>
                <w:noProof/>
                <w:webHidden/>
              </w:rPr>
            </w:r>
            <w:r w:rsidR="005037AC">
              <w:rPr>
                <w:noProof/>
                <w:webHidden/>
              </w:rPr>
              <w:fldChar w:fldCharType="separate"/>
            </w:r>
            <w:r w:rsidR="005037AC">
              <w:rPr>
                <w:noProof/>
                <w:webHidden/>
              </w:rPr>
              <w:t>46</w:t>
            </w:r>
            <w:r w:rsidR="005037AC">
              <w:rPr>
                <w:noProof/>
                <w:webHidden/>
              </w:rPr>
              <w:fldChar w:fldCharType="end"/>
            </w:r>
          </w:hyperlink>
        </w:p>
        <w:p w14:paraId="1308192A" w14:textId="51FE8C89" w:rsidR="005037AC" w:rsidRDefault="0067644A">
          <w:pPr>
            <w:pStyle w:val="TOC2"/>
            <w:tabs>
              <w:tab w:val="right" w:leader="dot" w:pos="8494"/>
            </w:tabs>
            <w:rPr>
              <w:rFonts w:eastAsiaTheme="minorEastAsia"/>
              <w:noProof/>
              <w:lang w:eastAsia="en-GB"/>
            </w:rPr>
          </w:pPr>
          <w:hyperlink w:anchor="_Toc82538741" w:history="1">
            <w:r w:rsidR="005037AC" w:rsidRPr="00E90B19">
              <w:rPr>
                <w:rStyle w:val="Hyperlink"/>
                <w:rFonts w:ascii="Arial" w:hAnsi="Arial" w:cs="Arial"/>
                <w:noProof/>
              </w:rPr>
              <w:t>2.3 Pre-lithiation</w:t>
            </w:r>
            <w:r w:rsidR="005037AC">
              <w:rPr>
                <w:noProof/>
                <w:webHidden/>
              </w:rPr>
              <w:tab/>
            </w:r>
            <w:r w:rsidR="005037AC">
              <w:rPr>
                <w:noProof/>
                <w:webHidden/>
              </w:rPr>
              <w:fldChar w:fldCharType="begin"/>
            </w:r>
            <w:r w:rsidR="005037AC">
              <w:rPr>
                <w:noProof/>
                <w:webHidden/>
              </w:rPr>
              <w:instrText xml:space="preserve"> PAGEREF _Toc82538741 \h </w:instrText>
            </w:r>
            <w:r w:rsidR="005037AC">
              <w:rPr>
                <w:noProof/>
                <w:webHidden/>
              </w:rPr>
            </w:r>
            <w:r w:rsidR="005037AC">
              <w:rPr>
                <w:noProof/>
                <w:webHidden/>
              </w:rPr>
              <w:fldChar w:fldCharType="separate"/>
            </w:r>
            <w:r w:rsidR="005037AC">
              <w:rPr>
                <w:noProof/>
                <w:webHidden/>
              </w:rPr>
              <w:t>47</w:t>
            </w:r>
            <w:r w:rsidR="005037AC">
              <w:rPr>
                <w:noProof/>
                <w:webHidden/>
              </w:rPr>
              <w:fldChar w:fldCharType="end"/>
            </w:r>
          </w:hyperlink>
        </w:p>
        <w:p w14:paraId="38BA0C8B" w14:textId="33CC9369" w:rsidR="005037AC" w:rsidRDefault="0067644A">
          <w:pPr>
            <w:pStyle w:val="TOC3"/>
            <w:tabs>
              <w:tab w:val="right" w:leader="dot" w:pos="8494"/>
            </w:tabs>
            <w:rPr>
              <w:rFonts w:cstheme="minorBidi"/>
              <w:noProof/>
              <w:lang w:val="en-GB" w:eastAsia="en-GB"/>
            </w:rPr>
          </w:pPr>
          <w:hyperlink w:anchor="_Toc82538742" w:history="1">
            <w:r w:rsidR="005037AC" w:rsidRPr="00E90B19">
              <w:rPr>
                <w:rStyle w:val="Hyperlink"/>
                <w:rFonts w:ascii="Arial" w:hAnsi="Arial" w:cs="Arial"/>
                <w:noProof/>
              </w:rPr>
              <w:t>2.3.1 Mechanical pre-lithiation</w:t>
            </w:r>
            <w:r w:rsidR="005037AC">
              <w:rPr>
                <w:noProof/>
                <w:webHidden/>
              </w:rPr>
              <w:tab/>
            </w:r>
            <w:r w:rsidR="005037AC">
              <w:rPr>
                <w:noProof/>
                <w:webHidden/>
              </w:rPr>
              <w:fldChar w:fldCharType="begin"/>
            </w:r>
            <w:r w:rsidR="005037AC">
              <w:rPr>
                <w:noProof/>
                <w:webHidden/>
              </w:rPr>
              <w:instrText xml:space="preserve"> PAGEREF _Toc82538742 \h </w:instrText>
            </w:r>
            <w:r w:rsidR="005037AC">
              <w:rPr>
                <w:noProof/>
                <w:webHidden/>
              </w:rPr>
            </w:r>
            <w:r w:rsidR="005037AC">
              <w:rPr>
                <w:noProof/>
                <w:webHidden/>
              </w:rPr>
              <w:fldChar w:fldCharType="separate"/>
            </w:r>
            <w:r w:rsidR="005037AC">
              <w:rPr>
                <w:noProof/>
                <w:webHidden/>
              </w:rPr>
              <w:t>47</w:t>
            </w:r>
            <w:r w:rsidR="005037AC">
              <w:rPr>
                <w:noProof/>
                <w:webHidden/>
              </w:rPr>
              <w:fldChar w:fldCharType="end"/>
            </w:r>
          </w:hyperlink>
        </w:p>
        <w:p w14:paraId="547FF162" w14:textId="43FF9293" w:rsidR="005037AC" w:rsidRDefault="0067644A">
          <w:pPr>
            <w:pStyle w:val="TOC3"/>
            <w:tabs>
              <w:tab w:val="right" w:leader="dot" w:pos="8494"/>
            </w:tabs>
            <w:rPr>
              <w:rFonts w:cstheme="minorBidi"/>
              <w:noProof/>
              <w:lang w:val="en-GB" w:eastAsia="en-GB"/>
            </w:rPr>
          </w:pPr>
          <w:hyperlink w:anchor="_Toc82538743" w:history="1">
            <w:r w:rsidR="005037AC" w:rsidRPr="00E90B19">
              <w:rPr>
                <w:rStyle w:val="Hyperlink"/>
                <w:rFonts w:ascii="Arial" w:hAnsi="Arial" w:cs="Arial"/>
                <w:noProof/>
              </w:rPr>
              <w:t>2.3.2 Electrochemical pre-lithiation</w:t>
            </w:r>
            <w:r w:rsidR="005037AC">
              <w:rPr>
                <w:noProof/>
                <w:webHidden/>
              </w:rPr>
              <w:tab/>
            </w:r>
            <w:r w:rsidR="005037AC">
              <w:rPr>
                <w:noProof/>
                <w:webHidden/>
              </w:rPr>
              <w:fldChar w:fldCharType="begin"/>
            </w:r>
            <w:r w:rsidR="005037AC">
              <w:rPr>
                <w:noProof/>
                <w:webHidden/>
              </w:rPr>
              <w:instrText xml:space="preserve"> PAGEREF _Toc82538743 \h </w:instrText>
            </w:r>
            <w:r w:rsidR="005037AC">
              <w:rPr>
                <w:noProof/>
                <w:webHidden/>
              </w:rPr>
            </w:r>
            <w:r w:rsidR="005037AC">
              <w:rPr>
                <w:noProof/>
                <w:webHidden/>
              </w:rPr>
              <w:fldChar w:fldCharType="separate"/>
            </w:r>
            <w:r w:rsidR="005037AC">
              <w:rPr>
                <w:noProof/>
                <w:webHidden/>
              </w:rPr>
              <w:t>47</w:t>
            </w:r>
            <w:r w:rsidR="005037AC">
              <w:rPr>
                <w:noProof/>
                <w:webHidden/>
              </w:rPr>
              <w:fldChar w:fldCharType="end"/>
            </w:r>
          </w:hyperlink>
        </w:p>
        <w:p w14:paraId="4B5C21FB" w14:textId="3FAC4D54" w:rsidR="005037AC" w:rsidRDefault="0067644A">
          <w:pPr>
            <w:pStyle w:val="TOC2"/>
            <w:tabs>
              <w:tab w:val="right" w:leader="dot" w:pos="8494"/>
            </w:tabs>
            <w:rPr>
              <w:rFonts w:eastAsiaTheme="minorEastAsia"/>
              <w:noProof/>
              <w:lang w:eastAsia="en-GB"/>
            </w:rPr>
          </w:pPr>
          <w:hyperlink w:anchor="_Toc82538744" w:history="1">
            <w:r w:rsidR="005037AC" w:rsidRPr="00E90B19">
              <w:rPr>
                <w:rStyle w:val="Hyperlink"/>
                <w:rFonts w:ascii="Arial" w:hAnsi="Arial" w:cs="Arial"/>
                <w:noProof/>
              </w:rPr>
              <w:t>2.4 Electrochemical analysis</w:t>
            </w:r>
            <w:r w:rsidR="005037AC">
              <w:rPr>
                <w:noProof/>
                <w:webHidden/>
              </w:rPr>
              <w:tab/>
            </w:r>
            <w:r w:rsidR="005037AC">
              <w:rPr>
                <w:noProof/>
                <w:webHidden/>
              </w:rPr>
              <w:fldChar w:fldCharType="begin"/>
            </w:r>
            <w:r w:rsidR="005037AC">
              <w:rPr>
                <w:noProof/>
                <w:webHidden/>
              </w:rPr>
              <w:instrText xml:space="preserve"> PAGEREF _Toc82538744 \h </w:instrText>
            </w:r>
            <w:r w:rsidR="005037AC">
              <w:rPr>
                <w:noProof/>
                <w:webHidden/>
              </w:rPr>
            </w:r>
            <w:r w:rsidR="005037AC">
              <w:rPr>
                <w:noProof/>
                <w:webHidden/>
              </w:rPr>
              <w:fldChar w:fldCharType="separate"/>
            </w:r>
            <w:r w:rsidR="005037AC">
              <w:rPr>
                <w:noProof/>
                <w:webHidden/>
              </w:rPr>
              <w:t>48</w:t>
            </w:r>
            <w:r w:rsidR="005037AC">
              <w:rPr>
                <w:noProof/>
                <w:webHidden/>
              </w:rPr>
              <w:fldChar w:fldCharType="end"/>
            </w:r>
          </w:hyperlink>
        </w:p>
        <w:p w14:paraId="28906ACF" w14:textId="6D18BA25" w:rsidR="005037AC" w:rsidRDefault="0067644A">
          <w:pPr>
            <w:pStyle w:val="TOC3"/>
            <w:tabs>
              <w:tab w:val="right" w:leader="dot" w:pos="8494"/>
            </w:tabs>
            <w:rPr>
              <w:rFonts w:cstheme="minorBidi"/>
              <w:noProof/>
              <w:lang w:val="en-GB" w:eastAsia="en-GB"/>
            </w:rPr>
          </w:pPr>
          <w:hyperlink w:anchor="_Toc82538745" w:history="1">
            <w:r w:rsidR="005037AC" w:rsidRPr="00E90B19">
              <w:rPr>
                <w:rStyle w:val="Hyperlink"/>
                <w:rFonts w:ascii="Arial" w:eastAsia="Calibri" w:hAnsi="Arial" w:cs="Arial"/>
                <w:noProof/>
              </w:rPr>
              <w:t>2.4.1 Electrochemical impedance spectroscopy (EIS)</w:t>
            </w:r>
            <w:r w:rsidR="005037AC">
              <w:rPr>
                <w:noProof/>
                <w:webHidden/>
              </w:rPr>
              <w:tab/>
            </w:r>
            <w:r w:rsidR="005037AC">
              <w:rPr>
                <w:noProof/>
                <w:webHidden/>
              </w:rPr>
              <w:fldChar w:fldCharType="begin"/>
            </w:r>
            <w:r w:rsidR="005037AC">
              <w:rPr>
                <w:noProof/>
                <w:webHidden/>
              </w:rPr>
              <w:instrText xml:space="preserve"> PAGEREF _Toc82538745 \h </w:instrText>
            </w:r>
            <w:r w:rsidR="005037AC">
              <w:rPr>
                <w:noProof/>
                <w:webHidden/>
              </w:rPr>
            </w:r>
            <w:r w:rsidR="005037AC">
              <w:rPr>
                <w:noProof/>
                <w:webHidden/>
              </w:rPr>
              <w:fldChar w:fldCharType="separate"/>
            </w:r>
            <w:r w:rsidR="005037AC">
              <w:rPr>
                <w:noProof/>
                <w:webHidden/>
              </w:rPr>
              <w:t>49</w:t>
            </w:r>
            <w:r w:rsidR="005037AC">
              <w:rPr>
                <w:noProof/>
                <w:webHidden/>
              </w:rPr>
              <w:fldChar w:fldCharType="end"/>
            </w:r>
          </w:hyperlink>
        </w:p>
        <w:p w14:paraId="475E4BC2" w14:textId="1F6ECEAD" w:rsidR="005037AC" w:rsidRDefault="0067644A">
          <w:pPr>
            <w:pStyle w:val="TOC3"/>
            <w:tabs>
              <w:tab w:val="right" w:leader="dot" w:pos="8494"/>
            </w:tabs>
            <w:rPr>
              <w:rFonts w:cstheme="minorBidi"/>
              <w:noProof/>
              <w:lang w:val="en-GB" w:eastAsia="en-GB"/>
            </w:rPr>
          </w:pPr>
          <w:hyperlink w:anchor="_Toc82538746" w:history="1">
            <w:r w:rsidR="005037AC" w:rsidRPr="00E90B19">
              <w:rPr>
                <w:rStyle w:val="Hyperlink"/>
                <w:noProof/>
              </w:rPr>
              <w:t>2.4.2 Cell Cycling (Chronopotentiometry)</w:t>
            </w:r>
            <w:r w:rsidR="005037AC">
              <w:rPr>
                <w:noProof/>
                <w:webHidden/>
              </w:rPr>
              <w:tab/>
            </w:r>
            <w:r w:rsidR="005037AC">
              <w:rPr>
                <w:noProof/>
                <w:webHidden/>
              </w:rPr>
              <w:fldChar w:fldCharType="begin"/>
            </w:r>
            <w:r w:rsidR="005037AC">
              <w:rPr>
                <w:noProof/>
                <w:webHidden/>
              </w:rPr>
              <w:instrText xml:space="preserve"> PAGEREF _Toc82538746 \h </w:instrText>
            </w:r>
            <w:r w:rsidR="005037AC">
              <w:rPr>
                <w:noProof/>
                <w:webHidden/>
              </w:rPr>
            </w:r>
            <w:r w:rsidR="005037AC">
              <w:rPr>
                <w:noProof/>
                <w:webHidden/>
              </w:rPr>
              <w:fldChar w:fldCharType="separate"/>
            </w:r>
            <w:r w:rsidR="005037AC">
              <w:rPr>
                <w:noProof/>
                <w:webHidden/>
              </w:rPr>
              <w:t>53</w:t>
            </w:r>
            <w:r w:rsidR="005037AC">
              <w:rPr>
                <w:noProof/>
                <w:webHidden/>
              </w:rPr>
              <w:fldChar w:fldCharType="end"/>
            </w:r>
          </w:hyperlink>
        </w:p>
        <w:p w14:paraId="078D3309" w14:textId="4F2EBC48" w:rsidR="005037AC" w:rsidRDefault="0067644A">
          <w:pPr>
            <w:pStyle w:val="TOC3"/>
            <w:tabs>
              <w:tab w:val="right" w:leader="dot" w:pos="8494"/>
            </w:tabs>
            <w:rPr>
              <w:rFonts w:cstheme="minorBidi"/>
              <w:noProof/>
              <w:lang w:val="en-GB" w:eastAsia="en-GB"/>
            </w:rPr>
          </w:pPr>
          <w:hyperlink w:anchor="_Toc82538747" w:history="1">
            <w:r w:rsidR="005037AC" w:rsidRPr="00E90B19">
              <w:rPr>
                <w:rStyle w:val="Hyperlink"/>
                <w:rFonts w:ascii="Arial" w:eastAsia="Calibri" w:hAnsi="Arial" w:cs="Arial"/>
                <w:noProof/>
              </w:rPr>
              <w:t>2.4.3 Differential capacity</w:t>
            </w:r>
            <w:r w:rsidR="005037AC">
              <w:rPr>
                <w:noProof/>
                <w:webHidden/>
              </w:rPr>
              <w:tab/>
            </w:r>
            <w:r w:rsidR="005037AC">
              <w:rPr>
                <w:noProof/>
                <w:webHidden/>
              </w:rPr>
              <w:fldChar w:fldCharType="begin"/>
            </w:r>
            <w:r w:rsidR="005037AC">
              <w:rPr>
                <w:noProof/>
                <w:webHidden/>
              </w:rPr>
              <w:instrText xml:space="preserve"> PAGEREF _Toc82538747 \h </w:instrText>
            </w:r>
            <w:r w:rsidR="005037AC">
              <w:rPr>
                <w:noProof/>
                <w:webHidden/>
              </w:rPr>
            </w:r>
            <w:r w:rsidR="005037AC">
              <w:rPr>
                <w:noProof/>
                <w:webHidden/>
              </w:rPr>
              <w:fldChar w:fldCharType="separate"/>
            </w:r>
            <w:r w:rsidR="005037AC">
              <w:rPr>
                <w:noProof/>
                <w:webHidden/>
              </w:rPr>
              <w:t>54</w:t>
            </w:r>
            <w:r w:rsidR="005037AC">
              <w:rPr>
                <w:noProof/>
                <w:webHidden/>
              </w:rPr>
              <w:fldChar w:fldCharType="end"/>
            </w:r>
          </w:hyperlink>
        </w:p>
        <w:p w14:paraId="4EEBA6C7" w14:textId="5D78891D" w:rsidR="005037AC" w:rsidRDefault="0067644A">
          <w:pPr>
            <w:pStyle w:val="TOC3"/>
            <w:tabs>
              <w:tab w:val="right" w:leader="dot" w:pos="8494"/>
            </w:tabs>
            <w:rPr>
              <w:rFonts w:cstheme="minorBidi"/>
              <w:noProof/>
              <w:lang w:val="en-GB" w:eastAsia="en-GB"/>
            </w:rPr>
          </w:pPr>
          <w:hyperlink w:anchor="_Toc82538748" w:history="1">
            <w:r w:rsidR="005037AC" w:rsidRPr="00E90B19">
              <w:rPr>
                <w:rStyle w:val="Hyperlink"/>
                <w:noProof/>
              </w:rPr>
              <w:t>2.4.4 Galvanostatic &amp; potentiostatic intermittent titration technique</w:t>
            </w:r>
            <w:r w:rsidR="005037AC">
              <w:rPr>
                <w:noProof/>
                <w:webHidden/>
              </w:rPr>
              <w:tab/>
            </w:r>
            <w:r w:rsidR="005037AC">
              <w:rPr>
                <w:noProof/>
                <w:webHidden/>
              </w:rPr>
              <w:fldChar w:fldCharType="begin"/>
            </w:r>
            <w:r w:rsidR="005037AC">
              <w:rPr>
                <w:noProof/>
                <w:webHidden/>
              </w:rPr>
              <w:instrText xml:space="preserve"> PAGEREF _Toc82538748 \h </w:instrText>
            </w:r>
            <w:r w:rsidR="005037AC">
              <w:rPr>
                <w:noProof/>
                <w:webHidden/>
              </w:rPr>
            </w:r>
            <w:r w:rsidR="005037AC">
              <w:rPr>
                <w:noProof/>
                <w:webHidden/>
              </w:rPr>
              <w:fldChar w:fldCharType="separate"/>
            </w:r>
            <w:r w:rsidR="005037AC">
              <w:rPr>
                <w:noProof/>
                <w:webHidden/>
              </w:rPr>
              <w:t>56</w:t>
            </w:r>
            <w:r w:rsidR="005037AC">
              <w:rPr>
                <w:noProof/>
                <w:webHidden/>
              </w:rPr>
              <w:fldChar w:fldCharType="end"/>
            </w:r>
          </w:hyperlink>
        </w:p>
        <w:p w14:paraId="4169F736" w14:textId="0FA287FD" w:rsidR="005037AC" w:rsidRDefault="0067644A">
          <w:pPr>
            <w:pStyle w:val="TOC2"/>
            <w:tabs>
              <w:tab w:val="right" w:leader="dot" w:pos="8494"/>
            </w:tabs>
            <w:rPr>
              <w:rFonts w:eastAsiaTheme="minorEastAsia"/>
              <w:noProof/>
              <w:lang w:eastAsia="en-GB"/>
            </w:rPr>
          </w:pPr>
          <w:hyperlink w:anchor="_Toc82538749" w:history="1">
            <w:r w:rsidR="005037AC" w:rsidRPr="00E90B19">
              <w:rPr>
                <w:rStyle w:val="Hyperlink"/>
                <w:rFonts w:ascii="Arial" w:eastAsia="Calibri" w:hAnsi="Arial" w:cs="Arial"/>
                <w:noProof/>
              </w:rPr>
              <w:t>2.5 Physical analysis</w:t>
            </w:r>
            <w:r w:rsidR="005037AC">
              <w:rPr>
                <w:noProof/>
                <w:webHidden/>
              </w:rPr>
              <w:tab/>
            </w:r>
            <w:r w:rsidR="005037AC">
              <w:rPr>
                <w:noProof/>
                <w:webHidden/>
              </w:rPr>
              <w:fldChar w:fldCharType="begin"/>
            </w:r>
            <w:r w:rsidR="005037AC">
              <w:rPr>
                <w:noProof/>
                <w:webHidden/>
              </w:rPr>
              <w:instrText xml:space="preserve"> PAGEREF _Toc82538749 \h </w:instrText>
            </w:r>
            <w:r w:rsidR="005037AC">
              <w:rPr>
                <w:noProof/>
                <w:webHidden/>
              </w:rPr>
            </w:r>
            <w:r w:rsidR="005037AC">
              <w:rPr>
                <w:noProof/>
                <w:webHidden/>
              </w:rPr>
              <w:fldChar w:fldCharType="separate"/>
            </w:r>
            <w:r w:rsidR="005037AC">
              <w:rPr>
                <w:noProof/>
                <w:webHidden/>
              </w:rPr>
              <w:t>58</w:t>
            </w:r>
            <w:r w:rsidR="005037AC">
              <w:rPr>
                <w:noProof/>
                <w:webHidden/>
              </w:rPr>
              <w:fldChar w:fldCharType="end"/>
            </w:r>
          </w:hyperlink>
        </w:p>
        <w:p w14:paraId="193DA112" w14:textId="0BEF549C" w:rsidR="005037AC" w:rsidRDefault="0067644A">
          <w:pPr>
            <w:pStyle w:val="TOC3"/>
            <w:tabs>
              <w:tab w:val="right" w:leader="dot" w:pos="8494"/>
            </w:tabs>
            <w:rPr>
              <w:rFonts w:cstheme="minorBidi"/>
              <w:noProof/>
              <w:lang w:val="en-GB" w:eastAsia="en-GB"/>
            </w:rPr>
          </w:pPr>
          <w:hyperlink w:anchor="_Toc82538750" w:history="1">
            <w:r w:rsidR="005037AC" w:rsidRPr="00E90B19">
              <w:rPr>
                <w:rStyle w:val="Hyperlink"/>
                <w:rFonts w:ascii="Arial" w:eastAsia="Calibri" w:hAnsi="Arial" w:cs="Arial"/>
                <w:noProof/>
              </w:rPr>
              <w:t>2.5.1 Atomic force microscopy (AFM)</w:t>
            </w:r>
            <w:r w:rsidR="005037AC">
              <w:rPr>
                <w:noProof/>
                <w:webHidden/>
              </w:rPr>
              <w:tab/>
            </w:r>
            <w:r w:rsidR="005037AC">
              <w:rPr>
                <w:noProof/>
                <w:webHidden/>
              </w:rPr>
              <w:fldChar w:fldCharType="begin"/>
            </w:r>
            <w:r w:rsidR="005037AC">
              <w:rPr>
                <w:noProof/>
                <w:webHidden/>
              </w:rPr>
              <w:instrText xml:space="preserve"> PAGEREF _Toc82538750 \h </w:instrText>
            </w:r>
            <w:r w:rsidR="005037AC">
              <w:rPr>
                <w:noProof/>
                <w:webHidden/>
              </w:rPr>
            </w:r>
            <w:r w:rsidR="005037AC">
              <w:rPr>
                <w:noProof/>
                <w:webHidden/>
              </w:rPr>
              <w:fldChar w:fldCharType="separate"/>
            </w:r>
            <w:r w:rsidR="005037AC">
              <w:rPr>
                <w:noProof/>
                <w:webHidden/>
              </w:rPr>
              <w:t>58</w:t>
            </w:r>
            <w:r w:rsidR="005037AC">
              <w:rPr>
                <w:noProof/>
                <w:webHidden/>
              </w:rPr>
              <w:fldChar w:fldCharType="end"/>
            </w:r>
          </w:hyperlink>
        </w:p>
        <w:p w14:paraId="6C58E9D5" w14:textId="06252E24" w:rsidR="005037AC" w:rsidRDefault="0067644A">
          <w:pPr>
            <w:pStyle w:val="TOC3"/>
            <w:tabs>
              <w:tab w:val="right" w:leader="dot" w:pos="8494"/>
            </w:tabs>
            <w:rPr>
              <w:rFonts w:cstheme="minorBidi"/>
              <w:noProof/>
              <w:lang w:val="en-GB" w:eastAsia="en-GB"/>
            </w:rPr>
          </w:pPr>
          <w:hyperlink w:anchor="_Toc82538751" w:history="1">
            <w:r w:rsidR="005037AC" w:rsidRPr="00E90B19">
              <w:rPr>
                <w:rStyle w:val="Hyperlink"/>
                <w:rFonts w:ascii="Arial" w:eastAsia="Calibri" w:hAnsi="Arial" w:cs="Arial"/>
                <w:noProof/>
              </w:rPr>
              <w:t>2.5.2 Differential scanning calorimetry</w:t>
            </w:r>
            <w:r w:rsidR="005037AC">
              <w:rPr>
                <w:noProof/>
                <w:webHidden/>
              </w:rPr>
              <w:tab/>
            </w:r>
            <w:r w:rsidR="005037AC">
              <w:rPr>
                <w:noProof/>
                <w:webHidden/>
              </w:rPr>
              <w:fldChar w:fldCharType="begin"/>
            </w:r>
            <w:r w:rsidR="005037AC">
              <w:rPr>
                <w:noProof/>
                <w:webHidden/>
              </w:rPr>
              <w:instrText xml:space="preserve"> PAGEREF _Toc82538751 \h </w:instrText>
            </w:r>
            <w:r w:rsidR="005037AC">
              <w:rPr>
                <w:noProof/>
                <w:webHidden/>
              </w:rPr>
            </w:r>
            <w:r w:rsidR="005037AC">
              <w:rPr>
                <w:noProof/>
                <w:webHidden/>
              </w:rPr>
              <w:fldChar w:fldCharType="separate"/>
            </w:r>
            <w:r w:rsidR="005037AC">
              <w:rPr>
                <w:noProof/>
                <w:webHidden/>
              </w:rPr>
              <w:t>60</w:t>
            </w:r>
            <w:r w:rsidR="005037AC">
              <w:rPr>
                <w:noProof/>
                <w:webHidden/>
              </w:rPr>
              <w:fldChar w:fldCharType="end"/>
            </w:r>
          </w:hyperlink>
        </w:p>
        <w:p w14:paraId="2A0F765C" w14:textId="29E9073B" w:rsidR="005037AC" w:rsidRDefault="0067644A">
          <w:pPr>
            <w:pStyle w:val="TOC3"/>
            <w:tabs>
              <w:tab w:val="right" w:leader="dot" w:pos="8494"/>
            </w:tabs>
            <w:rPr>
              <w:rFonts w:cstheme="minorBidi"/>
              <w:noProof/>
              <w:lang w:val="en-GB" w:eastAsia="en-GB"/>
            </w:rPr>
          </w:pPr>
          <w:hyperlink w:anchor="_Toc82538752" w:history="1">
            <w:r w:rsidR="005037AC" w:rsidRPr="00E90B19">
              <w:rPr>
                <w:rStyle w:val="Hyperlink"/>
                <w:rFonts w:ascii="Arial" w:eastAsia="Calibri" w:hAnsi="Arial" w:cs="Arial"/>
                <w:noProof/>
              </w:rPr>
              <w:t>2.5.3 X-ray photoelectron spectroscopy</w:t>
            </w:r>
            <w:r w:rsidR="005037AC">
              <w:rPr>
                <w:noProof/>
                <w:webHidden/>
              </w:rPr>
              <w:tab/>
            </w:r>
            <w:r w:rsidR="005037AC">
              <w:rPr>
                <w:noProof/>
                <w:webHidden/>
              </w:rPr>
              <w:fldChar w:fldCharType="begin"/>
            </w:r>
            <w:r w:rsidR="005037AC">
              <w:rPr>
                <w:noProof/>
                <w:webHidden/>
              </w:rPr>
              <w:instrText xml:space="preserve"> PAGEREF _Toc82538752 \h </w:instrText>
            </w:r>
            <w:r w:rsidR="005037AC">
              <w:rPr>
                <w:noProof/>
                <w:webHidden/>
              </w:rPr>
            </w:r>
            <w:r w:rsidR="005037AC">
              <w:rPr>
                <w:noProof/>
                <w:webHidden/>
              </w:rPr>
              <w:fldChar w:fldCharType="separate"/>
            </w:r>
            <w:r w:rsidR="005037AC">
              <w:rPr>
                <w:noProof/>
                <w:webHidden/>
              </w:rPr>
              <w:t>61</w:t>
            </w:r>
            <w:r w:rsidR="005037AC">
              <w:rPr>
                <w:noProof/>
                <w:webHidden/>
              </w:rPr>
              <w:fldChar w:fldCharType="end"/>
            </w:r>
          </w:hyperlink>
        </w:p>
        <w:p w14:paraId="2E3C6324" w14:textId="28BF9912" w:rsidR="005037AC" w:rsidRDefault="0067644A">
          <w:pPr>
            <w:pStyle w:val="TOC1"/>
            <w:tabs>
              <w:tab w:val="right" w:leader="dot" w:pos="8494"/>
            </w:tabs>
            <w:rPr>
              <w:rFonts w:eastAsiaTheme="minorEastAsia"/>
              <w:noProof/>
              <w:lang w:eastAsia="en-GB"/>
            </w:rPr>
          </w:pPr>
          <w:hyperlink w:anchor="_Toc82538753" w:history="1">
            <w:r w:rsidR="005037AC" w:rsidRPr="00E90B19">
              <w:rPr>
                <w:rStyle w:val="Hyperlink"/>
                <w:rFonts w:ascii="Arial" w:hAnsi="Arial" w:cs="Arial"/>
                <w:b/>
                <w:noProof/>
              </w:rPr>
              <w:t>Chapter 3: Pre-lithiation of graphite</w:t>
            </w:r>
            <w:r w:rsidR="005037AC">
              <w:rPr>
                <w:noProof/>
                <w:webHidden/>
              </w:rPr>
              <w:tab/>
            </w:r>
            <w:r w:rsidR="005037AC">
              <w:rPr>
                <w:noProof/>
                <w:webHidden/>
              </w:rPr>
              <w:fldChar w:fldCharType="begin"/>
            </w:r>
            <w:r w:rsidR="005037AC">
              <w:rPr>
                <w:noProof/>
                <w:webHidden/>
              </w:rPr>
              <w:instrText xml:space="preserve"> PAGEREF _Toc82538753 \h </w:instrText>
            </w:r>
            <w:r w:rsidR="005037AC">
              <w:rPr>
                <w:noProof/>
                <w:webHidden/>
              </w:rPr>
            </w:r>
            <w:r w:rsidR="005037AC">
              <w:rPr>
                <w:noProof/>
                <w:webHidden/>
              </w:rPr>
              <w:fldChar w:fldCharType="separate"/>
            </w:r>
            <w:r w:rsidR="005037AC">
              <w:rPr>
                <w:noProof/>
                <w:webHidden/>
              </w:rPr>
              <w:t>65</w:t>
            </w:r>
            <w:r w:rsidR="005037AC">
              <w:rPr>
                <w:noProof/>
                <w:webHidden/>
              </w:rPr>
              <w:fldChar w:fldCharType="end"/>
            </w:r>
          </w:hyperlink>
        </w:p>
        <w:p w14:paraId="5DB42D00" w14:textId="772460CB" w:rsidR="005037AC" w:rsidRDefault="0067644A">
          <w:pPr>
            <w:pStyle w:val="TOC2"/>
            <w:tabs>
              <w:tab w:val="right" w:leader="dot" w:pos="8494"/>
            </w:tabs>
            <w:rPr>
              <w:rFonts w:eastAsiaTheme="minorEastAsia"/>
              <w:noProof/>
              <w:lang w:eastAsia="en-GB"/>
            </w:rPr>
          </w:pPr>
          <w:hyperlink w:anchor="_Toc82538754" w:history="1">
            <w:r w:rsidR="005037AC" w:rsidRPr="00E90B19">
              <w:rPr>
                <w:rStyle w:val="Hyperlink"/>
                <w:rFonts w:ascii="Arial" w:hAnsi="Arial" w:cs="Arial"/>
                <w:noProof/>
              </w:rPr>
              <w:t>3.1 Introduction</w:t>
            </w:r>
            <w:r w:rsidR="005037AC">
              <w:rPr>
                <w:noProof/>
                <w:webHidden/>
              </w:rPr>
              <w:tab/>
            </w:r>
            <w:r w:rsidR="005037AC">
              <w:rPr>
                <w:noProof/>
                <w:webHidden/>
              </w:rPr>
              <w:fldChar w:fldCharType="begin"/>
            </w:r>
            <w:r w:rsidR="005037AC">
              <w:rPr>
                <w:noProof/>
                <w:webHidden/>
              </w:rPr>
              <w:instrText xml:space="preserve"> PAGEREF _Toc82538754 \h </w:instrText>
            </w:r>
            <w:r w:rsidR="005037AC">
              <w:rPr>
                <w:noProof/>
                <w:webHidden/>
              </w:rPr>
            </w:r>
            <w:r w:rsidR="005037AC">
              <w:rPr>
                <w:noProof/>
                <w:webHidden/>
              </w:rPr>
              <w:fldChar w:fldCharType="separate"/>
            </w:r>
            <w:r w:rsidR="005037AC">
              <w:rPr>
                <w:noProof/>
                <w:webHidden/>
              </w:rPr>
              <w:t>66</w:t>
            </w:r>
            <w:r w:rsidR="005037AC">
              <w:rPr>
                <w:noProof/>
                <w:webHidden/>
              </w:rPr>
              <w:fldChar w:fldCharType="end"/>
            </w:r>
          </w:hyperlink>
        </w:p>
        <w:p w14:paraId="642F396E" w14:textId="770748DB" w:rsidR="005037AC" w:rsidRDefault="0067644A">
          <w:pPr>
            <w:pStyle w:val="TOC2"/>
            <w:tabs>
              <w:tab w:val="right" w:leader="dot" w:pos="8494"/>
            </w:tabs>
            <w:rPr>
              <w:rFonts w:eastAsiaTheme="minorEastAsia"/>
              <w:noProof/>
              <w:lang w:eastAsia="en-GB"/>
            </w:rPr>
          </w:pPr>
          <w:hyperlink w:anchor="_Toc82538755" w:history="1">
            <w:r w:rsidR="005037AC" w:rsidRPr="00E90B19">
              <w:rPr>
                <w:rStyle w:val="Hyperlink"/>
                <w:rFonts w:ascii="Arial" w:hAnsi="Arial" w:cs="Arial"/>
                <w:noProof/>
              </w:rPr>
              <w:t>3.2 The effects of electrolyte additives on pre-lithiation</w:t>
            </w:r>
            <w:r w:rsidR="005037AC">
              <w:rPr>
                <w:noProof/>
                <w:webHidden/>
              </w:rPr>
              <w:tab/>
            </w:r>
            <w:r w:rsidR="005037AC">
              <w:rPr>
                <w:noProof/>
                <w:webHidden/>
              </w:rPr>
              <w:fldChar w:fldCharType="begin"/>
            </w:r>
            <w:r w:rsidR="005037AC">
              <w:rPr>
                <w:noProof/>
                <w:webHidden/>
              </w:rPr>
              <w:instrText xml:space="preserve"> PAGEREF _Toc82538755 \h </w:instrText>
            </w:r>
            <w:r w:rsidR="005037AC">
              <w:rPr>
                <w:noProof/>
                <w:webHidden/>
              </w:rPr>
            </w:r>
            <w:r w:rsidR="005037AC">
              <w:rPr>
                <w:noProof/>
                <w:webHidden/>
              </w:rPr>
              <w:fldChar w:fldCharType="separate"/>
            </w:r>
            <w:r w:rsidR="005037AC">
              <w:rPr>
                <w:noProof/>
                <w:webHidden/>
              </w:rPr>
              <w:t>66</w:t>
            </w:r>
            <w:r w:rsidR="005037AC">
              <w:rPr>
                <w:noProof/>
                <w:webHidden/>
              </w:rPr>
              <w:fldChar w:fldCharType="end"/>
            </w:r>
          </w:hyperlink>
        </w:p>
        <w:p w14:paraId="02BB2867" w14:textId="1A21B287" w:rsidR="005037AC" w:rsidRDefault="0067644A">
          <w:pPr>
            <w:pStyle w:val="TOC3"/>
            <w:tabs>
              <w:tab w:val="right" w:leader="dot" w:pos="8494"/>
            </w:tabs>
            <w:rPr>
              <w:rFonts w:cstheme="minorBidi"/>
              <w:noProof/>
              <w:lang w:val="en-GB" w:eastAsia="en-GB"/>
            </w:rPr>
          </w:pPr>
          <w:hyperlink w:anchor="_Toc82538756" w:history="1">
            <w:r w:rsidR="005037AC" w:rsidRPr="00E90B19">
              <w:rPr>
                <w:rStyle w:val="Hyperlink"/>
                <w:rFonts w:ascii="Arial" w:hAnsi="Arial" w:cs="Arial"/>
                <w:noProof/>
              </w:rPr>
              <w:t>3.2.1 Experimental</w:t>
            </w:r>
            <w:r w:rsidR="005037AC">
              <w:rPr>
                <w:noProof/>
                <w:webHidden/>
              </w:rPr>
              <w:tab/>
            </w:r>
            <w:r w:rsidR="005037AC">
              <w:rPr>
                <w:noProof/>
                <w:webHidden/>
              </w:rPr>
              <w:fldChar w:fldCharType="begin"/>
            </w:r>
            <w:r w:rsidR="005037AC">
              <w:rPr>
                <w:noProof/>
                <w:webHidden/>
              </w:rPr>
              <w:instrText xml:space="preserve"> PAGEREF _Toc82538756 \h </w:instrText>
            </w:r>
            <w:r w:rsidR="005037AC">
              <w:rPr>
                <w:noProof/>
                <w:webHidden/>
              </w:rPr>
            </w:r>
            <w:r w:rsidR="005037AC">
              <w:rPr>
                <w:noProof/>
                <w:webHidden/>
              </w:rPr>
              <w:fldChar w:fldCharType="separate"/>
            </w:r>
            <w:r w:rsidR="005037AC">
              <w:rPr>
                <w:noProof/>
                <w:webHidden/>
              </w:rPr>
              <w:t>67</w:t>
            </w:r>
            <w:r w:rsidR="005037AC">
              <w:rPr>
                <w:noProof/>
                <w:webHidden/>
              </w:rPr>
              <w:fldChar w:fldCharType="end"/>
            </w:r>
          </w:hyperlink>
        </w:p>
        <w:p w14:paraId="6109990F" w14:textId="2FBE41D8" w:rsidR="005037AC" w:rsidRDefault="0067644A">
          <w:pPr>
            <w:pStyle w:val="TOC3"/>
            <w:tabs>
              <w:tab w:val="right" w:leader="dot" w:pos="8494"/>
            </w:tabs>
            <w:rPr>
              <w:rFonts w:cstheme="minorBidi"/>
              <w:noProof/>
              <w:lang w:val="en-GB" w:eastAsia="en-GB"/>
            </w:rPr>
          </w:pPr>
          <w:hyperlink w:anchor="_Toc82538757" w:history="1">
            <w:r w:rsidR="005037AC" w:rsidRPr="00E90B19">
              <w:rPr>
                <w:rStyle w:val="Hyperlink"/>
                <w:rFonts w:ascii="Arial" w:hAnsi="Arial" w:cs="Arial"/>
                <w:noProof/>
              </w:rPr>
              <w:t>3.2.2 Results</w:t>
            </w:r>
            <w:r w:rsidR="005037AC">
              <w:rPr>
                <w:noProof/>
                <w:webHidden/>
              </w:rPr>
              <w:tab/>
            </w:r>
            <w:r w:rsidR="005037AC">
              <w:rPr>
                <w:noProof/>
                <w:webHidden/>
              </w:rPr>
              <w:fldChar w:fldCharType="begin"/>
            </w:r>
            <w:r w:rsidR="005037AC">
              <w:rPr>
                <w:noProof/>
                <w:webHidden/>
              </w:rPr>
              <w:instrText xml:space="preserve"> PAGEREF _Toc82538757 \h </w:instrText>
            </w:r>
            <w:r w:rsidR="005037AC">
              <w:rPr>
                <w:noProof/>
                <w:webHidden/>
              </w:rPr>
            </w:r>
            <w:r w:rsidR="005037AC">
              <w:rPr>
                <w:noProof/>
                <w:webHidden/>
              </w:rPr>
              <w:fldChar w:fldCharType="separate"/>
            </w:r>
            <w:r w:rsidR="005037AC">
              <w:rPr>
                <w:noProof/>
                <w:webHidden/>
              </w:rPr>
              <w:t>67</w:t>
            </w:r>
            <w:r w:rsidR="005037AC">
              <w:rPr>
                <w:noProof/>
                <w:webHidden/>
              </w:rPr>
              <w:fldChar w:fldCharType="end"/>
            </w:r>
          </w:hyperlink>
        </w:p>
        <w:p w14:paraId="4841C3A5" w14:textId="477302E1" w:rsidR="005037AC" w:rsidRDefault="0067644A">
          <w:pPr>
            <w:pStyle w:val="TOC2"/>
            <w:tabs>
              <w:tab w:val="right" w:leader="dot" w:pos="8494"/>
            </w:tabs>
            <w:rPr>
              <w:rFonts w:eastAsiaTheme="minorEastAsia"/>
              <w:noProof/>
              <w:lang w:eastAsia="en-GB"/>
            </w:rPr>
          </w:pPr>
          <w:hyperlink w:anchor="_Toc82538758" w:history="1">
            <w:r w:rsidR="005037AC" w:rsidRPr="00E90B19">
              <w:rPr>
                <w:rStyle w:val="Hyperlink"/>
                <w:rFonts w:ascii="Arial" w:hAnsi="Arial" w:cs="Arial"/>
                <w:noProof/>
              </w:rPr>
              <w:t>3.3 The importance of fluorine in FEC for the pre-lithiation process</w:t>
            </w:r>
            <w:r w:rsidR="005037AC">
              <w:rPr>
                <w:noProof/>
                <w:webHidden/>
              </w:rPr>
              <w:tab/>
            </w:r>
            <w:r w:rsidR="005037AC">
              <w:rPr>
                <w:noProof/>
                <w:webHidden/>
              </w:rPr>
              <w:fldChar w:fldCharType="begin"/>
            </w:r>
            <w:r w:rsidR="005037AC">
              <w:rPr>
                <w:noProof/>
                <w:webHidden/>
              </w:rPr>
              <w:instrText xml:space="preserve"> PAGEREF _Toc82538758 \h </w:instrText>
            </w:r>
            <w:r w:rsidR="005037AC">
              <w:rPr>
                <w:noProof/>
                <w:webHidden/>
              </w:rPr>
            </w:r>
            <w:r w:rsidR="005037AC">
              <w:rPr>
                <w:noProof/>
                <w:webHidden/>
              </w:rPr>
              <w:fldChar w:fldCharType="separate"/>
            </w:r>
            <w:r w:rsidR="005037AC">
              <w:rPr>
                <w:noProof/>
                <w:webHidden/>
              </w:rPr>
              <w:t>77</w:t>
            </w:r>
            <w:r w:rsidR="005037AC">
              <w:rPr>
                <w:noProof/>
                <w:webHidden/>
              </w:rPr>
              <w:fldChar w:fldCharType="end"/>
            </w:r>
          </w:hyperlink>
        </w:p>
        <w:p w14:paraId="1DFB70B4" w14:textId="527BA733" w:rsidR="005037AC" w:rsidRDefault="0067644A">
          <w:pPr>
            <w:pStyle w:val="TOC3"/>
            <w:tabs>
              <w:tab w:val="right" w:leader="dot" w:pos="8494"/>
            </w:tabs>
            <w:rPr>
              <w:rFonts w:cstheme="minorBidi"/>
              <w:noProof/>
              <w:lang w:val="en-GB" w:eastAsia="en-GB"/>
            </w:rPr>
          </w:pPr>
          <w:hyperlink w:anchor="_Toc82538759" w:history="1">
            <w:r w:rsidR="005037AC" w:rsidRPr="00E90B19">
              <w:rPr>
                <w:rStyle w:val="Hyperlink"/>
                <w:rFonts w:ascii="Arial" w:hAnsi="Arial" w:cs="Arial"/>
                <w:noProof/>
              </w:rPr>
              <w:t>3.3.1 Experimental</w:t>
            </w:r>
            <w:r w:rsidR="005037AC">
              <w:rPr>
                <w:noProof/>
                <w:webHidden/>
              </w:rPr>
              <w:tab/>
            </w:r>
            <w:r w:rsidR="005037AC">
              <w:rPr>
                <w:noProof/>
                <w:webHidden/>
              </w:rPr>
              <w:fldChar w:fldCharType="begin"/>
            </w:r>
            <w:r w:rsidR="005037AC">
              <w:rPr>
                <w:noProof/>
                <w:webHidden/>
              </w:rPr>
              <w:instrText xml:space="preserve"> PAGEREF _Toc82538759 \h </w:instrText>
            </w:r>
            <w:r w:rsidR="005037AC">
              <w:rPr>
                <w:noProof/>
                <w:webHidden/>
              </w:rPr>
            </w:r>
            <w:r w:rsidR="005037AC">
              <w:rPr>
                <w:noProof/>
                <w:webHidden/>
              </w:rPr>
              <w:fldChar w:fldCharType="separate"/>
            </w:r>
            <w:r w:rsidR="005037AC">
              <w:rPr>
                <w:noProof/>
                <w:webHidden/>
              </w:rPr>
              <w:t>77</w:t>
            </w:r>
            <w:r w:rsidR="005037AC">
              <w:rPr>
                <w:noProof/>
                <w:webHidden/>
              </w:rPr>
              <w:fldChar w:fldCharType="end"/>
            </w:r>
          </w:hyperlink>
        </w:p>
        <w:p w14:paraId="521F621C" w14:textId="12EC8645" w:rsidR="005037AC" w:rsidRDefault="0067644A">
          <w:pPr>
            <w:pStyle w:val="TOC3"/>
            <w:tabs>
              <w:tab w:val="right" w:leader="dot" w:pos="8494"/>
            </w:tabs>
            <w:rPr>
              <w:rFonts w:cstheme="minorBidi"/>
              <w:noProof/>
              <w:lang w:val="en-GB" w:eastAsia="en-GB"/>
            </w:rPr>
          </w:pPr>
          <w:hyperlink w:anchor="_Toc82538760" w:history="1">
            <w:r w:rsidR="005037AC" w:rsidRPr="00E90B19">
              <w:rPr>
                <w:rStyle w:val="Hyperlink"/>
                <w:rFonts w:ascii="Arial" w:hAnsi="Arial" w:cs="Arial"/>
                <w:noProof/>
              </w:rPr>
              <w:t>3.3.2 Results</w:t>
            </w:r>
            <w:r w:rsidR="005037AC">
              <w:rPr>
                <w:noProof/>
                <w:webHidden/>
              </w:rPr>
              <w:tab/>
            </w:r>
            <w:r w:rsidR="005037AC">
              <w:rPr>
                <w:noProof/>
                <w:webHidden/>
              </w:rPr>
              <w:fldChar w:fldCharType="begin"/>
            </w:r>
            <w:r w:rsidR="005037AC">
              <w:rPr>
                <w:noProof/>
                <w:webHidden/>
              </w:rPr>
              <w:instrText xml:space="preserve"> PAGEREF _Toc82538760 \h </w:instrText>
            </w:r>
            <w:r w:rsidR="005037AC">
              <w:rPr>
                <w:noProof/>
                <w:webHidden/>
              </w:rPr>
            </w:r>
            <w:r w:rsidR="005037AC">
              <w:rPr>
                <w:noProof/>
                <w:webHidden/>
              </w:rPr>
              <w:fldChar w:fldCharType="separate"/>
            </w:r>
            <w:r w:rsidR="005037AC">
              <w:rPr>
                <w:noProof/>
                <w:webHidden/>
              </w:rPr>
              <w:t>78</w:t>
            </w:r>
            <w:r w:rsidR="005037AC">
              <w:rPr>
                <w:noProof/>
                <w:webHidden/>
              </w:rPr>
              <w:fldChar w:fldCharType="end"/>
            </w:r>
          </w:hyperlink>
        </w:p>
        <w:p w14:paraId="1903B945" w14:textId="7DD52EC8" w:rsidR="005037AC" w:rsidRDefault="0067644A">
          <w:pPr>
            <w:pStyle w:val="TOC3"/>
            <w:tabs>
              <w:tab w:val="right" w:leader="dot" w:pos="8494"/>
            </w:tabs>
            <w:rPr>
              <w:rFonts w:cstheme="minorBidi"/>
              <w:noProof/>
              <w:lang w:val="en-GB" w:eastAsia="en-GB"/>
            </w:rPr>
          </w:pPr>
          <w:hyperlink w:anchor="_Toc82538761" w:history="1">
            <w:r w:rsidR="005037AC" w:rsidRPr="00E90B19">
              <w:rPr>
                <w:rStyle w:val="Hyperlink"/>
                <w:rFonts w:ascii="Arial" w:hAnsi="Arial" w:cs="Arial"/>
                <w:noProof/>
              </w:rPr>
              <w:t>3.3.3 Discussion</w:t>
            </w:r>
            <w:r w:rsidR="005037AC">
              <w:rPr>
                <w:noProof/>
                <w:webHidden/>
              </w:rPr>
              <w:tab/>
            </w:r>
            <w:r w:rsidR="005037AC">
              <w:rPr>
                <w:noProof/>
                <w:webHidden/>
              </w:rPr>
              <w:fldChar w:fldCharType="begin"/>
            </w:r>
            <w:r w:rsidR="005037AC">
              <w:rPr>
                <w:noProof/>
                <w:webHidden/>
              </w:rPr>
              <w:instrText xml:space="preserve"> PAGEREF _Toc82538761 \h </w:instrText>
            </w:r>
            <w:r w:rsidR="005037AC">
              <w:rPr>
                <w:noProof/>
                <w:webHidden/>
              </w:rPr>
            </w:r>
            <w:r w:rsidR="005037AC">
              <w:rPr>
                <w:noProof/>
                <w:webHidden/>
              </w:rPr>
              <w:fldChar w:fldCharType="separate"/>
            </w:r>
            <w:r w:rsidR="005037AC">
              <w:rPr>
                <w:noProof/>
                <w:webHidden/>
              </w:rPr>
              <w:t>84</w:t>
            </w:r>
            <w:r w:rsidR="005037AC">
              <w:rPr>
                <w:noProof/>
                <w:webHidden/>
              </w:rPr>
              <w:fldChar w:fldCharType="end"/>
            </w:r>
          </w:hyperlink>
        </w:p>
        <w:p w14:paraId="3EE75186" w14:textId="575458D0" w:rsidR="005037AC" w:rsidRDefault="0067644A">
          <w:pPr>
            <w:pStyle w:val="TOC2"/>
            <w:tabs>
              <w:tab w:val="right" w:leader="dot" w:pos="8494"/>
            </w:tabs>
            <w:rPr>
              <w:rFonts w:eastAsiaTheme="minorEastAsia"/>
              <w:noProof/>
              <w:lang w:eastAsia="en-GB"/>
            </w:rPr>
          </w:pPr>
          <w:hyperlink w:anchor="_Toc82538762" w:history="1">
            <w:r w:rsidR="005037AC" w:rsidRPr="00E90B19">
              <w:rPr>
                <w:rStyle w:val="Hyperlink"/>
                <w:rFonts w:ascii="Arial" w:hAnsi="Arial" w:cs="Arial"/>
                <w:noProof/>
              </w:rPr>
              <w:t>3.4 The importance of time as a variable for Lithiation</w:t>
            </w:r>
            <w:r w:rsidR="005037AC">
              <w:rPr>
                <w:noProof/>
                <w:webHidden/>
              </w:rPr>
              <w:tab/>
            </w:r>
            <w:r w:rsidR="005037AC">
              <w:rPr>
                <w:noProof/>
                <w:webHidden/>
              </w:rPr>
              <w:fldChar w:fldCharType="begin"/>
            </w:r>
            <w:r w:rsidR="005037AC">
              <w:rPr>
                <w:noProof/>
                <w:webHidden/>
              </w:rPr>
              <w:instrText xml:space="preserve"> PAGEREF _Toc82538762 \h </w:instrText>
            </w:r>
            <w:r w:rsidR="005037AC">
              <w:rPr>
                <w:noProof/>
                <w:webHidden/>
              </w:rPr>
            </w:r>
            <w:r w:rsidR="005037AC">
              <w:rPr>
                <w:noProof/>
                <w:webHidden/>
              </w:rPr>
              <w:fldChar w:fldCharType="separate"/>
            </w:r>
            <w:r w:rsidR="005037AC">
              <w:rPr>
                <w:noProof/>
                <w:webHidden/>
              </w:rPr>
              <w:t>84</w:t>
            </w:r>
            <w:r w:rsidR="005037AC">
              <w:rPr>
                <w:noProof/>
                <w:webHidden/>
              </w:rPr>
              <w:fldChar w:fldCharType="end"/>
            </w:r>
          </w:hyperlink>
        </w:p>
        <w:p w14:paraId="4B2F6A21" w14:textId="30CC3C92" w:rsidR="005037AC" w:rsidRDefault="0067644A">
          <w:pPr>
            <w:pStyle w:val="TOC2"/>
            <w:tabs>
              <w:tab w:val="right" w:leader="dot" w:pos="8494"/>
            </w:tabs>
            <w:rPr>
              <w:rFonts w:eastAsiaTheme="minorEastAsia"/>
              <w:noProof/>
              <w:lang w:eastAsia="en-GB"/>
            </w:rPr>
          </w:pPr>
          <w:hyperlink w:anchor="_Toc82538763" w:history="1">
            <w:r w:rsidR="005037AC" w:rsidRPr="00E90B19">
              <w:rPr>
                <w:rStyle w:val="Hyperlink"/>
                <w:rFonts w:ascii="Arial" w:hAnsi="Arial" w:cs="Arial"/>
                <w:noProof/>
              </w:rPr>
              <w:t>3.5 Mechanical pre-lithiation of graphite</w:t>
            </w:r>
            <w:r w:rsidR="005037AC">
              <w:rPr>
                <w:noProof/>
                <w:webHidden/>
              </w:rPr>
              <w:tab/>
            </w:r>
            <w:r w:rsidR="005037AC">
              <w:rPr>
                <w:noProof/>
                <w:webHidden/>
              </w:rPr>
              <w:fldChar w:fldCharType="begin"/>
            </w:r>
            <w:r w:rsidR="005037AC">
              <w:rPr>
                <w:noProof/>
                <w:webHidden/>
              </w:rPr>
              <w:instrText xml:space="preserve"> PAGEREF _Toc82538763 \h </w:instrText>
            </w:r>
            <w:r w:rsidR="005037AC">
              <w:rPr>
                <w:noProof/>
                <w:webHidden/>
              </w:rPr>
            </w:r>
            <w:r w:rsidR="005037AC">
              <w:rPr>
                <w:noProof/>
                <w:webHidden/>
              </w:rPr>
              <w:fldChar w:fldCharType="separate"/>
            </w:r>
            <w:r w:rsidR="005037AC">
              <w:rPr>
                <w:noProof/>
                <w:webHidden/>
              </w:rPr>
              <w:t>84</w:t>
            </w:r>
            <w:r w:rsidR="005037AC">
              <w:rPr>
                <w:noProof/>
                <w:webHidden/>
              </w:rPr>
              <w:fldChar w:fldCharType="end"/>
            </w:r>
          </w:hyperlink>
        </w:p>
        <w:p w14:paraId="750755C4" w14:textId="5147D9C2" w:rsidR="005037AC" w:rsidRDefault="0067644A">
          <w:pPr>
            <w:pStyle w:val="TOC3"/>
            <w:tabs>
              <w:tab w:val="right" w:leader="dot" w:pos="8494"/>
            </w:tabs>
            <w:rPr>
              <w:rFonts w:cstheme="minorBidi"/>
              <w:noProof/>
              <w:lang w:val="en-GB" w:eastAsia="en-GB"/>
            </w:rPr>
          </w:pPr>
          <w:hyperlink w:anchor="_Toc82538764" w:history="1">
            <w:r w:rsidR="005037AC" w:rsidRPr="00E90B19">
              <w:rPr>
                <w:rStyle w:val="Hyperlink"/>
                <w:rFonts w:ascii="Arial" w:hAnsi="Arial" w:cs="Arial"/>
                <w:noProof/>
              </w:rPr>
              <w:t>3.5.1 Experimental</w:t>
            </w:r>
            <w:r w:rsidR="005037AC">
              <w:rPr>
                <w:noProof/>
                <w:webHidden/>
              </w:rPr>
              <w:tab/>
            </w:r>
            <w:r w:rsidR="005037AC">
              <w:rPr>
                <w:noProof/>
                <w:webHidden/>
              </w:rPr>
              <w:fldChar w:fldCharType="begin"/>
            </w:r>
            <w:r w:rsidR="005037AC">
              <w:rPr>
                <w:noProof/>
                <w:webHidden/>
              </w:rPr>
              <w:instrText xml:space="preserve"> PAGEREF _Toc82538764 \h </w:instrText>
            </w:r>
            <w:r w:rsidR="005037AC">
              <w:rPr>
                <w:noProof/>
                <w:webHidden/>
              </w:rPr>
            </w:r>
            <w:r w:rsidR="005037AC">
              <w:rPr>
                <w:noProof/>
                <w:webHidden/>
              </w:rPr>
              <w:fldChar w:fldCharType="separate"/>
            </w:r>
            <w:r w:rsidR="005037AC">
              <w:rPr>
                <w:noProof/>
                <w:webHidden/>
              </w:rPr>
              <w:t>84</w:t>
            </w:r>
            <w:r w:rsidR="005037AC">
              <w:rPr>
                <w:noProof/>
                <w:webHidden/>
              </w:rPr>
              <w:fldChar w:fldCharType="end"/>
            </w:r>
          </w:hyperlink>
        </w:p>
        <w:p w14:paraId="357241FB" w14:textId="0D1822CC" w:rsidR="005037AC" w:rsidRDefault="0067644A">
          <w:pPr>
            <w:pStyle w:val="TOC3"/>
            <w:tabs>
              <w:tab w:val="right" w:leader="dot" w:pos="8494"/>
            </w:tabs>
            <w:rPr>
              <w:rFonts w:cstheme="minorBidi"/>
              <w:noProof/>
              <w:lang w:val="en-GB" w:eastAsia="en-GB"/>
            </w:rPr>
          </w:pPr>
          <w:hyperlink w:anchor="_Toc82538765" w:history="1">
            <w:r w:rsidR="005037AC" w:rsidRPr="00E90B19">
              <w:rPr>
                <w:rStyle w:val="Hyperlink"/>
                <w:rFonts w:ascii="Arial" w:hAnsi="Arial" w:cs="Arial"/>
                <w:noProof/>
              </w:rPr>
              <w:t>3.5.2 Results</w:t>
            </w:r>
            <w:r w:rsidR="005037AC">
              <w:rPr>
                <w:noProof/>
                <w:webHidden/>
              </w:rPr>
              <w:tab/>
            </w:r>
            <w:r w:rsidR="005037AC">
              <w:rPr>
                <w:noProof/>
                <w:webHidden/>
              </w:rPr>
              <w:fldChar w:fldCharType="begin"/>
            </w:r>
            <w:r w:rsidR="005037AC">
              <w:rPr>
                <w:noProof/>
                <w:webHidden/>
              </w:rPr>
              <w:instrText xml:space="preserve"> PAGEREF _Toc82538765 \h </w:instrText>
            </w:r>
            <w:r w:rsidR="005037AC">
              <w:rPr>
                <w:noProof/>
                <w:webHidden/>
              </w:rPr>
            </w:r>
            <w:r w:rsidR="005037AC">
              <w:rPr>
                <w:noProof/>
                <w:webHidden/>
              </w:rPr>
              <w:fldChar w:fldCharType="separate"/>
            </w:r>
            <w:r w:rsidR="005037AC">
              <w:rPr>
                <w:noProof/>
                <w:webHidden/>
              </w:rPr>
              <w:t>85</w:t>
            </w:r>
            <w:r w:rsidR="005037AC">
              <w:rPr>
                <w:noProof/>
                <w:webHidden/>
              </w:rPr>
              <w:fldChar w:fldCharType="end"/>
            </w:r>
          </w:hyperlink>
        </w:p>
        <w:p w14:paraId="7B5A04BC" w14:textId="3E799D8E" w:rsidR="005037AC" w:rsidRDefault="0067644A">
          <w:pPr>
            <w:pStyle w:val="TOC3"/>
            <w:tabs>
              <w:tab w:val="right" w:leader="dot" w:pos="8494"/>
            </w:tabs>
            <w:rPr>
              <w:rFonts w:cstheme="minorBidi"/>
              <w:noProof/>
              <w:lang w:val="en-GB" w:eastAsia="en-GB"/>
            </w:rPr>
          </w:pPr>
          <w:hyperlink w:anchor="_Toc82538766" w:history="1">
            <w:r w:rsidR="005037AC" w:rsidRPr="00E90B19">
              <w:rPr>
                <w:rStyle w:val="Hyperlink"/>
                <w:rFonts w:ascii="Arial" w:hAnsi="Arial" w:cs="Arial"/>
                <w:noProof/>
              </w:rPr>
              <w:t>3.5.3 Conclusion</w:t>
            </w:r>
            <w:r w:rsidR="005037AC">
              <w:rPr>
                <w:noProof/>
                <w:webHidden/>
              </w:rPr>
              <w:tab/>
            </w:r>
            <w:r w:rsidR="005037AC">
              <w:rPr>
                <w:noProof/>
                <w:webHidden/>
              </w:rPr>
              <w:fldChar w:fldCharType="begin"/>
            </w:r>
            <w:r w:rsidR="005037AC">
              <w:rPr>
                <w:noProof/>
                <w:webHidden/>
              </w:rPr>
              <w:instrText xml:space="preserve"> PAGEREF _Toc82538766 \h </w:instrText>
            </w:r>
            <w:r w:rsidR="005037AC">
              <w:rPr>
                <w:noProof/>
                <w:webHidden/>
              </w:rPr>
            </w:r>
            <w:r w:rsidR="005037AC">
              <w:rPr>
                <w:noProof/>
                <w:webHidden/>
              </w:rPr>
              <w:fldChar w:fldCharType="separate"/>
            </w:r>
            <w:r w:rsidR="005037AC">
              <w:rPr>
                <w:noProof/>
                <w:webHidden/>
              </w:rPr>
              <w:t>91</w:t>
            </w:r>
            <w:r w:rsidR="005037AC">
              <w:rPr>
                <w:noProof/>
                <w:webHidden/>
              </w:rPr>
              <w:fldChar w:fldCharType="end"/>
            </w:r>
          </w:hyperlink>
        </w:p>
        <w:p w14:paraId="4774963C" w14:textId="3BC0E032" w:rsidR="005037AC" w:rsidRDefault="0067644A">
          <w:pPr>
            <w:pStyle w:val="TOC2"/>
            <w:tabs>
              <w:tab w:val="right" w:leader="dot" w:pos="8494"/>
            </w:tabs>
            <w:rPr>
              <w:rFonts w:eastAsiaTheme="minorEastAsia"/>
              <w:noProof/>
              <w:lang w:eastAsia="en-GB"/>
            </w:rPr>
          </w:pPr>
          <w:hyperlink w:anchor="_Toc82538767" w:history="1">
            <w:r w:rsidR="005037AC" w:rsidRPr="00E90B19">
              <w:rPr>
                <w:rStyle w:val="Hyperlink"/>
                <w:rFonts w:ascii="Arial" w:hAnsi="Arial" w:cs="Arial"/>
                <w:noProof/>
              </w:rPr>
              <w:t>3.6 Electrochemical pre-lithiation of graphite</w:t>
            </w:r>
            <w:r w:rsidR="005037AC">
              <w:rPr>
                <w:noProof/>
                <w:webHidden/>
              </w:rPr>
              <w:tab/>
            </w:r>
            <w:r w:rsidR="005037AC">
              <w:rPr>
                <w:noProof/>
                <w:webHidden/>
              </w:rPr>
              <w:fldChar w:fldCharType="begin"/>
            </w:r>
            <w:r w:rsidR="005037AC">
              <w:rPr>
                <w:noProof/>
                <w:webHidden/>
              </w:rPr>
              <w:instrText xml:space="preserve"> PAGEREF _Toc82538767 \h </w:instrText>
            </w:r>
            <w:r w:rsidR="005037AC">
              <w:rPr>
                <w:noProof/>
                <w:webHidden/>
              </w:rPr>
            </w:r>
            <w:r w:rsidR="005037AC">
              <w:rPr>
                <w:noProof/>
                <w:webHidden/>
              </w:rPr>
              <w:fldChar w:fldCharType="separate"/>
            </w:r>
            <w:r w:rsidR="005037AC">
              <w:rPr>
                <w:noProof/>
                <w:webHidden/>
              </w:rPr>
              <w:t>91</w:t>
            </w:r>
            <w:r w:rsidR="005037AC">
              <w:rPr>
                <w:noProof/>
                <w:webHidden/>
              </w:rPr>
              <w:fldChar w:fldCharType="end"/>
            </w:r>
          </w:hyperlink>
        </w:p>
        <w:p w14:paraId="5EB4520A" w14:textId="50603B00" w:rsidR="005037AC" w:rsidRDefault="0067644A">
          <w:pPr>
            <w:pStyle w:val="TOC3"/>
            <w:tabs>
              <w:tab w:val="right" w:leader="dot" w:pos="8494"/>
            </w:tabs>
            <w:rPr>
              <w:rFonts w:cstheme="minorBidi"/>
              <w:noProof/>
              <w:lang w:val="en-GB" w:eastAsia="en-GB"/>
            </w:rPr>
          </w:pPr>
          <w:hyperlink w:anchor="_Toc82538768" w:history="1">
            <w:r w:rsidR="005037AC" w:rsidRPr="00E90B19">
              <w:rPr>
                <w:rStyle w:val="Hyperlink"/>
                <w:rFonts w:ascii="Arial" w:hAnsi="Arial" w:cs="Arial"/>
                <w:noProof/>
              </w:rPr>
              <w:t>3.6.1 Experimental</w:t>
            </w:r>
            <w:r w:rsidR="005037AC">
              <w:rPr>
                <w:noProof/>
                <w:webHidden/>
              </w:rPr>
              <w:tab/>
            </w:r>
            <w:r w:rsidR="005037AC">
              <w:rPr>
                <w:noProof/>
                <w:webHidden/>
              </w:rPr>
              <w:fldChar w:fldCharType="begin"/>
            </w:r>
            <w:r w:rsidR="005037AC">
              <w:rPr>
                <w:noProof/>
                <w:webHidden/>
              </w:rPr>
              <w:instrText xml:space="preserve"> PAGEREF _Toc82538768 \h </w:instrText>
            </w:r>
            <w:r w:rsidR="005037AC">
              <w:rPr>
                <w:noProof/>
                <w:webHidden/>
              </w:rPr>
            </w:r>
            <w:r w:rsidR="005037AC">
              <w:rPr>
                <w:noProof/>
                <w:webHidden/>
              </w:rPr>
              <w:fldChar w:fldCharType="separate"/>
            </w:r>
            <w:r w:rsidR="005037AC">
              <w:rPr>
                <w:noProof/>
                <w:webHidden/>
              </w:rPr>
              <w:t>91</w:t>
            </w:r>
            <w:r w:rsidR="005037AC">
              <w:rPr>
                <w:noProof/>
                <w:webHidden/>
              </w:rPr>
              <w:fldChar w:fldCharType="end"/>
            </w:r>
          </w:hyperlink>
        </w:p>
        <w:p w14:paraId="46BC2618" w14:textId="0D89C19D" w:rsidR="005037AC" w:rsidRDefault="0067644A">
          <w:pPr>
            <w:pStyle w:val="TOC3"/>
            <w:tabs>
              <w:tab w:val="right" w:leader="dot" w:pos="8494"/>
            </w:tabs>
            <w:rPr>
              <w:rFonts w:cstheme="minorBidi"/>
              <w:noProof/>
              <w:lang w:val="en-GB" w:eastAsia="en-GB"/>
            </w:rPr>
          </w:pPr>
          <w:hyperlink w:anchor="_Toc82538769" w:history="1">
            <w:r w:rsidR="005037AC" w:rsidRPr="00E90B19">
              <w:rPr>
                <w:rStyle w:val="Hyperlink"/>
                <w:rFonts w:ascii="Arial" w:hAnsi="Arial" w:cs="Arial"/>
                <w:noProof/>
              </w:rPr>
              <w:t>3.6.2 Results</w:t>
            </w:r>
            <w:r w:rsidR="005037AC">
              <w:rPr>
                <w:noProof/>
                <w:webHidden/>
              </w:rPr>
              <w:tab/>
            </w:r>
            <w:r w:rsidR="005037AC">
              <w:rPr>
                <w:noProof/>
                <w:webHidden/>
              </w:rPr>
              <w:fldChar w:fldCharType="begin"/>
            </w:r>
            <w:r w:rsidR="005037AC">
              <w:rPr>
                <w:noProof/>
                <w:webHidden/>
              </w:rPr>
              <w:instrText xml:space="preserve"> PAGEREF _Toc82538769 \h </w:instrText>
            </w:r>
            <w:r w:rsidR="005037AC">
              <w:rPr>
                <w:noProof/>
                <w:webHidden/>
              </w:rPr>
            </w:r>
            <w:r w:rsidR="005037AC">
              <w:rPr>
                <w:noProof/>
                <w:webHidden/>
              </w:rPr>
              <w:fldChar w:fldCharType="separate"/>
            </w:r>
            <w:r w:rsidR="005037AC">
              <w:rPr>
                <w:noProof/>
                <w:webHidden/>
              </w:rPr>
              <w:t>91</w:t>
            </w:r>
            <w:r w:rsidR="005037AC">
              <w:rPr>
                <w:noProof/>
                <w:webHidden/>
              </w:rPr>
              <w:fldChar w:fldCharType="end"/>
            </w:r>
          </w:hyperlink>
        </w:p>
        <w:p w14:paraId="3B0E461A" w14:textId="334DCC22" w:rsidR="005037AC" w:rsidRDefault="0067644A">
          <w:pPr>
            <w:pStyle w:val="TOC3"/>
            <w:tabs>
              <w:tab w:val="right" w:leader="dot" w:pos="8494"/>
            </w:tabs>
            <w:rPr>
              <w:rFonts w:cstheme="minorBidi"/>
              <w:noProof/>
              <w:lang w:val="en-GB" w:eastAsia="en-GB"/>
            </w:rPr>
          </w:pPr>
          <w:hyperlink w:anchor="_Toc82538770" w:history="1">
            <w:r w:rsidR="005037AC" w:rsidRPr="00E90B19">
              <w:rPr>
                <w:rStyle w:val="Hyperlink"/>
                <w:rFonts w:ascii="Arial" w:hAnsi="Arial" w:cs="Arial"/>
                <w:noProof/>
              </w:rPr>
              <w:t>3.6.3 Conclusion</w:t>
            </w:r>
            <w:r w:rsidR="005037AC">
              <w:rPr>
                <w:noProof/>
                <w:webHidden/>
              </w:rPr>
              <w:tab/>
            </w:r>
            <w:r w:rsidR="005037AC">
              <w:rPr>
                <w:noProof/>
                <w:webHidden/>
              </w:rPr>
              <w:fldChar w:fldCharType="begin"/>
            </w:r>
            <w:r w:rsidR="005037AC">
              <w:rPr>
                <w:noProof/>
                <w:webHidden/>
              </w:rPr>
              <w:instrText xml:space="preserve"> PAGEREF _Toc82538770 \h </w:instrText>
            </w:r>
            <w:r w:rsidR="005037AC">
              <w:rPr>
                <w:noProof/>
                <w:webHidden/>
              </w:rPr>
            </w:r>
            <w:r w:rsidR="005037AC">
              <w:rPr>
                <w:noProof/>
                <w:webHidden/>
              </w:rPr>
              <w:fldChar w:fldCharType="separate"/>
            </w:r>
            <w:r w:rsidR="005037AC">
              <w:rPr>
                <w:noProof/>
                <w:webHidden/>
              </w:rPr>
              <w:t>101</w:t>
            </w:r>
            <w:r w:rsidR="005037AC">
              <w:rPr>
                <w:noProof/>
                <w:webHidden/>
              </w:rPr>
              <w:fldChar w:fldCharType="end"/>
            </w:r>
          </w:hyperlink>
        </w:p>
        <w:p w14:paraId="2DA4360D" w14:textId="1F2E82EF" w:rsidR="005037AC" w:rsidRDefault="0067644A">
          <w:pPr>
            <w:pStyle w:val="TOC2"/>
            <w:tabs>
              <w:tab w:val="right" w:leader="dot" w:pos="8494"/>
            </w:tabs>
            <w:rPr>
              <w:rFonts w:eastAsiaTheme="minorEastAsia"/>
              <w:noProof/>
              <w:lang w:eastAsia="en-GB"/>
            </w:rPr>
          </w:pPr>
          <w:hyperlink w:anchor="_Toc82538771" w:history="1">
            <w:r w:rsidR="005037AC" w:rsidRPr="00E90B19">
              <w:rPr>
                <w:rStyle w:val="Hyperlink"/>
                <w:rFonts w:ascii="Arial" w:hAnsi="Arial" w:cs="Arial"/>
                <w:noProof/>
              </w:rPr>
              <w:t>3.7 Comparing mechanical and electrochemical pre-lithiation</w:t>
            </w:r>
            <w:r w:rsidR="005037AC">
              <w:rPr>
                <w:noProof/>
                <w:webHidden/>
              </w:rPr>
              <w:tab/>
            </w:r>
            <w:r w:rsidR="005037AC">
              <w:rPr>
                <w:noProof/>
                <w:webHidden/>
              </w:rPr>
              <w:fldChar w:fldCharType="begin"/>
            </w:r>
            <w:r w:rsidR="005037AC">
              <w:rPr>
                <w:noProof/>
                <w:webHidden/>
              </w:rPr>
              <w:instrText xml:space="preserve"> PAGEREF _Toc82538771 \h </w:instrText>
            </w:r>
            <w:r w:rsidR="005037AC">
              <w:rPr>
                <w:noProof/>
                <w:webHidden/>
              </w:rPr>
            </w:r>
            <w:r w:rsidR="005037AC">
              <w:rPr>
                <w:noProof/>
                <w:webHidden/>
              </w:rPr>
              <w:fldChar w:fldCharType="separate"/>
            </w:r>
            <w:r w:rsidR="005037AC">
              <w:rPr>
                <w:noProof/>
                <w:webHidden/>
              </w:rPr>
              <w:t>102</w:t>
            </w:r>
            <w:r w:rsidR="005037AC">
              <w:rPr>
                <w:noProof/>
                <w:webHidden/>
              </w:rPr>
              <w:fldChar w:fldCharType="end"/>
            </w:r>
          </w:hyperlink>
        </w:p>
        <w:p w14:paraId="0FBA6C10" w14:textId="4366A6E2" w:rsidR="005037AC" w:rsidRDefault="0067644A">
          <w:pPr>
            <w:pStyle w:val="TOC3"/>
            <w:tabs>
              <w:tab w:val="right" w:leader="dot" w:pos="8494"/>
            </w:tabs>
            <w:rPr>
              <w:rFonts w:cstheme="minorBidi"/>
              <w:noProof/>
              <w:lang w:val="en-GB" w:eastAsia="en-GB"/>
            </w:rPr>
          </w:pPr>
          <w:hyperlink w:anchor="_Toc82538772" w:history="1">
            <w:r w:rsidR="005037AC" w:rsidRPr="00E90B19">
              <w:rPr>
                <w:rStyle w:val="Hyperlink"/>
                <w:rFonts w:ascii="Arial" w:hAnsi="Arial" w:cs="Arial"/>
                <w:noProof/>
              </w:rPr>
              <w:t>3.7.1 Performance</w:t>
            </w:r>
            <w:r w:rsidR="005037AC">
              <w:rPr>
                <w:noProof/>
                <w:webHidden/>
              </w:rPr>
              <w:tab/>
            </w:r>
            <w:r w:rsidR="005037AC">
              <w:rPr>
                <w:noProof/>
                <w:webHidden/>
              </w:rPr>
              <w:fldChar w:fldCharType="begin"/>
            </w:r>
            <w:r w:rsidR="005037AC">
              <w:rPr>
                <w:noProof/>
                <w:webHidden/>
              </w:rPr>
              <w:instrText xml:space="preserve"> PAGEREF _Toc82538772 \h </w:instrText>
            </w:r>
            <w:r w:rsidR="005037AC">
              <w:rPr>
                <w:noProof/>
                <w:webHidden/>
              </w:rPr>
            </w:r>
            <w:r w:rsidR="005037AC">
              <w:rPr>
                <w:noProof/>
                <w:webHidden/>
              </w:rPr>
              <w:fldChar w:fldCharType="separate"/>
            </w:r>
            <w:r w:rsidR="005037AC">
              <w:rPr>
                <w:noProof/>
                <w:webHidden/>
              </w:rPr>
              <w:t>102</w:t>
            </w:r>
            <w:r w:rsidR="005037AC">
              <w:rPr>
                <w:noProof/>
                <w:webHidden/>
              </w:rPr>
              <w:fldChar w:fldCharType="end"/>
            </w:r>
          </w:hyperlink>
        </w:p>
        <w:p w14:paraId="7DD06565" w14:textId="0C628D22" w:rsidR="005037AC" w:rsidRDefault="0067644A">
          <w:pPr>
            <w:pStyle w:val="TOC3"/>
            <w:tabs>
              <w:tab w:val="right" w:leader="dot" w:pos="8494"/>
            </w:tabs>
            <w:rPr>
              <w:rFonts w:cstheme="minorBidi"/>
              <w:noProof/>
              <w:lang w:val="en-GB" w:eastAsia="en-GB"/>
            </w:rPr>
          </w:pPr>
          <w:hyperlink w:anchor="_Toc82538773" w:history="1">
            <w:r w:rsidR="005037AC" w:rsidRPr="00E90B19">
              <w:rPr>
                <w:rStyle w:val="Hyperlink"/>
                <w:rFonts w:ascii="Arial" w:hAnsi="Arial" w:cs="Arial"/>
                <w:noProof/>
              </w:rPr>
              <w:t>3.7.2 Time</w:t>
            </w:r>
            <w:r w:rsidR="005037AC">
              <w:rPr>
                <w:noProof/>
                <w:webHidden/>
              </w:rPr>
              <w:tab/>
            </w:r>
            <w:r w:rsidR="005037AC">
              <w:rPr>
                <w:noProof/>
                <w:webHidden/>
              </w:rPr>
              <w:fldChar w:fldCharType="begin"/>
            </w:r>
            <w:r w:rsidR="005037AC">
              <w:rPr>
                <w:noProof/>
                <w:webHidden/>
              </w:rPr>
              <w:instrText xml:space="preserve"> PAGEREF _Toc82538773 \h </w:instrText>
            </w:r>
            <w:r w:rsidR="005037AC">
              <w:rPr>
                <w:noProof/>
                <w:webHidden/>
              </w:rPr>
            </w:r>
            <w:r w:rsidR="005037AC">
              <w:rPr>
                <w:noProof/>
                <w:webHidden/>
              </w:rPr>
              <w:fldChar w:fldCharType="separate"/>
            </w:r>
            <w:r w:rsidR="005037AC">
              <w:rPr>
                <w:noProof/>
                <w:webHidden/>
              </w:rPr>
              <w:t>102</w:t>
            </w:r>
            <w:r w:rsidR="005037AC">
              <w:rPr>
                <w:noProof/>
                <w:webHidden/>
              </w:rPr>
              <w:fldChar w:fldCharType="end"/>
            </w:r>
          </w:hyperlink>
        </w:p>
        <w:p w14:paraId="3ECECDC0" w14:textId="18322313" w:rsidR="005037AC" w:rsidRDefault="0067644A">
          <w:pPr>
            <w:pStyle w:val="TOC3"/>
            <w:tabs>
              <w:tab w:val="right" w:leader="dot" w:pos="8494"/>
            </w:tabs>
            <w:rPr>
              <w:rFonts w:cstheme="minorBidi"/>
              <w:noProof/>
              <w:lang w:val="en-GB" w:eastAsia="en-GB"/>
            </w:rPr>
          </w:pPr>
          <w:hyperlink w:anchor="_Toc82538774" w:history="1">
            <w:r w:rsidR="005037AC" w:rsidRPr="00E90B19">
              <w:rPr>
                <w:rStyle w:val="Hyperlink"/>
                <w:rFonts w:ascii="Arial" w:hAnsi="Arial" w:cs="Arial"/>
                <w:noProof/>
              </w:rPr>
              <w:t>3.7.3 Input</w:t>
            </w:r>
            <w:r w:rsidR="005037AC">
              <w:rPr>
                <w:noProof/>
                <w:webHidden/>
              </w:rPr>
              <w:tab/>
            </w:r>
            <w:r w:rsidR="005037AC">
              <w:rPr>
                <w:noProof/>
                <w:webHidden/>
              </w:rPr>
              <w:fldChar w:fldCharType="begin"/>
            </w:r>
            <w:r w:rsidR="005037AC">
              <w:rPr>
                <w:noProof/>
                <w:webHidden/>
              </w:rPr>
              <w:instrText xml:space="preserve"> PAGEREF _Toc82538774 \h </w:instrText>
            </w:r>
            <w:r w:rsidR="005037AC">
              <w:rPr>
                <w:noProof/>
                <w:webHidden/>
              </w:rPr>
            </w:r>
            <w:r w:rsidR="005037AC">
              <w:rPr>
                <w:noProof/>
                <w:webHidden/>
              </w:rPr>
              <w:fldChar w:fldCharType="separate"/>
            </w:r>
            <w:r w:rsidR="005037AC">
              <w:rPr>
                <w:noProof/>
                <w:webHidden/>
              </w:rPr>
              <w:t>102</w:t>
            </w:r>
            <w:r w:rsidR="005037AC">
              <w:rPr>
                <w:noProof/>
                <w:webHidden/>
              </w:rPr>
              <w:fldChar w:fldCharType="end"/>
            </w:r>
          </w:hyperlink>
        </w:p>
        <w:p w14:paraId="1EB8148C" w14:textId="09FADB3F" w:rsidR="005037AC" w:rsidRDefault="0067644A">
          <w:pPr>
            <w:pStyle w:val="TOC3"/>
            <w:tabs>
              <w:tab w:val="right" w:leader="dot" w:pos="8494"/>
            </w:tabs>
            <w:rPr>
              <w:rFonts w:cstheme="minorBidi"/>
              <w:noProof/>
              <w:lang w:val="en-GB" w:eastAsia="en-GB"/>
            </w:rPr>
          </w:pPr>
          <w:hyperlink w:anchor="_Toc82538775" w:history="1">
            <w:r w:rsidR="005037AC" w:rsidRPr="00E90B19">
              <w:rPr>
                <w:rStyle w:val="Hyperlink"/>
                <w:rFonts w:ascii="Arial" w:hAnsi="Arial" w:cs="Arial"/>
                <w:noProof/>
              </w:rPr>
              <w:t>3.7.4 Setup</w:t>
            </w:r>
            <w:r w:rsidR="005037AC">
              <w:rPr>
                <w:noProof/>
                <w:webHidden/>
              </w:rPr>
              <w:tab/>
            </w:r>
            <w:r w:rsidR="005037AC">
              <w:rPr>
                <w:noProof/>
                <w:webHidden/>
              </w:rPr>
              <w:fldChar w:fldCharType="begin"/>
            </w:r>
            <w:r w:rsidR="005037AC">
              <w:rPr>
                <w:noProof/>
                <w:webHidden/>
              </w:rPr>
              <w:instrText xml:space="preserve"> PAGEREF _Toc82538775 \h </w:instrText>
            </w:r>
            <w:r w:rsidR="005037AC">
              <w:rPr>
                <w:noProof/>
                <w:webHidden/>
              </w:rPr>
            </w:r>
            <w:r w:rsidR="005037AC">
              <w:rPr>
                <w:noProof/>
                <w:webHidden/>
              </w:rPr>
              <w:fldChar w:fldCharType="separate"/>
            </w:r>
            <w:r w:rsidR="005037AC">
              <w:rPr>
                <w:noProof/>
                <w:webHidden/>
              </w:rPr>
              <w:t>102</w:t>
            </w:r>
            <w:r w:rsidR="005037AC">
              <w:rPr>
                <w:noProof/>
                <w:webHidden/>
              </w:rPr>
              <w:fldChar w:fldCharType="end"/>
            </w:r>
          </w:hyperlink>
        </w:p>
        <w:p w14:paraId="16F8F184" w14:textId="66A8D308" w:rsidR="005037AC" w:rsidRDefault="0067644A">
          <w:pPr>
            <w:pStyle w:val="TOC3"/>
            <w:tabs>
              <w:tab w:val="right" w:leader="dot" w:pos="8494"/>
            </w:tabs>
            <w:rPr>
              <w:rFonts w:cstheme="minorBidi"/>
              <w:noProof/>
              <w:lang w:val="en-GB" w:eastAsia="en-GB"/>
            </w:rPr>
          </w:pPr>
          <w:hyperlink w:anchor="_Toc82538776" w:history="1">
            <w:r w:rsidR="005037AC" w:rsidRPr="00E90B19">
              <w:rPr>
                <w:rStyle w:val="Hyperlink"/>
                <w:rFonts w:ascii="Arial" w:hAnsi="Arial" w:cs="Arial"/>
                <w:noProof/>
              </w:rPr>
              <w:t>3.7.5 Summary</w:t>
            </w:r>
            <w:r w:rsidR="005037AC">
              <w:rPr>
                <w:noProof/>
                <w:webHidden/>
              </w:rPr>
              <w:tab/>
            </w:r>
            <w:r w:rsidR="005037AC">
              <w:rPr>
                <w:noProof/>
                <w:webHidden/>
              </w:rPr>
              <w:fldChar w:fldCharType="begin"/>
            </w:r>
            <w:r w:rsidR="005037AC">
              <w:rPr>
                <w:noProof/>
                <w:webHidden/>
              </w:rPr>
              <w:instrText xml:space="preserve"> PAGEREF _Toc82538776 \h </w:instrText>
            </w:r>
            <w:r w:rsidR="005037AC">
              <w:rPr>
                <w:noProof/>
                <w:webHidden/>
              </w:rPr>
            </w:r>
            <w:r w:rsidR="005037AC">
              <w:rPr>
                <w:noProof/>
                <w:webHidden/>
              </w:rPr>
              <w:fldChar w:fldCharType="separate"/>
            </w:r>
            <w:r w:rsidR="005037AC">
              <w:rPr>
                <w:noProof/>
                <w:webHidden/>
              </w:rPr>
              <w:t>103</w:t>
            </w:r>
            <w:r w:rsidR="005037AC">
              <w:rPr>
                <w:noProof/>
                <w:webHidden/>
              </w:rPr>
              <w:fldChar w:fldCharType="end"/>
            </w:r>
          </w:hyperlink>
        </w:p>
        <w:p w14:paraId="67560056" w14:textId="0504BB99" w:rsidR="005037AC" w:rsidRDefault="0067644A">
          <w:pPr>
            <w:pStyle w:val="TOC2"/>
            <w:tabs>
              <w:tab w:val="right" w:leader="dot" w:pos="8494"/>
            </w:tabs>
            <w:rPr>
              <w:rFonts w:eastAsiaTheme="minorEastAsia"/>
              <w:noProof/>
              <w:lang w:eastAsia="en-GB"/>
            </w:rPr>
          </w:pPr>
          <w:hyperlink w:anchor="_Toc82538777" w:history="1">
            <w:r w:rsidR="005037AC" w:rsidRPr="00E90B19">
              <w:rPr>
                <w:rStyle w:val="Hyperlink"/>
                <w:rFonts w:ascii="Arial" w:hAnsi="Arial" w:cs="Arial"/>
                <w:noProof/>
              </w:rPr>
              <w:t>3.8 Conclusion</w:t>
            </w:r>
            <w:r w:rsidR="005037AC">
              <w:rPr>
                <w:noProof/>
                <w:webHidden/>
              </w:rPr>
              <w:tab/>
            </w:r>
            <w:r w:rsidR="005037AC">
              <w:rPr>
                <w:noProof/>
                <w:webHidden/>
              </w:rPr>
              <w:fldChar w:fldCharType="begin"/>
            </w:r>
            <w:r w:rsidR="005037AC">
              <w:rPr>
                <w:noProof/>
                <w:webHidden/>
              </w:rPr>
              <w:instrText xml:space="preserve"> PAGEREF _Toc82538777 \h </w:instrText>
            </w:r>
            <w:r w:rsidR="005037AC">
              <w:rPr>
                <w:noProof/>
                <w:webHidden/>
              </w:rPr>
            </w:r>
            <w:r w:rsidR="005037AC">
              <w:rPr>
                <w:noProof/>
                <w:webHidden/>
              </w:rPr>
              <w:fldChar w:fldCharType="separate"/>
            </w:r>
            <w:r w:rsidR="005037AC">
              <w:rPr>
                <w:noProof/>
                <w:webHidden/>
              </w:rPr>
              <w:t>103</w:t>
            </w:r>
            <w:r w:rsidR="005037AC">
              <w:rPr>
                <w:noProof/>
                <w:webHidden/>
              </w:rPr>
              <w:fldChar w:fldCharType="end"/>
            </w:r>
          </w:hyperlink>
        </w:p>
        <w:p w14:paraId="6957C399" w14:textId="636F4A2E" w:rsidR="005037AC" w:rsidRDefault="0067644A">
          <w:pPr>
            <w:pStyle w:val="TOC1"/>
            <w:tabs>
              <w:tab w:val="right" w:leader="dot" w:pos="8494"/>
            </w:tabs>
            <w:rPr>
              <w:rFonts w:eastAsiaTheme="minorEastAsia"/>
              <w:noProof/>
              <w:lang w:eastAsia="en-GB"/>
            </w:rPr>
          </w:pPr>
          <w:hyperlink w:anchor="_Toc82538778" w:history="1">
            <w:r w:rsidR="005037AC" w:rsidRPr="00E90B19">
              <w:rPr>
                <w:rStyle w:val="Hyperlink"/>
                <w:rFonts w:ascii="Arial" w:hAnsi="Arial" w:cs="Arial"/>
                <w:b/>
                <w:noProof/>
              </w:rPr>
              <w:t>Chapter 4: Pre-lithiation of Si anodes</w:t>
            </w:r>
            <w:r w:rsidR="005037AC">
              <w:rPr>
                <w:noProof/>
                <w:webHidden/>
              </w:rPr>
              <w:tab/>
            </w:r>
            <w:r w:rsidR="005037AC">
              <w:rPr>
                <w:noProof/>
                <w:webHidden/>
              </w:rPr>
              <w:fldChar w:fldCharType="begin"/>
            </w:r>
            <w:r w:rsidR="005037AC">
              <w:rPr>
                <w:noProof/>
                <w:webHidden/>
              </w:rPr>
              <w:instrText xml:space="preserve"> PAGEREF _Toc82538778 \h </w:instrText>
            </w:r>
            <w:r w:rsidR="005037AC">
              <w:rPr>
                <w:noProof/>
                <w:webHidden/>
              </w:rPr>
            </w:r>
            <w:r w:rsidR="005037AC">
              <w:rPr>
                <w:noProof/>
                <w:webHidden/>
              </w:rPr>
              <w:fldChar w:fldCharType="separate"/>
            </w:r>
            <w:r w:rsidR="005037AC">
              <w:rPr>
                <w:noProof/>
                <w:webHidden/>
              </w:rPr>
              <w:t>104</w:t>
            </w:r>
            <w:r w:rsidR="005037AC">
              <w:rPr>
                <w:noProof/>
                <w:webHidden/>
              </w:rPr>
              <w:fldChar w:fldCharType="end"/>
            </w:r>
          </w:hyperlink>
        </w:p>
        <w:p w14:paraId="66F7B50C" w14:textId="0C6D04D9" w:rsidR="005037AC" w:rsidRDefault="0067644A">
          <w:pPr>
            <w:pStyle w:val="TOC2"/>
            <w:tabs>
              <w:tab w:val="right" w:leader="dot" w:pos="8494"/>
            </w:tabs>
            <w:rPr>
              <w:rFonts w:eastAsiaTheme="minorEastAsia"/>
              <w:noProof/>
              <w:lang w:eastAsia="en-GB"/>
            </w:rPr>
          </w:pPr>
          <w:hyperlink w:anchor="_Toc82538779" w:history="1">
            <w:r w:rsidR="005037AC" w:rsidRPr="00E90B19">
              <w:rPr>
                <w:rStyle w:val="Hyperlink"/>
                <w:rFonts w:ascii="Arial" w:hAnsi="Arial" w:cs="Arial"/>
                <w:noProof/>
              </w:rPr>
              <w:t>4.1 Si</w:t>
            </w:r>
            <w:r w:rsidR="005037AC" w:rsidRPr="00E90B19">
              <w:rPr>
                <w:rStyle w:val="Hyperlink"/>
                <w:rFonts w:ascii="Arial" w:hAnsi="Arial" w:cs="Arial"/>
                <w:b/>
                <w:noProof/>
              </w:rPr>
              <w:t xml:space="preserve"> </w:t>
            </w:r>
            <w:r w:rsidR="005037AC" w:rsidRPr="00E90B19">
              <w:rPr>
                <w:rStyle w:val="Hyperlink"/>
                <w:rFonts w:ascii="Arial" w:hAnsi="Arial" w:cs="Arial"/>
                <w:noProof/>
              </w:rPr>
              <w:t>Anodes</w:t>
            </w:r>
            <w:r w:rsidR="005037AC">
              <w:rPr>
                <w:noProof/>
                <w:webHidden/>
              </w:rPr>
              <w:tab/>
            </w:r>
            <w:r w:rsidR="005037AC">
              <w:rPr>
                <w:noProof/>
                <w:webHidden/>
              </w:rPr>
              <w:fldChar w:fldCharType="begin"/>
            </w:r>
            <w:r w:rsidR="005037AC">
              <w:rPr>
                <w:noProof/>
                <w:webHidden/>
              </w:rPr>
              <w:instrText xml:space="preserve"> PAGEREF _Toc82538779 \h </w:instrText>
            </w:r>
            <w:r w:rsidR="005037AC">
              <w:rPr>
                <w:noProof/>
                <w:webHidden/>
              </w:rPr>
            </w:r>
            <w:r w:rsidR="005037AC">
              <w:rPr>
                <w:noProof/>
                <w:webHidden/>
              </w:rPr>
              <w:fldChar w:fldCharType="separate"/>
            </w:r>
            <w:r w:rsidR="005037AC">
              <w:rPr>
                <w:noProof/>
                <w:webHidden/>
              </w:rPr>
              <w:t>105</w:t>
            </w:r>
            <w:r w:rsidR="005037AC">
              <w:rPr>
                <w:noProof/>
                <w:webHidden/>
              </w:rPr>
              <w:fldChar w:fldCharType="end"/>
            </w:r>
          </w:hyperlink>
        </w:p>
        <w:p w14:paraId="47E97FDA" w14:textId="291B6A76" w:rsidR="005037AC" w:rsidRDefault="0067644A">
          <w:pPr>
            <w:pStyle w:val="TOC3"/>
            <w:tabs>
              <w:tab w:val="right" w:leader="dot" w:pos="8494"/>
            </w:tabs>
            <w:rPr>
              <w:rFonts w:cstheme="minorBidi"/>
              <w:noProof/>
              <w:lang w:val="en-GB" w:eastAsia="en-GB"/>
            </w:rPr>
          </w:pPr>
          <w:hyperlink w:anchor="_Toc82538780" w:history="1">
            <w:r w:rsidR="005037AC" w:rsidRPr="00E90B19">
              <w:rPr>
                <w:rStyle w:val="Hyperlink"/>
                <w:rFonts w:ascii="Arial" w:hAnsi="Arial" w:cs="Arial"/>
                <w:noProof/>
              </w:rPr>
              <w:t>4.1.1 1</w:t>
            </w:r>
            <w:r w:rsidR="005037AC" w:rsidRPr="00E90B19">
              <w:rPr>
                <w:rStyle w:val="Hyperlink"/>
                <w:rFonts w:ascii="Arial" w:hAnsi="Arial" w:cs="Arial"/>
                <w:noProof/>
                <w:vertAlign w:val="superscript"/>
              </w:rPr>
              <w:t>st</w:t>
            </w:r>
            <w:r w:rsidR="005037AC" w:rsidRPr="00E90B19">
              <w:rPr>
                <w:rStyle w:val="Hyperlink"/>
                <w:rFonts w:ascii="Arial" w:hAnsi="Arial" w:cs="Arial"/>
                <w:noProof/>
              </w:rPr>
              <w:t xml:space="preserve"> problem: Expanding into the unexpandable</w:t>
            </w:r>
            <w:r w:rsidR="005037AC">
              <w:rPr>
                <w:noProof/>
                <w:webHidden/>
              </w:rPr>
              <w:tab/>
            </w:r>
            <w:r w:rsidR="005037AC">
              <w:rPr>
                <w:noProof/>
                <w:webHidden/>
              </w:rPr>
              <w:fldChar w:fldCharType="begin"/>
            </w:r>
            <w:r w:rsidR="005037AC">
              <w:rPr>
                <w:noProof/>
                <w:webHidden/>
              </w:rPr>
              <w:instrText xml:space="preserve"> PAGEREF _Toc82538780 \h </w:instrText>
            </w:r>
            <w:r w:rsidR="005037AC">
              <w:rPr>
                <w:noProof/>
                <w:webHidden/>
              </w:rPr>
            </w:r>
            <w:r w:rsidR="005037AC">
              <w:rPr>
                <w:noProof/>
                <w:webHidden/>
              </w:rPr>
              <w:fldChar w:fldCharType="separate"/>
            </w:r>
            <w:r w:rsidR="005037AC">
              <w:rPr>
                <w:noProof/>
                <w:webHidden/>
              </w:rPr>
              <w:t>105</w:t>
            </w:r>
            <w:r w:rsidR="005037AC">
              <w:rPr>
                <w:noProof/>
                <w:webHidden/>
              </w:rPr>
              <w:fldChar w:fldCharType="end"/>
            </w:r>
          </w:hyperlink>
        </w:p>
        <w:p w14:paraId="63DA96A6" w14:textId="71F2AE5D" w:rsidR="005037AC" w:rsidRDefault="0067644A">
          <w:pPr>
            <w:pStyle w:val="TOC3"/>
            <w:tabs>
              <w:tab w:val="right" w:leader="dot" w:pos="8494"/>
            </w:tabs>
            <w:rPr>
              <w:rFonts w:cstheme="minorBidi"/>
              <w:noProof/>
              <w:lang w:val="en-GB" w:eastAsia="en-GB"/>
            </w:rPr>
          </w:pPr>
          <w:hyperlink w:anchor="_Toc82538781" w:history="1">
            <w:r w:rsidR="005037AC" w:rsidRPr="00E90B19">
              <w:rPr>
                <w:rStyle w:val="Hyperlink"/>
                <w:rFonts w:ascii="Arial" w:hAnsi="Arial" w:cs="Arial"/>
                <w:noProof/>
              </w:rPr>
              <w:t>4.1.2 2</w:t>
            </w:r>
            <w:r w:rsidR="005037AC" w:rsidRPr="00E90B19">
              <w:rPr>
                <w:rStyle w:val="Hyperlink"/>
                <w:rFonts w:ascii="Arial" w:hAnsi="Arial" w:cs="Arial"/>
                <w:noProof/>
                <w:vertAlign w:val="superscript"/>
              </w:rPr>
              <w:t>nd</w:t>
            </w:r>
            <w:r w:rsidR="005037AC" w:rsidRPr="00E90B19">
              <w:rPr>
                <w:rStyle w:val="Hyperlink"/>
                <w:rFonts w:ascii="Arial" w:hAnsi="Arial" w:cs="Arial"/>
                <w:noProof/>
              </w:rPr>
              <w:t xml:space="preserve"> problem: anode pulverisation</w:t>
            </w:r>
            <w:r w:rsidR="005037AC">
              <w:rPr>
                <w:noProof/>
                <w:webHidden/>
              </w:rPr>
              <w:tab/>
            </w:r>
            <w:r w:rsidR="005037AC">
              <w:rPr>
                <w:noProof/>
                <w:webHidden/>
              </w:rPr>
              <w:fldChar w:fldCharType="begin"/>
            </w:r>
            <w:r w:rsidR="005037AC">
              <w:rPr>
                <w:noProof/>
                <w:webHidden/>
              </w:rPr>
              <w:instrText xml:space="preserve"> PAGEREF _Toc82538781 \h </w:instrText>
            </w:r>
            <w:r w:rsidR="005037AC">
              <w:rPr>
                <w:noProof/>
                <w:webHidden/>
              </w:rPr>
            </w:r>
            <w:r w:rsidR="005037AC">
              <w:rPr>
                <w:noProof/>
                <w:webHidden/>
              </w:rPr>
              <w:fldChar w:fldCharType="separate"/>
            </w:r>
            <w:r w:rsidR="005037AC">
              <w:rPr>
                <w:noProof/>
                <w:webHidden/>
              </w:rPr>
              <w:t>107</w:t>
            </w:r>
            <w:r w:rsidR="005037AC">
              <w:rPr>
                <w:noProof/>
                <w:webHidden/>
              </w:rPr>
              <w:fldChar w:fldCharType="end"/>
            </w:r>
          </w:hyperlink>
        </w:p>
        <w:p w14:paraId="53D250F2" w14:textId="672FD9E5" w:rsidR="005037AC" w:rsidRDefault="0067644A">
          <w:pPr>
            <w:pStyle w:val="TOC3"/>
            <w:tabs>
              <w:tab w:val="right" w:leader="dot" w:pos="8494"/>
            </w:tabs>
            <w:rPr>
              <w:rFonts w:cstheme="minorBidi"/>
              <w:noProof/>
              <w:lang w:val="en-GB" w:eastAsia="en-GB"/>
            </w:rPr>
          </w:pPr>
          <w:hyperlink w:anchor="_Toc82538782" w:history="1">
            <w:r w:rsidR="005037AC" w:rsidRPr="00E90B19">
              <w:rPr>
                <w:rStyle w:val="Hyperlink"/>
                <w:rFonts w:ascii="Arial" w:hAnsi="Arial" w:cs="Arial"/>
                <w:noProof/>
              </w:rPr>
              <w:t>4.1.3 3</w:t>
            </w:r>
            <w:r w:rsidR="005037AC" w:rsidRPr="00E90B19">
              <w:rPr>
                <w:rStyle w:val="Hyperlink"/>
                <w:rFonts w:ascii="Arial" w:hAnsi="Arial" w:cs="Arial"/>
                <w:noProof/>
                <w:vertAlign w:val="superscript"/>
              </w:rPr>
              <w:t>rd</w:t>
            </w:r>
            <w:r w:rsidR="005037AC" w:rsidRPr="00E90B19">
              <w:rPr>
                <w:rStyle w:val="Hyperlink"/>
                <w:rFonts w:ascii="Arial" w:hAnsi="Arial" w:cs="Arial"/>
                <w:noProof/>
              </w:rPr>
              <w:t xml:space="preserve"> problem: SEI destruction</w:t>
            </w:r>
            <w:r w:rsidR="005037AC">
              <w:rPr>
                <w:noProof/>
                <w:webHidden/>
              </w:rPr>
              <w:tab/>
            </w:r>
            <w:r w:rsidR="005037AC">
              <w:rPr>
                <w:noProof/>
                <w:webHidden/>
              </w:rPr>
              <w:fldChar w:fldCharType="begin"/>
            </w:r>
            <w:r w:rsidR="005037AC">
              <w:rPr>
                <w:noProof/>
                <w:webHidden/>
              </w:rPr>
              <w:instrText xml:space="preserve"> PAGEREF _Toc82538782 \h </w:instrText>
            </w:r>
            <w:r w:rsidR="005037AC">
              <w:rPr>
                <w:noProof/>
                <w:webHidden/>
              </w:rPr>
            </w:r>
            <w:r w:rsidR="005037AC">
              <w:rPr>
                <w:noProof/>
                <w:webHidden/>
              </w:rPr>
              <w:fldChar w:fldCharType="separate"/>
            </w:r>
            <w:r w:rsidR="005037AC">
              <w:rPr>
                <w:noProof/>
                <w:webHidden/>
              </w:rPr>
              <w:t>108</w:t>
            </w:r>
            <w:r w:rsidR="005037AC">
              <w:rPr>
                <w:noProof/>
                <w:webHidden/>
              </w:rPr>
              <w:fldChar w:fldCharType="end"/>
            </w:r>
          </w:hyperlink>
        </w:p>
        <w:p w14:paraId="46782A4E" w14:textId="294434FA" w:rsidR="005037AC" w:rsidRDefault="0067644A">
          <w:pPr>
            <w:pStyle w:val="TOC2"/>
            <w:tabs>
              <w:tab w:val="right" w:leader="dot" w:pos="8494"/>
            </w:tabs>
            <w:rPr>
              <w:rFonts w:eastAsiaTheme="minorEastAsia"/>
              <w:noProof/>
              <w:lang w:eastAsia="en-GB"/>
            </w:rPr>
          </w:pPr>
          <w:hyperlink w:anchor="_Toc82538783" w:history="1">
            <w:r w:rsidR="005037AC" w:rsidRPr="00E90B19">
              <w:rPr>
                <w:rStyle w:val="Hyperlink"/>
                <w:rFonts w:ascii="Arial" w:hAnsi="Arial" w:cs="Arial"/>
                <w:noProof/>
              </w:rPr>
              <w:t>4.2 Si pre-lithiation</w:t>
            </w:r>
            <w:r w:rsidR="005037AC">
              <w:rPr>
                <w:noProof/>
                <w:webHidden/>
              </w:rPr>
              <w:tab/>
            </w:r>
            <w:r w:rsidR="005037AC">
              <w:rPr>
                <w:noProof/>
                <w:webHidden/>
              </w:rPr>
              <w:fldChar w:fldCharType="begin"/>
            </w:r>
            <w:r w:rsidR="005037AC">
              <w:rPr>
                <w:noProof/>
                <w:webHidden/>
              </w:rPr>
              <w:instrText xml:space="preserve"> PAGEREF _Toc82538783 \h </w:instrText>
            </w:r>
            <w:r w:rsidR="005037AC">
              <w:rPr>
                <w:noProof/>
                <w:webHidden/>
              </w:rPr>
            </w:r>
            <w:r w:rsidR="005037AC">
              <w:rPr>
                <w:noProof/>
                <w:webHidden/>
              </w:rPr>
              <w:fldChar w:fldCharType="separate"/>
            </w:r>
            <w:r w:rsidR="005037AC">
              <w:rPr>
                <w:noProof/>
                <w:webHidden/>
              </w:rPr>
              <w:t>108</w:t>
            </w:r>
            <w:r w:rsidR="005037AC">
              <w:rPr>
                <w:noProof/>
                <w:webHidden/>
              </w:rPr>
              <w:fldChar w:fldCharType="end"/>
            </w:r>
          </w:hyperlink>
        </w:p>
        <w:p w14:paraId="0AFBDCBD" w14:textId="5FFC3928" w:rsidR="005037AC" w:rsidRDefault="0067644A">
          <w:pPr>
            <w:pStyle w:val="TOC2"/>
            <w:tabs>
              <w:tab w:val="right" w:leader="dot" w:pos="8494"/>
            </w:tabs>
            <w:rPr>
              <w:rFonts w:eastAsiaTheme="minorEastAsia"/>
              <w:noProof/>
              <w:lang w:eastAsia="en-GB"/>
            </w:rPr>
          </w:pPr>
          <w:hyperlink w:anchor="_Toc82538784" w:history="1">
            <w:r w:rsidR="005037AC" w:rsidRPr="00E90B19">
              <w:rPr>
                <w:rStyle w:val="Hyperlink"/>
                <w:rFonts w:ascii="Arial" w:hAnsi="Arial" w:cs="Arial"/>
                <w:bCs/>
                <w:noProof/>
              </w:rPr>
              <w:t>4.3 Electrolyte optimisation for pre-lithiation</w:t>
            </w:r>
            <w:r w:rsidR="005037AC">
              <w:rPr>
                <w:noProof/>
                <w:webHidden/>
              </w:rPr>
              <w:tab/>
            </w:r>
            <w:r w:rsidR="005037AC">
              <w:rPr>
                <w:noProof/>
                <w:webHidden/>
              </w:rPr>
              <w:fldChar w:fldCharType="begin"/>
            </w:r>
            <w:r w:rsidR="005037AC">
              <w:rPr>
                <w:noProof/>
                <w:webHidden/>
              </w:rPr>
              <w:instrText xml:space="preserve"> PAGEREF _Toc82538784 \h </w:instrText>
            </w:r>
            <w:r w:rsidR="005037AC">
              <w:rPr>
                <w:noProof/>
                <w:webHidden/>
              </w:rPr>
            </w:r>
            <w:r w:rsidR="005037AC">
              <w:rPr>
                <w:noProof/>
                <w:webHidden/>
              </w:rPr>
              <w:fldChar w:fldCharType="separate"/>
            </w:r>
            <w:r w:rsidR="005037AC">
              <w:rPr>
                <w:noProof/>
                <w:webHidden/>
              </w:rPr>
              <w:t>108</w:t>
            </w:r>
            <w:r w:rsidR="005037AC">
              <w:rPr>
                <w:noProof/>
                <w:webHidden/>
              </w:rPr>
              <w:fldChar w:fldCharType="end"/>
            </w:r>
          </w:hyperlink>
        </w:p>
        <w:p w14:paraId="7B4FEF6F" w14:textId="4863890F" w:rsidR="005037AC" w:rsidRDefault="0067644A">
          <w:pPr>
            <w:pStyle w:val="TOC3"/>
            <w:tabs>
              <w:tab w:val="right" w:leader="dot" w:pos="8494"/>
            </w:tabs>
            <w:rPr>
              <w:rFonts w:cstheme="minorBidi"/>
              <w:noProof/>
              <w:lang w:val="en-GB" w:eastAsia="en-GB"/>
            </w:rPr>
          </w:pPr>
          <w:hyperlink w:anchor="_Toc82538785" w:history="1">
            <w:r w:rsidR="005037AC" w:rsidRPr="00E90B19">
              <w:rPr>
                <w:rStyle w:val="Hyperlink"/>
                <w:rFonts w:ascii="Arial" w:hAnsi="Arial" w:cs="Arial"/>
                <w:noProof/>
              </w:rPr>
              <w:t>4.3.1 Experimental</w:t>
            </w:r>
            <w:r w:rsidR="005037AC">
              <w:rPr>
                <w:noProof/>
                <w:webHidden/>
              </w:rPr>
              <w:tab/>
            </w:r>
            <w:r w:rsidR="005037AC">
              <w:rPr>
                <w:noProof/>
                <w:webHidden/>
              </w:rPr>
              <w:fldChar w:fldCharType="begin"/>
            </w:r>
            <w:r w:rsidR="005037AC">
              <w:rPr>
                <w:noProof/>
                <w:webHidden/>
              </w:rPr>
              <w:instrText xml:space="preserve"> PAGEREF _Toc82538785 \h </w:instrText>
            </w:r>
            <w:r w:rsidR="005037AC">
              <w:rPr>
                <w:noProof/>
                <w:webHidden/>
              </w:rPr>
            </w:r>
            <w:r w:rsidR="005037AC">
              <w:rPr>
                <w:noProof/>
                <w:webHidden/>
              </w:rPr>
              <w:fldChar w:fldCharType="separate"/>
            </w:r>
            <w:r w:rsidR="005037AC">
              <w:rPr>
                <w:noProof/>
                <w:webHidden/>
              </w:rPr>
              <w:t>109</w:t>
            </w:r>
            <w:r w:rsidR="005037AC">
              <w:rPr>
                <w:noProof/>
                <w:webHidden/>
              </w:rPr>
              <w:fldChar w:fldCharType="end"/>
            </w:r>
          </w:hyperlink>
        </w:p>
        <w:p w14:paraId="44A17F0B" w14:textId="31466B36" w:rsidR="005037AC" w:rsidRDefault="0067644A">
          <w:pPr>
            <w:pStyle w:val="TOC3"/>
            <w:tabs>
              <w:tab w:val="right" w:leader="dot" w:pos="8494"/>
            </w:tabs>
            <w:rPr>
              <w:rFonts w:cstheme="minorBidi"/>
              <w:noProof/>
              <w:lang w:val="en-GB" w:eastAsia="en-GB"/>
            </w:rPr>
          </w:pPr>
          <w:hyperlink w:anchor="_Toc82538786" w:history="1">
            <w:r w:rsidR="005037AC" w:rsidRPr="00E90B19">
              <w:rPr>
                <w:rStyle w:val="Hyperlink"/>
                <w:rFonts w:ascii="Arial" w:hAnsi="Arial" w:cs="Arial"/>
                <w:noProof/>
              </w:rPr>
              <w:t>4.3.2 Results</w:t>
            </w:r>
            <w:r w:rsidR="005037AC">
              <w:rPr>
                <w:noProof/>
                <w:webHidden/>
              </w:rPr>
              <w:tab/>
            </w:r>
            <w:r w:rsidR="005037AC">
              <w:rPr>
                <w:noProof/>
                <w:webHidden/>
              </w:rPr>
              <w:fldChar w:fldCharType="begin"/>
            </w:r>
            <w:r w:rsidR="005037AC">
              <w:rPr>
                <w:noProof/>
                <w:webHidden/>
              </w:rPr>
              <w:instrText xml:space="preserve"> PAGEREF _Toc82538786 \h </w:instrText>
            </w:r>
            <w:r w:rsidR="005037AC">
              <w:rPr>
                <w:noProof/>
                <w:webHidden/>
              </w:rPr>
            </w:r>
            <w:r w:rsidR="005037AC">
              <w:rPr>
                <w:noProof/>
                <w:webHidden/>
              </w:rPr>
              <w:fldChar w:fldCharType="separate"/>
            </w:r>
            <w:r w:rsidR="005037AC">
              <w:rPr>
                <w:noProof/>
                <w:webHidden/>
              </w:rPr>
              <w:t>109</w:t>
            </w:r>
            <w:r w:rsidR="005037AC">
              <w:rPr>
                <w:noProof/>
                <w:webHidden/>
              </w:rPr>
              <w:fldChar w:fldCharType="end"/>
            </w:r>
          </w:hyperlink>
        </w:p>
        <w:p w14:paraId="02939D72" w14:textId="44ADE6A0" w:rsidR="005037AC" w:rsidRDefault="0067644A">
          <w:pPr>
            <w:pStyle w:val="TOC3"/>
            <w:tabs>
              <w:tab w:val="right" w:leader="dot" w:pos="8494"/>
            </w:tabs>
            <w:rPr>
              <w:rFonts w:cstheme="minorBidi"/>
              <w:noProof/>
              <w:lang w:val="en-GB" w:eastAsia="en-GB"/>
            </w:rPr>
          </w:pPr>
          <w:hyperlink w:anchor="_Toc82538787" w:history="1">
            <w:r w:rsidR="005037AC" w:rsidRPr="00E90B19">
              <w:rPr>
                <w:rStyle w:val="Hyperlink"/>
                <w:rFonts w:ascii="Arial" w:hAnsi="Arial" w:cs="Arial"/>
                <w:bCs/>
                <w:noProof/>
              </w:rPr>
              <w:t>4.3.3 Conclusion</w:t>
            </w:r>
            <w:r w:rsidR="005037AC">
              <w:rPr>
                <w:noProof/>
                <w:webHidden/>
              </w:rPr>
              <w:tab/>
            </w:r>
            <w:r w:rsidR="005037AC">
              <w:rPr>
                <w:noProof/>
                <w:webHidden/>
              </w:rPr>
              <w:fldChar w:fldCharType="begin"/>
            </w:r>
            <w:r w:rsidR="005037AC">
              <w:rPr>
                <w:noProof/>
                <w:webHidden/>
              </w:rPr>
              <w:instrText xml:space="preserve"> PAGEREF _Toc82538787 \h </w:instrText>
            </w:r>
            <w:r w:rsidR="005037AC">
              <w:rPr>
                <w:noProof/>
                <w:webHidden/>
              </w:rPr>
            </w:r>
            <w:r w:rsidR="005037AC">
              <w:rPr>
                <w:noProof/>
                <w:webHidden/>
              </w:rPr>
              <w:fldChar w:fldCharType="separate"/>
            </w:r>
            <w:r w:rsidR="005037AC">
              <w:rPr>
                <w:noProof/>
                <w:webHidden/>
              </w:rPr>
              <w:t>110</w:t>
            </w:r>
            <w:r w:rsidR="005037AC">
              <w:rPr>
                <w:noProof/>
                <w:webHidden/>
              </w:rPr>
              <w:fldChar w:fldCharType="end"/>
            </w:r>
          </w:hyperlink>
        </w:p>
        <w:p w14:paraId="740BC6B9" w14:textId="75C3DE35" w:rsidR="005037AC" w:rsidRDefault="0067644A">
          <w:pPr>
            <w:pStyle w:val="TOC2"/>
            <w:tabs>
              <w:tab w:val="right" w:leader="dot" w:pos="8494"/>
            </w:tabs>
            <w:rPr>
              <w:rFonts w:eastAsiaTheme="minorEastAsia"/>
              <w:noProof/>
              <w:lang w:eastAsia="en-GB"/>
            </w:rPr>
          </w:pPr>
          <w:hyperlink w:anchor="_Toc82538788" w:history="1">
            <w:r w:rsidR="005037AC" w:rsidRPr="00E90B19">
              <w:rPr>
                <w:rStyle w:val="Hyperlink"/>
                <w:rFonts w:ascii="Arial" w:hAnsi="Arial" w:cs="Arial"/>
                <w:noProof/>
              </w:rPr>
              <w:t>4.4 Electrochemical pre-lithiation of silicon</w:t>
            </w:r>
            <w:r w:rsidR="005037AC">
              <w:rPr>
                <w:noProof/>
                <w:webHidden/>
              </w:rPr>
              <w:tab/>
            </w:r>
            <w:r w:rsidR="005037AC">
              <w:rPr>
                <w:noProof/>
                <w:webHidden/>
              </w:rPr>
              <w:fldChar w:fldCharType="begin"/>
            </w:r>
            <w:r w:rsidR="005037AC">
              <w:rPr>
                <w:noProof/>
                <w:webHidden/>
              </w:rPr>
              <w:instrText xml:space="preserve"> PAGEREF _Toc82538788 \h </w:instrText>
            </w:r>
            <w:r w:rsidR="005037AC">
              <w:rPr>
                <w:noProof/>
                <w:webHidden/>
              </w:rPr>
            </w:r>
            <w:r w:rsidR="005037AC">
              <w:rPr>
                <w:noProof/>
                <w:webHidden/>
              </w:rPr>
              <w:fldChar w:fldCharType="separate"/>
            </w:r>
            <w:r w:rsidR="005037AC">
              <w:rPr>
                <w:noProof/>
                <w:webHidden/>
              </w:rPr>
              <w:t>111</w:t>
            </w:r>
            <w:r w:rsidR="005037AC">
              <w:rPr>
                <w:noProof/>
                <w:webHidden/>
              </w:rPr>
              <w:fldChar w:fldCharType="end"/>
            </w:r>
          </w:hyperlink>
        </w:p>
        <w:p w14:paraId="02D39CC7" w14:textId="05F7431A" w:rsidR="005037AC" w:rsidRDefault="0067644A">
          <w:pPr>
            <w:pStyle w:val="TOC3"/>
            <w:tabs>
              <w:tab w:val="right" w:leader="dot" w:pos="8494"/>
            </w:tabs>
            <w:rPr>
              <w:rFonts w:cstheme="minorBidi"/>
              <w:noProof/>
              <w:lang w:val="en-GB" w:eastAsia="en-GB"/>
            </w:rPr>
          </w:pPr>
          <w:hyperlink w:anchor="_Toc82538789" w:history="1">
            <w:r w:rsidR="005037AC" w:rsidRPr="00E90B19">
              <w:rPr>
                <w:rStyle w:val="Hyperlink"/>
                <w:rFonts w:ascii="Arial" w:hAnsi="Arial" w:cs="Arial"/>
                <w:bCs/>
                <w:noProof/>
              </w:rPr>
              <w:t>4.4.1 Experimental</w:t>
            </w:r>
            <w:r w:rsidR="005037AC">
              <w:rPr>
                <w:noProof/>
                <w:webHidden/>
              </w:rPr>
              <w:tab/>
            </w:r>
            <w:r w:rsidR="005037AC">
              <w:rPr>
                <w:noProof/>
                <w:webHidden/>
              </w:rPr>
              <w:fldChar w:fldCharType="begin"/>
            </w:r>
            <w:r w:rsidR="005037AC">
              <w:rPr>
                <w:noProof/>
                <w:webHidden/>
              </w:rPr>
              <w:instrText xml:space="preserve"> PAGEREF _Toc82538789 \h </w:instrText>
            </w:r>
            <w:r w:rsidR="005037AC">
              <w:rPr>
                <w:noProof/>
                <w:webHidden/>
              </w:rPr>
            </w:r>
            <w:r w:rsidR="005037AC">
              <w:rPr>
                <w:noProof/>
                <w:webHidden/>
              </w:rPr>
              <w:fldChar w:fldCharType="separate"/>
            </w:r>
            <w:r w:rsidR="005037AC">
              <w:rPr>
                <w:noProof/>
                <w:webHidden/>
              </w:rPr>
              <w:t>111</w:t>
            </w:r>
            <w:r w:rsidR="005037AC">
              <w:rPr>
                <w:noProof/>
                <w:webHidden/>
              </w:rPr>
              <w:fldChar w:fldCharType="end"/>
            </w:r>
          </w:hyperlink>
        </w:p>
        <w:p w14:paraId="0B322230" w14:textId="6963E9FB" w:rsidR="005037AC" w:rsidRDefault="0067644A">
          <w:pPr>
            <w:pStyle w:val="TOC3"/>
            <w:tabs>
              <w:tab w:val="right" w:leader="dot" w:pos="8494"/>
            </w:tabs>
            <w:rPr>
              <w:rFonts w:cstheme="minorBidi"/>
              <w:noProof/>
              <w:lang w:val="en-GB" w:eastAsia="en-GB"/>
            </w:rPr>
          </w:pPr>
          <w:hyperlink w:anchor="_Toc82538790" w:history="1">
            <w:r w:rsidR="005037AC" w:rsidRPr="00E90B19">
              <w:rPr>
                <w:rStyle w:val="Hyperlink"/>
                <w:rFonts w:ascii="Arial" w:hAnsi="Arial" w:cs="Arial"/>
                <w:noProof/>
              </w:rPr>
              <w:t>4.4.2 Results</w:t>
            </w:r>
            <w:r w:rsidR="005037AC">
              <w:rPr>
                <w:noProof/>
                <w:webHidden/>
              </w:rPr>
              <w:tab/>
            </w:r>
            <w:r w:rsidR="005037AC">
              <w:rPr>
                <w:noProof/>
                <w:webHidden/>
              </w:rPr>
              <w:fldChar w:fldCharType="begin"/>
            </w:r>
            <w:r w:rsidR="005037AC">
              <w:rPr>
                <w:noProof/>
                <w:webHidden/>
              </w:rPr>
              <w:instrText xml:space="preserve"> PAGEREF _Toc82538790 \h </w:instrText>
            </w:r>
            <w:r w:rsidR="005037AC">
              <w:rPr>
                <w:noProof/>
                <w:webHidden/>
              </w:rPr>
            </w:r>
            <w:r w:rsidR="005037AC">
              <w:rPr>
                <w:noProof/>
                <w:webHidden/>
              </w:rPr>
              <w:fldChar w:fldCharType="separate"/>
            </w:r>
            <w:r w:rsidR="005037AC">
              <w:rPr>
                <w:noProof/>
                <w:webHidden/>
              </w:rPr>
              <w:t>111</w:t>
            </w:r>
            <w:r w:rsidR="005037AC">
              <w:rPr>
                <w:noProof/>
                <w:webHidden/>
              </w:rPr>
              <w:fldChar w:fldCharType="end"/>
            </w:r>
          </w:hyperlink>
        </w:p>
        <w:p w14:paraId="1D563F25" w14:textId="2BC2CBB0" w:rsidR="005037AC" w:rsidRDefault="0067644A">
          <w:pPr>
            <w:pStyle w:val="TOC3"/>
            <w:tabs>
              <w:tab w:val="right" w:leader="dot" w:pos="8494"/>
            </w:tabs>
            <w:rPr>
              <w:rFonts w:cstheme="minorBidi"/>
              <w:noProof/>
              <w:lang w:val="en-GB" w:eastAsia="en-GB"/>
            </w:rPr>
          </w:pPr>
          <w:hyperlink w:anchor="_Toc82538791" w:history="1">
            <w:r w:rsidR="005037AC" w:rsidRPr="00E90B19">
              <w:rPr>
                <w:rStyle w:val="Hyperlink"/>
                <w:rFonts w:ascii="Arial" w:hAnsi="Arial" w:cs="Arial"/>
                <w:noProof/>
              </w:rPr>
              <w:t>4.4.3 Conclusion</w:t>
            </w:r>
            <w:r w:rsidR="005037AC">
              <w:rPr>
                <w:noProof/>
                <w:webHidden/>
              </w:rPr>
              <w:tab/>
            </w:r>
            <w:r w:rsidR="005037AC">
              <w:rPr>
                <w:noProof/>
                <w:webHidden/>
              </w:rPr>
              <w:fldChar w:fldCharType="begin"/>
            </w:r>
            <w:r w:rsidR="005037AC">
              <w:rPr>
                <w:noProof/>
                <w:webHidden/>
              </w:rPr>
              <w:instrText xml:space="preserve"> PAGEREF _Toc82538791 \h </w:instrText>
            </w:r>
            <w:r w:rsidR="005037AC">
              <w:rPr>
                <w:noProof/>
                <w:webHidden/>
              </w:rPr>
            </w:r>
            <w:r w:rsidR="005037AC">
              <w:rPr>
                <w:noProof/>
                <w:webHidden/>
              </w:rPr>
              <w:fldChar w:fldCharType="separate"/>
            </w:r>
            <w:r w:rsidR="005037AC">
              <w:rPr>
                <w:noProof/>
                <w:webHidden/>
              </w:rPr>
              <w:t>115</w:t>
            </w:r>
            <w:r w:rsidR="005037AC">
              <w:rPr>
                <w:noProof/>
                <w:webHidden/>
              </w:rPr>
              <w:fldChar w:fldCharType="end"/>
            </w:r>
          </w:hyperlink>
        </w:p>
        <w:p w14:paraId="10C11F4A" w14:textId="086558C6" w:rsidR="005037AC" w:rsidRDefault="0067644A">
          <w:pPr>
            <w:pStyle w:val="TOC2"/>
            <w:tabs>
              <w:tab w:val="right" w:leader="dot" w:pos="8494"/>
            </w:tabs>
            <w:rPr>
              <w:rFonts w:eastAsiaTheme="minorEastAsia"/>
              <w:noProof/>
              <w:lang w:eastAsia="en-GB"/>
            </w:rPr>
          </w:pPr>
          <w:hyperlink w:anchor="_Toc82538792" w:history="1">
            <w:r w:rsidR="005037AC" w:rsidRPr="00E90B19">
              <w:rPr>
                <w:rStyle w:val="Hyperlink"/>
                <w:rFonts w:ascii="Arial" w:hAnsi="Arial" w:cs="Arial"/>
                <w:noProof/>
              </w:rPr>
              <w:t>4.5 Mechanical pre-lithiation of silicon</w:t>
            </w:r>
            <w:r w:rsidR="005037AC">
              <w:rPr>
                <w:noProof/>
                <w:webHidden/>
              </w:rPr>
              <w:tab/>
            </w:r>
            <w:r w:rsidR="005037AC">
              <w:rPr>
                <w:noProof/>
                <w:webHidden/>
              </w:rPr>
              <w:fldChar w:fldCharType="begin"/>
            </w:r>
            <w:r w:rsidR="005037AC">
              <w:rPr>
                <w:noProof/>
                <w:webHidden/>
              </w:rPr>
              <w:instrText xml:space="preserve"> PAGEREF _Toc82538792 \h </w:instrText>
            </w:r>
            <w:r w:rsidR="005037AC">
              <w:rPr>
                <w:noProof/>
                <w:webHidden/>
              </w:rPr>
            </w:r>
            <w:r w:rsidR="005037AC">
              <w:rPr>
                <w:noProof/>
                <w:webHidden/>
              </w:rPr>
              <w:fldChar w:fldCharType="separate"/>
            </w:r>
            <w:r w:rsidR="005037AC">
              <w:rPr>
                <w:noProof/>
                <w:webHidden/>
              </w:rPr>
              <w:t>115</w:t>
            </w:r>
            <w:r w:rsidR="005037AC">
              <w:rPr>
                <w:noProof/>
                <w:webHidden/>
              </w:rPr>
              <w:fldChar w:fldCharType="end"/>
            </w:r>
          </w:hyperlink>
        </w:p>
        <w:p w14:paraId="5BDA0E98" w14:textId="13EC7267" w:rsidR="005037AC" w:rsidRDefault="0067644A">
          <w:pPr>
            <w:pStyle w:val="TOC3"/>
            <w:tabs>
              <w:tab w:val="right" w:leader="dot" w:pos="8494"/>
            </w:tabs>
            <w:rPr>
              <w:rFonts w:cstheme="minorBidi"/>
              <w:noProof/>
              <w:lang w:val="en-GB" w:eastAsia="en-GB"/>
            </w:rPr>
          </w:pPr>
          <w:hyperlink w:anchor="_Toc82538793" w:history="1">
            <w:r w:rsidR="005037AC" w:rsidRPr="00E90B19">
              <w:rPr>
                <w:rStyle w:val="Hyperlink"/>
                <w:rFonts w:ascii="Arial" w:hAnsi="Arial" w:cs="Arial"/>
                <w:noProof/>
              </w:rPr>
              <w:t>4.5.1 Experimental</w:t>
            </w:r>
            <w:r w:rsidR="005037AC">
              <w:rPr>
                <w:noProof/>
                <w:webHidden/>
              </w:rPr>
              <w:tab/>
            </w:r>
            <w:r w:rsidR="005037AC">
              <w:rPr>
                <w:noProof/>
                <w:webHidden/>
              </w:rPr>
              <w:fldChar w:fldCharType="begin"/>
            </w:r>
            <w:r w:rsidR="005037AC">
              <w:rPr>
                <w:noProof/>
                <w:webHidden/>
              </w:rPr>
              <w:instrText xml:space="preserve"> PAGEREF _Toc82538793 \h </w:instrText>
            </w:r>
            <w:r w:rsidR="005037AC">
              <w:rPr>
                <w:noProof/>
                <w:webHidden/>
              </w:rPr>
            </w:r>
            <w:r w:rsidR="005037AC">
              <w:rPr>
                <w:noProof/>
                <w:webHidden/>
              </w:rPr>
              <w:fldChar w:fldCharType="separate"/>
            </w:r>
            <w:r w:rsidR="005037AC">
              <w:rPr>
                <w:noProof/>
                <w:webHidden/>
              </w:rPr>
              <w:t>115</w:t>
            </w:r>
            <w:r w:rsidR="005037AC">
              <w:rPr>
                <w:noProof/>
                <w:webHidden/>
              </w:rPr>
              <w:fldChar w:fldCharType="end"/>
            </w:r>
          </w:hyperlink>
        </w:p>
        <w:p w14:paraId="576EC1F5" w14:textId="7CBBF86A" w:rsidR="005037AC" w:rsidRDefault="0067644A">
          <w:pPr>
            <w:pStyle w:val="TOC3"/>
            <w:tabs>
              <w:tab w:val="right" w:leader="dot" w:pos="8494"/>
            </w:tabs>
            <w:rPr>
              <w:rFonts w:cstheme="minorBidi"/>
              <w:noProof/>
              <w:lang w:val="en-GB" w:eastAsia="en-GB"/>
            </w:rPr>
          </w:pPr>
          <w:hyperlink w:anchor="_Toc82538794" w:history="1">
            <w:r w:rsidR="005037AC" w:rsidRPr="00E90B19">
              <w:rPr>
                <w:rStyle w:val="Hyperlink"/>
                <w:rFonts w:ascii="Arial" w:hAnsi="Arial" w:cs="Arial"/>
                <w:noProof/>
              </w:rPr>
              <w:t>4.5.2 Results</w:t>
            </w:r>
            <w:r w:rsidR="005037AC">
              <w:rPr>
                <w:noProof/>
                <w:webHidden/>
              </w:rPr>
              <w:tab/>
            </w:r>
            <w:r w:rsidR="005037AC">
              <w:rPr>
                <w:noProof/>
                <w:webHidden/>
              </w:rPr>
              <w:fldChar w:fldCharType="begin"/>
            </w:r>
            <w:r w:rsidR="005037AC">
              <w:rPr>
                <w:noProof/>
                <w:webHidden/>
              </w:rPr>
              <w:instrText xml:space="preserve"> PAGEREF _Toc82538794 \h </w:instrText>
            </w:r>
            <w:r w:rsidR="005037AC">
              <w:rPr>
                <w:noProof/>
                <w:webHidden/>
              </w:rPr>
            </w:r>
            <w:r w:rsidR="005037AC">
              <w:rPr>
                <w:noProof/>
                <w:webHidden/>
              </w:rPr>
              <w:fldChar w:fldCharType="separate"/>
            </w:r>
            <w:r w:rsidR="005037AC">
              <w:rPr>
                <w:noProof/>
                <w:webHidden/>
              </w:rPr>
              <w:t>116</w:t>
            </w:r>
            <w:r w:rsidR="005037AC">
              <w:rPr>
                <w:noProof/>
                <w:webHidden/>
              </w:rPr>
              <w:fldChar w:fldCharType="end"/>
            </w:r>
          </w:hyperlink>
        </w:p>
        <w:p w14:paraId="4F13C957" w14:textId="3AFC91D1" w:rsidR="005037AC" w:rsidRDefault="0067644A">
          <w:pPr>
            <w:pStyle w:val="TOC3"/>
            <w:tabs>
              <w:tab w:val="right" w:leader="dot" w:pos="8494"/>
            </w:tabs>
            <w:rPr>
              <w:rFonts w:cstheme="minorBidi"/>
              <w:noProof/>
              <w:lang w:val="en-GB" w:eastAsia="en-GB"/>
            </w:rPr>
          </w:pPr>
          <w:hyperlink w:anchor="_Toc82538795" w:history="1">
            <w:r w:rsidR="005037AC" w:rsidRPr="00E90B19">
              <w:rPr>
                <w:rStyle w:val="Hyperlink"/>
                <w:rFonts w:ascii="Arial" w:hAnsi="Arial" w:cs="Arial"/>
                <w:noProof/>
              </w:rPr>
              <w:t>4.5.3 Conclusion</w:t>
            </w:r>
            <w:r w:rsidR="005037AC">
              <w:rPr>
                <w:noProof/>
                <w:webHidden/>
              </w:rPr>
              <w:tab/>
            </w:r>
            <w:r w:rsidR="005037AC">
              <w:rPr>
                <w:noProof/>
                <w:webHidden/>
              </w:rPr>
              <w:fldChar w:fldCharType="begin"/>
            </w:r>
            <w:r w:rsidR="005037AC">
              <w:rPr>
                <w:noProof/>
                <w:webHidden/>
              </w:rPr>
              <w:instrText xml:space="preserve"> PAGEREF _Toc82538795 \h </w:instrText>
            </w:r>
            <w:r w:rsidR="005037AC">
              <w:rPr>
                <w:noProof/>
                <w:webHidden/>
              </w:rPr>
            </w:r>
            <w:r w:rsidR="005037AC">
              <w:rPr>
                <w:noProof/>
                <w:webHidden/>
              </w:rPr>
              <w:fldChar w:fldCharType="separate"/>
            </w:r>
            <w:r w:rsidR="005037AC">
              <w:rPr>
                <w:noProof/>
                <w:webHidden/>
              </w:rPr>
              <w:t>119</w:t>
            </w:r>
            <w:r w:rsidR="005037AC">
              <w:rPr>
                <w:noProof/>
                <w:webHidden/>
              </w:rPr>
              <w:fldChar w:fldCharType="end"/>
            </w:r>
          </w:hyperlink>
        </w:p>
        <w:p w14:paraId="451FF9AE" w14:textId="4019D56E" w:rsidR="005037AC" w:rsidRDefault="0067644A">
          <w:pPr>
            <w:pStyle w:val="TOC2"/>
            <w:tabs>
              <w:tab w:val="right" w:leader="dot" w:pos="8494"/>
            </w:tabs>
            <w:rPr>
              <w:rFonts w:eastAsiaTheme="minorEastAsia"/>
              <w:noProof/>
              <w:lang w:eastAsia="en-GB"/>
            </w:rPr>
          </w:pPr>
          <w:hyperlink w:anchor="_Toc82538796" w:history="1">
            <w:r w:rsidR="005037AC" w:rsidRPr="00E90B19">
              <w:rPr>
                <w:rStyle w:val="Hyperlink"/>
                <w:rFonts w:ascii="Arial" w:hAnsi="Arial" w:cs="Arial"/>
                <w:noProof/>
              </w:rPr>
              <w:t>4.6 The choice of Si used for cycling</w:t>
            </w:r>
            <w:r w:rsidR="005037AC">
              <w:rPr>
                <w:noProof/>
                <w:webHidden/>
              </w:rPr>
              <w:tab/>
            </w:r>
            <w:r w:rsidR="005037AC">
              <w:rPr>
                <w:noProof/>
                <w:webHidden/>
              </w:rPr>
              <w:fldChar w:fldCharType="begin"/>
            </w:r>
            <w:r w:rsidR="005037AC">
              <w:rPr>
                <w:noProof/>
                <w:webHidden/>
              </w:rPr>
              <w:instrText xml:space="preserve"> PAGEREF _Toc82538796 \h </w:instrText>
            </w:r>
            <w:r w:rsidR="005037AC">
              <w:rPr>
                <w:noProof/>
                <w:webHidden/>
              </w:rPr>
            </w:r>
            <w:r w:rsidR="005037AC">
              <w:rPr>
                <w:noProof/>
                <w:webHidden/>
              </w:rPr>
              <w:fldChar w:fldCharType="separate"/>
            </w:r>
            <w:r w:rsidR="005037AC">
              <w:rPr>
                <w:noProof/>
                <w:webHidden/>
              </w:rPr>
              <w:t>119</w:t>
            </w:r>
            <w:r w:rsidR="005037AC">
              <w:rPr>
                <w:noProof/>
                <w:webHidden/>
              </w:rPr>
              <w:fldChar w:fldCharType="end"/>
            </w:r>
          </w:hyperlink>
        </w:p>
        <w:p w14:paraId="76BA5157" w14:textId="11F71FFC" w:rsidR="005037AC" w:rsidRDefault="0067644A">
          <w:pPr>
            <w:pStyle w:val="TOC3"/>
            <w:tabs>
              <w:tab w:val="right" w:leader="dot" w:pos="8494"/>
            </w:tabs>
            <w:rPr>
              <w:rFonts w:cstheme="minorBidi"/>
              <w:noProof/>
              <w:lang w:val="en-GB" w:eastAsia="en-GB"/>
            </w:rPr>
          </w:pPr>
          <w:hyperlink w:anchor="_Toc82538797" w:history="1">
            <w:r w:rsidR="005037AC" w:rsidRPr="00E90B19">
              <w:rPr>
                <w:rStyle w:val="Hyperlink"/>
                <w:rFonts w:ascii="Arial" w:hAnsi="Arial" w:cs="Arial"/>
                <w:noProof/>
              </w:rPr>
              <w:t>4.6.1 Experimental</w:t>
            </w:r>
            <w:r w:rsidR="005037AC">
              <w:rPr>
                <w:noProof/>
                <w:webHidden/>
              </w:rPr>
              <w:tab/>
            </w:r>
            <w:r w:rsidR="005037AC">
              <w:rPr>
                <w:noProof/>
                <w:webHidden/>
              </w:rPr>
              <w:fldChar w:fldCharType="begin"/>
            </w:r>
            <w:r w:rsidR="005037AC">
              <w:rPr>
                <w:noProof/>
                <w:webHidden/>
              </w:rPr>
              <w:instrText xml:space="preserve"> PAGEREF _Toc82538797 \h </w:instrText>
            </w:r>
            <w:r w:rsidR="005037AC">
              <w:rPr>
                <w:noProof/>
                <w:webHidden/>
              </w:rPr>
            </w:r>
            <w:r w:rsidR="005037AC">
              <w:rPr>
                <w:noProof/>
                <w:webHidden/>
              </w:rPr>
              <w:fldChar w:fldCharType="separate"/>
            </w:r>
            <w:r w:rsidR="005037AC">
              <w:rPr>
                <w:noProof/>
                <w:webHidden/>
              </w:rPr>
              <w:t>119</w:t>
            </w:r>
            <w:r w:rsidR="005037AC">
              <w:rPr>
                <w:noProof/>
                <w:webHidden/>
              </w:rPr>
              <w:fldChar w:fldCharType="end"/>
            </w:r>
          </w:hyperlink>
        </w:p>
        <w:p w14:paraId="64CF5B3B" w14:textId="21358875" w:rsidR="005037AC" w:rsidRDefault="0067644A">
          <w:pPr>
            <w:pStyle w:val="TOC3"/>
            <w:tabs>
              <w:tab w:val="right" w:leader="dot" w:pos="8494"/>
            </w:tabs>
            <w:rPr>
              <w:rFonts w:cstheme="minorBidi"/>
              <w:noProof/>
              <w:lang w:val="en-GB" w:eastAsia="en-GB"/>
            </w:rPr>
          </w:pPr>
          <w:hyperlink w:anchor="_Toc82538798" w:history="1">
            <w:r w:rsidR="005037AC" w:rsidRPr="00E90B19">
              <w:rPr>
                <w:rStyle w:val="Hyperlink"/>
                <w:rFonts w:ascii="Arial" w:hAnsi="Arial" w:cs="Arial"/>
                <w:noProof/>
              </w:rPr>
              <w:t>4.6.2 Results</w:t>
            </w:r>
            <w:r w:rsidR="005037AC">
              <w:rPr>
                <w:noProof/>
                <w:webHidden/>
              </w:rPr>
              <w:tab/>
            </w:r>
            <w:r w:rsidR="005037AC">
              <w:rPr>
                <w:noProof/>
                <w:webHidden/>
              </w:rPr>
              <w:fldChar w:fldCharType="begin"/>
            </w:r>
            <w:r w:rsidR="005037AC">
              <w:rPr>
                <w:noProof/>
                <w:webHidden/>
              </w:rPr>
              <w:instrText xml:space="preserve"> PAGEREF _Toc82538798 \h </w:instrText>
            </w:r>
            <w:r w:rsidR="005037AC">
              <w:rPr>
                <w:noProof/>
                <w:webHidden/>
              </w:rPr>
            </w:r>
            <w:r w:rsidR="005037AC">
              <w:rPr>
                <w:noProof/>
                <w:webHidden/>
              </w:rPr>
              <w:fldChar w:fldCharType="separate"/>
            </w:r>
            <w:r w:rsidR="005037AC">
              <w:rPr>
                <w:noProof/>
                <w:webHidden/>
              </w:rPr>
              <w:t>120</w:t>
            </w:r>
            <w:r w:rsidR="005037AC">
              <w:rPr>
                <w:noProof/>
                <w:webHidden/>
              </w:rPr>
              <w:fldChar w:fldCharType="end"/>
            </w:r>
          </w:hyperlink>
        </w:p>
        <w:p w14:paraId="01EBE48B" w14:textId="63E5A692" w:rsidR="005037AC" w:rsidRDefault="0067644A">
          <w:pPr>
            <w:pStyle w:val="TOC3"/>
            <w:tabs>
              <w:tab w:val="right" w:leader="dot" w:pos="8494"/>
            </w:tabs>
            <w:rPr>
              <w:rFonts w:cstheme="minorBidi"/>
              <w:noProof/>
              <w:lang w:val="en-GB" w:eastAsia="en-GB"/>
            </w:rPr>
          </w:pPr>
          <w:hyperlink w:anchor="_Toc82538799" w:history="1">
            <w:r w:rsidR="005037AC" w:rsidRPr="00E90B19">
              <w:rPr>
                <w:rStyle w:val="Hyperlink"/>
                <w:rFonts w:ascii="Arial" w:hAnsi="Arial" w:cs="Arial"/>
                <w:noProof/>
              </w:rPr>
              <w:t>4.6.3 Conclusion</w:t>
            </w:r>
            <w:r w:rsidR="005037AC">
              <w:rPr>
                <w:noProof/>
                <w:webHidden/>
              </w:rPr>
              <w:tab/>
            </w:r>
            <w:r w:rsidR="005037AC">
              <w:rPr>
                <w:noProof/>
                <w:webHidden/>
              </w:rPr>
              <w:fldChar w:fldCharType="begin"/>
            </w:r>
            <w:r w:rsidR="005037AC">
              <w:rPr>
                <w:noProof/>
                <w:webHidden/>
              </w:rPr>
              <w:instrText xml:space="preserve"> PAGEREF _Toc82538799 \h </w:instrText>
            </w:r>
            <w:r w:rsidR="005037AC">
              <w:rPr>
                <w:noProof/>
                <w:webHidden/>
              </w:rPr>
            </w:r>
            <w:r w:rsidR="005037AC">
              <w:rPr>
                <w:noProof/>
                <w:webHidden/>
              </w:rPr>
              <w:fldChar w:fldCharType="separate"/>
            </w:r>
            <w:r w:rsidR="005037AC">
              <w:rPr>
                <w:noProof/>
                <w:webHidden/>
              </w:rPr>
              <w:t>122</w:t>
            </w:r>
            <w:r w:rsidR="005037AC">
              <w:rPr>
                <w:noProof/>
                <w:webHidden/>
              </w:rPr>
              <w:fldChar w:fldCharType="end"/>
            </w:r>
          </w:hyperlink>
        </w:p>
        <w:p w14:paraId="51AB5082" w14:textId="190DDD5B" w:rsidR="005037AC" w:rsidRDefault="0067644A">
          <w:pPr>
            <w:pStyle w:val="TOC1"/>
            <w:tabs>
              <w:tab w:val="right" w:leader="dot" w:pos="8494"/>
            </w:tabs>
            <w:rPr>
              <w:rFonts w:eastAsiaTheme="minorEastAsia"/>
              <w:noProof/>
              <w:lang w:eastAsia="en-GB"/>
            </w:rPr>
          </w:pPr>
          <w:hyperlink w:anchor="_Toc82538800" w:history="1">
            <w:r w:rsidR="005037AC" w:rsidRPr="00E90B19">
              <w:rPr>
                <w:rStyle w:val="Hyperlink"/>
                <w:rFonts w:ascii="Arial" w:hAnsi="Arial" w:cs="Arial"/>
                <w:b/>
                <w:noProof/>
              </w:rPr>
              <w:t>Chapter 5: Observing the dynamic exchange of the SEI using EIS</w:t>
            </w:r>
            <w:r w:rsidR="005037AC">
              <w:rPr>
                <w:noProof/>
                <w:webHidden/>
              </w:rPr>
              <w:tab/>
            </w:r>
            <w:r w:rsidR="005037AC">
              <w:rPr>
                <w:noProof/>
                <w:webHidden/>
              </w:rPr>
              <w:fldChar w:fldCharType="begin"/>
            </w:r>
            <w:r w:rsidR="005037AC">
              <w:rPr>
                <w:noProof/>
                <w:webHidden/>
              </w:rPr>
              <w:instrText xml:space="preserve"> PAGEREF _Toc82538800 \h </w:instrText>
            </w:r>
            <w:r w:rsidR="005037AC">
              <w:rPr>
                <w:noProof/>
                <w:webHidden/>
              </w:rPr>
            </w:r>
            <w:r w:rsidR="005037AC">
              <w:rPr>
                <w:noProof/>
                <w:webHidden/>
              </w:rPr>
              <w:fldChar w:fldCharType="separate"/>
            </w:r>
            <w:r w:rsidR="005037AC">
              <w:rPr>
                <w:noProof/>
                <w:webHidden/>
              </w:rPr>
              <w:t>123</w:t>
            </w:r>
            <w:r w:rsidR="005037AC">
              <w:rPr>
                <w:noProof/>
                <w:webHidden/>
              </w:rPr>
              <w:fldChar w:fldCharType="end"/>
            </w:r>
          </w:hyperlink>
        </w:p>
        <w:p w14:paraId="343C64EB" w14:textId="28F5B204" w:rsidR="005037AC" w:rsidRDefault="0067644A">
          <w:pPr>
            <w:pStyle w:val="TOC2"/>
            <w:tabs>
              <w:tab w:val="right" w:leader="dot" w:pos="8494"/>
            </w:tabs>
            <w:rPr>
              <w:rFonts w:eastAsiaTheme="minorEastAsia"/>
              <w:noProof/>
              <w:lang w:eastAsia="en-GB"/>
            </w:rPr>
          </w:pPr>
          <w:hyperlink w:anchor="_Toc82538801" w:history="1">
            <w:r w:rsidR="005037AC" w:rsidRPr="00E90B19">
              <w:rPr>
                <w:rStyle w:val="Hyperlink"/>
                <w:rFonts w:ascii="Arial" w:hAnsi="Arial" w:cs="Arial"/>
                <w:noProof/>
              </w:rPr>
              <w:t>5.1 Introduction</w:t>
            </w:r>
            <w:r w:rsidR="005037AC">
              <w:rPr>
                <w:noProof/>
                <w:webHidden/>
              </w:rPr>
              <w:tab/>
            </w:r>
            <w:r w:rsidR="005037AC">
              <w:rPr>
                <w:noProof/>
                <w:webHidden/>
              </w:rPr>
              <w:fldChar w:fldCharType="begin"/>
            </w:r>
            <w:r w:rsidR="005037AC">
              <w:rPr>
                <w:noProof/>
                <w:webHidden/>
              </w:rPr>
              <w:instrText xml:space="preserve"> PAGEREF _Toc82538801 \h </w:instrText>
            </w:r>
            <w:r w:rsidR="005037AC">
              <w:rPr>
                <w:noProof/>
                <w:webHidden/>
              </w:rPr>
            </w:r>
            <w:r w:rsidR="005037AC">
              <w:rPr>
                <w:noProof/>
                <w:webHidden/>
              </w:rPr>
              <w:fldChar w:fldCharType="separate"/>
            </w:r>
            <w:r w:rsidR="005037AC">
              <w:rPr>
                <w:noProof/>
                <w:webHidden/>
              </w:rPr>
              <w:t>124</w:t>
            </w:r>
            <w:r w:rsidR="005037AC">
              <w:rPr>
                <w:noProof/>
                <w:webHidden/>
              </w:rPr>
              <w:fldChar w:fldCharType="end"/>
            </w:r>
          </w:hyperlink>
        </w:p>
        <w:p w14:paraId="0BF8661D" w14:textId="077FD3C4" w:rsidR="005037AC" w:rsidRDefault="0067644A">
          <w:pPr>
            <w:pStyle w:val="TOC2"/>
            <w:tabs>
              <w:tab w:val="right" w:leader="dot" w:pos="8494"/>
            </w:tabs>
            <w:rPr>
              <w:rFonts w:eastAsiaTheme="minorEastAsia"/>
              <w:noProof/>
              <w:lang w:eastAsia="en-GB"/>
            </w:rPr>
          </w:pPr>
          <w:hyperlink w:anchor="_Toc82538802" w:history="1">
            <w:r w:rsidR="005037AC" w:rsidRPr="00E90B19">
              <w:rPr>
                <w:rStyle w:val="Hyperlink"/>
                <w:rFonts w:ascii="Arial" w:hAnsi="Arial" w:cs="Arial"/>
                <w:noProof/>
              </w:rPr>
              <w:t>5.2 Using EIS to observe the exchange process</w:t>
            </w:r>
            <w:r w:rsidR="005037AC">
              <w:rPr>
                <w:noProof/>
                <w:webHidden/>
              </w:rPr>
              <w:tab/>
            </w:r>
            <w:r w:rsidR="005037AC">
              <w:rPr>
                <w:noProof/>
                <w:webHidden/>
              </w:rPr>
              <w:fldChar w:fldCharType="begin"/>
            </w:r>
            <w:r w:rsidR="005037AC">
              <w:rPr>
                <w:noProof/>
                <w:webHidden/>
              </w:rPr>
              <w:instrText xml:space="preserve"> PAGEREF _Toc82538802 \h </w:instrText>
            </w:r>
            <w:r w:rsidR="005037AC">
              <w:rPr>
                <w:noProof/>
                <w:webHidden/>
              </w:rPr>
            </w:r>
            <w:r w:rsidR="005037AC">
              <w:rPr>
                <w:noProof/>
                <w:webHidden/>
              </w:rPr>
              <w:fldChar w:fldCharType="separate"/>
            </w:r>
            <w:r w:rsidR="005037AC">
              <w:rPr>
                <w:noProof/>
                <w:webHidden/>
              </w:rPr>
              <w:t>124</w:t>
            </w:r>
            <w:r w:rsidR="005037AC">
              <w:rPr>
                <w:noProof/>
                <w:webHidden/>
              </w:rPr>
              <w:fldChar w:fldCharType="end"/>
            </w:r>
          </w:hyperlink>
        </w:p>
        <w:p w14:paraId="537218BC" w14:textId="677B087A" w:rsidR="005037AC" w:rsidRDefault="0067644A">
          <w:pPr>
            <w:pStyle w:val="TOC3"/>
            <w:tabs>
              <w:tab w:val="right" w:leader="dot" w:pos="8494"/>
            </w:tabs>
            <w:rPr>
              <w:rFonts w:cstheme="minorBidi"/>
              <w:noProof/>
              <w:lang w:val="en-GB" w:eastAsia="en-GB"/>
            </w:rPr>
          </w:pPr>
          <w:hyperlink w:anchor="_Toc82538803" w:history="1">
            <w:r w:rsidR="005037AC" w:rsidRPr="00E90B19">
              <w:rPr>
                <w:rStyle w:val="Hyperlink"/>
                <w:rFonts w:ascii="Arial" w:hAnsi="Arial" w:cs="Arial"/>
                <w:noProof/>
              </w:rPr>
              <w:t>5.2.1 Experimental</w:t>
            </w:r>
            <w:r w:rsidR="005037AC">
              <w:rPr>
                <w:noProof/>
                <w:webHidden/>
              </w:rPr>
              <w:tab/>
            </w:r>
            <w:r w:rsidR="005037AC">
              <w:rPr>
                <w:noProof/>
                <w:webHidden/>
              </w:rPr>
              <w:fldChar w:fldCharType="begin"/>
            </w:r>
            <w:r w:rsidR="005037AC">
              <w:rPr>
                <w:noProof/>
                <w:webHidden/>
              </w:rPr>
              <w:instrText xml:space="preserve"> PAGEREF _Toc82538803 \h </w:instrText>
            </w:r>
            <w:r w:rsidR="005037AC">
              <w:rPr>
                <w:noProof/>
                <w:webHidden/>
              </w:rPr>
            </w:r>
            <w:r w:rsidR="005037AC">
              <w:rPr>
                <w:noProof/>
                <w:webHidden/>
              </w:rPr>
              <w:fldChar w:fldCharType="separate"/>
            </w:r>
            <w:r w:rsidR="005037AC">
              <w:rPr>
                <w:noProof/>
                <w:webHidden/>
              </w:rPr>
              <w:t>124</w:t>
            </w:r>
            <w:r w:rsidR="005037AC">
              <w:rPr>
                <w:noProof/>
                <w:webHidden/>
              </w:rPr>
              <w:fldChar w:fldCharType="end"/>
            </w:r>
          </w:hyperlink>
        </w:p>
        <w:p w14:paraId="5B2BD8F5" w14:textId="10E28907" w:rsidR="005037AC" w:rsidRDefault="0067644A">
          <w:pPr>
            <w:pStyle w:val="TOC3"/>
            <w:tabs>
              <w:tab w:val="right" w:leader="dot" w:pos="8494"/>
            </w:tabs>
            <w:rPr>
              <w:rFonts w:cstheme="minorBidi"/>
              <w:noProof/>
              <w:lang w:val="en-GB" w:eastAsia="en-GB"/>
            </w:rPr>
          </w:pPr>
          <w:hyperlink w:anchor="_Toc82538804" w:history="1">
            <w:r w:rsidR="005037AC" w:rsidRPr="00E90B19">
              <w:rPr>
                <w:rStyle w:val="Hyperlink"/>
                <w:rFonts w:ascii="Arial" w:hAnsi="Arial" w:cs="Arial"/>
                <w:noProof/>
              </w:rPr>
              <w:t>5.2.2 Results</w:t>
            </w:r>
            <w:r w:rsidR="005037AC">
              <w:rPr>
                <w:noProof/>
                <w:webHidden/>
              </w:rPr>
              <w:tab/>
            </w:r>
            <w:r w:rsidR="005037AC">
              <w:rPr>
                <w:noProof/>
                <w:webHidden/>
              </w:rPr>
              <w:fldChar w:fldCharType="begin"/>
            </w:r>
            <w:r w:rsidR="005037AC">
              <w:rPr>
                <w:noProof/>
                <w:webHidden/>
              </w:rPr>
              <w:instrText xml:space="preserve"> PAGEREF _Toc82538804 \h </w:instrText>
            </w:r>
            <w:r w:rsidR="005037AC">
              <w:rPr>
                <w:noProof/>
                <w:webHidden/>
              </w:rPr>
            </w:r>
            <w:r w:rsidR="005037AC">
              <w:rPr>
                <w:noProof/>
                <w:webHidden/>
              </w:rPr>
              <w:fldChar w:fldCharType="separate"/>
            </w:r>
            <w:r w:rsidR="005037AC">
              <w:rPr>
                <w:noProof/>
                <w:webHidden/>
              </w:rPr>
              <w:t>125</w:t>
            </w:r>
            <w:r w:rsidR="005037AC">
              <w:rPr>
                <w:noProof/>
                <w:webHidden/>
              </w:rPr>
              <w:fldChar w:fldCharType="end"/>
            </w:r>
          </w:hyperlink>
        </w:p>
        <w:p w14:paraId="3C2F2817" w14:textId="5B4689B6" w:rsidR="005037AC" w:rsidRDefault="0067644A">
          <w:pPr>
            <w:pStyle w:val="TOC3"/>
            <w:tabs>
              <w:tab w:val="right" w:leader="dot" w:pos="8494"/>
            </w:tabs>
            <w:rPr>
              <w:rFonts w:cstheme="minorBidi"/>
              <w:noProof/>
              <w:lang w:val="en-GB" w:eastAsia="en-GB"/>
            </w:rPr>
          </w:pPr>
          <w:hyperlink w:anchor="_Toc82538805" w:history="1">
            <w:r w:rsidR="005037AC" w:rsidRPr="00E90B19">
              <w:rPr>
                <w:rStyle w:val="Hyperlink"/>
                <w:rFonts w:ascii="Arial" w:hAnsi="Arial" w:cs="Arial"/>
                <w:noProof/>
              </w:rPr>
              <w:t>5.2.3 Conclusions</w:t>
            </w:r>
            <w:r w:rsidR="005037AC">
              <w:rPr>
                <w:noProof/>
                <w:webHidden/>
              </w:rPr>
              <w:tab/>
            </w:r>
            <w:r w:rsidR="005037AC">
              <w:rPr>
                <w:noProof/>
                <w:webHidden/>
              </w:rPr>
              <w:fldChar w:fldCharType="begin"/>
            </w:r>
            <w:r w:rsidR="005037AC">
              <w:rPr>
                <w:noProof/>
                <w:webHidden/>
              </w:rPr>
              <w:instrText xml:space="preserve"> PAGEREF _Toc82538805 \h </w:instrText>
            </w:r>
            <w:r w:rsidR="005037AC">
              <w:rPr>
                <w:noProof/>
                <w:webHidden/>
              </w:rPr>
            </w:r>
            <w:r w:rsidR="005037AC">
              <w:rPr>
                <w:noProof/>
                <w:webHidden/>
              </w:rPr>
              <w:fldChar w:fldCharType="separate"/>
            </w:r>
            <w:r w:rsidR="005037AC">
              <w:rPr>
                <w:noProof/>
                <w:webHidden/>
              </w:rPr>
              <w:t>131</w:t>
            </w:r>
            <w:r w:rsidR="005037AC">
              <w:rPr>
                <w:noProof/>
                <w:webHidden/>
              </w:rPr>
              <w:fldChar w:fldCharType="end"/>
            </w:r>
          </w:hyperlink>
        </w:p>
        <w:p w14:paraId="7821C235" w14:textId="39891303" w:rsidR="005037AC" w:rsidRDefault="0067644A">
          <w:pPr>
            <w:pStyle w:val="TOC1"/>
            <w:tabs>
              <w:tab w:val="right" w:leader="dot" w:pos="8494"/>
            </w:tabs>
            <w:rPr>
              <w:rFonts w:eastAsiaTheme="minorEastAsia"/>
              <w:noProof/>
              <w:lang w:eastAsia="en-GB"/>
            </w:rPr>
          </w:pPr>
          <w:hyperlink w:anchor="_Toc82538806" w:history="1">
            <w:r w:rsidR="005037AC" w:rsidRPr="00E90B19">
              <w:rPr>
                <w:rStyle w:val="Hyperlink"/>
                <w:rFonts w:ascii="Arial" w:hAnsi="Arial" w:cs="Arial"/>
                <w:b/>
                <w:noProof/>
              </w:rPr>
              <w:t>Chapter 6: Pre-lithiation of hard carbon anodes for Na-ion batteries</w:t>
            </w:r>
            <w:r w:rsidR="005037AC">
              <w:rPr>
                <w:noProof/>
                <w:webHidden/>
              </w:rPr>
              <w:tab/>
            </w:r>
            <w:r w:rsidR="005037AC">
              <w:rPr>
                <w:noProof/>
                <w:webHidden/>
              </w:rPr>
              <w:fldChar w:fldCharType="begin"/>
            </w:r>
            <w:r w:rsidR="005037AC">
              <w:rPr>
                <w:noProof/>
                <w:webHidden/>
              </w:rPr>
              <w:instrText xml:space="preserve"> PAGEREF _Toc82538806 \h </w:instrText>
            </w:r>
            <w:r w:rsidR="005037AC">
              <w:rPr>
                <w:noProof/>
                <w:webHidden/>
              </w:rPr>
            </w:r>
            <w:r w:rsidR="005037AC">
              <w:rPr>
                <w:noProof/>
                <w:webHidden/>
              </w:rPr>
              <w:fldChar w:fldCharType="separate"/>
            </w:r>
            <w:r w:rsidR="005037AC">
              <w:rPr>
                <w:noProof/>
                <w:webHidden/>
              </w:rPr>
              <w:t>133</w:t>
            </w:r>
            <w:r w:rsidR="005037AC">
              <w:rPr>
                <w:noProof/>
                <w:webHidden/>
              </w:rPr>
              <w:fldChar w:fldCharType="end"/>
            </w:r>
          </w:hyperlink>
        </w:p>
        <w:p w14:paraId="422472E0" w14:textId="182B6653" w:rsidR="005037AC" w:rsidRDefault="0067644A">
          <w:pPr>
            <w:pStyle w:val="TOC2"/>
            <w:tabs>
              <w:tab w:val="right" w:leader="dot" w:pos="8494"/>
            </w:tabs>
            <w:rPr>
              <w:rFonts w:eastAsiaTheme="minorEastAsia"/>
              <w:noProof/>
              <w:lang w:eastAsia="en-GB"/>
            </w:rPr>
          </w:pPr>
          <w:hyperlink w:anchor="_Toc82538807" w:history="1">
            <w:r w:rsidR="005037AC" w:rsidRPr="00E90B19">
              <w:rPr>
                <w:rStyle w:val="Hyperlink"/>
                <w:rFonts w:ascii="Arial" w:hAnsi="Arial" w:cs="Arial"/>
                <w:noProof/>
              </w:rPr>
              <w:t>6.1 Introduction</w:t>
            </w:r>
            <w:r w:rsidR="005037AC">
              <w:rPr>
                <w:noProof/>
                <w:webHidden/>
              </w:rPr>
              <w:tab/>
            </w:r>
            <w:r w:rsidR="005037AC">
              <w:rPr>
                <w:noProof/>
                <w:webHidden/>
              </w:rPr>
              <w:fldChar w:fldCharType="begin"/>
            </w:r>
            <w:r w:rsidR="005037AC">
              <w:rPr>
                <w:noProof/>
                <w:webHidden/>
              </w:rPr>
              <w:instrText xml:space="preserve"> PAGEREF _Toc82538807 \h </w:instrText>
            </w:r>
            <w:r w:rsidR="005037AC">
              <w:rPr>
                <w:noProof/>
                <w:webHidden/>
              </w:rPr>
            </w:r>
            <w:r w:rsidR="005037AC">
              <w:rPr>
                <w:noProof/>
                <w:webHidden/>
              </w:rPr>
              <w:fldChar w:fldCharType="separate"/>
            </w:r>
            <w:r w:rsidR="005037AC">
              <w:rPr>
                <w:noProof/>
                <w:webHidden/>
              </w:rPr>
              <w:t>134</w:t>
            </w:r>
            <w:r w:rsidR="005037AC">
              <w:rPr>
                <w:noProof/>
                <w:webHidden/>
              </w:rPr>
              <w:fldChar w:fldCharType="end"/>
            </w:r>
          </w:hyperlink>
        </w:p>
        <w:p w14:paraId="0B57CC87" w14:textId="4F8A5E8D" w:rsidR="005037AC" w:rsidRDefault="0067644A">
          <w:pPr>
            <w:pStyle w:val="TOC2"/>
            <w:tabs>
              <w:tab w:val="right" w:leader="dot" w:pos="8494"/>
            </w:tabs>
            <w:rPr>
              <w:rFonts w:eastAsiaTheme="minorEastAsia"/>
              <w:noProof/>
              <w:lang w:eastAsia="en-GB"/>
            </w:rPr>
          </w:pPr>
          <w:hyperlink w:anchor="_Toc82538808" w:history="1">
            <w:r w:rsidR="005037AC" w:rsidRPr="00E90B19">
              <w:rPr>
                <w:rStyle w:val="Hyperlink"/>
                <w:rFonts w:ascii="Arial" w:hAnsi="Arial" w:cs="Arial"/>
                <w:noProof/>
              </w:rPr>
              <w:t>6.2 How Na-ion batteries work</w:t>
            </w:r>
            <w:r w:rsidR="005037AC">
              <w:rPr>
                <w:noProof/>
                <w:webHidden/>
              </w:rPr>
              <w:tab/>
            </w:r>
            <w:r w:rsidR="005037AC">
              <w:rPr>
                <w:noProof/>
                <w:webHidden/>
              </w:rPr>
              <w:fldChar w:fldCharType="begin"/>
            </w:r>
            <w:r w:rsidR="005037AC">
              <w:rPr>
                <w:noProof/>
                <w:webHidden/>
              </w:rPr>
              <w:instrText xml:space="preserve"> PAGEREF _Toc82538808 \h </w:instrText>
            </w:r>
            <w:r w:rsidR="005037AC">
              <w:rPr>
                <w:noProof/>
                <w:webHidden/>
              </w:rPr>
            </w:r>
            <w:r w:rsidR="005037AC">
              <w:rPr>
                <w:noProof/>
                <w:webHidden/>
              </w:rPr>
              <w:fldChar w:fldCharType="separate"/>
            </w:r>
            <w:r w:rsidR="005037AC">
              <w:rPr>
                <w:noProof/>
                <w:webHidden/>
              </w:rPr>
              <w:t>134</w:t>
            </w:r>
            <w:r w:rsidR="005037AC">
              <w:rPr>
                <w:noProof/>
                <w:webHidden/>
              </w:rPr>
              <w:fldChar w:fldCharType="end"/>
            </w:r>
          </w:hyperlink>
        </w:p>
        <w:p w14:paraId="424DFFA7" w14:textId="5AA01DBB" w:rsidR="005037AC" w:rsidRDefault="0067644A">
          <w:pPr>
            <w:pStyle w:val="TOC2"/>
            <w:tabs>
              <w:tab w:val="right" w:leader="dot" w:pos="8494"/>
            </w:tabs>
            <w:rPr>
              <w:rFonts w:eastAsiaTheme="minorEastAsia"/>
              <w:noProof/>
              <w:lang w:eastAsia="en-GB"/>
            </w:rPr>
          </w:pPr>
          <w:hyperlink w:anchor="_Toc82538809" w:history="1">
            <w:r w:rsidR="005037AC" w:rsidRPr="00E90B19">
              <w:rPr>
                <w:rStyle w:val="Hyperlink"/>
                <w:rFonts w:ascii="Arial" w:hAnsi="Arial" w:cs="Arial"/>
                <w:noProof/>
              </w:rPr>
              <w:t>6.3 Pre-lithiation of hard carbon</w:t>
            </w:r>
            <w:r w:rsidR="005037AC">
              <w:rPr>
                <w:noProof/>
                <w:webHidden/>
              </w:rPr>
              <w:tab/>
            </w:r>
            <w:r w:rsidR="005037AC">
              <w:rPr>
                <w:noProof/>
                <w:webHidden/>
              </w:rPr>
              <w:fldChar w:fldCharType="begin"/>
            </w:r>
            <w:r w:rsidR="005037AC">
              <w:rPr>
                <w:noProof/>
                <w:webHidden/>
              </w:rPr>
              <w:instrText xml:space="preserve"> PAGEREF _Toc82538809 \h </w:instrText>
            </w:r>
            <w:r w:rsidR="005037AC">
              <w:rPr>
                <w:noProof/>
                <w:webHidden/>
              </w:rPr>
            </w:r>
            <w:r w:rsidR="005037AC">
              <w:rPr>
                <w:noProof/>
                <w:webHidden/>
              </w:rPr>
              <w:fldChar w:fldCharType="separate"/>
            </w:r>
            <w:r w:rsidR="005037AC">
              <w:rPr>
                <w:noProof/>
                <w:webHidden/>
              </w:rPr>
              <w:t>134</w:t>
            </w:r>
            <w:r w:rsidR="005037AC">
              <w:rPr>
                <w:noProof/>
                <w:webHidden/>
              </w:rPr>
              <w:fldChar w:fldCharType="end"/>
            </w:r>
          </w:hyperlink>
        </w:p>
        <w:p w14:paraId="455594BE" w14:textId="47625A75" w:rsidR="005037AC" w:rsidRDefault="0067644A">
          <w:pPr>
            <w:pStyle w:val="TOC3"/>
            <w:tabs>
              <w:tab w:val="right" w:leader="dot" w:pos="8494"/>
            </w:tabs>
            <w:rPr>
              <w:rFonts w:cstheme="minorBidi"/>
              <w:noProof/>
              <w:lang w:val="en-GB" w:eastAsia="en-GB"/>
            </w:rPr>
          </w:pPr>
          <w:hyperlink w:anchor="_Toc82538810" w:history="1">
            <w:r w:rsidR="005037AC" w:rsidRPr="00E90B19">
              <w:rPr>
                <w:rStyle w:val="Hyperlink"/>
                <w:rFonts w:ascii="Arial" w:hAnsi="Arial" w:cs="Arial"/>
                <w:noProof/>
              </w:rPr>
              <w:t>6.3.1 Electrochemical experimental</w:t>
            </w:r>
            <w:r w:rsidR="005037AC">
              <w:rPr>
                <w:noProof/>
                <w:webHidden/>
              </w:rPr>
              <w:tab/>
            </w:r>
            <w:r w:rsidR="005037AC">
              <w:rPr>
                <w:noProof/>
                <w:webHidden/>
              </w:rPr>
              <w:fldChar w:fldCharType="begin"/>
            </w:r>
            <w:r w:rsidR="005037AC">
              <w:rPr>
                <w:noProof/>
                <w:webHidden/>
              </w:rPr>
              <w:instrText xml:space="preserve"> PAGEREF _Toc82538810 \h </w:instrText>
            </w:r>
            <w:r w:rsidR="005037AC">
              <w:rPr>
                <w:noProof/>
                <w:webHidden/>
              </w:rPr>
            </w:r>
            <w:r w:rsidR="005037AC">
              <w:rPr>
                <w:noProof/>
                <w:webHidden/>
              </w:rPr>
              <w:fldChar w:fldCharType="separate"/>
            </w:r>
            <w:r w:rsidR="005037AC">
              <w:rPr>
                <w:noProof/>
                <w:webHidden/>
              </w:rPr>
              <w:t>135</w:t>
            </w:r>
            <w:r w:rsidR="005037AC">
              <w:rPr>
                <w:noProof/>
                <w:webHidden/>
              </w:rPr>
              <w:fldChar w:fldCharType="end"/>
            </w:r>
          </w:hyperlink>
        </w:p>
        <w:p w14:paraId="7F380626" w14:textId="1C6DC533" w:rsidR="005037AC" w:rsidRDefault="0067644A">
          <w:pPr>
            <w:pStyle w:val="TOC3"/>
            <w:tabs>
              <w:tab w:val="right" w:leader="dot" w:pos="8494"/>
            </w:tabs>
            <w:rPr>
              <w:rFonts w:cstheme="minorBidi"/>
              <w:noProof/>
              <w:lang w:val="en-GB" w:eastAsia="en-GB"/>
            </w:rPr>
          </w:pPr>
          <w:hyperlink w:anchor="_Toc82538811" w:history="1">
            <w:r w:rsidR="005037AC" w:rsidRPr="00E90B19">
              <w:rPr>
                <w:rStyle w:val="Hyperlink"/>
                <w:rFonts w:ascii="Arial" w:hAnsi="Arial" w:cs="Arial"/>
                <w:noProof/>
              </w:rPr>
              <w:t>6.3.2 Results</w:t>
            </w:r>
            <w:r w:rsidR="005037AC">
              <w:rPr>
                <w:noProof/>
                <w:webHidden/>
              </w:rPr>
              <w:tab/>
            </w:r>
            <w:r w:rsidR="005037AC">
              <w:rPr>
                <w:noProof/>
                <w:webHidden/>
              </w:rPr>
              <w:fldChar w:fldCharType="begin"/>
            </w:r>
            <w:r w:rsidR="005037AC">
              <w:rPr>
                <w:noProof/>
                <w:webHidden/>
              </w:rPr>
              <w:instrText xml:space="preserve"> PAGEREF _Toc82538811 \h </w:instrText>
            </w:r>
            <w:r w:rsidR="005037AC">
              <w:rPr>
                <w:noProof/>
                <w:webHidden/>
              </w:rPr>
            </w:r>
            <w:r w:rsidR="005037AC">
              <w:rPr>
                <w:noProof/>
                <w:webHidden/>
              </w:rPr>
              <w:fldChar w:fldCharType="separate"/>
            </w:r>
            <w:r w:rsidR="005037AC">
              <w:rPr>
                <w:noProof/>
                <w:webHidden/>
              </w:rPr>
              <w:t>135</w:t>
            </w:r>
            <w:r w:rsidR="005037AC">
              <w:rPr>
                <w:noProof/>
                <w:webHidden/>
              </w:rPr>
              <w:fldChar w:fldCharType="end"/>
            </w:r>
          </w:hyperlink>
        </w:p>
        <w:p w14:paraId="2350EACC" w14:textId="29DE0C02" w:rsidR="005037AC" w:rsidRDefault="0067644A">
          <w:pPr>
            <w:pStyle w:val="TOC3"/>
            <w:tabs>
              <w:tab w:val="right" w:leader="dot" w:pos="8494"/>
            </w:tabs>
            <w:rPr>
              <w:rFonts w:cstheme="minorBidi"/>
              <w:noProof/>
              <w:lang w:val="en-GB" w:eastAsia="en-GB"/>
            </w:rPr>
          </w:pPr>
          <w:hyperlink w:anchor="_Toc82538812" w:history="1">
            <w:r w:rsidR="005037AC" w:rsidRPr="00E90B19">
              <w:rPr>
                <w:rStyle w:val="Hyperlink"/>
                <w:rFonts w:ascii="Arial" w:hAnsi="Arial" w:cs="Arial"/>
                <w:noProof/>
              </w:rPr>
              <w:t>6.3.3 Conclusion</w:t>
            </w:r>
            <w:r w:rsidR="005037AC">
              <w:rPr>
                <w:noProof/>
                <w:webHidden/>
              </w:rPr>
              <w:tab/>
            </w:r>
            <w:r w:rsidR="005037AC">
              <w:rPr>
                <w:noProof/>
                <w:webHidden/>
              </w:rPr>
              <w:fldChar w:fldCharType="begin"/>
            </w:r>
            <w:r w:rsidR="005037AC">
              <w:rPr>
                <w:noProof/>
                <w:webHidden/>
              </w:rPr>
              <w:instrText xml:space="preserve"> PAGEREF _Toc82538812 \h </w:instrText>
            </w:r>
            <w:r w:rsidR="005037AC">
              <w:rPr>
                <w:noProof/>
                <w:webHidden/>
              </w:rPr>
            </w:r>
            <w:r w:rsidR="005037AC">
              <w:rPr>
                <w:noProof/>
                <w:webHidden/>
              </w:rPr>
              <w:fldChar w:fldCharType="separate"/>
            </w:r>
            <w:r w:rsidR="005037AC">
              <w:rPr>
                <w:noProof/>
                <w:webHidden/>
              </w:rPr>
              <w:t>139</w:t>
            </w:r>
            <w:r w:rsidR="005037AC">
              <w:rPr>
                <w:noProof/>
                <w:webHidden/>
              </w:rPr>
              <w:fldChar w:fldCharType="end"/>
            </w:r>
          </w:hyperlink>
        </w:p>
        <w:p w14:paraId="724C6BD9" w14:textId="1D815DD2" w:rsidR="005037AC" w:rsidRDefault="0067644A">
          <w:pPr>
            <w:pStyle w:val="TOC2"/>
            <w:tabs>
              <w:tab w:val="right" w:leader="dot" w:pos="8494"/>
            </w:tabs>
            <w:rPr>
              <w:rFonts w:eastAsiaTheme="minorEastAsia"/>
              <w:noProof/>
              <w:lang w:eastAsia="en-GB"/>
            </w:rPr>
          </w:pPr>
          <w:hyperlink w:anchor="_Toc82538813" w:history="1">
            <w:r w:rsidR="005037AC" w:rsidRPr="00E90B19">
              <w:rPr>
                <w:rStyle w:val="Hyperlink"/>
                <w:rFonts w:ascii="Arial" w:hAnsi="Arial" w:cs="Arial"/>
                <w:noProof/>
              </w:rPr>
              <w:t>6.4 SEI dissolution</w:t>
            </w:r>
            <w:r w:rsidR="005037AC">
              <w:rPr>
                <w:noProof/>
                <w:webHidden/>
              </w:rPr>
              <w:tab/>
            </w:r>
            <w:r w:rsidR="005037AC">
              <w:rPr>
                <w:noProof/>
                <w:webHidden/>
              </w:rPr>
              <w:fldChar w:fldCharType="begin"/>
            </w:r>
            <w:r w:rsidR="005037AC">
              <w:rPr>
                <w:noProof/>
                <w:webHidden/>
              </w:rPr>
              <w:instrText xml:space="preserve"> PAGEREF _Toc82538813 \h </w:instrText>
            </w:r>
            <w:r w:rsidR="005037AC">
              <w:rPr>
                <w:noProof/>
                <w:webHidden/>
              </w:rPr>
            </w:r>
            <w:r w:rsidR="005037AC">
              <w:rPr>
                <w:noProof/>
                <w:webHidden/>
              </w:rPr>
              <w:fldChar w:fldCharType="separate"/>
            </w:r>
            <w:r w:rsidR="005037AC">
              <w:rPr>
                <w:noProof/>
                <w:webHidden/>
              </w:rPr>
              <w:t>139</w:t>
            </w:r>
            <w:r w:rsidR="005037AC">
              <w:rPr>
                <w:noProof/>
                <w:webHidden/>
              </w:rPr>
              <w:fldChar w:fldCharType="end"/>
            </w:r>
          </w:hyperlink>
        </w:p>
        <w:p w14:paraId="78D25891" w14:textId="53508D8A" w:rsidR="005037AC" w:rsidRDefault="0067644A">
          <w:pPr>
            <w:pStyle w:val="TOC3"/>
            <w:tabs>
              <w:tab w:val="right" w:leader="dot" w:pos="8494"/>
            </w:tabs>
            <w:rPr>
              <w:rFonts w:cstheme="minorBidi"/>
              <w:noProof/>
              <w:lang w:val="en-GB" w:eastAsia="en-GB"/>
            </w:rPr>
          </w:pPr>
          <w:hyperlink w:anchor="_Toc82538814" w:history="1">
            <w:r w:rsidR="005037AC" w:rsidRPr="00E90B19">
              <w:rPr>
                <w:rStyle w:val="Hyperlink"/>
                <w:rFonts w:ascii="Arial" w:hAnsi="Arial" w:cs="Arial"/>
                <w:noProof/>
              </w:rPr>
              <w:t>6.4.1 Experimental</w:t>
            </w:r>
            <w:r w:rsidR="005037AC">
              <w:rPr>
                <w:noProof/>
                <w:webHidden/>
              </w:rPr>
              <w:tab/>
            </w:r>
            <w:r w:rsidR="005037AC">
              <w:rPr>
                <w:noProof/>
                <w:webHidden/>
              </w:rPr>
              <w:fldChar w:fldCharType="begin"/>
            </w:r>
            <w:r w:rsidR="005037AC">
              <w:rPr>
                <w:noProof/>
                <w:webHidden/>
              </w:rPr>
              <w:instrText xml:space="preserve"> PAGEREF _Toc82538814 \h </w:instrText>
            </w:r>
            <w:r w:rsidR="005037AC">
              <w:rPr>
                <w:noProof/>
                <w:webHidden/>
              </w:rPr>
            </w:r>
            <w:r w:rsidR="005037AC">
              <w:rPr>
                <w:noProof/>
                <w:webHidden/>
              </w:rPr>
              <w:fldChar w:fldCharType="separate"/>
            </w:r>
            <w:r w:rsidR="005037AC">
              <w:rPr>
                <w:noProof/>
                <w:webHidden/>
              </w:rPr>
              <w:t>139</w:t>
            </w:r>
            <w:r w:rsidR="005037AC">
              <w:rPr>
                <w:noProof/>
                <w:webHidden/>
              </w:rPr>
              <w:fldChar w:fldCharType="end"/>
            </w:r>
          </w:hyperlink>
        </w:p>
        <w:p w14:paraId="389CB2E1" w14:textId="34A73998" w:rsidR="005037AC" w:rsidRDefault="0067644A">
          <w:pPr>
            <w:pStyle w:val="TOC3"/>
            <w:tabs>
              <w:tab w:val="right" w:leader="dot" w:pos="8494"/>
            </w:tabs>
            <w:rPr>
              <w:rFonts w:cstheme="minorBidi"/>
              <w:noProof/>
              <w:lang w:val="en-GB" w:eastAsia="en-GB"/>
            </w:rPr>
          </w:pPr>
          <w:hyperlink w:anchor="_Toc82538815" w:history="1">
            <w:r w:rsidR="005037AC" w:rsidRPr="00E90B19">
              <w:rPr>
                <w:rStyle w:val="Hyperlink"/>
                <w:rFonts w:ascii="Arial" w:hAnsi="Arial" w:cs="Arial"/>
                <w:noProof/>
              </w:rPr>
              <w:t>6.4.2 Results</w:t>
            </w:r>
            <w:r w:rsidR="005037AC">
              <w:rPr>
                <w:noProof/>
                <w:webHidden/>
              </w:rPr>
              <w:tab/>
            </w:r>
            <w:r w:rsidR="005037AC">
              <w:rPr>
                <w:noProof/>
                <w:webHidden/>
              </w:rPr>
              <w:fldChar w:fldCharType="begin"/>
            </w:r>
            <w:r w:rsidR="005037AC">
              <w:rPr>
                <w:noProof/>
                <w:webHidden/>
              </w:rPr>
              <w:instrText xml:space="preserve"> PAGEREF _Toc82538815 \h </w:instrText>
            </w:r>
            <w:r w:rsidR="005037AC">
              <w:rPr>
                <w:noProof/>
                <w:webHidden/>
              </w:rPr>
            </w:r>
            <w:r w:rsidR="005037AC">
              <w:rPr>
                <w:noProof/>
                <w:webHidden/>
              </w:rPr>
              <w:fldChar w:fldCharType="separate"/>
            </w:r>
            <w:r w:rsidR="005037AC">
              <w:rPr>
                <w:noProof/>
                <w:webHidden/>
              </w:rPr>
              <w:t>140</w:t>
            </w:r>
            <w:r w:rsidR="005037AC">
              <w:rPr>
                <w:noProof/>
                <w:webHidden/>
              </w:rPr>
              <w:fldChar w:fldCharType="end"/>
            </w:r>
          </w:hyperlink>
        </w:p>
        <w:p w14:paraId="6E87337C" w14:textId="7D113FB7" w:rsidR="005037AC" w:rsidRDefault="0067644A">
          <w:pPr>
            <w:pStyle w:val="TOC3"/>
            <w:tabs>
              <w:tab w:val="right" w:leader="dot" w:pos="8494"/>
            </w:tabs>
            <w:rPr>
              <w:rFonts w:cstheme="minorBidi"/>
              <w:noProof/>
              <w:lang w:val="en-GB" w:eastAsia="en-GB"/>
            </w:rPr>
          </w:pPr>
          <w:hyperlink w:anchor="_Toc82538816" w:history="1">
            <w:r w:rsidR="005037AC" w:rsidRPr="00E90B19">
              <w:rPr>
                <w:rStyle w:val="Hyperlink"/>
                <w:rFonts w:ascii="Arial" w:hAnsi="Arial" w:cs="Arial"/>
                <w:noProof/>
              </w:rPr>
              <w:t>6.4.3 Conclusion</w:t>
            </w:r>
            <w:r w:rsidR="005037AC">
              <w:rPr>
                <w:noProof/>
                <w:webHidden/>
              </w:rPr>
              <w:tab/>
            </w:r>
            <w:r w:rsidR="005037AC">
              <w:rPr>
                <w:noProof/>
                <w:webHidden/>
              </w:rPr>
              <w:fldChar w:fldCharType="begin"/>
            </w:r>
            <w:r w:rsidR="005037AC">
              <w:rPr>
                <w:noProof/>
                <w:webHidden/>
              </w:rPr>
              <w:instrText xml:space="preserve"> PAGEREF _Toc82538816 \h </w:instrText>
            </w:r>
            <w:r w:rsidR="005037AC">
              <w:rPr>
                <w:noProof/>
                <w:webHidden/>
              </w:rPr>
            </w:r>
            <w:r w:rsidR="005037AC">
              <w:rPr>
                <w:noProof/>
                <w:webHidden/>
              </w:rPr>
              <w:fldChar w:fldCharType="separate"/>
            </w:r>
            <w:r w:rsidR="005037AC">
              <w:rPr>
                <w:noProof/>
                <w:webHidden/>
              </w:rPr>
              <w:t>145</w:t>
            </w:r>
            <w:r w:rsidR="005037AC">
              <w:rPr>
                <w:noProof/>
                <w:webHidden/>
              </w:rPr>
              <w:fldChar w:fldCharType="end"/>
            </w:r>
          </w:hyperlink>
        </w:p>
        <w:p w14:paraId="53CEFC67" w14:textId="244E8D9F" w:rsidR="005037AC" w:rsidRDefault="0067644A">
          <w:pPr>
            <w:pStyle w:val="TOC2"/>
            <w:tabs>
              <w:tab w:val="right" w:leader="dot" w:pos="8494"/>
            </w:tabs>
            <w:rPr>
              <w:rFonts w:eastAsiaTheme="minorEastAsia"/>
              <w:noProof/>
              <w:lang w:eastAsia="en-GB"/>
            </w:rPr>
          </w:pPr>
          <w:hyperlink w:anchor="_Toc82538817" w:history="1">
            <w:r w:rsidR="005037AC" w:rsidRPr="00E90B19">
              <w:rPr>
                <w:rStyle w:val="Hyperlink"/>
                <w:rFonts w:ascii="Arial" w:hAnsi="Arial" w:cs="Arial"/>
                <w:noProof/>
              </w:rPr>
              <w:t>6.5 Lithiation vs. sodiation</w:t>
            </w:r>
            <w:r w:rsidR="005037AC">
              <w:rPr>
                <w:noProof/>
                <w:webHidden/>
              </w:rPr>
              <w:tab/>
            </w:r>
            <w:r w:rsidR="005037AC">
              <w:rPr>
                <w:noProof/>
                <w:webHidden/>
              </w:rPr>
              <w:fldChar w:fldCharType="begin"/>
            </w:r>
            <w:r w:rsidR="005037AC">
              <w:rPr>
                <w:noProof/>
                <w:webHidden/>
              </w:rPr>
              <w:instrText xml:space="preserve"> PAGEREF _Toc82538817 \h </w:instrText>
            </w:r>
            <w:r w:rsidR="005037AC">
              <w:rPr>
                <w:noProof/>
                <w:webHidden/>
              </w:rPr>
            </w:r>
            <w:r w:rsidR="005037AC">
              <w:rPr>
                <w:noProof/>
                <w:webHidden/>
              </w:rPr>
              <w:fldChar w:fldCharType="separate"/>
            </w:r>
            <w:r w:rsidR="005037AC">
              <w:rPr>
                <w:noProof/>
                <w:webHidden/>
              </w:rPr>
              <w:t>145</w:t>
            </w:r>
            <w:r w:rsidR="005037AC">
              <w:rPr>
                <w:noProof/>
                <w:webHidden/>
              </w:rPr>
              <w:fldChar w:fldCharType="end"/>
            </w:r>
          </w:hyperlink>
        </w:p>
        <w:p w14:paraId="46B5EC09" w14:textId="4715B039" w:rsidR="005037AC" w:rsidRDefault="0067644A">
          <w:pPr>
            <w:pStyle w:val="TOC3"/>
            <w:tabs>
              <w:tab w:val="right" w:leader="dot" w:pos="8494"/>
            </w:tabs>
            <w:rPr>
              <w:rFonts w:cstheme="minorBidi"/>
              <w:noProof/>
              <w:lang w:val="en-GB" w:eastAsia="en-GB"/>
            </w:rPr>
          </w:pPr>
          <w:hyperlink w:anchor="_Toc82538818" w:history="1">
            <w:r w:rsidR="005037AC" w:rsidRPr="00E90B19">
              <w:rPr>
                <w:rStyle w:val="Hyperlink"/>
                <w:rFonts w:ascii="Arial" w:hAnsi="Arial" w:cs="Arial"/>
                <w:noProof/>
              </w:rPr>
              <w:t>6.5.1 Experimental</w:t>
            </w:r>
            <w:r w:rsidR="005037AC">
              <w:rPr>
                <w:noProof/>
                <w:webHidden/>
              </w:rPr>
              <w:tab/>
            </w:r>
            <w:r w:rsidR="005037AC">
              <w:rPr>
                <w:noProof/>
                <w:webHidden/>
              </w:rPr>
              <w:fldChar w:fldCharType="begin"/>
            </w:r>
            <w:r w:rsidR="005037AC">
              <w:rPr>
                <w:noProof/>
                <w:webHidden/>
              </w:rPr>
              <w:instrText xml:space="preserve"> PAGEREF _Toc82538818 \h </w:instrText>
            </w:r>
            <w:r w:rsidR="005037AC">
              <w:rPr>
                <w:noProof/>
                <w:webHidden/>
              </w:rPr>
            </w:r>
            <w:r w:rsidR="005037AC">
              <w:rPr>
                <w:noProof/>
                <w:webHidden/>
              </w:rPr>
              <w:fldChar w:fldCharType="separate"/>
            </w:r>
            <w:r w:rsidR="005037AC">
              <w:rPr>
                <w:noProof/>
                <w:webHidden/>
              </w:rPr>
              <w:t>146</w:t>
            </w:r>
            <w:r w:rsidR="005037AC">
              <w:rPr>
                <w:noProof/>
                <w:webHidden/>
              </w:rPr>
              <w:fldChar w:fldCharType="end"/>
            </w:r>
          </w:hyperlink>
        </w:p>
        <w:p w14:paraId="4C2CEF55" w14:textId="5AEA57FA" w:rsidR="005037AC" w:rsidRDefault="0067644A">
          <w:pPr>
            <w:pStyle w:val="TOC3"/>
            <w:tabs>
              <w:tab w:val="right" w:leader="dot" w:pos="8494"/>
            </w:tabs>
            <w:rPr>
              <w:rFonts w:cstheme="minorBidi"/>
              <w:noProof/>
              <w:lang w:val="en-GB" w:eastAsia="en-GB"/>
            </w:rPr>
          </w:pPr>
          <w:hyperlink w:anchor="_Toc82538819" w:history="1">
            <w:r w:rsidR="005037AC" w:rsidRPr="00E90B19">
              <w:rPr>
                <w:rStyle w:val="Hyperlink"/>
                <w:rFonts w:ascii="Arial" w:hAnsi="Arial" w:cs="Arial"/>
                <w:noProof/>
              </w:rPr>
              <w:t>6.5.2 Results</w:t>
            </w:r>
            <w:r w:rsidR="005037AC">
              <w:rPr>
                <w:noProof/>
                <w:webHidden/>
              </w:rPr>
              <w:tab/>
            </w:r>
            <w:r w:rsidR="005037AC">
              <w:rPr>
                <w:noProof/>
                <w:webHidden/>
              </w:rPr>
              <w:fldChar w:fldCharType="begin"/>
            </w:r>
            <w:r w:rsidR="005037AC">
              <w:rPr>
                <w:noProof/>
                <w:webHidden/>
              </w:rPr>
              <w:instrText xml:space="preserve"> PAGEREF _Toc82538819 \h </w:instrText>
            </w:r>
            <w:r w:rsidR="005037AC">
              <w:rPr>
                <w:noProof/>
                <w:webHidden/>
              </w:rPr>
            </w:r>
            <w:r w:rsidR="005037AC">
              <w:rPr>
                <w:noProof/>
                <w:webHidden/>
              </w:rPr>
              <w:fldChar w:fldCharType="separate"/>
            </w:r>
            <w:r w:rsidR="005037AC">
              <w:rPr>
                <w:noProof/>
                <w:webHidden/>
              </w:rPr>
              <w:t>146</w:t>
            </w:r>
            <w:r w:rsidR="005037AC">
              <w:rPr>
                <w:noProof/>
                <w:webHidden/>
              </w:rPr>
              <w:fldChar w:fldCharType="end"/>
            </w:r>
          </w:hyperlink>
        </w:p>
        <w:p w14:paraId="72E67674" w14:textId="37987BB8" w:rsidR="005037AC" w:rsidRDefault="0067644A">
          <w:pPr>
            <w:pStyle w:val="TOC3"/>
            <w:tabs>
              <w:tab w:val="right" w:leader="dot" w:pos="8494"/>
            </w:tabs>
            <w:rPr>
              <w:rFonts w:cstheme="minorBidi"/>
              <w:noProof/>
              <w:lang w:val="en-GB" w:eastAsia="en-GB"/>
            </w:rPr>
          </w:pPr>
          <w:hyperlink w:anchor="_Toc82538820" w:history="1">
            <w:r w:rsidR="005037AC" w:rsidRPr="00E90B19">
              <w:rPr>
                <w:rStyle w:val="Hyperlink"/>
                <w:rFonts w:ascii="Arial" w:hAnsi="Arial" w:cs="Arial"/>
                <w:noProof/>
              </w:rPr>
              <w:t>6.5.3 Conclusion</w:t>
            </w:r>
            <w:r w:rsidR="005037AC">
              <w:rPr>
                <w:noProof/>
                <w:webHidden/>
              </w:rPr>
              <w:tab/>
            </w:r>
            <w:r w:rsidR="005037AC">
              <w:rPr>
                <w:noProof/>
                <w:webHidden/>
              </w:rPr>
              <w:fldChar w:fldCharType="begin"/>
            </w:r>
            <w:r w:rsidR="005037AC">
              <w:rPr>
                <w:noProof/>
                <w:webHidden/>
              </w:rPr>
              <w:instrText xml:space="preserve"> PAGEREF _Toc82538820 \h </w:instrText>
            </w:r>
            <w:r w:rsidR="005037AC">
              <w:rPr>
                <w:noProof/>
                <w:webHidden/>
              </w:rPr>
            </w:r>
            <w:r w:rsidR="005037AC">
              <w:rPr>
                <w:noProof/>
                <w:webHidden/>
              </w:rPr>
              <w:fldChar w:fldCharType="separate"/>
            </w:r>
            <w:r w:rsidR="005037AC">
              <w:rPr>
                <w:noProof/>
                <w:webHidden/>
              </w:rPr>
              <w:t>151</w:t>
            </w:r>
            <w:r w:rsidR="005037AC">
              <w:rPr>
                <w:noProof/>
                <w:webHidden/>
              </w:rPr>
              <w:fldChar w:fldCharType="end"/>
            </w:r>
          </w:hyperlink>
        </w:p>
        <w:p w14:paraId="0E5B3389" w14:textId="6F1782A7" w:rsidR="005037AC" w:rsidRDefault="0067644A">
          <w:pPr>
            <w:pStyle w:val="TOC1"/>
            <w:tabs>
              <w:tab w:val="right" w:leader="dot" w:pos="8494"/>
            </w:tabs>
            <w:rPr>
              <w:rFonts w:eastAsiaTheme="minorEastAsia"/>
              <w:noProof/>
              <w:lang w:eastAsia="en-GB"/>
            </w:rPr>
          </w:pPr>
          <w:hyperlink w:anchor="_Toc82538821" w:history="1">
            <w:r w:rsidR="005037AC" w:rsidRPr="00E90B19">
              <w:rPr>
                <w:rStyle w:val="Hyperlink"/>
                <w:rFonts w:ascii="Arial" w:hAnsi="Arial" w:cs="Arial"/>
                <w:b/>
                <w:noProof/>
              </w:rPr>
              <w:t>Chapter 7: Conclusion &amp; Future work</w:t>
            </w:r>
            <w:r w:rsidR="005037AC">
              <w:rPr>
                <w:noProof/>
                <w:webHidden/>
              </w:rPr>
              <w:tab/>
            </w:r>
            <w:r w:rsidR="005037AC">
              <w:rPr>
                <w:noProof/>
                <w:webHidden/>
              </w:rPr>
              <w:fldChar w:fldCharType="begin"/>
            </w:r>
            <w:r w:rsidR="005037AC">
              <w:rPr>
                <w:noProof/>
                <w:webHidden/>
              </w:rPr>
              <w:instrText xml:space="preserve"> PAGEREF _Toc82538821 \h </w:instrText>
            </w:r>
            <w:r w:rsidR="005037AC">
              <w:rPr>
                <w:noProof/>
                <w:webHidden/>
              </w:rPr>
            </w:r>
            <w:r w:rsidR="005037AC">
              <w:rPr>
                <w:noProof/>
                <w:webHidden/>
              </w:rPr>
              <w:fldChar w:fldCharType="separate"/>
            </w:r>
            <w:r w:rsidR="005037AC">
              <w:rPr>
                <w:noProof/>
                <w:webHidden/>
              </w:rPr>
              <w:t>152</w:t>
            </w:r>
            <w:r w:rsidR="005037AC">
              <w:rPr>
                <w:noProof/>
                <w:webHidden/>
              </w:rPr>
              <w:fldChar w:fldCharType="end"/>
            </w:r>
          </w:hyperlink>
        </w:p>
        <w:p w14:paraId="5BD4B7C1" w14:textId="5FC600A3" w:rsidR="005037AC" w:rsidRDefault="0067644A">
          <w:pPr>
            <w:pStyle w:val="TOC2"/>
            <w:tabs>
              <w:tab w:val="right" w:leader="dot" w:pos="8494"/>
            </w:tabs>
            <w:rPr>
              <w:rFonts w:eastAsiaTheme="minorEastAsia"/>
              <w:noProof/>
              <w:lang w:eastAsia="en-GB"/>
            </w:rPr>
          </w:pPr>
          <w:hyperlink w:anchor="_Toc82538822" w:history="1">
            <w:r w:rsidR="005037AC" w:rsidRPr="00E90B19">
              <w:rPr>
                <w:rStyle w:val="Hyperlink"/>
                <w:rFonts w:ascii="Arial" w:hAnsi="Arial" w:cs="Arial"/>
                <w:noProof/>
              </w:rPr>
              <w:t>7.1 Conclusion</w:t>
            </w:r>
            <w:r w:rsidR="005037AC">
              <w:rPr>
                <w:noProof/>
                <w:webHidden/>
              </w:rPr>
              <w:tab/>
            </w:r>
            <w:r w:rsidR="005037AC">
              <w:rPr>
                <w:noProof/>
                <w:webHidden/>
              </w:rPr>
              <w:fldChar w:fldCharType="begin"/>
            </w:r>
            <w:r w:rsidR="005037AC">
              <w:rPr>
                <w:noProof/>
                <w:webHidden/>
              </w:rPr>
              <w:instrText xml:space="preserve"> PAGEREF _Toc82538822 \h </w:instrText>
            </w:r>
            <w:r w:rsidR="005037AC">
              <w:rPr>
                <w:noProof/>
                <w:webHidden/>
              </w:rPr>
            </w:r>
            <w:r w:rsidR="005037AC">
              <w:rPr>
                <w:noProof/>
                <w:webHidden/>
              </w:rPr>
              <w:fldChar w:fldCharType="separate"/>
            </w:r>
            <w:r w:rsidR="005037AC">
              <w:rPr>
                <w:noProof/>
                <w:webHidden/>
              </w:rPr>
              <w:t>153</w:t>
            </w:r>
            <w:r w:rsidR="005037AC">
              <w:rPr>
                <w:noProof/>
                <w:webHidden/>
              </w:rPr>
              <w:fldChar w:fldCharType="end"/>
            </w:r>
          </w:hyperlink>
        </w:p>
        <w:p w14:paraId="0A9A4EAB" w14:textId="76CA197E" w:rsidR="005037AC" w:rsidRDefault="0067644A">
          <w:pPr>
            <w:pStyle w:val="TOC2"/>
            <w:tabs>
              <w:tab w:val="right" w:leader="dot" w:pos="8494"/>
            </w:tabs>
            <w:rPr>
              <w:rFonts w:eastAsiaTheme="minorEastAsia"/>
              <w:noProof/>
              <w:lang w:eastAsia="en-GB"/>
            </w:rPr>
          </w:pPr>
          <w:hyperlink w:anchor="_Toc82538823" w:history="1">
            <w:r w:rsidR="005037AC" w:rsidRPr="00E90B19">
              <w:rPr>
                <w:rStyle w:val="Hyperlink"/>
                <w:rFonts w:ascii="Arial" w:hAnsi="Arial" w:cs="Arial"/>
                <w:noProof/>
              </w:rPr>
              <w:t>7.2 Future work</w:t>
            </w:r>
            <w:r w:rsidR="005037AC">
              <w:rPr>
                <w:noProof/>
                <w:webHidden/>
              </w:rPr>
              <w:tab/>
            </w:r>
            <w:r w:rsidR="005037AC">
              <w:rPr>
                <w:noProof/>
                <w:webHidden/>
              </w:rPr>
              <w:fldChar w:fldCharType="begin"/>
            </w:r>
            <w:r w:rsidR="005037AC">
              <w:rPr>
                <w:noProof/>
                <w:webHidden/>
              </w:rPr>
              <w:instrText xml:space="preserve"> PAGEREF _Toc82538823 \h </w:instrText>
            </w:r>
            <w:r w:rsidR="005037AC">
              <w:rPr>
                <w:noProof/>
                <w:webHidden/>
              </w:rPr>
            </w:r>
            <w:r w:rsidR="005037AC">
              <w:rPr>
                <w:noProof/>
                <w:webHidden/>
              </w:rPr>
              <w:fldChar w:fldCharType="separate"/>
            </w:r>
            <w:r w:rsidR="005037AC">
              <w:rPr>
                <w:noProof/>
                <w:webHidden/>
              </w:rPr>
              <w:t>154</w:t>
            </w:r>
            <w:r w:rsidR="005037AC">
              <w:rPr>
                <w:noProof/>
                <w:webHidden/>
              </w:rPr>
              <w:fldChar w:fldCharType="end"/>
            </w:r>
          </w:hyperlink>
        </w:p>
        <w:p w14:paraId="5CC8AAA5" w14:textId="1D77F3AB" w:rsidR="005037AC" w:rsidRDefault="0067644A">
          <w:pPr>
            <w:pStyle w:val="TOC2"/>
            <w:tabs>
              <w:tab w:val="right" w:leader="dot" w:pos="8494"/>
            </w:tabs>
            <w:rPr>
              <w:rFonts w:eastAsiaTheme="minorEastAsia"/>
              <w:noProof/>
              <w:lang w:eastAsia="en-GB"/>
            </w:rPr>
          </w:pPr>
          <w:hyperlink w:anchor="_Toc82538824" w:history="1">
            <w:r w:rsidR="005037AC" w:rsidRPr="00E90B19">
              <w:rPr>
                <w:rStyle w:val="Hyperlink"/>
                <w:rFonts w:ascii="Arial" w:hAnsi="Arial" w:cs="Arial"/>
                <w:noProof/>
              </w:rPr>
              <w:t>7.3 Elucidating SEI exchange mechanisms</w:t>
            </w:r>
            <w:r w:rsidR="005037AC">
              <w:rPr>
                <w:noProof/>
                <w:webHidden/>
              </w:rPr>
              <w:tab/>
            </w:r>
            <w:r w:rsidR="005037AC">
              <w:rPr>
                <w:noProof/>
                <w:webHidden/>
              </w:rPr>
              <w:fldChar w:fldCharType="begin"/>
            </w:r>
            <w:r w:rsidR="005037AC">
              <w:rPr>
                <w:noProof/>
                <w:webHidden/>
              </w:rPr>
              <w:instrText xml:space="preserve"> PAGEREF _Toc82538824 \h </w:instrText>
            </w:r>
            <w:r w:rsidR="005037AC">
              <w:rPr>
                <w:noProof/>
                <w:webHidden/>
              </w:rPr>
            </w:r>
            <w:r w:rsidR="005037AC">
              <w:rPr>
                <w:noProof/>
                <w:webHidden/>
              </w:rPr>
              <w:fldChar w:fldCharType="separate"/>
            </w:r>
            <w:r w:rsidR="005037AC">
              <w:rPr>
                <w:noProof/>
                <w:webHidden/>
              </w:rPr>
              <w:t>154</w:t>
            </w:r>
            <w:r w:rsidR="005037AC">
              <w:rPr>
                <w:noProof/>
                <w:webHidden/>
              </w:rPr>
              <w:fldChar w:fldCharType="end"/>
            </w:r>
          </w:hyperlink>
        </w:p>
        <w:p w14:paraId="19476272" w14:textId="0D2AFD2C" w:rsidR="005037AC" w:rsidRDefault="0067644A">
          <w:pPr>
            <w:pStyle w:val="TOC3"/>
            <w:tabs>
              <w:tab w:val="right" w:leader="dot" w:pos="8494"/>
            </w:tabs>
            <w:rPr>
              <w:rFonts w:cstheme="minorBidi"/>
              <w:noProof/>
              <w:lang w:val="en-GB" w:eastAsia="en-GB"/>
            </w:rPr>
          </w:pPr>
          <w:hyperlink w:anchor="_Toc82538825" w:history="1">
            <w:r w:rsidR="005037AC" w:rsidRPr="00E90B19">
              <w:rPr>
                <w:rStyle w:val="Hyperlink"/>
                <w:rFonts w:ascii="Arial" w:hAnsi="Arial" w:cs="Arial"/>
                <w:noProof/>
              </w:rPr>
              <w:t>7.3.1 Understanding the interface of pre-lithiated Na-ion batteries</w:t>
            </w:r>
            <w:r w:rsidR="005037AC">
              <w:rPr>
                <w:noProof/>
                <w:webHidden/>
              </w:rPr>
              <w:tab/>
            </w:r>
            <w:r w:rsidR="005037AC">
              <w:rPr>
                <w:noProof/>
                <w:webHidden/>
              </w:rPr>
              <w:fldChar w:fldCharType="begin"/>
            </w:r>
            <w:r w:rsidR="005037AC">
              <w:rPr>
                <w:noProof/>
                <w:webHidden/>
              </w:rPr>
              <w:instrText xml:space="preserve"> PAGEREF _Toc82538825 \h </w:instrText>
            </w:r>
            <w:r w:rsidR="005037AC">
              <w:rPr>
                <w:noProof/>
                <w:webHidden/>
              </w:rPr>
            </w:r>
            <w:r w:rsidR="005037AC">
              <w:rPr>
                <w:noProof/>
                <w:webHidden/>
              </w:rPr>
              <w:fldChar w:fldCharType="separate"/>
            </w:r>
            <w:r w:rsidR="005037AC">
              <w:rPr>
                <w:noProof/>
                <w:webHidden/>
              </w:rPr>
              <w:t>154</w:t>
            </w:r>
            <w:r w:rsidR="005037AC">
              <w:rPr>
                <w:noProof/>
                <w:webHidden/>
              </w:rPr>
              <w:fldChar w:fldCharType="end"/>
            </w:r>
          </w:hyperlink>
        </w:p>
        <w:p w14:paraId="62987578" w14:textId="64B65B7B" w:rsidR="005037AC" w:rsidRDefault="0067644A">
          <w:pPr>
            <w:pStyle w:val="TOC3"/>
            <w:tabs>
              <w:tab w:val="right" w:leader="dot" w:pos="8494"/>
            </w:tabs>
            <w:rPr>
              <w:rFonts w:cstheme="minorBidi"/>
              <w:noProof/>
              <w:lang w:val="en-GB" w:eastAsia="en-GB"/>
            </w:rPr>
          </w:pPr>
          <w:hyperlink w:anchor="_Toc82538826" w:history="1">
            <w:r w:rsidR="005037AC" w:rsidRPr="00E90B19">
              <w:rPr>
                <w:rStyle w:val="Hyperlink"/>
                <w:rFonts w:ascii="Arial" w:hAnsi="Arial" w:cs="Arial"/>
                <w:noProof/>
              </w:rPr>
              <w:t>7.3.2 Further understanding the exchange process</w:t>
            </w:r>
            <w:r w:rsidR="005037AC">
              <w:rPr>
                <w:noProof/>
                <w:webHidden/>
              </w:rPr>
              <w:tab/>
            </w:r>
            <w:r w:rsidR="005037AC">
              <w:rPr>
                <w:noProof/>
                <w:webHidden/>
              </w:rPr>
              <w:fldChar w:fldCharType="begin"/>
            </w:r>
            <w:r w:rsidR="005037AC">
              <w:rPr>
                <w:noProof/>
                <w:webHidden/>
              </w:rPr>
              <w:instrText xml:space="preserve"> PAGEREF _Toc82538826 \h </w:instrText>
            </w:r>
            <w:r w:rsidR="005037AC">
              <w:rPr>
                <w:noProof/>
                <w:webHidden/>
              </w:rPr>
            </w:r>
            <w:r w:rsidR="005037AC">
              <w:rPr>
                <w:noProof/>
                <w:webHidden/>
              </w:rPr>
              <w:fldChar w:fldCharType="separate"/>
            </w:r>
            <w:r w:rsidR="005037AC">
              <w:rPr>
                <w:noProof/>
                <w:webHidden/>
              </w:rPr>
              <w:t>154</w:t>
            </w:r>
            <w:r w:rsidR="005037AC">
              <w:rPr>
                <w:noProof/>
                <w:webHidden/>
              </w:rPr>
              <w:fldChar w:fldCharType="end"/>
            </w:r>
          </w:hyperlink>
        </w:p>
        <w:p w14:paraId="0DDF766E" w14:textId="34129550" w:rsidR="005037AC" w:rsidRDefault="0067644A">
          <w:pPr>
            <w:pStyle w:val="TOC3"/>
            <w:tabs>
              <w:tab w:val="right" w:leader="dot" w:pos="8494"/>
            </w:tabs>
            <w:rPr>
              <w:rFonts w:cstheme="minorBidi"/>
              <w:noProof/>
              <w:lang w:val="en-GB" w:eastAsia="en-GB"/>
            </w:rPr>
          </w:pPr>
          <w:hyperlink w:anchor="_Toc82538827" w:history="1">
            <w:r w:rsidR="005037AC" w:rsidRPr="00E90B19">
              <w:rPr>
                <w:rStyle w:val="Hyperlink"/>
                <w:rFonts w:ascii="Arial" w:hAnsi="Arial" w:cs="Arial"/>
                <w:noProof/>
              </w:rPr>
              <w:t>7.3.3 Neutron reflectometry</w:t>
            </w:r>
            <w:r w:rsidR="005037AC">
              <w:rPr>
                <w:noProof/>
                <w:webHidden/>
              </w:rPr>
              <w:tab/>
            </w:r>
            <w:r w:rsidR="005037AC">
              <w:rPr>
                <w:noProof/>
                <w:webHidden/>
              </w:rPr>
              <w:fldChar w:fldCharType="begin"/>
            </w:r>
            <w:r w:rsidR="005037AC">
              <w:rPr>
                <w:noProof/>
                <w:webHidden/>
              </w:rPr>
              <w:instrText xml:space="preserve"> PAGEREF _Toc82538827 \h </w:instrText>
            </w:r>
            <w:r w:rsidR="005037AC">
              <w:rPr>
                <w:noProof/>
                <w:webHidden/>
              </w:rPr>
            </w:r>
            <w:r w:rsidR="005037AC">
              <w:rPr>
                <w:noProof/>
                <w:webHidden/>
              </w:rPr>
              <w:fldChar w:fldCharType="separate"/>
            </w:r>
            <w:r w:rsidR="005037AC">
              <w:rPr>
                <w:noProof/>
                <w:webHidden/>
              </w:rPr>
              <w:t>154</w:t>
            </w:r>
            <w:r w:rsidR="005037AC">
              <w:rPr>
                <w:noProof/>
                <w:webHidden/>
              </w:rPr>
              <w:fldChar w:fldCharType="end"/>
            </w:r>
          </w:hyperlink>
        </w:p>
        <w:p w14:paraId="50CF1AC6" w14:textId="4F90351D" w:rsidR="005037AC" w:rsidRDefault="0067644A">
          <w:pPr>
            <w:pStyle w:val="TOC2"/>
            <w:tabs>
              <w:tab w:val="right" w:leader="dot" w:pos="8494"/>
            </w:tabs>
            <w:rPr>
              <w:rFonts w:eastAsiaTheme="minorEastAsia"/>
              <w:noProof/>
              <w:lang w:eastAsia="en-GB"/>
            </w:rPr>
          </w:pPr>
          <w:hyperlink w:anchor="_Toc82538828" w:history="1">
            <w:r w:rsidR="005037AC" w:rsidRPr="00E90B19">
              <w:rPr>
                <w:rStyle w:val="Hyperlink"/>
                <w:noProof/>
              </w:rPr>
              <w:t>7.4 Further improvements for pre-lithiated SEIs</w:t>
            </w:r>
            <w:r w:rsidR="005037AC">
              <w:rPr>
                <w:noProof/>
                <w:webHidden/>
              </w:rPr>
              <w:tab/>
            </w:r>
            <w:r w:rsidR="005037AC">
              <w:rPr>
                <w:noProof/>
                <w:webHidden/>
              </w:rPr>
              <w:fldChar w:fldCharType="begin"/>
            </w:r>
            <w:r w:rsidR="005037AC">
              <w:rPr>
                <w:noProof/>
                <w:webHidden/>
              </w:rPr>
              <w:instrText xml:space="preserve"> PAGEREF _Toc82538828 \h </w:instrText>
            </w:r>
            <w:r w:rsidR="005037AC">
              <w:rPr>
                <w:noProof/>
                <w:webHidden/>
              </w:rPr>
            </w:r>
            <w:r w:rsidR="005037AC">
              <w:rPr>
                <w:noProof/>
                <w:webHidden/>
              </w:rPr>
              <w:fldChar w:fldCharType="separate"/>
            </w:r>
            <w:r w:rsidR="005037AC">
              <w:rPr>
                <w:noProof/>
                <w:webHidden/>
              </w:rPr>
              <w:t>155</w:t>
            </w:r>
            <w:r w:rsidR="005037AC">
              <w:rPr>
                <w:noProof/>
                <w:webHidden/>
              </w:rPr>
              <w:fldChar w:fldCharType="end"/>
            </w:r>
          </w:hyperlink>
        </w:p>
        <w:p w14:paraId="3442FC57" w14:textId="14A1F4B8" w:rsidR="005037AC" w:rsidRDefault="0067644A">
          <w:pPr>
            <w:pStyle w:val="TOC3"/>
            <w:tabs>
              <w:tab w:val="right" w:leader="dot" w:pos="8494"/>
            </w:tabs>
            <w:rPr>
              <w:rFonts w:cstheme="minorBidi"/>
              <w:noProof/>
              <w:lang w:val="en-GB" w:eastAsia="en-GB"/>
            </w:rPr>
          </w:pPr>
          <w:hyperlink w:anchor="_Toc82538829" w:history="1">
            <w:r w:rsidR="005037AC" w:rsidRPr="00E90B19">
              <w:rPr>
                <w:rStyle w:val="Hyperlink"/>
                <w:rFonts w:ascii="Arial" w:hAnsi="Arial" w:cs="Arial"/>
                <w:noProof/>
              </w:rPr>
              <w:t>7.4.1 New additive avenues</w:t>
            </w:r>
            <w:r w:rsidR="005037AC">
              <w:rPr>
                <w:noProof/>
                <w:webHidden/>
              </w:rPr>
              <w:tab/>
            </w:r>
            <w:r w:rsidR="005037AC">
              <w:rPr>
                <w:noProof/>
                <w:webHidden/>
              </w:rPr>
              <w:fldChar w:fldCharType="begin"/>
            </w:r>
            <w:r w:rsidR="005037AC">
              <w:rPr>
                <w:noProof/>
                <w:webHidden/>
              </w:rPr>
              <w:instrText xml:space="preserve"> PAGEREF _Toc82538829 \h </w:instrText>
            </w:r>
            <w:r w:rsidR="005037AC">
              <w:rPr>
                <w:noProof/>
                <w:webHidden/>
              </w:rPr>
            </w:r>
            <w:r w:rsidR="005037AC">
              <w:rPr>
                <w:noProof/>
                <w:webHidden/>
              </w:rPr>
              <w:fldChar w:fldCharType="separate"/>
            </w:r>
            <w:r w:rsidR="005037AC">
              <w:rPr>
                <w:noProof/>
                <w:webHidden/>
              </w:rPr>
              <w:t>155</w:t>
            </w:r>
            <w:r w:rsidR="005037AC">
              <w:rPr>
                <w:noProof/>
                <w:webHidden/>
              </w:rPr>
              <w:fldChar w:fldCharType="end"/>
            </w:r>
          </w:hyperlink>
        </w:p>
        <w:p w14:paraId="08D76A5A" w14:textId="5A4CE7A8" w:rsidR="005037AC" w:rsidRDefault="0067644A">
          <w:pPr>
            <w:pStyle w:val="TOC3"/>
            <w:tabs>
              <w:tab w:val="right" w:leader="dot" w:pos="8494"/>
            </w:tabs>
            <w:rPr>
              <w:rFonts w:cstheme="minorBidi"/>
              <w:noProof/>
              <w:lang w:val="en-GB" w:eastAsia="en-GB"/>
            </w:rPr>
          </w:pPr>
          <w:hyperlink w:anchor="_Toc82538830" w:history="1">
            <w:r w:rsidR="005037AC" w:rsidRPr="00E90B19">
              <w:rPr>
                <w:rStyle w:val="Hyperlink"/>
                <w:rFonts w:ascii="Arial" w:hAnsi="Arial" w:cs="Arial"/>
                <w:noProof/>
              </w:rPr>
              <w:t>7.4.2 Polymer SEIs</w:t>
            </w:r>
            <w:r w:rsidR="005037AC">
              <w:rPr>
                <w:noProof/>
                <w:webHidden/>
              </w:rPr>
              <w:tab/>
            </w:r>
            <w:r w:rsidR="005037AC">
              <w:rPr>
                <w:noProof/>
                <w:webHidden/>
              </w:rPr>
              <w:fldChar w:fldCharType="begin"/>
            </w:r>
            <w:r w:rsidR="005037AC">
              <w:rPr>
                <w:noProof/>
                <w:webHidden/>
              </w:rPr>
              <w:instrText xml:space="preserve"> PAGEREF _Toc82538830 \h </w:instrText>
            </w:r>
            <w:r w:rsidR="005037AC">
              <w:rPr>
                <w:noProof/>
                <w:webHidden/>
              </w:rPr>
            </w:r>
            <w:r w:rsidR="005037AC">
              <w:rPr>
                <w:noProof/>
                <w:webHidden/>
              </w:rPr>
              <w:fldChar w:fldCharType="separate"/>
            </w:r>
            <w:r w:rsidR="005037AC">
              <w:rPr>
                <w:noProof/>
                <w:webHidden/>
              </w:rPr>
              <w:t>155</w:t>
            </w:r>
            <w:r w:rsidR="005037AC">
              <w:rPr>
                <w:noProof/>
                <w:webHidden/>
              </w:rPr>
              <w:fldChar w:fldCharType="end"/>
            </w:r>
          </w:hyperlink>
        </w:p>
        <w:p w14:paraId="4B17C2E1" w14:textId="4B76F8A6" w:rsidR="005037AC" w:rsidRDefault="0067644A">
          <w:pPr>
            <w:pStyle w:val="TOC3"/>
            <w:tabs>
              <w:tab w:val="right" w:leader="dot" w:pos="8494"/>
            </w:tabs>
            <w:rPr>
              <w:rFonts w:cstheme="minorBidi"/>
              <w:noProof/>
              <w:lang w:val="en-GB" w:eastAsia="en-GB"/>
            </w:rPr>
          </w:pPr>
          <w:hyperlink w:anchor="_Toc82538831" w:history="1">
            <w:r w:rsidR="005037AC" w:rsidRPr="00E90B19">
              <w:rPr>
                <w:rStyle w:val="Hyperlink"/>
                <w:rFonts w:ascii="Arial" w:hAnsi="Arial" w:cs="Arial"/>
                <w:noProof/>
              </w:rPr>
              <w:t>7.4.3 Creating insoluble Na-SEIs to extend battery life</w:t>
            </w:r>
            <w:r w:rsidR="005037AC">
              <w:rPr>
                <w:noProof/>
                <w:webHidden/>
              </w:rPr>
              <w:tab/>
            </w:r>
            <w:r w:rsidR="005037AC">
              <w:rPr>
                <w:noProof/>
                <w:webHidden/>
              </w:rPr>
              <w:fldChar w:fldCharType="begin"/>
            </w:r>
            <w:r w:rsidR="005037AC">
              <w:rPr>
                <w:noProof/>
                <w:webHidden/>
              </w:rPr>
              <w:instrText xml:space="preserve"> PAGEREF _Toc82538831 \h </w:instrText>
            </w:r>
            <w:r w:rsidR="005037AC">
              <w:rPr>
                <w:noProof/>
                <w:webHidden/>
              </w:rPr>
            </w:r>
            <w:r w:rsidR="005037AC">
              <w:rPr>
                <w:noProof/>
                <w:webHidden/>
              </w:rPr>
              <w:fldChar w:fldCharType="separate"/>
            </w:r>
            <w:r w:rsidR="005037AC">
              <w:rPr>
                <w:noProof/>
                <w:webHidden/>
              </w:rPr>
              <w:t>156</w:t>
            </w:r>
            <w:r w:rsidR="005037AC">
              <w:rPr>
                <w:noProof/>
                <w:webHidden/>
              </w:rPr>
              <w:fldChar w:fldCharType="end"/>
            </w:r>
          </w:hyperlink>
        </w:p>
        <w:p w14:paraId="699C16D0" w14:textId="62D57122" w:rsidR="005037AC" w:rsidRDefault="0067644A">
          <w:pPr>
            <w:pStyle w:val="TOC1"/>
            <w:tabs>
              <w:tab w:val="right" w:leader="dot" w:pos="8494"/>
            </w:tabs>
            <w:rPr>
              <w:rFonts w:eastAsiaTheme="minorEastAsia"/>
              <w:noProof/>
              <w:lang w:eastAsia="en-GB"/>
            </w:rPr>
          </w:pPr>
          <w:hyperlink w:anchor="_Toc82538832" w:history="1">
            <w:r w:rsidR="005037AC" w:rsidRPr="00E90B19">
              <w:rPr>
                <w:rStyle w:val="Hyperlink"/>
                <w:rFonts w:ascii="Arial" w:hAnsi="Arial" w:cs="Arial"/>
                <w:b/>
                <w:noProof/>
              </w:rPr>
              <w:t>References</w:t>
            </w:r>
            <w:r w:rsidR="005037AC">
              <w:rPr>
                <w:noProof/>
                <w:webHidden/>
              </w:rPr>
              <w:tab/>
            </w:r>
            <w:r w:rsidR="005037AC">
              <w:rPr>
                <w:noProof/>
                <w:webHidden/>
              </w:rPr>
              <w:fldChar w:fldCharType="begin"/>
            </w:r>
            <w:r w:rsidR="005037AC">
              <w:rPr>
                <w:noProof/>
                <w:webHidden/>
              </w:rPr>
              <w:instrText xml:space="preserve"> PAGEREF _Toc82538832 \h </w:instrText>
            </w:r>
            <w:r w:rsidR="005037AC">
              <w:rPr>
                <w:noProof/>
                <w:webHidden/>
              </w:rPr>
            </w:r>
            <w:r w:rsidR="005037AC">
              <w:rPr>
                <w:noProof/>
                <w:webHidden/>
              </w:rPr>
              <w:fldChar w:fldCharType="separate"/>
            </w:r>
            <w:r w:rsidR="005037AC">
              <w:rPr>
                <w:noProof/>
                <w:webHidden/>
              </w:rPr>
              <w:t>157</w:t>
            </w:r>
            <w:r w:rsidR="005037AC">
              <w:rPr>
                <w:noProof/>
                <w:webHidden/>
              </w:rPr>
              <w:fldChar w:fldCharType="end"/>
            </w:r>
          </w:hyperlink>
        </w:p>
        <w:p w14:paraId="7B150374" w14:textId="24242B0A" w:rsidR="0064160D" w:rsidRPr="0092670C" w:rsidRDefault="008773FE" w:rsidP="00730000">
          <w:pPr>
            <w:rPr>
              <w:rFonts w:ascii="Arial" w:hAnsi="Arial" w:cs="Arial"/>
            </w:rPr>
          </w:pPr>
          <w:r w:rsidRPr="0092670C">
            <w:rPr>
              <w:rFonts w:ascii="Arial" w:hAnsi="Arial" w:cs="Arial"/>
              <w:b/>
              <w:bCs/>
              <w:noProof/>
            </w:rPr>
            <w:fldChar w:fldCharType="end"/>
          </w:r>
        </w:p>
      </w:sdtContent>
    </w:sdt>
    <w:p w14:paraId="70D9C769" w14:textId="77777777" w:rsidR="00936D60" w:rsidRPr="0092670C" w:rsidRDefault="00936D60">
      <w:pPr>
        <w:rPr>
          <w:rFonts w:ascii="Arial" w:eastAsiaTheme="majorEastAsia" w:hAnsi="Arial" w:cs="Arial"/>
          <w:b/>
          <w:color w:val="2F5496" w:themeColor="accent1" w:themeShade="BF"/>
          <w:sz w:val="32"/>
          <w:szCs w:val="32"/>
          <w:u w:val="single"/>
        </w:rPr>
      </w:pPr>
      <w:r w:rsidRPr="0092670C">
        <w:rPr>
          <w:rFonts w:ascii="Arial" w:hAnsi="Arial" w:cs="Arial"/>
          <w:b/>
          <w:u w:val="single"/>
        </w:rPr>
        <w:br w:type="page"/>
      </w:r>
    </w:p>
    <w:tbl>
      <w:tblPr>
        <w:tblStyle w:val="TableGrid"/>
        <w:tblpPr w:leftFromText="180" w:rightFromText="180" w:vertAnchor="text" w:horzAnchor="margin" w:tblpY="84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3"/>
      </w:tblGrid>
      <w:tr w:rsidR="00835EE2" w:rsidRPr="0092670C" w14:paraId="31ECCF25" w14:textId="77777777" w:rsidTr="003606CB">
        <w:tc>
          <w:tcPr>
            <w:tcW w:w="3261" w:type="dxa"/>
            <w:tcBorders>
              <w:top w:val="single" w:sz="4" w:space="0" w:color="auto"/>
              <w:left w:val="nil"/>
              <w:bottom w:val="single" w:sz="4" w:space="0" w:color="auto"/>
              <w:right w:val="nil"/>
            </w:tcBorders>
            <w:hideMark/>
          </w:tcPr>
          <w:p w14:paraId="17584049" w14:textId="77777777" w:rsidR="00835EE2" w:rsidRPr="0092670C" w:rsidRDefault="00835EE2" w:rsidP="00380753">
            <w:pPr>
              <w:jc w:val="both"/>
              <w:rPr>
                <w:rFonts w:ascii="Arial" w:hAnsi="Arial" w:cs="Arial"/>
              </w:rPr>
            </w:pPr>
            <w:r w:rsidRPr="0092670C">
              <w:rPr>
                <w:rFonts w:ascii="Arial" w:hAnsi="Arial" w:cs="Arial"/>
              </w:rPr>
              <w:t>Abbreviation</w:t>
            </w:r>
          </w:p>
        </w:tc>
        <w:tc>
          <w:tcPr>
            <w:tcW w:w="5243" w:type="dxa"/>
            <w:tcBorders>
              <w:top w:val="single" w:sz="4" w:space="0" w:color="auto"/>
              <w:left w:val="nil"/>
              <w:bottom w:val="single" w:sz="4" w:space="0" w:color="auto"/>
              <w:right w:val="nil"/>
            </w:tcBorders>
            <w:hideMark/>
          </w:tcPr>
          <w:p w14:paraId="2FA6ED5D" w14:textId="77777777" w:rsidR="00835EE2" w:rsidRPr="0092670C" w:rsidRDefault="00835EE2" w:rsidP="00380753">
            <w:pPr>
              <w:jc w:val="both"/>
              <w:rPr>
                <w:rFonts w:ascii="Arial" w:hAnsi="Arial" w:cs="Arial"/>
              </w:rPr>
            </w:pPr>
            <w:r w:rsidRPr="0092670C">
              <w:rPr>
                <w:rFonts w:ascii="Arial" w:hAnsi="Arial" w:cs="Arial"/>
              </w:rPr>
              <w:t>Meaning</w:t>
            </w:r>
          </w:p>
        </w:tc>
      </w:tr>
      <w:tr w:rsidR="00835EE2" w:rsidRPr="0092670C" w14:paraId="51393401" w14:textId="77777777" w:rsidTr="003606CB">
        <w:tc>
          <w:tcPr>
            <w:tcW w:w="3261" w:type="dxa"/>
            <w:hideMark/>
          </w:tcPr>
          <w:p w14:paraId="64D3876B" w14:textId="77777777" w:rsidR="00835EE2" w:rsidRPr="0092670C" w:rsidRDefault="00835EE2" w:rsidP="00380753">
            <w:pPr>
              <w:jc w:val="both"/>
              <w:rPr>
                <w:rFonts w:ascii="Arial" w:hAnsi="Arial" w:cs="Arial"/>
              </w:rPr>
            </w:pPr>
            <w:r w:rsidRPr="0092670C">
              <w:rPr>
                <w:rFonts w:ascii="Arial" w:hAnsi="Arial" w:cs="Arial"/>
              </w:rPr>
              <w:t>AFM</w:t>
            </w:r>
          </w:p>
        </w:tc>
        <w:tc>
          <w:tcPr>
            <w:tcW w:w="5243" w:type="dxa"/>
            <w:hideMark/>
          </w:tcPr>
          <w:p w14:paraId="21FF10EE" w14:textId="77777777" w:rsidR="00835EE2" w:rsidRPr="0092670C" w:rsidRDefault="00835EE2" w:rsidP="00380753">
            <w:pPr>
              <w:jc w:val="both"/>
              <w:rPr>
                <w:rFonts w:ascii="Arial" w:hAnsi="Arial" w:cs="Arial"/>
              </w:rPr>
            </w:pPr>
            <w:r w:rsidRPr="0092670C">
              <w:rPr>
                <w:rFonts w:ascii="Arial" w:hAnsi="Arial" w:cs="Arial"/>
              </w:rPr>
              <w:t>Atomic force microscopy</w:t>
            </w:r>
          </w:p>
        </w:tc>
      </w:tr>
      <w:tr w:rsidR="00835EE2" w:rsidRPr="0092670C" w14:paraId="402401B6" w14:textId="77777777" w:rsidTr="003606CB">
        <w:tc>
          <w:tcPr>
            <w:tcW w:w="3261" w:type="dxa"/>
            <w:hideMark/>
          </w:tcPr>
          <w:p w14:paraId="1A8CF763" w14:textId="77777777" w:rsidR="00835EE2" w:rsidRPr="0092670C" w:rsidRDefault="00835EE2" w:rsidP="00380753">
            <w:pPr>
              <w:jc w:val="both"/>
              <w:rPr>
                <w:rFonts w:ascii="Arial" w:hAnsi="Arial" w:cs="Arial"/>
              </w:rPr>
            </w:pPr>
            <w:r w:rsidRPr="0092670C">
              <w:rPr>
                <w:rFonts w:ascii="Arial" w:hAnsi="Arial" w:cs="Arial"/>
              </w:rPr>
              <w:t>ATR</w:t>
            </w:r>
          </w:p>
        </w:tc>
        <w:tc>
          <w:tcPr>
            <w:tcW w:w="5243" w:type="dxa"/>
            <w:hideMark/>
          </w:tcPr>
          <w:p w14:paraId="2CFB4F75" w14:textId="77777777" w:rsidR="00835EE2" w:rsidRPr="0092670C" w:rsidRDefault="00835EE2" w:rsidP="00380753">
            <w:pPr>
              <w:jc w:val="both"/>
              <w:rPr>
                <w:rFonts w:ascii="Arial" w:hAnsi="Arial" w:cs="Arial"/>
              </w:rPr>
            </w:pPr>
            <w:r w:rsidRPr="0092670C">
              <w:rPr>
                <w:rFonts w:ascii="Arial" w:hAnsi="Arial" w:cs="Arial"/>
              </w:rPr>
              <w:t>Attenuated total reflection</w:t>
            </w:r>
          </w:p>
        </w:tc>
      </w:tr>
      <w:tr w:rsidR="00835EE2" w:rsidRPr="0092670C" w14:paraId="1EFC5132" w14:textId="77777777" w:rsidTr="003606CB">
        <w:tc>
          <w:tcPr>
            <w:tcW w:w="3261" w:type="dxa"/>
            <w:tcBorders>
              <w:top w:val="nil"/>
              <w:left w:val="nil"/>
              <w:bottom w:val="nil"/>
              <w:right w:val="nil"/>
            </w:tcBorders>
          </w:tcPr>
          <w:p w14:paraId="40628486" w14:textId="77777777" w:rsidR="00835EE2" w:rsidRPr="0092670C" w:rsidRDefault="00835EE2" w:rsidP="00380753">
            <w:pPr>
              <w:jc w:val="both"/>
              <w:rPr>
                <w:rFonts w:ascii="Arial" w:hAnsi="Arial" w:cs="Arial"/>
              </w:rPr>
            </w:pPr>
            <w:r w:rsidRPr="0092670C">
              <w:rPr>
                <w:rFonts w:ascii="Arial" w:hAnsi="Arial" w:cs="Arial"/>
              </w:rPr>
              <w:t>b.p.</w:t>
            </w:r>
          </w:p>
        </w:tc>
        <w:tc>
          <w:tcPr>
            <w:tcW w:w="5243" w:type="dxa"/>
            <w:tcBorders>
              <w:top w:val="nil"/>
              <w:left w:val="nil"/>
              <w:bottom w:val="nil"/>
              <w:right w:val="nil"/>
            </w:tcBorders>
          </w:tcPr>
          <w:p w14:paraId="1E82E79E" w14:textId="77777777" w:rsidR="00835EE2" w:rsidRPr="0092670C" w:rsidRDefault="00835EE2" w:rsidP="00380753">
            <w:pPr>
              <w:jc w:val="both"/>
              <w:rPr>
                <w:rFonts w:ascii="Arial" w:hAnsi="Arial" w:cs="Arial"/>
              </w:rPr>
            </w:pPr>
            <w:r w:rsidRPr="0092670C">
              <w:rPr>
                <w:rFonts w:ascii="Arial" w:hAnsi="Arial" w:cs="Arial"/>
              </w:rPr>
              <w:t>Boiling point</w:t>
            </w:r>
          </w:p>
        </w:tc>
      </w:tr>
      <w:tr w:rsidR="00835EE2" w:rsidRPr="0092670C" w14:paraId="5B46219C" w14:textId="77777777" w:rsidTr="003606CB">
        <w:tc>
          <w:tcPr>
            <w:tcW w:w="3261" w:type="dxa"/>
            <w:tcBorders>
              <w:top w:val="nil"/>
              <w:left w:val="nil"/>
              <w:bottom w:val="nil"/>
              <w:right w:val="nil"/>
            </w:tcBorders>
            <w:hideMark/>
          </w:tcPr>
          <w:p w14:paraId="50C3B8DD" w14:textId="77777777" w:rsidR="00835EE2" w:rsidRPr="0092670C" w:rsidRDefault="00835EE2" w:rsidP="00380753">
            <w:pPr>
              <w:jc w:val="both"/>
              <w:rPr>
                <w:rFonts w:ascii="Arial" w:hAnsi="Arial" w:cs="Arial"/>
              </w:rPr>
            </w:pPr>
            <w:r w:rsidRPr="0092670C">
              <w:rPr>
                <w:rFonts w:ascii="Arial" w:hAnsi="Arial" w:cs="Arial"/>
              </w:rPr>
              <w:t>C</w:t>
            </w:r>
          </w:p>
          <w:p w14:paraId="7F97DDFB" w14:textId="77777777" w:rsidR="00835EE2" w:rsidRPr="0092670C" w:rsidRDefault="00835EE2" w:rsidP="00380753">
            <w:pPr>
              <w:jc w:val="both"/>
              <w:rPr>
                <w:rFonts w:ascii="Arial" w:hAnsi="Arial" w:cs="Arial"/>
              </w:rPr>
            </w:pPr>
            <w:r w:rsidRPr="0092670C">
              <w:rPr>
                <w:rFonts w:ascii="Arial" w:hAnsi="Arial" w:cs="Arial"/>
              </w:rPr>
              <w:t>SBR</w:t>
            </w:r>
          </w:p>
        </w:tc>
        <w:tc>
          <w:tcPr>
            <w:tcW w:w="5243" w:type="dxa"/>
            <w:tcBorders>
              <w:top w:val="nil"/>
              <w:left w:val="nil"/>
              <w:bottom w:val="nil"/>
              <w:right w:val="nil"/>
            </w:tcBorders>
            <w:hideMark/>
          </w:tcPr>
          <w:p w14:paraId="002BF560" w14:textId="77777777" w:rsidR="00835EE2" w:rsidRPr="0092670C" w:rsidRDefault="00835EE2" w:rsidP="00380753">
            <w:pPr>
              <w:jc w:val="both"/>
              <w:rPr>
                <w:rFonts w:ascii="Arial" w:hAnsi="Arial" w:cs="Arial"/>
              </w:rPr>
            </w:pPr>
            <w:r w:rsidRPr="0092670C">
              <w:rPr>
                <w:rFonts w:ascii="Arial" w:hAnsi="Arial" w:cs="Arial"/>
              </w:rPr>
              <w:t xml:space="preserve">Capacitor  </w:t>
            </w:r>
          </w:p>
          <w:p w14:paraId="31711BD9" w14:textId="77777777" w:rsidR="00835EE2" w:rsidRPr="0092670C" w:rsidRDefault="00835EE2" w:rsidP="00380753">
            <w:pPr>
              <w:jc w:val="both"/>
              <w:rPr>
                <w:rFonts w:ascii="Arial" w:hAnsi="Arial" w:cs="Arial"/>
              </w:rPr>
            </w:pPr>
            <w:r w:rsidRPr="0092670C">
              <w:rPr>
                <w:rFonts w:ascii="Arial" w:hAnsi="Arial" w:cs="Arial"/>
              </w:rPr>
              <w:t>Styrene butadiene rubber</w:t>
            </w:r>
          </w:p>
        </w:tc>
      </w:tr>
      <w:tr w:rsidR="00835EE2" w:rsidRPr="0092670C" w14:paraId="48CF7A52" w14:textId="77777777" w:rsidTr="003606CB">
        <w:tc>
          <w:tcPr>
            <w:tcW w:w="3261" w:type="dxa"/>
            <w:tcBorders>
              <w:top w:val="nil"/>
              <w:left w:val="nil"/>
              <w:bottom w:val="nil"/>
              <w:right w:val="nil"/>
            </w:tcBorders>
          </w:tcPr>
          <w:p w14:paraId="2C84345E" w14:textId="77777777" w:rsidR="00835EE2" w:rsidRPr="0092670C" w:rsidRDefault="00835EE2" w:rsidP="00380753">
            <w:pPr>
              <w:jc w:val="both"/>
              <w:rPr>
                <w:rFonts w:ascii="Arial" w:hAnsi="Arial" w:cs="Arial"/>
              </w:rPr>
            </w:pPr>
            <w:r w:rsidRPr="0092670C">
              <w:rPr>
                <w:rFonts w:ascii="Arial" w:hAnsi="Arial" w:cs="Arial"/>
              </w:rPr>
              <w:t>CEI</w:t>
            </w:r>
          </w:p>
        </w:tc>
        <w:tc>
          <w:tcPr>
            <w:tcW w:w="5243" w:type="dxa"/>
            <w:tcBorders>
              <w:top w:val="nil"/>
              <w:left w:val="nil"/>
              <w:bottom w:val="nil"/>
              <w:right w:val="nil"/>
            </w:tcBorders>
          </w:tcPr>
          <w:p w14:paraId="66D9B3B1" w14:textId="77777777" w:rsidR="00835EE2" w:rsidRPr="0092670C" w:rsidRDefault="00835EE2" w:rsidP="00380753">
            <w:pPr>
              <w:jc w:val="both"/>
              <w:rPr>
                <w:rFonts w:ascii="Arial" w:hAnsi="Arial" w:cs="Arial"/>
              </w:rPr>
            </w:pPr>
            <w:r w:rsidRPr="0092670C">
              <w:rPr>
                <w:rFonts w:ascii="Arial" w:hAnsi="Arial" w:cs="Arial"/>
              </w:rPr>
              <w:t>Cathode electrolyte interphase</w:t>
            </w:r>
          </w:p>
        </w:tc>
      </w:tr>
      <w:tr w:rsidR="00835EE2" w:rsidRPr="0092670C" w14:paraId="49CA9336" w14:textId="77777777" w:rsidTr="003606CB">
        <w:tc>
          <w:tcPr>
            <w:tcW w:w="3261" w:type="dxa"/>
            <w:hideMark/>
          </w:tcPr>
          <w:p w14:paraId="5A9480A4" w14:textId="77777777" w:rsidR="00835EE2" w:rsidRPr="0092670C" w:rsidRDefault="00835EE2" w:rsidP="00380753">
            <w:pPr>
              <w:jc w:val="both"/>
              <w:rPr>
                <w:rFonts w:ascii="Arial" w:hAnsi="Arial" w:cs="Arial"/>
              </w:rPr>
            </w:pPr>
            <w:r w:rsidRPr="0092670C">
              <w:rPr>
                <w:rFonts w:ascii="Arial" w:hAnsi="Arial" w:cs="Arial"/>
              </w:rPr>
              <w:t>CMC</w:t>
            </w:r>
          </w:p>
        </w:tc>
        <w:tc>
          <w:tcPr>
            <w:tcW w:w="5243" w:type="dxa"/>
            <w:hideMark/>
          </w:tcPr>
          <w:p w14:paraId="0E180027" w14:textId="77777777" w:rsidR="00835EE2" w:rsidRPr="0092670C" w:rsidRDefault="00835EE2" w:rsidP="00380753">
            <w:pPr>
              <w:jc w:val="both"/>
              <w:rPr>
                <w:rFonts w:ascii="Arial" w:hAnsi="Arial" w:cs="Arial"/>
              </w:rPr>
            </w:pPr>
            <w:r w:rsidRPr="0092670C">
              <w:rPr>
                <w:rFonts w:ascii="Arial" w:hAnsi="Arial" w:cs="Arial"/>
              </w:rPr>
              <w:t>Carboxymethyl cellulose</w:t>
            </w:r>
          </w:p>
        </w:tc>
      </w:tr>
      <w:tr w:rsidR="00835EE2" w:rsidRPr="0092670C" w14:paraId="26558274" w14:textId="77777777" w:rsidTr="003606CB">
        <w:tc>
          <w:tcPr>
            <w:tcW w:w="3261" w:type="dxa"/>
            <w:hideMark/>
          </w:tcPr>
          <w:p w14:paraId="7B7E5D8C" w14:textId="77777777" w:rsidR="00835EE2" w:rsidRPr="0092670C" w:rsidRDefault="00835EE2" w:rsidP="00380753">
            <w:pPr>
              <w:jc w:val="both"/>
              <w:rPr>
                <w:rFonts w:ascii="Arial" w:hAnsi="Arial" w:cs="Arial"/>
              </w:rPr>
            </w:pPr>
            <w:r w:rsidRPr="0092670C">
              <w:rPr>
                <w:rFonts w:ascii="Arial" w:hAnsi="Arial" w:cs="Arial"/>
              </w:rPr>
              <w:t>CPEx-P</w:t>
            </w:r>
          </w:p>
        </w:tc>
        <w:tc>
          <w:tcPr>
            <w:tcW w:w="5243" w:type="dxa"/>
            <w:hideMark/>
          </w:tcPr>
          <w:p w14:paraId="39D7C962" w14:textId="77777777" w:rsidR="00835EE2" w:rsidRPr="0092670C" w:rsidRDefault="00835EE2" w:rsidP="00380753">
            <w:pPr>
              <w:jc w:val="both"/>
              <w:rPr>
                <w:rFonts w:ascii="Arial" w:hAnsi="Arial" w:cs="Arial"/>
              </w:rPr>
            </w:pPr>
            <w:r w:rsidRPr="0092670C">
              <w:rPr>
                <w:rFonts w:ascii="Arial" w:hAnsi="Arial" w:cs="Arial"/>
              </w:rPr>
              <w:t>The power component of a constant phase element</w:t>
            </w:r>
          </w:p>
        </w:tc>
      </w:tr>
      <w:tr w:rsidR="00835EE2" w:rsidRPr="0092670C" w14:paraId="10922B5E" w14:textId="77777777" w:rsidTr="003606CB">
        <w:tc>
          <w:tcPr>
            <w:tcW w:w="3261" w:type="dxa"/>
            <w:hideMark/>
          </w:tcPr>
          <w:p w14:paraId="397A6B6A" w14:textId="77777777" w:rsidR="00835EE2" w:rsidRPr="0092670C" w:rsidRDefault="00835EE2" w:rsidP="00380753">
            <w:pPr>
              <w:jc w:val="both"/>
              <w:rPr>
                <w:rFonts w:ascii="Arial" w:hAnsi="Arial" w:cs="Arial"/>
              </w:rPr>
            </w:pPr>
            <w:r w:rsidRPr="0092670C">
              <w:rPr>
                <w:rFonts w:ascii="Arial" w:hAnsi="Arial" w:cs="Arial"/>
              </w:rPr>
              <w:t>CPEx-T</w:t>
            </w:r>
          </w:p>
        </w:tc>
        <w:tc>
          <w:tcPr>
            <w:tcW w:w="5243" w:type="dxa"/>
            <w:hideMark/>
          </w:tcPr>
          <w:p w14:paraId="2877A218" w14:textId="77777777" w:rsidR="00835EE2" w:rsidRPr="0092670C" w:rsidRDefault="00835EE2" w:rsidP="00380753">
            <w:pPr>
              <w:jc w:val="both"/>
              <w:rPr>
                <w:rFonts w:ascii="Arial" w:hAnsi="Arial" w:cs="Arial"/>
              </w:rPr>
            </w:pPr>
            <w:r w:rsidRPr="0092670C">
              <w:rPr>
                <w:rFonts w:ascii="Arial" w:hAnsi="Arial" w:cs="Arial"/>
              </w:rPr>
              <w:t>The capacitance value for a constant phase element</w:t>
            </w:r>
          </w:p>
        </w:tc>
      </w:tr>
      <w:tr w:rsidR="00835EE2" w:rsidRPr="0092670C" w14:paraId="0DA6A892" w14:textId="77777777" w:rsidTr="003606CB">
        <w:tc>
          <w:tcPr>
            <w:tcW w:w="3261" w:type="dxa"/>
          </w:tcPr>
          <w:p w14:paraId="529674E9" w14:textId="77777777" w:rsidR="00835EE2" w:rsidRPr="0092670C" w:rsidRDefault="00835EE2" w:rsidP="00380753">
            <w:pPr>
              <w:jc w:val="both"/>
              <w:rPr>
                <w:rFonts w:ascii="Arial" w:hAnsi="Arial" w:cs="Arial"/>
              </w:rPr>
            </w:pPr>
            <w:r w:rsidRPr="0092670C">
              <w:rPr>
                <w:rFonts w:ascii="Arial" w:hAnsi="Arial" w:cs="Arial"/>
              </w:rPr>
              <w:t>DEC</w:t>
            </w:r>
          </w:p>
        </w:tc>
        <w:tc>
          <w:tcPr>
            <w:tcW w:w="5243" w:type="dxa"/>
          </w:tcPr>
          <w:p w14:paraId="710FFE96" w14:textId="77777777" w:rsidR="00835EE2" w:rsidRPr="0092670C" w:rsidRDefault="00835EE2" w:rsidP="00380753">
            <w:pPr>
              <w:jc w:val="both"/>
              <w:rPr>
                <w:rFonts w:ascii="Arial" w:hAnsi="Arial" w:cs="Arial"/>
              </w:rPr>
            </w:pPr>
            <w:r w:rsidRPr="0092670C">
              <w:rPr>
                <w:rFonts w:ascii="Arial" w:hAnsi="Arial" w:cs="Arial"/>
              </w:rPr>
              <w:t>Diethyl carbonate</w:t>
            </w:r>
          </w:p>
        </w:tc>
      </w:tr>
      <w:tr w:rsidR="00835EE2" w:rsidRPr="0092670C" w14:paraId="53F997AD" w14:textId="77777777" w:rsidTr="003606CB">
        <w:tc>
          <w:tcPr>
            <w:tcW w:w="3261" w:type="dxa"/>
            <w:hideMark/>
          </w:tcPr>
          <w:p w14:paraId="4D9DA80E" w14:textId="77777777" w:rsidR="00835EE2" w:rsidRPr="0092670C" w:rsidRDefault="00835EE2" w:rsidP="00380753">
            <w:pPr>
              <w:jc w:val="both"/>
              <w:rPr>
                <w:rFonts w:ascii="Arial" w:hAnsi="Arial" w:cs="Arial"/>
              </w:rPr>
            </w:pPr>
            <w:r w:rsidRPr="0092670C">
              <w:rPr>
                <w:rFonts w:ascii="Arial" w:hAnsi="Arial" w:cs="Arial"/>
              </w:rPr>
              <w:t>DMC</w:t>
            </w:r>
          </w:p>
        </w:tc>
        <w:tc>
          <w:tcPr>
            <w:tcW w:w="5243" w:type="dxa"/>
            <w:hideMark/>
          </w:tcPr>
          <w:p w14:paraId="3444F1B6" w14:textId="77777777" w:rsidR="00835EE2" w:rsidRPr="0092670C" w:rsidRDefault="00835EE2" w:rsidP="00380753">
            <w:pPr>
              <w:jc w:val="both"/>
              <w:rPr>
                <w:rFonts w:ascii="Arial" w:hAnsi="Arial" w:cs="Arial"/>
              </w:rPr>
            </w:pPr>
            <w:r w:rsidRPr="0092670C">
              <w:rPr>
                <w:rFonts w:ascii="Arial" w:hAnsi="Arial" w:cs="Arial"/>
              </w:rPr>
              <w:t>Dimethyl carbonate</w:t>
            </w:r>
          </w:p>
        </w:tc>
      </w:tr>
      <w:tr w:rsidR="00835EE2" w:rsidRPr="0092670C" w14:paraId="6A730ACC" w14:textId="77777777" w:rsidTr="003606CB">
        <w:tc>
          <w:tcPr>
            <w:tcW w:w="3261" w:type="dxa"/>
            <w:hideMark/>
          </w:tcPr>
          <w:p w14:paraId="293CA968" w14:textId="77777777" w:rsidR="00835EE2" w:rsidRPr="0092670C" w:rsidRDefault="00835EE2" w:rsidP="00380753">
            <w:pPr>
              <w:jc w:val="both"/>
              <w:rPr>
                <w:rFonts w:ascii="Arial" w:hAnsi="Arial" w:cs="Arial"/>
              </w:rPr>
            </w:pPr>
            <w:r w:rsidRPr="0092670C">
              <w:rPr>
                <w:rFonts w:ascii="Arial" w:hAnsi="Arial" w:cs="Arial"/>
              </w:rPr>
              <w:t>EC</w:t>
            </w:r>
          </w:p>
        </w:tc>
        <w:tc>
          <w:tcPr>
            <w:tcW w:w="5243" w:type="dxa"/>
            <w:hideMark/>
          </w:tcPr>
          <w:p w14:paraId="173BC14B" w14:textId="77777777" w:rsidR="00835EE2" w:rsidRPr="0092670C" w:rsidRDefault="00835EE2" w:rsidP="00380753">
            <w:pPr>
              <w:jc w:val="both"/>
              <w:rPr>
                <w:rFonts w:ascii="Arial" w:hAnsi="Arial" w:cs="Arial"/>
              </w:rPr>
            </w:pPr>
            <w:r w:rsidRPr="0092670C">
              <w:rPr>
                <w:rFonts w:ascii="Arial" w:hAnsi="Arial" w:cs="Arial"/>
              </w:rPr>
              <w:t>Ethylene carbonate</w:t>
            </w:r>
          </w:p>
        </w:tc>
      </w:tr>
      <w:tr w:rsidR="00835EE2" w:rsidRPr="0092670C" w14:paraId="47FFD04E" w14:textId="77777777" w:rsidTr="003606CB">
        <w:tc>
          <w:tcPr>
            <w:tcW w:w="3261" w:type="dxa"/>
            <w:hideMark/>
          </w:tcPr>
          <w:p w14:paraId="5A7228EC" w14:textId="77777777" w:rsidR="00835EE2" w:rsidRPr="0092670C" w:rsidRDefault="00835EE2" w:rsidP="00380753">
            <w:pPr>
              <w:jc w:val="both"/>
              <w:rPr>
                <w:rFonts w:ascii="Arial" w:hAnsi="Arial" w:cs="Arial"/>
              </w:rPr>
            </w:pPr>
            <w:r w:rsidRPr="0092670C">
              <w:rPr>
                <w:rFonts w:ascii="Arial" w:hAnsi="Arial" w:cs="Arial"/>
              </w:rPr>
              <w:t>EIS</w:t>
            </w:r>
          </w:p>
        </w:tc>
        <w:tc>
          <w:tcPr>
            <w:tcW w:w="5243" w:type="dxa"/>
            <w:hideMark/>
          </w:tcPr>
          <w:p w14:paraId="6898C664" w14:textId="77777777" w:rsidR="00835EE2" w:rsidRPr="0092670C" w:rsidRDefault="00835EE2" w:rsidP="00380753">
            <w:pPr>
              <w:jc w:val="both"/>
              <w:rPr>
                <w:rFonts w:ascii="Arial" w:hAnsi="Arial" w:cs="Arial"/>
              </w:rPr>
            </w:pPr>
            <w:r w:rsidRPr="0092670C">
              <w:rPr>
                <w:rFonts w:ascii="Arial" w:hAnsi="Arial" w:cs="Arial"/>
              </w:rPr>
              <w:t xml:space="preserve">Electrochemical impedance spectroscopy </w:t>
            </w:r>
          </w:p>
        </w:tc>
      </w:tr>
      <w:tr w:rsidR="00835EE2" w:rsidRPr="0092670C" w14:paraId="59296949" w14:textId="77777777" w:rsidTr="003606CB">
        <w:tc>
          <w:tcPr>
            <w:tcW w:w="3261" w:type="dxa"/>
            <w:hideMark/>
          </w:tcPr>
          <w:p w14:paraId="3BE72258" w14:textId="77777777" w:rsidR="00835EE2" w:rsidRPr="0092670C" w:rsidRDefault="00835EE2" w:rsidP="00380753">
            <w:pPr>
              <w:jc w:val="both"/>
              <w:rPr>
                <w:rFonts w:ascii="Arial" w:hAnsi="Arial" w:cs="Arial"/>
              </w:rPr>
            </w:pPr>
            <w:r w:rsidRPr="0092670C">
              <w:rPr>
                <w:rFonts w:ascii="Arial" w:hAnsi="Arial" w:cs="Arial"/>
              </w:rPr>
              <w:t>EPR</w:t>
            </w:r>
          </w:p>
        </w:tc>
        <w:tc>
          <w:tcPr>
            <w:tcW w:w="5243" w:type="dxa"/>
            <w:hideMark/>
          </w:tcPr>
          <w:p w14:paraId="2D1D53ED" w14:textId="77777777" w:rsidR="00835EE2" w:rsidRPr="0092670C" w:rsidRDefault="00835EE2" w:rsidP="00380753">
            <w:pPr>
              <w:jc w:val="both"/>
              <w:rPr>
                <w:rFonts w:ascii="Arial" w:hAnsi="Arial" w:cs="Arial"/>
              </w:rPr>
            </w:pPr>
            <w:r w:rsidRPr="0092670C">
              <w:rPr>
                <w:rFonts w:ascii="Arial" w:hAnsi="Arial" w:cs="Arial"/>
              </w:rPr>
              <w:t>Electron paramagnetic resonance</w:t>
            </w:r>
          </w:p>
        </w:tc>
      </w:tr>
      <w:tr w:rsidR="00835EE2" w:rsidRPr="0092670C" w14:paraId="14A8B978" w14:textId="77777777" w:rsidTr="003606CB">
        <w:tc>
          <w:tcPr>
            <w:tcW w:w="3261" w:type="dxa"/>
            <w:hideMark/>
          </w:tcPr>
          <w:p w14:paraId="24B90C95" w14:textId="77777777" w:rsidR="00835EE2" w:rsidRPr="0092670C" w:rsidRDefault="00835EE2" w:rsidP="00380753">
            <w:pPr>
              <w:jc w:val="both"/>
              <w:rPr>
                <w:rFonts w:ascii="Arial" w:hAnsi="Arial" w:cs="Arial"/>
              </w:rPr>
            </w:pPr>
            <w:r w:rsidRPr="0092670C">
              <w:rPr>
                <w:rFonts w:ascii="Arial" w:hAnsi="Arial" w:cs="Arial"/>
              </w:rPr>
              <w:t>FEC</w:t>
            </w:r>
          </w:p>
        </w:tc>
        <w:tc>
          <w:tcPr>
            <w:tcW w:w="5243" w:type="dxa"/>
            <w:hideMark/>
          </w:tcPr>
          <w:p w14:paraId="6A247BA8" w14:textId="77777777" w:rsidR="00835EE2" w:rsidRPr="0092670C" w:rsidRDefault="00835EE2" w:rsidP="00380753">
            <w:pPr>
              <w:jc w:val="both"/>
              <w:rPr>
                <w:rFonts w:ascii="Arial" w:hAnsi="Arial" w:cs="Arial"/>
              </w:rPr>
            </w:pPr>
            <w:r w:rsidRPr="0092670C">
              <w:rPr>
                <w:rFonts w:ascii="Arial" w:hAnsi="Arial" w:cs="Arial"/>
              </w:rPr>
              <w:t>Fluoroethylene carbonate</w:t>
            </w:r>
          </w:p>
        </w:tc>
      </w:tr>
      <w:tr w:rsidR="00835EE2" w:rsidRPr="0092670C" w14:paraId="04AB0AB1" w14:textId="77777777" w:rsidTr="003606CB">
        <w:tc>
          <w:tcPr>
            <w:tcW w:w="3261" w:type="dxa"/>
            <w:hideMark/>
          </w:tcPr>
          <w:p w14:paraId="27DFF77A" w14:textId="77777777" w:rsidR="00835EE2" w:rsidRPr="0092670C" w:rsidRDefault="00835EE2" w:rsidP="00380753">
            <w:pPr>
              <w:jc w:val="both"/>
              <w:rPr>
                <w:rFonts w:ascii="Arial" w:hAnsi="Arial" w:cs="Arial"/>
              </w:rPr>
            </w:pPr>
            <w:r w:rsidRPr="0092670C">
              <w:rPr>
                <w:rFonts w:ascii="Arial" w:hAnsi="Arial" w:cs="Arial"/>
              </w:rPr>
              <w:t>FRA</w:t>
            </w:r>
          </w:p>
        </w:tc>
        <w:tc>
          <w:tcPr>
            <w:tcW w:w="5243" w:type="dxa"/>
            <w:hideMark/>
          </w:tcPr>
          <w:p w14:paraId="5625D6B7" w14:textId="77777777" w:rsidR="00835EE2" w:rsidRPr="0092670C" w:rsidRDefault="00835EE2" w:rsidP="00380753">
            <w:pPr>
              <w:jc w:val="both"/>
              <w:rPr>
                <w:rFonts w:ascii="Arial" w:hAnsi="Arial" w:cs="Arial"/>
              </w:rPr>
            </w:pPr>
            <w:r w:rsidRPr="0092670C">
              <w:rPr>
                <w:rFonts w:ascii="Arial" w:hAnsi="Arial" w:cs="Arial"/>
              </w:rPr>
              <w:t>Frequency response analyser</w:t>
            </w:r>
          </w:p>
        </w:tc>
      </w:tr>
      <w:tr w:rsidR="00835EE2" w:rsidRPr="0092670C" w14:paraId="08D10271" w14:textId="77777777" w:rsidTr="003606CB">
        <w:tc>
          <w:tcPr>
            <w:tcW w:w="3261" w:type="dxa"/>
            <w:hideMark/>
          </w:tcPr>
          <w:p w14:paraId="30C5E478" w14:textId="77777777" w:rsidR="00835EE2" w:rsidRPr="0092670C" w:rsidRDefault="00835EE2" w:rsidP="00380753">
            <w:pPr>
              <w:jc w:val="both"/>
              <w:rPr>
                <w:rFonts w:ascii="Arial" w:hAnsi="Arial" w:cs="Arial"/>
              </w:rPr>
            </w:pPr>
            <w:r w:rsidRPr="0092670C">
              <w:rPr>
                <w:rFonts w:ascii="Arial" w:hAnsi="Arial" w:cs="Arial"/>
              </w:rPr>
              <w:t>FTIR</w:t>
            </w:r>
          </w:p>
        </w:tc>
        <w:tc>
          <w:tcPr>
            <w:tcW w:w="5243" w:type="dxa"/>
            <w:hideMark/>
          </w:tcPr>
          <w:p w14:paraId="32DAA3F7" w14:textId="77777777" w:rsidR="00835EE2" w:rsidRPr="0092670C" w:rsidRDefault="00835EE2" w:rsidP="00380753">
            <w:pPr>
              <w:jc w:val="both"/>
              <w:rPr>
                <w:rFonts w:ascii="Arial" w:hAnsi="Arial" w:cs="Arial"/>
              </w:rPr>
            </w:pPr>
            <w:r w:rsidRPr="0092670C">
              <w:rPr>
                <w:rFonts w:ascii="Arial" w:hAnsi="Arial" w:cs="Arial"/>
              </w:rPr>
              <w:t>Fourier transform infrared spectroscopy</w:t>
            </w:r>
          </w:p>
        </w:tc>
      </w:tr>
      <w:tr w:rsidR="00835EE2" w:rsidRPr="0092670C" w14:paraId="0886E163" w14:textId="77777777" w:rsidTr="00835EE2">
        <w:tc>
          <w:tcPr>
            <w:tcW w:w="3261" w:type="dxa"/>
            <w:tcBorders>
              <w:top w:val="nil"/>
              <w:left w:val="nil"/>
              <w:right w:val="nil"/>
            </w:tcBorders>
          </w:tcPr>
          <w:p w14:paraId="55575602" w14:textId="77777777" w:rsidR="00835EE2" w:rsidRPr="0092670C" w:rsidRDefault="00835EE2" w:rsidP="00380753">
            <w:pPr>
              <w:jc w:val="both"/>
              <w:rPr>
                <w:rFonts w:ascii="Arial" w:hAnsi="Arial" w:cs="Arial"/>
              </w:rPr>
            </w:pPr>
            <w:r w:rsidRPr="0092670C">
              <w:rPr>
                <w:rFonts w:ascii="Arial" w:hAnsi="Arial" w:cs="Arial"/>
              </w:rPr>
              <w:t>h</w:t>
            </w:r>
          </w:p>
        </w:tc>
        <w:tc>
          <w:tcPr>
            <w:tcW w:w="5243" w:type="dxa"/>
            <w:tcBorders>
              <w:top w:val="nil"/>
              <w:left w:val="nil"/>
              <w:right w:val="nil"/>
            </w:tcBorders>
          </w:tcPr>
          <w:p w14:paraId="128B63F8" w14:textId="77777777" w:rsidR="00835EE2" w:rsidRPr="0092670C" w:rsidRDefault="00835EE2" w:rsidP="00380753">
            <w:pPr>
              <w:jc w:val="both"/>
              <w:rPr>
                <w:rFonts w:ascii="Arial" w:hAnsi="Arial" w:cs="Arial"/>
              </w:rPr>
            </w:pPr>
            <w:r w:rsidRPr="0092670C">
              <w:rPr>
                <w:rFonts w:ascii="Arial" w:hAnsi="Arial" w:cs="Arial"/>
              </w:rPr>
              <w:t>Planck’s constant</w:t>
            </w:r>
          </w:p>
        </w:tc>
      </w:tr>
      <w:tr w:rsidR="00835EE2" w:rsidRPr="0092670C" w14:paraId="17310521" w14:textId="77777777" w:rsidTr="00835EE2">
        <w:tc>
          <w:tcPr>
            <w:tcW w:w="3261" w:type="dxa"/>
            <w:hideMark/>
          </w:tcPr>
          <w:p w14:paraId="39814099" w14:textId="77777777" w:rsidR="00835EE2" w:rsidRPr="0092670C" w:rsidRDefault="00835EE2" w:rsidP="00380753">
            <w:pPr>
              <w:jc w:val="both"/>
              <w:rPr>
                <w:rFonts w:ascii="Arial" w:hAnsi="Arial" w:cs="Arial"/>
              </w:rPr>
            </w:pPr>
            <w:r w:rsidRPr="0092670C">
              <w:rPr>
                <w:rFonts w:ascii="Arial" w:hAnsi="Arial" w:cs="Arial"/>
              </w:rPr>
              <w:t>Li</w:t>
            </w:r>
          </w:p>
        </w:tc>
        <w:tc>
          <w:tcPr>
            <w:tcW w:w="5243" w:type="dxa"/>
            <w:hideMark/>
          </w:tcPr>
          <w:p w14:paraId="2E97F8D0" w14:textId="77777777" w:rsidR="00835EE2" w:rsidRPr="0092670C" w:rsidRDefault="00835EE2" w:rsidP="00380753">
            <w:pPr>
              <w:jc w:val="both"/>
              <w:rPr>
                <w:rFonts w:ascii="Arial" w:hAnsi="Arial" w:cs="Arial"/>
              </w:rPr>
            </w:pPr>
            <w:r w:rsidRPr="0092670C">
              <w:rPr>
                <w:rFonts w:ascii="Arial" w:hAnsi="Arial" w:cs="Arial"/>
              </w:rPr>
              <w:t>Lithium</w:t>
            </w:r>
          </w:p>
        </w:tc>
      </w:tr>
      <w:tr w:rsidR="00835EE2" w:rsidRPr="0092670C" w14:paraId="0C6AC4EB" w14:textId="77777777" w:rsidTr="00835EE2">
        <w:tc>
          <w:tcPr>
            <w:tcW w:w="3261" w:type="dxa"/>
            <w:tcBorders>
              <w:left w:val="nil"/>
              <w:bottom w:val="nil"/>
              <w:right w:val="nil"/>
            </w:tcBorders>
            <w:hideMark/>
          </w:tcPr>
          <w:p w14:paraId="4E9E73FE" w14:textId="77777777" w:rsidR="00835EE2" w:rsidRPr="0092670C" w:rsidRDefault="00835EE2" w:rsidP="00380753">
            <w:pPr>
              <w:jc w:val="both"/>
              <w:rPr>
                <w:rFonts w:ascii="Arial" w:hAnsi="Arial" w:cs="Arial"/>
              </w:rPr>
            </w:pPr>
            <w:r w:rsidRPr="0092670C">
              <w:rPr>
                <w:rFonts w:ascii="Arial" w:hAnsi="Arial" w:cs="Arial"/>
              </w:rPr>
              <w:t>LiB</w:t>
            </w:r>
          </w:p>
        </w:tc>
        <w:tc>
          <w:tcPr>
            <w:tcW w:w="5243" w:type="dxa"/>
            <w:tcBorders>
              <w:left w:val="nil"/>
              <w:bottom w:val="nil"/>
              <w:right w:val="nil"/>
            </w:tcBorders>
            <w:hideMark/>
          </w:tcPr>
          <w:p w14:paraId="2FD4A92C" w14:textId="7A6594C7" w:rsidR="00835EE2" w:rsidRPr="0092670C" w:rsidRDefault="00835EE2" w:rsidP="00380753">
            <w:pPr>
              <w:jc w:val="both"/>
              <w:rPr>
                <w:rFonts w:ascii="Arial" w:hAnsi="Arial" w:cs="Arial"/>
              </w:rPr>
            </w:pPr>
            <w:r w:rsidRPr="0092670C">
              <w:rPr>
                <w:rFonts w:ascii="Arial" w:hAnsi="Arial" w:cs="Arial"/>
              </w:rPr>
              <w:t>Lithium</w:t>
            </w:r>
            <w:r>
              <w:rPr>
                <w:rFonts w:ascii="Arial" w:hAnsi="Arial" w:cs="Arial"/>
              </w:rPr>
              <w:t>-</w:t>
            </w:r>
            <w:r w:rsidRPr="0092670C">
              <w:rPr>
                <w:rFonts w:ascii="Arial" w:hAnsi="Arial" w:cs="Arial"/>
              </w:rPr>
              <w:t>ion battery</w:t>
            </w:r>
          </w:p>
        </w:tc>
      </w:tr>
      <w:tr w:rsidR="00835EE2" w:rsidRPr="0092670C" w14:paraId="6BC26568" w14:textId="77777777" w:rsidTr="003606CB">
        <w:tc>
          <w:tcPr>
            <w:tcW w:w="3261" w:type="dxa"/>
            <w:hideMark/>
          </w:tcPr>
          <w:p w14:paraId="77112D3B" w14:textId="77777777" w:rsidR="00835EE2" w:rsidRPr="0092670C" w:rsidRDefault="00835EE2" w:rsidP="00380753">
            <w:pPr>
              <w:jc w:val="both"/>
              <w:rPr>
                <w:rFonts w:ascii="Arial" w:hAnsi="Arial" w:cs="Arial"/>
              </w:rPr>
            </w:pPr>
            <w:bookmarkStart w:id="0" w:name="_Hlk505156394"/>
            <w:r w:rsidRPr="0092670C">
              <w:rPr>
                <w:rFonts w:ascii="Arial" w:hAnsi="Arial" w:cs="Arial"/>
              </w:rPr>
              <w:t>LP30</w:t>
            </w:r>
          </w:p>
        </w:tc>
        <w:tc>
          <w:tcPr>
            <w:tcW w:w="5243" w:type="dxa"/>
            <w:hideMark/>
          </w:tcPr>
          <w:p w14:paraId="690123AC" w14:textId="77777777" w:rsidR="00835EE2" w:rsidRPr="0092670C" w:rsidRDefault="00835EE2" w:rsidP="00380753">
            <w:pPr>
              <w:jc w:val="both"/>
              <w:rPr>
                <w:rFonts w:ascii="Arial" w:hAnsi="Arial" w:cs="Arial"/>
              </w:rPr>
            </w:pPr>
            <w:r w:rsidRPr="0092670C">
              <w:rPr>
                <w:rFonts w:ascii="Arial" w:hAnsi="Arial" w:cs="Arial"/>
              </w:rPr>
              <w:t>1.0M LiPF</w:t>
            </w:r>
            <w:r w:rsidRPr="0092670C">
              <w:rPr>
                <w:rFonts w:ascii="Arial" w:hAnsi="Arial" w:cs="Arial"/>
                <w:vertAlign w:val="subscript"/>
              </w:rPr>
              <w:t>6</w:t>
            </w:r>
            <w:r w:rsidRPr="0092670C">
              <w:rPr>
                <w:rFonts w:ascii="Arial" w:hAnsi="Arial" w:cs="Arial"/>
              </w:rPr>
              <w:t xml:space="preserve"> in EC/DMC=50/50 (v/v)</w:t>
            </w:r>
          </w:p>
        </w:tc>
        <w:bookmarkEnd w:id="0"/>
      </w:tr>
      <w:tr w:rsidR="00835EE2" w:rsidRPr="0092670C" w14:paraId="778383A8" w14:textId="77777777" w:rsidTr="003606CB">
        <w:tc>
          <w:tcPr>
            <w:tcW w:w="3261" w:type="dxa"/>
            <w:tcBorders>
              <w:top w:val="nil"/>
              <w:left w:val="nil"/>
              <w:bottom w:val="nil"/>
              <w:right w:val="nil"/>
            </w:tcBorders>
          </w:tcPr>
          <w:p w14:paraId="1BB94483" w14:textId="77777777" w:rsidR="00835EE2" w:rsidRPr="0092670C" w:rsidRDefault="00835EE2" w:rsidP="00380753">
            <w:pPr>
              <w:jc w:val="both"/>
              <w:rPr>
                <w:rFonts w:ascii="Arial" w:hAnsi="Arial" w:cs="Arial"/>
              </w:rPr>
            </w:pPr>
            <w:r w:rsidRPr="0092670C">
              <w:rPr>
                <w:rFonts w:ascii="Arial" w:hAnsi="Arial" w:cs="Arial"/>
              </w:rPr>
              <w:t>LUMO</w:t>
            </w:r>
          </w:p>
          <w:p w14:paraId="2D8627A3" w14:textId="77777777" w:rsidR="00835EE2" w:rsidRPr="0092670C" w:rsidRDefault="00835EE2" w:rsidP="00380753">
            <w:pPr>
              <w:jc w:val="both"/>
              <w:rPr>
                <w:rFonts w:ascii="Arial" w:hAnsi="Arial" w:cs="Arial"/>
              </w:rPr>
            </w:pPr>
            <w:r w:rsidRPr="0092670C">
              <w:rPr>
                <w:rFonts w:ascii="Arial" w:hAnsi="Arial" w:cs="Arial"/>
              </w:rPr>
              <w:t>ICE</w:t>
            </w:r>
          </w:p>
        </w:tc>
        <w:tc>
          <w:tcPr>
            <w:tcW w:w="5243" w:type="dxa"/>
            <w:tcBorders>
              <w:top w:val="nil"/>
              <w:left w:val="nil"/>
              <w:bottom w:val="nil"/>
              <w:right w:val="nil"/>
            </w:tcBorders>
          </w:tcPr>
          <w:p w14:paraId="0EAB6E16" w14:textId="77777777" w:rsidR="00835EE2" w:rsidRPr="0092670C" w:rsidRDefault="00835EE2" w:rsidP="00380753">
            <w:pPr>
              <w:jc w:val="both"/>
              <w:rPr>
                <w:rFonts w:ascii="Arial" w:hAnsi="Arial" w:cs="Arial"/>
              </w:rPr>
            </w:pPr>
            <w:r w:rsidRPr="0092670C">
              <w:rPr>
                <w:rFonts w:ascii="Arial" w:hAnsi="Arial" w:cs="Arial"/>
              </w:rPr>
              <w:t xml:space="preserve">Lowest unoccupied molecular orbital </w:t>
            </w:r>
          </w:p>
          <w:p w14:paraId="61AAFB9C" w14:textId="77777777" w:rsidR="00835EE2" w:rsidRPr="0092670C" w:rsidRDefault="00835EE2" w:rsidP="00380753">
            <w:pPr>
              <w:jc w:val="both"/>
              <w:rPr>
                <w:rFonts w:ascii="Arial" w:hAnsi="Arial" w:cs="Arial"/>
              </w:rPr>
            </w:pPr>
            <w:r w:rsidRPr="0092670C">
              <w:rPr>
                <w:rFonts w:ascii="Arial" w:hAnsi="Arial" w:cs="Arial"/>
              </w:rPr>
              <w:t>Initial coulombic efficiency</w:t>
            </w:r>
          </w:p>
        </w:tc>
      </w:tr>
      <w:tr w:rsidR="00835EE2" w:rsidRPr="0092670C" w14:paraId="7031D9CB" w14:textId="77777777" w:rsidTr="003606CB">
        <w:tc>
          <w:tcPr>
            <w:tcW w:w="3261" w:type="dxa"/>
            <w:tcBorders>
              <w:top w:val="nil"/>
              <w:left w:val="nil"/>
              <w:bottom w:val="nil"/>
              <w:right w:val="nil"/>
            </w:tcBorders>
          </w:tcPr>
          <w:p w14:paraId="0B5ECB21" w14:textId="77777777" w:rsidR="00835EE2" w:rsidRPr="0092670C" w:rsidRDefault="00835EE2" w:rsidP="00380753">
            <w:pPr>
              <w:jc w:val="both"/>
              <w:rPr>
                <w:rFonts w:ascii="Arial" w:hAnsi="Arial" w:cs="Arial"/>
              </w:rPr>
            </w:pPr>
            <w:r w:rsidRPr="0092670C">
              <w:rPr>
                <w:rFonts w:ascii="Arial" w:hAnsi="Arial" w:cs="Arial"/>
              </w:rPr>
              <w:t>m.p.</w:t>
            </w:r>
          </w:p>
        </w:tc>
        <w:tc>
          <w:tcPr>
            <w:tcW w:w="5243" w:type="dxa"/>
            <w:tcBorders>
              <w:top w:val="nil"/>
              <w:left w:val="nil"/>
              <w:bottom w:val="nil"/>
              <w:right w:val="nil"/>
            </w:tcBorders>
          </w:tcPr>
          <w:p w14:paraId="4EA377A5" w14:textId="77777777" w:rsidR="00835EE2" w:rsidRPr="0092670C" w:rsidRDefault="00835EE2" w:rsidP="00380753">
            <w:pPr>
              <w:jc w:val="both"/>
              <w:rPr>
                <w:rFonts w:ascii="Arial" w:hAnsi="Arial" w:cs="Arial"/>
              </w:rPr>
            </w:pPr>
            <w:r w:rsidRPr="0092670C">
              <w:rPr>
                <w:rFonts w:ascii="Arial" w:hAnsi="Arial" w:cs="Arial"/>
              </w:rPr>
              <w:t>Melting point</w:t>
            </w:r>
          </w:p>
        </w:tc>
      </w:tr>
      <w:tr w:rsidR="00835EE2" w:rsidRPr="0092670C" w14:paraId="245F7330" w14:textId="77777777" w:rsidTr="003606CB">
        <w:tc>
          <w:tcPr>
            <w:tcW w:w="3261" w:type="dxa"/>
            <w:tcBorders>
              <w:top w:val="nil"/>
              <w:left w:val="nil"/>
              <w:bottom w:val="nil"/>
              <w:right w:val="nil"/>
            </w:tcBorders>
          </w:tcPr>
          <w:p w14:paraId="437D2D51" w14:textId="77777777" w:rsidR="00835EE2" w:rsidRPr="0092670C" w:rsidRDefault="00835EE2" w:rsidP="00380753">
            <w:pPr>
              <w:jc w:val="both"/>
              <w:rPr>
                <w:rFonts w:ascii="Arial" w:hAnsi="Arial" w:cs="Arial"/>
              </w:rPr>
            </w:pPr>
            <w:r w:rsidRPr="0092670C">
              <w:rPr>
                <w:rFonts w:ascii="Arial" w:hAnsi="Arial" w:cs="Arial"/>
              </w:rPr>
              <w:t>MW</w:t>
            </w:r>
          </w:p>
        </w:tc>
        <w:tc>
          <w:tcPr>
            <w:tcW w:w="5243" w:type="dxa"/>
            <w:tcBorders>
              <w:top w:val="nil"/>
              <w:left w:val="nil"/>
              <w:bottom w:val="nil"/>
              <w:right w:val="nil"/>
            </w:tcBorders>
          </w:tcPr>
          <w:p w14:paraId="34405DE9" w14:textId="77777777" w:rsidR="00835EE2" w:rsidRPr="0092670C" w:rsidRDefault="00835EE2" w:rsidP="00380753">
            <w:pPr>
              <w:jc w:val="both"/>
              <w:rPr>
                <w:rFonts w:ascii="Arial" w:hAnsi="Arial" w:cs="Arial"/>
              </w:rPr>
            </w:pPr>
            <w:r w:rsidRPr="0092670C">
              <w:rPr>
                <w:rFonts w:ascii="Arial" w:hAnsi="Arial" w:cs="Arial"/>
              </w:rPr>
              <w:t>Molecular weight</w:t>
            </w:r>
          </w:p>
        </w:tc>
      </w:tr>
      <w:tr w:rsidR="00835EE2" w:rsidRPr="0092670C" w14:paraId="1A25E801" w14:textId="77777777" w:rsidTr="003606CB">
        <w:tc>
          <w:tcPr>
            <w:tcW w:w="3261" w:type="dxa"/>
          </w:tcPr>
          <w:p w14:paraId="7CD2AD1C" w14:textId="77777777" w:rsidR="00835EE2" w:rsidRPr="0092670C" w:rsidRDefault="00835EE2" w:rsidP="00380753">
            <w:pPr>
              <w:jc w:val="both"/>
              <w:rPr>
                <w:rFonts w:ascii="Arial" w:hAnsi="Arial" w:cs="Arial"/>
              </w:rPr>
            </w:pPr>
            <w:r w:rsidRPr="0092670C">
              <w:rPr>
                <w:rFonts w:ascii="Arial" w:hAnsi="Arial" w:cs="Arial"/>
              </w:rPr>
              <w:t>PC</w:t>
            </w:r>
          </w:p>
        </w:tc>
        <w:tc>
          <w:tcPr>
            <w:tcW w:w="5243" w:type="dxa"/>
          </w:tcPr>
          <w:p w14:paraId="3947FF9C" w14:textId="77777777" w:rsidR="00835EE2" w:rsidRPr="0092670C" w:rsidRDefault="00835EE2" w:rsidP="00380753">
            <w:pPr>
              <w:jc w:val="both"/>
              <w:rPr>
                <w:rFonts w:ascii="Arial" w:hAnsi="Arial" w:cs="Arial"/>
              </w:rPr>
            </w:pPr>
            <w:r w:rsidRPr="0092670C">
              <w:rPr>
                <w:rFonts w:ascii="Arial" w:hAnsi="Arial" w:cs="Arial"/>
              </w:rPr>
              <w:t>Propylene carbonate</w:t>
            </w:r>
          </w:p>
        </w:tc>
      </w:tr>
      <w:tr w:rsidR="00835EE2" w:rsidRPr="0092670C" w14:paraId="72ADC38B" w14:textId="77777777" w:rsidTr="003606CB">
        <w:tc>
          <w:tcPr>
            <w:tcW w:w="3261" w:type="dxa"/>
            <w:hideMark/>
          </w:tcPr>
          <w:p w14:paraId="3B422A28" w14:textId="77777777" w:rsidR="00835EE2" w:rsidRPr="0092670C" w:rsidRDefault="00835EE2" w:rsidP="00380753">
            <w:pPr>
              <w:jc w:val="both"/>
              <w:rPr>
                <w:rFonts w:ascii="Arial" w:hAnsi="Arial" w:cs="Arial"/>
              </w:rPr>
            </w:pPr>
            <w:r w:rsidRPr="0092670C">
              <w:rPr>
                <w:rFonts w:ascii="Arial" w:hAnsi="Arial" w:cs="Arial"/>
              </w:rPr>
              <w:t>PTFE</w:t>
            </w:r>
          </w:p>
        </w:tc>
        <w:tc>
          <w:tcPr>
            <w:tcW w:w="5243" w:type="dxa"/>
            <w:hideMark/>
          </w:tcPr>
          <w:p w14:paraId="7458186B" w14:textId="77777777" w:rsidR="00835EE2" w:rsidRPr="0092670C" w:rsidRDefault="00835EE2" w:rsidP="00380753">
            <w:pPr>
              <w:jc w:val="both"/>
              <w:rPr>
                <w:rFonts w:ascii="Arial" w:hAnsi="Arial" w:cs="Arial"/>
              </w:rPr>
            </w:pPr>
            <w:r w:rsidRPr="0092670C">
              <w:rPr>
                <w:rFonts w:ascii="Arial" w:hAnsi="Arial" w:cs="Arial"/>
              </w:rPr>
              <w:t>Polytetrafluoroethylene (Teflon®)</w:t>
            </w:r>
          </w:p>
        </w:tc>
      </w:tr>
      <w:tr w:rsidR="00835EE2" w:rsidRPr="0092670C" w14:paraId="45EB0F88" w14:textId="77777777" w:rsidTr="003606CB">
        <w:tc>
          <w:tcPr>
            <w:tcW w:w="3261" w:type="dxa"/>
            <w:tcBorders>
              <w:top w:val="nil"/>
              <w:left w:val="nil"/>
              <w:bottom w:val="nil"/>
              <w:right w:val="nil"/>
            </w:tcBorders>
          </w:tcPr>
          <w:p w14:paraId="0F33A34F" w14:textId="77777777" w:rsidR="00835EE2" w:rsidRPr="0092670C" w:rsidRDefault="00835EE2" w:rsidP="00380753">
            <w:pPr>
              <w:jc w:val="both"/>
              <w:rPr>
                <w:rFonts w:ascii="Arial" w:hAnsi="Arial" w:cs="Arial"/>
                <w:vertAlign w:val="subscript"/>
              </w:rPr>
            </w:pPr>
            <w:r w:rsidRPr="0092670C">
              <w:rPr>
                <w:rFonts w:ascii="Arial" w:hAnsi="Arial" w:cs="Arial"/>
              </w:rPr>
              <w:t>Q</w:t>
            </w:r>
            <w:r w:rsidRPr="0092670C">
              <w:rPr>
                <w:rFonts w:ascii="Arial" w:hAnsi="Arial" w:cs="Arial"/>
                <w:vertAlign w:val="subscript"/>
              </w:rPr>
              <w:t>irr</w:t>
            </w:r>
          </w:p>
        </w:tc>
        <w:tc>
          <w:tcPr>
            <w:tcW w:w="5243" w:type="dxa"/>
            <w:tcBorders>
              <w:top w:val="nil"/>
              <w:left w:val="nil"/>
              <w:bottom w:val="nil"/>
              <w:right w:val="nil"/>
            </w:tcBorders>
          </w:tcPr>
          <w:p w14:paraId="4B0CD242" w14:textId="77777777" w:rsidR="00835EE2" w:rsidRPr="0092670C" w:rsidRDefault="00835EE2" w:rsidP="00380753">
            <w:pPr>
              <w:jc w:val="both"/>
              <w:rPr>
                <w:rFonts w:ascii="Arial" w:hAnsi="Arial" w:cs="Arial"/>
              </w:rPr>
            </w:pPr>
            <w:r w:rsidRPr="0092670C">
              <w:rPr>
                <w:rFonts w:ascii="Arial" w:hAnsi="Arial" w:cs="Arial"/>
              </w:rPr>
              <w:t>Irreversible capacity loss</w:t>
            </w:r>
          </w:p>
        </w:tc>
      </w:tr>
      <w:tr w:rsidR="00835EE2" w:rsidRPr="0092670C" w14:paraId="62D6EF91" w14:textId="77777777" w:rsidTr="003606CB">
        <w:tc>
          <w:tcPr>
            <w:tcW w:w="3261" w:type="dxa"/>
            <w:hideMark/>
          </w:tcPr>
          <w:p w14:paraId="65BFC146" w14:textId="77777777" w:rsidR="00835EE2" w:rsidRPr="0092670C" w:rsidRDefault="00835EE2" w:rsidP="00380753">
            <w:pPr>
              <w:jc w:val="both"/>
              <w:rPr>
                <w:rFonts w:ascii="Arial" w:hAnsi="Arial" w:cs="Arial"/>
              </w:rPr>
            </w:pPr>
            <w:r w:rsidRPr="0092670C">
              <w:rPr>
                <w:rFonts w:ascii="Arial" w:hAnsi="Arial" w:cs="Arial"/>
              </w:rPr>
              <w:t>R</w:t>
            </w:r>
          </w:p>
        </w:tc>
        <w:tc>
          <w:tcPr>
            <w:tcW w:w="5243" w:type="dxa"/>
            <w:hideMark/>
          </w:tcPr>
          <w:p w14:paraId="086697B7" w14:textId="77777777" w:rsidR="00835EE2" w:rsidRPr="0092670C" w:rsidRDefault="00835EE2" w:rsidP="00380753">
            <w:pPr>
              <w:jc w:val="both"/>
              <w:rPr>
                <w:rFonts w:ascii="Arial" w:hAnsi="Arial" w:cs="Arial"/>
              </w:rPr>
            </w:pPr>
            <w:r w:rsidRPr="0092670C">
              <w:rPr>
                <w:rFonts w:ascii="Arial" w:hAnsi="Arial" w:cs="Arial"/>
              </w:rPr>
              <w:t>Resistor</w:t>
            </w:r>
          </w:p>
        </w:tc>
      </w:tr>
      <w:tr w:rsidR="00835EE2" w:rsidRPr="0092670C" w14:paraId="170EEB91" w14:textId="77777777" w:rsidTr="003606CB">
        <w:tc>
          <w:tcPr>
            <w:tcW w:w="3261" w:type="dxa"/>
            <w:hideMark/>
          </w:tcPr>
          <w:p w14:paraId="6AB16E55" w14:textId="77777777" w:rsidR="00835EE2" w:rsidRPr="0092670C" w:rsidRDefault="00835EE2" w:rsidP="00380753">
            <w:pPr>
              <w:jc w:val="both"/>
              <w:rPr>
                <w:rFonts w:ascii="Arial" w:hAnsi="Arial" w:cs="Arial"/>
              </w:rPr>
            </w:pPr>
            <w:r w:rsidRPr="0092670C">
              <w:rPr>
                <w:rFonts w:ascii="Arial" w:hAnsi="Arial" w:cs="Arial"/>
              </w:rPr>
              <w:t>SEI</w:t>
            </w:r>
          </w:p>
        </w:tc>
        <w:tc>
          <w:tcPr>
            <w:tcW w:w="5243" w:type="dxa"/>
            <w:hideMark/>
          </w:tcPr>
          <w:p w14:paraId="33E298DB" w14:textId="77777777" w:rsidR="00835EE2" w:rsidRPr="0092670C" w:rsidRDefault="00835EE2" w:rsidP="00380753">
            <w:pPr>
              <w:jc w:val="both"/>
              <w:rPr>
                <w:rFonts w:ascii="Arial" w:hAnsi="Arial" w:cs="Arial"/>
              </w:rPr>
            </w:pPr>
            <w:r w:rsidRPr="0092670C">
              <w:rPr>
                <w:rFonts w:ascii="Arial" w:hAnsi="Arial" w:cs="Arial"/>
              </w:rPr>
              <w:t>Solid electrolyte interphase</w:t>
            </w:r>
          </w:p>
        </w:tc>
      </w:tr>
      <w:tr w:rsidR="00835EE2" w:rsidRPr="0092670C" w14:paraId="07AF82B3" w14:textId="77777777" w:rsidTr="003606CB">
        <w:tc>
          <w:tcPr>
            <w:tcW w:w="3261" w:type="dxa"/>
            <w:tcBorders>
              <w:top w:val="nil"/>
              <w:left w:val="nil"/>
              <w:bottom w:val="nil"/>
              <w:right w:val="nil"/>
            </w:tcBorders>
          </w:tcPr>
          <w:p w14:paraId="326FE3A2" w14:textId="77777777" w:rsidR="00835EE2" w:rsidRPr="0092670C" w:rsidRDefault="00835EE2" w:rsidP="00380753">
            <w:pPr>
              <w:jc w:val="both"/>
              <w:rPr>
                <w:rFonts w:ascii="Arial" w:hAnsi="Arial" w:cs="Arial"/>
              </w:rPr>
            </w:pPr>
            <w:r w:rsidRPr="0092670C">
              <w:rPr>
                <w:rFonts w:ascii="Arial" w:hAnsi="Arial" w:cs="Arial"/>
              </w:rPr>
              <w:t>SHE</w:t>
            </w:r>
          </w:p>
        </w:tc>
        <w:tc>
          <w:tcPr>
            <w:tcW w:w="5243" w:type="dxa"/>
            <w:tcBorders>
              <w:top w:val="nil"/>
              <w:left w:val="nil"/>
              <w:bottom w:val="nil"/>
              <w:right w:val="nil"/>
            </w:tcBorders>
          </w:tcPr>
          <w:p w14:paraId="097C7C0C" w14:textId="77777777" w:rsidR="00835EE2" w:rsidRPr="0092670C" w:rsidRDefault="00835EE2" w:rsidP="00380753">
            <w:pPr>
              <w:jc w:val="both"/>
              <w:rPr>
                <w:rFonts w:ascii="Arial" w:hAnsi="Arial" w:cs="Arial"/>
              </w:rPr>
            </w:pPr>
            <w:r w:rsidRPr="0092670C">
              <w:rPr>
                <w:rFonts w:ascii="Arial" w:hAnsi="Arial" w:cs="Arial"/>
              </w:rPr>
              <w:t>Standard hydrogen electrode</w:t>
            </w:r>
          </w:p>
        </w:tc>
      </w:tr>
      <w:tr w:rsidR="00835EE2" w:rsidRPr="0092670C" w14:paraId="58DDEE1E" w14:textId="77777777" w:rsidTr="003606CB">
        <w:tc>
          <w:tcPr>
            <w:tcW w:w="3261" w:type="dxa"/>
            <w:hideMark/>
          </w:tcPr>
          <w:p w14:paraId="7335B230" w14:textId="77777777" w:rsidR="00835EE2" w:rsidRPr="0092670C" w:rsidRDefault="00835EE2" w:rsidP="00380753">
            <w:pPr>
              <w:jc w:val="both"/>
              <w:rPr>
                <w:rFonts w:ascii="Arial" w:hAnsi="Arial" w:cs="Arial"/>
              </w:rPr>
            </w:pPr>
            <w:r w:rsidRPr="0092670C">
              <w:rPr>
                <w:rFonts w:ascii="Arial" w:hAnsi="Arial" w:cs="Arial"/>
              </w:rPr>
              <w:t>SOC</w:t>
            </w:r>
          </w:p>
        </w:tc>
        <w:tc>
          <w:tcPr>
            <w:tcW w:w="5243" w:type="dxa"/>
            <w:hideMark/>
          </w:tcPr>
          <w:p w14:paraId="6E01DF3C" w14:textId="77777777" w:rsidR="00835EE2" w:rsidRPr="0092670C" w:rsidRDefault="00835EE2" w:rsidP="00380753">
            <w:pPr>
              <w:jc w:val="both"/>
              <w:rPr>
                <w:rFonts w:ascii="Arial" w:hAnsi="Arial" w:cs="Arial"/>
              </w:rPr>
            </w:pPr>
            <w:r w:rsidRPr="0092670C">
              <w:rPr>
                <w:rFonts w:ascii="Arial" w:hAnsi="Arial" w:cs="Arial"/>
              </w:rPr>
              <w:t>State of charge</w:t>
            </w:r>
          </w:p>
        </w:tc>
      </w:tr>
      <w:tr w:rsidR="00835EE2" w:rsidRPr="0092670C" w14:paraId="0572B766" w14:textId="77777777" w:rsidTr="003606CB">
        <w:tc>
          <w:tcPr>
            <w:tcW w:w="3261" w:type="dxa"/>
            <w:hideMark/>
          </w:tcPr>
          <w:p w14:paraId="5504CF56" w14:textId="77777777" w:rsidR="00835EE2" w:rsidRPr="0092670C" w:rsidRDefault="00835EE2" w:rsidP="00380753">
            <w:pPr>
              <w:jc w:val="both"/>
              <w:rPr>
                <w:rFonts w:ascii="Arial" w:hAnsi="Arial" w:cs="Arial"/>
              </w:rPr>
            </w:pPr>
            <w:r w:rsidRPr="0092670C">
              <w:rPr>
                <w:rFonts w:ascii="Arial" w:hAnsi="Arial" w:cs="Arial"/>
              </w:rPr>
              <w:t>SOH</w:t>
            </w:r>
          </w:p>
        </w:tc>
        <w:tc>
          <w:tcPr>
            <w:tcW w:w="5243" w:type="dxa"/>
            <w:hideMark/>
          </w:tcPr>
          <w:p w14:paraId="3492F94C" w14:textId="77777777" w:rsidR="00835EE2" w:rsidRPr="0092670C" w:rsidRDefault="00835EE2" w:rsidP="00380753">
            <w:pPr>
              <w:jc w:val="both"/>
              <w:rPr>
                <w:rFonts w:ascii="Arial" w:hAnsi="Arial" w:cs="Arial"/>
              </w:rPr>
            </w:pPr>
            <w:r w:rsidRPr="0092670C">
              <w:rPr>
                <w:rFonts w:ascii="Arial" w:hAnsi="Arial" w:cs="Arial"/>
              </w:rPr>
              <w:t>State of health</w:t>
            </w:r>
          </w:p>
        </w:tc>
      </w:tr>
      <w:tr w:rsidR="00835EE2" w:rsidRPr="0092670C" w14:paraId="5F4A3D3A" w14:textId="77777777" w:rsidTr="003606CB">
        <w:tc>
          <w:tcPr>
            <w:tcW w:w="3261" w:type="dxa"/>
            <w:hideMark/>
          </w:tcPr>
          <w:p w14:paraId="1CF26EEB" w14:textId="77777777" w:rsidR="00835EE2" w:rsidRPr="0092670C" w:rsidRDefault="00835EE2" w:rsidP="00380753">
            <w:pPr>
              <w:jc w:val="both"/>
              <w:rPr>
                <w:rFonts w:ascii="Arial" w:hAnsi="Arial" w:cs="Arial"/>
              </w:rPr>
            </w:pPr>
            <w:r w:rsidRPr="0092670C">
              <w:rPr>
                <w:rFonts w:ascii="Arial" w:hAnsi="Arial" w:cs="Arial"/>
              </w:rPr>
              <w:t>XPS</w:t>
            </w:r>
          </w:p>
        </w:tc>
        <w:tc>
          <w:tcPr>
            <w:tcW w:w="5243" w:type="dxa"/>
            <w:hideMark/>
          </w:tcPr>
          <w:p w14:paraId="1B95DCF4" w14:textId="77777777" w:rsidR="00835EE2" w:rsidRPr="0092670C" w:rsidRDefault="00835EE2" w:rsidP="00380753">
            <w:pPr>
              <w:jc w:val="both"/>
              <w:rPr>
                <w:rFonts w:ascii="Arial" w:hAnsi="Arial" w:cs="Arial"/>
              </w:rPr>
            </w:pPr>
            <w:r w:rsidRPr="0092670C">
              <w:rPr>
                <w:rFonts w:ascii="Arial" w:hAnsi="Arial" w:cs="Arial"/>
              </w:rPr>
              <w:t>X-ray photoelectron spectroscopy</w:t>
            </w:r>
          </w:p>
        </w:tc>
      </w:tr>
    </w:tbl>
    <w:p w14:paraId="11F5B49E" w14:textId="77777777" w:rsidR="00380753" w:rsidRPr="0092670C" w:rsidRDefault="00380753" w:rsidP="00EC5323">
      <w:pPr>
        <w:pStyle w:val="Title"/>
        <w:outlineLvl w:val="0"/>
        <w:rPr>
          <w:rFonts w:ascii="Arial" w:hAnsi="Arial" w:cs="Arial"/>
        </w:rPr>
      </w:pPr>
      <w:bookmarkStart w:id="1" w:name="_Toc82538706"/>
      <w:r w:rsidRPr="0092670C">
        <w:rPr>
          <w:rFonts w:ascii="Arial" w:hAnsi="Arial" w:cs="Arial"/>
        </w:rPr>
        <w:t>Abbreviation table</w:t>
      </w:r>
      <w:bookmarkEnd w:id="1"/>
      <w:r w:rsidRPr="0092670C">
        <w:rPr>
          <w:rFonts w:ascii="Arial" w:hAnsi="Arial" w:cs="Arial"/>
        </w:rPr>
        <w:t xml:space="preserve"> </w:t>
      </w:r>
    </w:p>
    <w:p w14:paraId="4BB9BDF6" w14:textId="77777777" w:rsidR="00F30E08" w:rsidRPr="0092670C" w:rsidRDefault="00F30E08">
      <w:pPr>
        <w:rPr>
          <w:rFonts w:ascii="Arial" w:eastAsia="Calibri" w:hAnsi="Arial" w:cs="Arial"/>
          <w:b/>
          <w:color w:val="2F5496" w:themeColor="accent1" w:themeShade="BF"/>
          <w:sz w:val="32"/>
          <w:szCs w:val="32"/>
        </w:rPr>
      </w:pPr>
      <w:r w:rsidRPr="0092670C">
        <w:rPr>
          <w:rFonts w:ascii="Arial" w:eastAsia="Calibri" w:hAnsi="Arial" w:cs="Arial"/>
          <w:b/>
        </w:rPr>
        <w:br w:type="page"/>
      </w:r>
    </w:p>
    <w:p w14:paraId="38F0B932" w14:textId="04444FE5" w:rsidR="001E6E1E" w:rsidRPr="0092670C" w:rsidRDefault="002A29AF" w:rsidP="00BD1FA1">
      <w:pPr>
        <w:pStyle w:val="Title"/>
        <w:outlineLvl w:val="0"/>
        <w:rPr>
          <w:rFonts w:ascii="Arial" w:hAnsi="Arial" w:cs="Arial"/>
        </w:rPr>
      </w:pPr>
      <w:bookmarkStart w:id="2" w:name="_Toc82538707"/>
      <w:r w:rsidRPr="0092670C">
        <w:rPr>
          <w:rFonts w:ascii="Arial" w:hAnsi="Arial" w:cs="Arial"/>
        </w:rPr>
        <w:t>Acknowledgments</w:t>
      </w:r>
      <w:bookmarkEnd w:id="2"/>
      <w:r w:rsidRPr="0092670C">
        <w:rPr>
          <w:rFonts w:ascii="Arial" w:hAnsi="Arial" w:cs="Arial"/>
        </w:rPr>
        <w:t xml:space="preserve"> </w:t>
      </w:r>
    </w:p>
    <w:p w14:paraId="388D30EF" w14:textId="77777777" w:rsidR="00B5331F" w:rsidRDefault="00B5331F" w:rsidP="00BB5D9F">
      <w:pPr>
        <w:spacing w:line="360" w:lineRule="auto"/>
        <w:jc w:val="both"/>
        <w:rPr>
          <w:rFonts w:ascii="Arial" w:hAnsi="Arial" w:cs="Arial"/>
        </w:rPr>
      </w:pPr>
    </w:p>
    <w:p w14:paraId="2BC1CDCD" w14:textId="6B74041A" w:rsidR="00C07656" w:rsidRDefault="0092730C" w:rsidP="00BB5D9F">
      <w:pPr>
        <w:spacing w:line="360" w:lineRule="auto"/>
        <w:jc w:val="both"/>
        <w:rPr>
          <w:rFonts w:ascii="Arial" w:hAnsi="Arial" w:cs="Arial"/>
        </w:rPr>
      </w:pPr>
      <w:r w:rsidRPr="0092670C">
        <w:rPr>
          <w:rFonts w:ascii="Arial" w:hAnsi="Arial" w:cs="Arial"/>
        </w:rPr>
        <w:t xml:space="preserve">I would like to thank </w:t>
      </w:r>
      <w:r w:rsidR="00C07656">
        <w:rPr>
          <w:rFonts w:ascii="Arial" w:hAnsi="Arial" w:cs="Arial"/>
        </w:rPr>
        <w:t>Vitor Martins for helping me to</w:t>
      </w:r>
      <w:r w:rsidR="00E91BA6">
        <w:rPr>
          <w:rFonts w:ascii="Arial" w:hAnsi="Arial" w:cs="Arial"/>
        </w:rPr>
        <w:t xml:space="preserve"> produce the hard carbon</w:t>
      </w:r>
      <w:r w:rsidR="00F778F6">
        <w:rPr>
          <w:rFonts w:ascii="Arial" w:hAnsi="Arial" w:cs="Arial"/>
        </w:rPr>
        <w:t xml:space="preserve"> as well as </w:t>
      </w:r>
      <w:r w:rsidR="009E0819">
        <w:rPr>
          <w:rFonts w:ascii="Arial" w:hAnsi="Arial" w:cs="Arial"/>
        </w:rPr>
        <w:t xml:space="preserve">Practical tips </w:t>
      </w:r>
      <w:r w:rsidR="00105BCB">
        <w:rPr>
          <w:rFonts w:ascii="Arial" w:hAnsi="Arial" w:cs="Arial"/>
        </w:rPr>
        <w:t xml:space="preserve">for </w:t>
      </w:r>
      <w:r w:rsidR="00FB2BF5">
        <w:rPr>
          <w:rFonts w:ascii="Arial" w:hAnsi="Arial" w:cs="Arial"/>
        </w:rPr>
        <w:t>cell assembly and cycling.</w:t>
      </w:r>
    </w:p>
    <w:p w14:paraId="19218950" w14:textId="63BCB8F1" w:rsidR="00717EDE" w:rsidRDefault="00717EDE" w:rsidP="00BB5D9F">
      <w:pPr>
        <w:spacing w:line="360" w:lineRule="auto"/>
        <w:jc w:val="both"/>
        <w:rPr>
          <w:rFonts w:ascii="Arial" w:hAnsi="Arial" w:cs="Arial"/>
        </w:rPr>
      </w:pPr>
      <w:r>
        <w:rPr>
          <w:rFonts w:ascii="Arial" w:hAnsi="Arial" w:cs="Arial"/>
        </w:rPr>
        <w:t xml:space="preserve">I would like to thank Jake Entwistle for </w:t>
      </w:r>
      <w:r w:rsidR="00D943EE">
        <w:rPr>
          <w:rFonts w:ascii="Arial" w:hAnsi="Arial" w:cs="Arial"/>
        </w:rPr>
        <w:t>providing the Si electrodes for testing and characterisation</w:t>
      </w:r>
      <w:r w:rsidR="00B30FC4">
        <w:rPr>
          <w:rFonts w:ascii="Arial" w:hAnsi="Arial" w:cs="Arial"/>
        </w:rPr>
        <w:t>.</w:t>
      </w:r>
    </w:p>
    <w:p w14:paraId="5A0FEA96" w14:textId="1B5975C8" w:rsidR="00B30FC4" w:rsidRDefault="00B30FC4" w:rsidP="00BB5D9F">
      <w:pPr>
        <w:spacing w:line="360" w:lineRule="auto"/>
        <w:jc w:val="both"/>
        <w:rPr>
          <w:rFonts w:ascii="Arial" w:hAnsi="Arial" w:cs="Arial"/>
        </w:rPr>
      </w:pPr>
      <w:r>
        <w:rPr>
          <w:rFonts w:ascii="Arial" w:hAnsi="Arial" w:cs="Arial"/>
        </w:rPr>
        <w:t xml:space="preserve">I would Like to thank Mark Issacs </w:t>
      </w:r>
      <w:r w:rsidR="00C97184">
        <w:rPr>
          <w:rFonts w:ascii="Arial" w:hAnsi="Arial" w:cs="Arial"/>
        </w:rPr>
        <w:t xml:space="preserve">for giving me access to the HarwellXPS service and </w:t>
      </w:r>
      <w:r w:rsidR="0038666E">
        <w:rPr>
          <w:rFonts w:ascii="Arial" w:hAnsi="Arial" w:cs="Arial"/>
        </w:rPr>
        <w:t>his help with interpreting the results.</w:t>
      </w:r>
    </w:p>
    <w:p w14:paraId="7FE9E34E" w14:textId="505C9DD7" w:rsidR="0092730C" w:rsidRPr="0092670C" w:rsidRDefault="00BE03C8" w:rsidP="00BB5D9F">
      <w:pPr>
        <w:spacing w:line="360" w:lineRule="auto"/>
        <w:jc w:val="both"/>
        <w:rPr>
          <w:rFonts w:ascii="Arial" w:hAnsi="Arial" w:cs="Arial"/>
        </w:rPr>
      </w:pPr>
      <w:r>
        <w:rPr>
          <w:rFonts w:ascii="Arial" w:hAnsi="Arial" w:cs="Arial"/>
        </w:rPr>
        <w:t>A bi</w:t>
      </w:r>
      <w:r w:rsidR="00022C4D">
        <w:rPr>
          <w:rFonts w:ascii="Arial" w:hAnsi="Arial" w:cs="Arial"/>
        </w:rPr>
        <w:t xml:space="preserve">g thank to my </w:t>
      </w:r>
      <w:r w:rsidR="003736C4" w:rsidRPr="0092670C">
        <w:rPr>
          <w:rFonts w:ascii="Arial" w:hAnsi="Arial" w:cs="Arial"/>
        </w:rPr>
        <w:t xml:space="preserve">Fiancé </w:t>
      </w:r>
      <w:r w:rsidR="00E448EC" w:rsidRPr="0092670C">
        <w:rPr>
          <w:rFonts w:ascii="Arial" w:hAnsi="Arial" w:cs="Arial"/>
        </w:rPr>
        <w:t>Meghna,</w:t>
      </w:r>
      <w:r w:rsidR="003736C4" w:rsidRPr="0092670C">
        <w:rPr>
          <w:rFonts w:ascii="Arial" w:hAnsi="Arial" w:cs="Arial"/>
        </w:rPr>
        <w:t xml:space="preserve"> my</w:t>
      </w:r>
      <w:r w:rsidR="00541C9B" w:rsidRPr="0092670C">
        <w:rPr>
          <w:rFonts w:ascii="Arial" w:hAnsi="Arial" w:cs="Arial"/>
        </w:rPr>
        <w:t xml:space="preserve"> family, my supervisors as well as </w:t>
      </w:r>
      <w:r w:rsidR="003736C4" w:rsidRPr="0092670C">
        <w:rPr>
          <w:rFonts w:ascii="Arial" w:hAnsi="Arial" w:cs="Arial"/>
        </w:rPr>
        <w:t>my colleagues in the battery lab</w:t>
      </w:r>
      <w:r w:rsidR="00E448EC" w:rsidRPr="0092670C">
        <w:rPr>
          <w:rFonts w:ascii="Arial" w:hAnsi="Arial" w:cs="Arial"/>
        </w:rPr>
        <w:t>. Without the</w:t>
      </w:r>
      <w:r w:rsidR="009959C8" w:rsidRPr="0092670C">
        <w:rPr>
          <w:rFonts w:ascii="Arial" w:hAnsi="Arial" w:cs="Arial"/>
        </w:rPr>
        <w:t>ir contributions</w:t>
      </w:r>
      <w:r w:rsidR="00E448EC" w:rsidRPr="0092670C">
        <w:rPr>
          <w:rFonts w:ascii="Arial" w:hAnsi="Arial" w:cs="Arial"/>
        </w:rPr>
        <w:t xml:space="preserve"> it would not have been possible to complete this thesis. </w:t>
      </w:r>
    </w:p>
    <w:p w14:paraId="75EEBFF3" w14:textId="77777777" w:rsidR="00F30E08" w:rsidRPr="0092670C" w:rsidRDefault="00F30E08">
      <w:pPr>
        <w:rPr>
          <w:rFonts w:ascii="Arial" w:eastAsia="Calibri" w:hAnsi="Arial" w:cs="Arial"/>
          <w:b/>
          <w:color w:val="2F5496" w:themeColor="accent1" w:themeShade="BF"/>
          <w:sz w:val="32"/>
          <w:szCs w:val="32"/>
        </w:rPr>
      </w:pPr>
      <w:r w:rsidRPr="0092670C">
        <w:rPr>
          <w:rFonts w:ascii="Arial" w:eastAsia="Calibri" w:hAnsi="Arial" w:cs="Arial"/>
          <w:b/>
          <w:color w:val="2F5496" w:themeColor="accent1" w:themeShade="BF"/>
          <w:sz w:val="32"/>
          <w:szCs w:val="32"/>
        </w:rPr>
        <w:br w:type="page"/>
      </w:r>
    </w:p>
    <w:p w14:paraId="4026B7F6" w14:textId="71B3EA5C" w:rsidR="003E14AA" w:rsidRPr="0092670C" w:rsidRDefault="00E8341D" w:rsidP="00B63FE8">
      <w:pPr>
        <w:pStyle w:val="Title"/>
        <w:spacing w:line="360" w:lineRule="auto"/>
        <w:outlineLvl w:val="0"/>
        <w:rPr>
          <w:rFonts w:ascii="Arial" w:hAnsi="Arial" w:cs="Arial"/>
        </w:rPr>
      </w:pPr>
      <w:bookmarkStart w:id="3" w:name="_Toc82538708"/>
      <w:r w:rsidRPr="0092670C">
        <w:rPr>
          <w:rFonts w:ascii="Arial" w:hAnsi="Arial" w:cs="Arial"/>
        </w:rPr>
        <w:t>Abstract</w:t>
      </w:r>
      <w:bookmarkEnd w:id="3"/>
      <w:r w:rsidR="003E14AA" w:rsidRPr="0092670C">
        <w:rPr>
          <w:rFonts w:ascii="Arial" w:hAnsi="Arial" w:cs="Arial"/>
        </w:rPr>
        <w:t xml:space="preserve"> </w:t>
      </w:r>
    </w:p>
    <w:p w14:paraId="29F8C05A" w14:textId="236A44BB" w:rsidR="00BB450F" w:rsidRDefault="000E4910" w:rsidP="00B63FE8">
      <w:pPr>
        <w:spacing w:line="360" w:lineRule="auto"/>
        <w:jc w:val="both"/>
        <w:rPr>
          <w:rFonts w:ascii="Arial" w:eastAsia="Calibri" w:hAnsi="Arial" w:cs="Arial"/>
        </w:rPr>
      </w:pPr>
      <w:r>
        <w:rPr>
          <w:rFonts w:ascii="Arial" w:eastAsia="Calibri" w:hAnsi="Arial" w:cs="Arial"/>
        </w:rPr>
        <w:t xml:space="preserve">This Thesis </w:t>
      </w:r>
      <w:r w:rsidR="003612B1">
        <w:rPr>
          <w:rFonts w:ascii="Arial" w:eastAsia="Calibri" w:hAnsi="Arial" w:cs="Arial"/>
        </w:rPr>
        <w:t xml:space="preserve">focuses on the </w:t>
      </w:r>
      <w:r w:rsidR="004C7F4D">
        <w:rPr>
          <w:rFonts w:ascii="Arial" w:eastAsia="Calibri" w:hAnsi="Arial" w:cs="Arial"/>
        </w:rPr>
        <w:t xml:space="preserve">use of </w:t>
      </w:r>
      <w:r w:rsidR="003612B1">
        <w:rPr>
          <w:rFonts w:ascii="Arial" w:eastAsia="Calibri" w:hAnsi="Arial" w:cs="Arial"/>
        </w:rPr>
        <w:t xml:space="preserve">pre-lithiation to influence </w:t>
      </w:r>
      <w:r w:rsidR="004C7F4D">
        <w:rPr>
          <w:rFonts w:ascii="Arial" w:eastAsia="Calibri" w:hAnsi="Arial" w:cs="Arial"/>
        </w:rPr>
        <w:t xml:space="preserve">properties of </w:t>
      </w:r>
      <w:r w:rsidR="003612B1">
        <w:rPr>
          <w:rFonts w:ascii="Arial" w:eastAsia="Calibri" w:hAnsi="Arial" w:cs="Arial"/>
        </w:rPr>
        <w:t>the</w:t>
      </w:r>
      <w:r w:rsidR="001636A8">
        <w:rPr>
          <w:rFonts w:ascii="Arial" w:eastAsia="Calibri" w:hAnsi="Arial" w:cs="Arial"/>
        </w:rPr>
        <w:t xml:space="preserve"> solid electrolyte interphase</w:t>
      </w:r>
      <w:r w:rsidR="003612B1">
        <w:rPr>
          <w:rFonts w:ascii="Arial" w:eastAsia="Calibri" w:hAnsi="Arial" w:cs="Arial"/>
        </w:rPr>
        <w:t xml:space="preserve"> </w:t>
      </w:r>
      <w:r w:rsidR="001636A8">
        <w:rPr>
          <w:rFonts w:ascii="Arial" w:eastAsia="Calibri" w:hAnsi="Arial" w:cs="Arial"/>
        </w:rPr>
        <w:t>(</w:t>
      </w:r>
      <w:r w:rsidR="003612B1">
        <w:rPr>
          <w:rFonts w:ascii="Arial" w:eastAsia="Calibri" w:hAnsi="Arial" w:cs="Arial"/>
        </w:rPr>
        <w:t>SEI</w:t>
      </w:r>
      <w:r w:rsidR="001636A8">
        <w:rPr>
          <w:rFonts w:ascii="Arial" w:eastAsia="Calibri" w:hAnsi="Arial" w:cs="Arial"/>
        </w:rPr>
        <w:t>)</w:t>
      </w:r>
      <w:r w:rsidR="003612B1">
        <w:rPr>
          <w:rFonts w:ascii="Arial" w:eastAsia="Calibri" w:hAnsi="Arial" w:cs="Arial"/>
        </w:rPr>
        <w:t xml:space="preserve"> </w:t>
      </w:r>
      <w:r w:rsidR="004C7F4D">
        <w:rPr>
          <w:rFonts w:ascii="Arial" w:eastAsia="Calibri" w:hAnsi="Arial" w:cs="Arial"/>
        </w:rPr>
        <w:t>and it</w:t>
      </w:r>
      <w:r w:rsidR="0085172C">
        <w:rPr>
          <w:rFonts w:ascii="Arial" w:eastAsia="Calibri" w:hAnsi="Arial" w:cs="Arial"/>
        </w:rPr>
        <w:t>’s effects on the cycle life of the cells under investigation.</w:t>
      </w:r>
    </w:p>
    <w:p w14:paraId="5E9077A6" w14:textId="58311B32" w:rsidR="00735C16" w:rsidRDefault="000E4910" w:rsidP="007D0755">
      <w:pPr>
        <w:spacing w:line="360" w:lineRule="auto"/>
        <w:jc w:val="both"/>
        <w:rPr>
          <w:rFonts w:ascii="Arial" w:eastAsia="Calibri" w:hAnsi="Arial" w:cs="Arial"/>
        </w:rPr>
      </w:pPr>
      <w:r>
        <w:rPr>
          <w:rFonts w:ascii="Arial" w:eastAsia="Calibri" w:hAnsi="Arial" w:cs="Arial"/>
        </w:rPr>
        <w:t xml:space="preserve">Chapter 3 was the result of several experiments investigating the pre-lithiation of graphite. This work demonstrated that the material used for pre-lithiation could be different to the electrolyte and deliver the improved performance over simple pre-lithiation in the electrolyte. This </w:t>
      </w:r>
      <w:r w:rsidR="00B012DC">
        <w:rPr>
          <w:rFonts w:ascii="Arial" w:eastAsia="Calibri" w:hAnsi="Arial" w:cs="Arial"/>
        </w:rPr>
        <w:t xml:space="preserve">opens the possibility for new pre-lithiation routes of electrodes that </w:t>
      </w:r>
      <w:r w:rsidR="00E77A32">
        <w:rPr>
          <w:rFonts w:ascii="Arial" w:eastAsia="Calibri" w:hAnsi="Arial" w:cs="Arial"/>
        </w:rPr>
        <w:t>result in a lower resistance, longer lasting SEI than can be achieved with solely the electrolyte.</w:t>
      </w:r>
    </w:p>
    <w:p w14:paraId="06AA1774" w14:textId="77777777" w:rsidR="001636A8" w:rsidRDefault="00B012DC" w:rsidP="007D0755">
      <w:pPr>
        <w:spacing w:line="360" w:lineRule="auto"/>
        <w:jc w:val="both"/>
        <w:rPr>
          <w:rFonts w:ascii="Arial" w:eastAsia="Calibri" w:hAnsi="Arial" w:cs="Arial"/>
        </w:rPr>
      </w:pPr>
      <w:r>
        <w:rPr>
          <w:rFonts w:ascii="Arial" w:eastAsia="Calibri" w:hAnsi="Arial" w:cs="Arial"/>
        </w:rPr>
        <w:t xml:space="preserve">Chapter 4 applies the same principles to Si based anodes. </w:t>
      </w:r>
      <w:r w:rsidR="00E77A32">
        <w:rPr>
          <w:rFonts w:ascii="Arial" w:eastAsia="Calibri" w:hAnsi="Arial" w:cs="Arial"/>
        </w:rPr>
        <w:t xml:space="preserve">This found that whilst the initial capacity of these cells could be increased </w:t>
      </w:r>
      <w:r w:rsidR="003612B1">
        <w:rPr>
          <w:rFonts w:ascii="Arial" w:eastAsia="Calibri" w:hAnsi="Arial" w:cs="Arial"/>
        </w:rPr>
        <w:t xml:space="preserve">but the cells suffered from excessive capacity fade. This was found to be a result of SEI cracking/ reformation removing the benefits of </w:t>
      </w:r>
      <w:r w:rsidR="001636A8">
        <w:rPr>
          <w:rFonts w:ascii="Arial" w:eastAsia="Calibri" w:hAnsi="Arial" w:cs="Arial"/>
        </w:rPr>
        <w:t>a pre-lithiated SEI.</w:t>
      </w:r>
    </w:p>
    <w:p w14:paraId="478160E8" w14:textId="29CB41E3" w:rsidR="00F66DCA" w:rsidRDefault="001636A8" w:rsidP="007D0755">
      <w:pPr>
        <w:spacing w:line="360" w:lineRule="auto"/>
        <w:jc w:val="both"/>
        <w:rPr>
          <w:rFonts w:ascii="Arial" w:eastAsia="Calibri" w:hAnsi="Arial" w:cs="Arial"/>
        </w:rPr>
      </w:pPr>
      <w:r>
        <w:rPr>
          <w:rFonts w:ascii="Arial" w:eastAsia="Calibri" w:hAnsi="Arial" w:cs="Arial"/>
        </w:rPr>
        <w:t>Chapter 5 uses the information from chapter 4 to track the SEI reformation process using electrochemical impedance spectroscopy (EIS).</w:t>
      </w:r>
      <w:r w:rsidR="00563A77">
        <w:rPr>
          <w:rFonts w:ascii="Arial" w:eastAsia="Calibri" w:hAnsi="Arial" w:cs="Arial"/>
        </w:rPr>
        <w:t xml:space="preserve"> </w:t>
      </w:r>
      <w:r w:rsidR="00786C06">
        <w:rPr>
          <w:rFonts w:ascii="Arial" w:eastAsia="Calibri" w:hAnsi="Arial" w:cs="Arial"/>
        </w:rPr>
        <w:t>This</w:t>
      </w:r>
      <w:r w:rsidR="00563A77">
        <w:rPr>
          <w:rFonts w:ascii="Arial" w:eastAsia="Calibri" w:hAnsi="Arial" w:cs="Arial"/>
        </w:rPr>
        <w:t xml:space="preserve"> </w:t>
      </w:r>
      <w:r w:rsidR="004A6EDB">
        <w:rPr>
          <w:rFonts w:ascii="Arial" w:eastAsia="Calibri" w:hAnsi="Arial" w:cs="Arial"/>
        </w:rPr>
        <w:t xml:space="preserve">experiment found that the presence of </w:t>
      </w:r>
      <w:r w:rsidR="00A72AEB">
        <w:rPr>
          <w:rFonts w:ascii="Arial" w:eastAsia="Calibri" w:hAnsi="Arial" w:cs="Arial"/>
        </w:rPr>
        <w:t xml:space="preserve">FEC in the </w:t>
      </w:r>
      <w:r w:rsidR="00F66DCA">
        <w:rPr>
          <w:rFonts w:ascii="Arial" w:eastAsia="Calibri" w:hAnsi="Arial" w:cs="Arial"/>
        </w:rPr>
        <w:t>electrolyte</w:t>
      </w:r>
      <w:r w:rsidR="004A6EDB">
        <w:rPr>
          <w:rFonts w:ascii="Arial" w:eastAsia="Calibri" w:hAnsi="Arial" w:cs="Arial"/>
        </w:rPr>
        <w:t xml:space="preserve"> lowered the resistance of the SEI</w:t>
      </w:r>
      <w:r w:rsidR="001862A4">
        <w:rPr>
          <w:rFonts w:ascii="Arial" w:eastAsia="Calibri" w:hAnsi="Arial" w:cs="Arial"/>
        </w:rPr>
        <w:t xml:space="preserve">, even when they </w:t>
      </w:r>
      <w:r w:rsidR="008F6D24">
        <w:rPr>
          <w:rFonts w:ascii="Arial" w:eastAsia="Calibri" w:hAnsi="Arial" w:cs="Arial"/>
        </w:rPr>
        <w:t>were not</w:t>
      </w:r>
      <w:r w:rsidR="001862A4">
        <w:rPr>
          <w:rFonts w:ascii="Arial" w:eastAsia="Calibri" w:hAnsi="Arial" w:cs="Arial"/>
        </w:rPr>
        <w:t xml:space="preserve"> pre-lithiated in</w:t>
      </w:r>
      <w:r w:rsidR="00B24849">
        <w:rPr>
          <w:rFonts w:ascii="Arial" w:eastAsia="Calibri" w:hAnsi="Arial" w:cs="Arial"/>
        </w:rPr>
        <w:t xml:space="preserve"> their presence. T</w:t>
      </w:r>
      <w:r w:rsidR="00A72AEB">
        <w:rPr>
          <w:rFonts w:ascii="Arial" w:eastAsia="Calibri" w:hAnsi="Arial" w:cs="Arial"/>
        </w:rPr>
        <w:t xml:space="preserve">he reverse was true when it was in the </w:t>
      </w:r>
      <w:r w:rsidR="00F66DCA">
        <w:rPr>
          <w:rFonts w:ascii="Arial" w:eastAsia="Calibri" w:hAnsi="Arial" w:cs="Arial"/>
        </w:rPr>
        <w:t>pre-lithiated SEI but not the electrolyte.</w:t>
      </w:r>
    </w:p>
    <w:p w14:paraId="40C61E8E" w14:textId="1B64CAD3" w:rsidR="001636A8" w:rsidRPr="000E4910" w:rsidRDefault="00F66DCA" w:rsidP="007D0755">
      <w:pPr>
        <w:spacing w:line="360" w:lineRule="auto"/>
        <w:jc w:val="both"/>
        <w:rPr>
          <w:rFonts w:ascii="Arial" w:eastAsia="Calibri" w:hAnsi="Arial" w:cs="Arial"/>
        </w:rPr>
        <w:sectPr w:rsidR="001636A8" w:rsidRPr="000E4910" w:rsidSect="000271FE">
          <w:footerReference w:type="default" r:id="rId13"/>
          <w:pgSz w:w="11906" w:h="16838"/>
          <w:pgMar w:top="1134" w:right="1134" w:bottom="1134" w:left="2268" w:header="709" w:footer="709" w:gutter="0"/>
          <w:pgNumType w:fmt="lowerRoman"/>
          <w:cols w:space="708"/>
          <w:titlePg/>
          <w:docGrid w:linePitch="360"/>
        </w:sectPr>
      </w:pPr>
      <w:r>
        <w:rPr>
          <w:rFonts w:ascii="Arial" w:eastAsia="Calibri" w:hAnsi="Arial" w:cs="Arial"/>
        </w:rPr>
        <w:t>Chapter 6</w:t>
      </w:r>
      <w:r w:rsidR="00257EDA">
        <w:rPr>
          <w:rFonts w:ascii="Arial" w:eastAsia="Calibri" w:hAnsi="Arial" w:cs="Arial"/>
        </w:rPr>
        <w:t xml:space="preserve"> looked at pre-lithiated hard carbon electrodes </w:t>
      </w:r>
      <w:r w:rsidR="007C4518">
        <w:rPr>
          <w:rFonts w:ascii="Arial" w:eastAsia="Calibri" w:hAnsi="Arial" w:cs="Arial"/>
        </w:rPr>
        <w:t xml:space="preserve">as Na-ion anodes. </w:t>
      </w:r>
      <w:r w:rsidR="00807762">
        <w:rPr>
          <w:rFonts w:ascii="Arial" w:eastAsia="Calibri" w:hAnsi="Arial" w:cs="Arial"/>
        </w:rPr>
        <w:t>It was found that pre-lithiated hard carbon</w:t>
      </w:r>
      <w:r w:rsidR="00E35498">
        <w:rPr>
          <w:rFonts w:ascii="Arial" w:eastAsia="Calibri" w:hAnsi="Arial" w:cs="Arial"/>
        </w:rPr>
        <w:t xml:space="preserve"> </w:t>
      </w:r>
      <w:r w:rsidR="00B113E4">
        <w:rPr>
          <w:rFonts w:ascii="Arial" w:eastAsia="Calibri" w:hAnsi="Arial" w:cs="Arial"/>
        </w:rPr>
        <w:t>anodes had a lower capacity a</w:t>
      </w:r>
      <w:r w:rsidR="00457736">
        <w:rPr>
          <w:rFonts w:ascii="Arial" w:eastAsia="Calibri" w:hAnsi="Arial" w:cs="Arial"/>
        </w:rPr>
        <w:t xml:space="preserve">s pre-lithiation time increased. </w:t>
      </w:r>
      <w:r w:rsidR="00E35498">
        <w:rPr>
          <w:rFonts w:ascii="Arial" w:eastAsia="Calibri" w:hAnsi="Arial" w:cs="Arial"/>
        </w:rPr>
        <w:t xml:space="preserve"> The pre-lithiated electrodes had much greater </w:t>
      </w:r>
      <w:r w:rsidR="00852ABA">
        <w:rPr>
          <w:rFonts w:ascii="Arial" w:eastAsia="Calibri" w:hAnsi="Arial" w:cs="Arial"/>
        </w:rPr>
        <w:t xml:space="preserve">capacity than the un-lithiated hard carbon </w:t>
      </w:r>
      <w:r w:rsidR="00A774A7">
        <w:rPr>
          <w:rFonts w:ascii="Arial" w:eastAsia="Calibri" w:hAnsi="Arial" w:cs="Arial"/>
        </w:rPr>
        <w:t xml:space="preserve">which suffered from rapid capacity fade. The </w:t>
      </w:r>
      <w:r w:rsidR="002A1E7F">
        <w:rPr>
          <w:rFonts w:ascii="Arial" w:eastAsia="Calibri" w:hAnsi="Arial" w:cs="Arial"/>
        </w:rPr>
        <w:t xml:space="preserve">solubility of the </w:t>
      </w:r>
      <w:r w:rsidR="001F375E">
        <w:rPr>
          <w:rFonts w:ascii="Arial" w:eastAsia="Calibri" w:hAnsi="Arial" w:cs="Arial"/>
        </w:rPr>
        <w:t xml:space="preserve">pre-lithiated </w:t>
      </w:r>
      <w:r w:rsidR="002A1E7F">
        <w:rPr>
          <w:rFonts w:ascii="Arial" w:eastAsia="Calibri" w:hAnsi="Arial" w:cs="Arial"/>
        </w:rPr>
        <w:t xml:space="preserve">SEI was </w:t>
      </w:r>
      <w:r w:rsidR="00F219A1">
        <w:rPr>
          <w:rFonts w:ascii="Arial" w:eastAsia="Calibri" w:hAnsi="Arial" w:cs="Arial"/>
        </w:rPr>
        <w:t>investigated,</w:t>
      </w:r>
      <w:r w:rsidR="002A1E7F">
        <w:rPr>
          <w:rFonts w:ascii="Arial" w:eastAsia="Calibri" w:hAnsi="Arial" w:cs="Arial"/>
        </w:rPr>
        <w:t xml:space="preserve"> a</w:t>
      </w:r>
      <w:r w:rsidR="001F375E">
        <w:rPr>
          <w:rFonts w:ascii="Arial" w:eastAsia="Calibri" w:hAnsi="Arial" w:cs="Arial"/>
        </w:rPr>
        <w:t xml:space="preserve">nd it was found that allowing the cell to rest for extended periods increased the </w:t>
      </w:r>
      <w:r w:rsidR="00131D54">
        <w:rPr>
          <w:rFonts w:ascii="Arial" w:eastAsia="Calibri" w:hAnsi="Arial" w:cs="Arial"/>
        </w:rPr>
        <w:t xml:space="preserve">capacity of the anode </w:t>
      </w:r>
      <w:r w:rsidR="004C7F4D">
        <w:rPr>
          <w:rFonts w:ascii="Arial" w:eastAsia="Calibri" w:hAnsi="Arial" w:cs="Arial"/>
        </w:rPr>
        <w:t>with lower SEI resistance.</w:t>
      </w:r>
      <w:r w:rsidR="00131D54">
        <w:rPr>
          <w:rFonts w:ascii="Arial" w:eastAsia="Calibri" w:hAnsi="Arial" w:cs="Arial"/>
        </w:rPr>
        <w:t xml:space="preserve"> </w:t>
      </w:r>
    </w:p>
    <w:p w14:paraId="77DE118F" w14:textId="5301FCE6" w:rsidR="00380753" w:rsidRPr="0092670C" w:rsidRDefault="00380753" w:rsidP="00805842">
      <w:pPr>
        <w:pStyle w:val="Heading1"/>
        <w:spacing w:before="4000" w:line="360" w:lineRule="auto"/>
        <w:rPr>
          <w:rFonts w:ascii="Arial" w:hAnsi="Arial" w:cs="Arial"/>
        </w:rPr>
      </w:pPr>
      <w:bookmarkStart w:id="4" w:name="_Ref27394796"/>
      <w:bookmarkStart w:id="5" w:name="_Toc82538709"/>
      <w:r w:rsidRPr="0092670C">
        <w:rPr>
          <w:rFonts w:ascii="Arial" w:hAnsi="Arial" w:cs="Arial"/>
        </w:rPr>
        <w:t>Literature review</w:t>
      </w:r>
      <w:bookmarkEnd w:id="4"/>
      <w:bookmarkEnd w:id="5"/>
      <w:r w:rsidRPr="0092670C">
        <w:rPr>
          <w:rFonts w:ascii="Arial" w:hAnsi="Arial" w:cs="Arial"/>
        </w:rPr>
        <w:t xml:space="preserve"> </w:t>
      </w:r>
    </w:p>
    <w:p w14:paraId="3C9EE4F1" w14:textId="56A7186F" w:rsidR="00735C16" w:rsidRPr="0092670C" w:rsidRDefault="008D76B2" w:rsidP="00CF4E60">
      <w:pPr>
        <w:spacing w:line="360" w:lineRule="auto"/>
        <w:jc w:val="both"/>
        <w:rPr>
          <w:rFonts w:ascii="Arial" w:hAnsi="Arial" w:cs="Arial"/>
        </w:rPr>
      </w:pPr>
      <w:r w:rsidRPr="0092670C">
        <w:rPr>
          <w:rFonts w:ascii="Arial" w:hAnsi="Arial" w:cs="Arial"/>
        </w:rPr>
        <w:t>Th</w:t>
      </w:r>
      <w:r w:rsidR="0047678E" w:rsidRPr="0092670C">
        <w:rPr>
          <w:rFonts w:ascii="Arial" w:hAnsi="Arial" w:cs="Arial"/>
        </w:rPr>
        <w:t>is chapter introduces Li-ion batteries chemistry and the fundamental components that they contain. It then delves into the issue of solid electrolyte interphase formation and the impact that it has on the cell from both an electrochemical and a safety aspect. It discusses common strategies for reducing SEI growth, typically by using electrolyte additives. It finishes with techniques to direct SEI growth such as formation cycling.</w:t>
      </w:r>
    </w:p>
    <w:p w14:paraId="636140D3" w14:textId="49D8255E" w:rsidR="00B51740" w:rsidRPr="0092670C" w:rsidRDefault="00B51740" w:rsidP="00CF4E60">
      <w:pPr>
        <w:spacing w:line="360" w:lineRule="auto"/>
        <w:jc w:val="both"/>
        <w:rPr>
          <w:rFonts w:ascii="Arial" w:hAnsi="Arial" w:cs="Arial"/>
        </w:rPr>
      </w:pPr>
    </w:p>
    <w:p w14:paraId="279D63D4" w14:textId="77777777" w:rsidR="00D918C5" w:rsidRPr="0092670C" w:rsidRDefault="00D918C5" w:rsidP="00CF4E60">
      <w:pPr>
        <w:spacing w:line="360" w:lineRule="auto"/>
        <w:jc w:val="both"/>
        <w:rPr>
          <w:rFonts w:ascii="Arial" w:hAnsi="Arial" w:cs="Arial"/>
        </w:rPr>
      </w:pPr>
    </w:p>
    <w:p w14:paraId="0EDB8812" w14:textId="6666E27F" w:rsidR="00735C16" w:rsidRPr="0092670C" w:rsidRDefault="00CA4DC6" w:rsidP="00CF4E60">
      <w:pPr>
        <w:spacing w:line="360" w:lineRule="auto"/>
        <w:jc w:val="both"/>
        <w:rPr>
          <w:rFonts w:ascii="Arial" w:hAnsi="Arial" w:cs="Arial"/>
        </w:rPr>
      </w:pPr>
      <w:r w:rsidRPr="0092670C">
        <w:rPr>
          <w:rFonts w:ascii="Arial" w:hAnsi="Arial" w:cs="Arial"/>
        </w:rPr>
        <w:br w:type="page"/>
      </w:r>
    </w:p>
    <w:p w14:paraId="4E35713D" w14:textId="592F8963" w:rsidR="004D01EF" w:rsidRDefault="004D01EF" w:rsidP="004D01EF">
      <w:pPr>
        <w:rPr>
          <w:rFonts w:ascii="Arial" w:hAnsi="Arial" w:cs="Arial"/>
          <w:sz w:val="32"/>
          <w:szCs w:val="32"/>
        </w:rPr>
      </w:pPr>
      <w:r w:rsidRPr="0092670C">
        <w:rPr>
          <w:rFonts w:ascii="Arial" w:hAnsi="Arial" w:cs="Arial"/>
          <w:sz w:val="32"/>
          <w:szCs w:val="32"/>
        </w:rPr>
        <w:t>Chapter 1</w:t>
      </w:r>
    </w:p>
    <w:p w14:paraId="0FB67E19" w14:textId="189CEB3F" w:rsidR="00995161" w:rsidRDefault="00995161" w:rsidP="0099504C">
      <w:pPr>
        <w:pStyle w:val="Heading2"/>
        <w:rPr>
          <w:rFonts w:ascii="Arial" w:hAnsi="Arial" w:cs="Arial"/>
          <w:sz w:val="32"/>
          <w:szCs w:val="32"/>
        </w:rPr>
      </w:pPr>
      <w:bookmarkStart w:id="6" w:name="_Toc82538710"/>
      <w:r>
        <w:rPr>
          <w:rFonts w:ascii="Arial" w:hAnsi="Arial" w:cs="Arial"/>
          <w:sz w:val="32"/>
          <w:szCs w:val="32"/>
        </w:rPr>
        <w:t>Introduction</w:t>
      </w:r>
      <w:bookmarkEnd w:id="6"/>
      <w:r>
        <w:rPr>
          <w:rFonts w:ascii="Arial" w:hAnsi="Arial" w:cs="Arial"/>
          <w:sz w:val="32"/>
          <w:szCs w:val="32"/>
        </w:rPr>
        <w:t xml:space="preserve"> </w:t>
      </w:r>
    </w:p>
    <w:p w14:paraId="716ED420" w14:textId="3CDEE990" w:rsidR="00C9094F" w:rsidRDefault="00B83B49" w:rsidP="007A76A4">
      <w:pPr>
        <w:spacing w:line="360" w:lineRule="auto"/>
        <w:jc w:val="both"/>
        <w:rPr>
          <w:rFonts w:ascii="Arial" w:hAnsi="Arial" w:cs="Arial"/>
        </w:rPr>
      </w:pPr>
      <w:r>
        <w:rPr>
          <w:rFonts w:ascii="Arial" w:hAnsi="Arial" w:cs="Arial"/>
        </w:rPr>
        <w:t xml:space="preserve">When </w:t>
      </w:r>
      <w:r w:rsidR="001833BC">
        <w:rPr>
          <w:rFonts w:ascii="Arial" w:hAnsi="Arial" w:cs="Arial"/>
        </w:rPr>
        <w:t xml:space="preserve">the electrolyte </w:t>
      </w:r>
      <w:r w:rsidR="00200E60">
        <w:rPr>
          <w:rFonts w:ascii="Arial" w:hAnsi="Arial" w:cs="Arial"/>
        </w:rPr>
        <w:t>encounters</w:t>
      </w:r>
      <w:r w:rsidR="001833BC">
        <w:rPr>
          <w:rFonts w:ascii="Arial" w:hAnsi="Arial" w:cs="Arial"/>
        </w:rPr>
        <w:t xml:space="preserve"> the anode at </w:t>
      </w:r>
      <w:r w:rsidR="00EB1B64">
        <w:rPr>
          <w:rFonts w:ascii="Arial" w:hAnsi="Arial" w:cs="Arial"/>
        </w:rPr>
        <w:t xml:space="preserve">low voltages in a Li-ion battery it </w:t>
      </w:r>
      <w:r w:rsidR="00E74AB4">
        <w:rPr>
          <w:rFonts w:ascii="Arial" w:hAnsi="Arial" w:cs="Arial"/>
        </w:rPr>
        <w:t>degrades leaving behind reaction products that form a thin film on the anode surface</w:t>
      </w:r>
      <w:r w:rsidR="004F0EC3">
        <w:rPr>
          <w:rFonts w:ascii="Arial" w:hAnsi="Arial" w:cs="Arial"/>
        </w:rPr>
        <w:t xml:space="preserve"> </w:t>
      </w:r>
      <w:r w:rsidR="004F0EC3">
        <w:rPr>
          <w:rFonts w:ascii="Arial" w:hAnsi="Arial" w:cs="Arial"/>
        </w:rPr>
        <w:fldChar w:fldCharType="begin"/>
      </w:r>
      <w:r w:rsidR="004F0EC3">
        <w:rPr>
          <w:rFonts w:ascii="Arial" w:hAnsi="Arial" w:cs="Arial"/>
        </w:rPr>
        <w:instrText xml:space="preserve"> ADDIN EN.CITE &lt;EndNote&gt;&lt;Cite&gt;&lt;Author&gt;Peled&lt;/Author&gt;&lt;Year&gt;1979&lt;/Year&gt;&lt;RecNum&gt;131&lt;/RecNum&gt;&lt;DisplayText&gt;[1]&lt;/DisplayText&gt;&lt;record&gt;&lt;rec-number&gt;131&lt;/rec-number&gt;&lt;foreign-keys&gt;&lt;key app="EN" db-id="5sa9s0e0r0d9fnexra7pr5xdwd5ztevx95s2" timestamp="1518796821"&gt;131&lt;/key&gt;&lt;/foreign-keys&gt;&lt;ref-type name="Journal Article"&gt;17&lt;/ref-type&gt;&lt;contributors&gt;&lt;authors&gt;&lt;author&gt;Peled, E.&lt;/author&gt;&lt;/authors&gt;&lt;/contributors&gt;&lt;titles&gt;&lt;title&gt;The Electrochemical Behavior of Alkali and Alkaline Earth Metals in Nonaqueous Battery Systems—The Solid Electrolyte Interphase Model&lt;/title&gt;&lt;secondary-title&gt;Journal of The Electrochemical Society&lt;/secondary-title&gt;&lt;/titles&gt;&lt;periodical&gt;&lt;full-title&gt;Journal of the Electrochemical Society&lt;/full-title&gt;&lt;abbr-1&gt;J. Electrochem. Soc.&lt;/abbr-1&gt;&lt;/periodical&gt;&lt;pages&gt;2047-2051&lt;/pages&gt;&lt;volume&gt;126&lt;/volume&gt;&lt;number&gt;12&lt;/number&gt;&lt;dates&gt;&lt;year&gt;1979&lt;/year&gt;&lt;pub-dates&gt;&lt;date&gt;December 1, 1979&lt;/date&gt;&lt;/pub-dates&gt;&lt;/dates&gt;&lt;urls&gt;&lt;related-urls&gt;&lt;url&gt;http://jes.ecsdl.org/content/126/12/2047.abstract&lt;/url&gt;&lt;/related-urls&gt;&lt;/urls&gt;&lt;electronic-resource-num&gt;10.1149/1.2128859&lt;/electronic-resource-num&gt;&lt;/record&gt;&lt;/Cite&gt;&lt;/EndNote&gt;</w:instrText>
      </w:r>
      <w:r w:rsidR="004F0EC3">
        <w:rPr>
          <w:rFonts w:ascii="Arial" w:hAnsi="Arial" w:cs="Arial"/>
        </w:rPr>
        <w:fldChar w:fldCharType="separate"/>
      </w:r>
      <w:r w:rsidR="004F0EC3">
        <w:rPr>
          <w:rFonts w:ascii="Arial" w:hAnsi="Arial" w:cs="Arial"/>
          <w:noProof/>
        </w:rPr>
        <w:t>[1]</w:t>
      </w:r>
      <w:r w:rsidR="004F0EC3">
        <w:rPr>
          <w:rFonts w:ascii="Arial" w:hAnsi="Arial" w:cs="Arial"/>
        </w:rPr>
        <w:fldChar w:fldCharType="end"/>
      </w:r>
      <w:r w:rsidR="00E74AB4">
        <w:rPr>
          <w:rFonts w:ascii="Arial" w:hAnsi="Arial" w:cs="Arial"/>
        </w:rPr>
        <w:t xml:space="preserve">. </w:t>
      </w:r>
      <w:r w:rsidR="00200E60">
        <w:rPr>
          <w:rFonts w:ascii="Arial" w:hAnsi="Arial" w:cs="Arial"/>
        </w:rPr>
        <w:t xml:space="preserve">This is known as </w:t>
      </w:r>
      <w:r w:rsidR="00A33CFA">
        <w:rPr>
          <w:rFonts w:ascii="Arial" w:hAnsi="Arial" w:cs="Arial"/>
        </w:rPr>
        <w:t xml:space="preserve">the </w:t>
      </w:r>
      <w:r w:rsidR="00CE3E37">
        <w:rPr>
          <w:rFonts w:ascii="Arial" w:hAnsi="Arial" w:cs="Arial"/>
        </w:rPr>
        <w:t>solid electrolyte interphase (</w:t>
      </w:r>
      <w:r w:rsidR="00A33CFA">
        <w:rPr>
          <w:rFonts w:ascii="Arial" w:hAnsi="Arial" w:cs="Arial"/>
        </w:rPr>
        <w:t>SEI</w:t>
      </w:r>
      <w:r w:rsidR="00CE3E37">
        <w:rPr>
          <w:rFonts w:ascii="Arial" w:hAnsi="Arial" w:cs="Arial"/>
        </w:rPr>
        <w:t>)</w:t>
      </w:r>
      <w:r w:rsidR="00A33CFA">
        <w:rPr>
          <w:rFonts w:ascii="Arial" w:hAnsi="Arial" w:cs="Arial"/>
        </w:rPr>
        <w:t xml:space="preserve"> and </w:t>
      </w:r>
      <w:r w:rsidR="00E9756B">
        <w:rPr>
          <w:rFonts w:ascii="Arial" w:hAnsi="Arial" w:cs="Arial"/>
        </w:rPr>
        <w:t xml:space="preserve">is a vital component to a </w:t>
      </w:r>
      <w:r w:rsidR="007F3D74">
        <w:rPr>
          <w:rFonts w:ascii="Arial" w:hAnsi="Arial" w:cs="Arial"/>
        </w:rPr>
        <w:t xml:space="preserve">safe, functional </w:t>
      </w:r>
      <w:r w:rsidR="002A1407">
        <w:rPr>
          <w:rFonts w:ascii="Arial" w:hAnsi="Arial" w:cs="Arial"/>
        </w:rPr>
        <w:t xml:space="preserve">Li-ion </w:t>
      </w:r>
      <w:r w:rsidR="007F3D74">
        <w:rPr>
          <w:rFonts w:ascii="Arial" w:hAnsi="Arial" w:cs="Arial"/>
        </w:rPr>
        <w:t xml:space="preserve">battery. The SEI </w:t>
      </w:r>
      <w:r w:rsidR="00B61C8E">
        <w:rPr>
          <w:rFonts w:ascii="Arial" w:hAnsi="Arial" w:cs="Arial"/>
        </w:rPr>
        <w:t xml:space="preserve">acts as a barrier between the </w:t>
      </w:r>
      <w:r w:rsidR="001221A4">
        <w:rPr>
          <w:rFonts w:ascii="Arial" w:hAnsi="Arial" w:cs="Arial"/>
        </w:rPr>
        <w:t>electrode and electrolyte</w:t>
      </w:r>
      <w:r w:rsidR="002F4513">
        <w:rPr>
          <w:rFonts w:ascii="Arial" w:hAnsi="Arial" w:cs="Arial"/>
        </w:rPr>
        <w:t xml:space="preserve">, </w:t>
      </w:r>
      <w:r w:rsidR="00B24EA8">
        <w:rPr>
          <w:rFonts w:ascii="Arial" w:hAnsi="Arial" w:cs="Arial"/>
        </w:rPr>
        <w:t xml:space="preserve">limiting </w:t>
      </w:r>
      <w:r w:rsidR="00F75DB9">
        <w:rPr>
          <w:rFonts w:ascii="Arial" w:hAnsi="Arial" w:cs="Arial"/>
        </w:rPr>
        <w:t xml:space="preserve">degradation </w:t>
      </w:r>
      <w:r w:rsidR="003735F6">
        <w:rPr>
          <w:rFonts w:ascii="Arial" w:hAnsi="Arial" w:cs="Arial"/>
        </w:rPr>
        <w:t xml:space="preserve">and extending the cycle life and coulombic efficiency of the cell. </w:t>
      </w:r>
      <w:r w:rsidR="00F66F25">
        <w:rPr>
          <w:rFonts w:ascii="Arial" w:hAnsi="Arial" w:cs="Arial"/>
        </w:rPr>
        <w:t xml:space="preserve">Forming the SEI requires the consumption of </w:t>
      </w:r>
      <w:r w:rsidR="007A76A4">
        <w:rPr>
          <w:rFonts w:ascii="Arial" w:hAnsi="Arial" w:cs="Arial"/>
        </w:rPr>
        <w:t xml:space="preserve">lithium that could otherwise be used </w:t>
      </w:r>
      <w:r w:rsidR="00F84237">
        <w:rPr>
          <w:rFonts w:ascii="Arial" w:hAnsi="Arial" w:cs="Arial"/>
        </w:rPr>
        <w:t xml:space="preserve">for extra capacity in the cell. </w:t>
      </w:r>
      <w:r w:rsidR="00055E17">
        <w:rPr>
          <w:rFonts w:ascii="Arial" w:hAnsi="Arial" w:cs="Arial"/>
        </w:rPr>
        <w:t xml:space="preserve">It also </w:t>
      </w:r>
      <w:r w:rsidR="006F4E27">
        <w:rPr>
          <w:rFonts w:ascii="Arial" w:hAnsi="Arial" w:cs="Arial"/>
        </w:rPr>
        <w:t>requires</w:t>
      </w:r>
      <w:r w:rsidR="00CD3ABF">
        <w:rPr>
          <w:rFonts w:ascii="Arial" w:hAnsi="Arial" w:cs="Arial"/>
        </w:rPr>
        <w:t xml:space="preserve"> a complex formation process that can require multiple temperatures </w:t>
      </w:r>
      <w:r w:rsidR="00EF5158">
        <w:rPr>
          <w:rFonts w:ascii="Arial" w:hAnsi="Arial" w:cs="Arial"/>
        </w:rPr>
        <w:t xml:space="preserve">and a significant amount of time </w:t>
      </w:r>
      <w:r w:rsidR="000A4758">
        <w:rPr>
          <w:rFonts w:ascii="Arial" w:hAnsi="Arial" w:cs="Arial"/>
        </w:rPr>
        <w:t xml:space="preserve">to </w:t>
      </w:r>
      <w:r w:rsidR="00435461">
        <w:rPr>
          <w:rFonts w:ascii="Arial" w:hAnsi="Arial" w:cs="Arial"/>
        </w:rPr>
        <w:t xml:space="preserve">last for the thousands of cycles required by </w:t>
      </w:r>
      <w:r w:rsidR="00827DD8">
        <w:rPr>
          <w:rFonts w:ascii="Arial" w:hAnsi="Arial" w:cs="Arial"/>
        </w:rPr>
        <w:t>commercial cells</w:t>
      </w:r>
      <w:r w:rsidR="004F0EC3">
        <w:rPr>
          <w:rFonts w:ascii="Arial" w:hAnsi="Arial" w:cs="Arial"/>
        </w:rPr>
        <w:t xml:space="preserve"> </w:t>
      </w:r>
      <w:r w:rsidR="00C10A8D">
        <w:rPr>
          <w:rFonts w:ascii="Arial" w:hAnsi="Arial" w:cs="Arial"/>
        </w:rPr>
        <w:fldChar w:fldCharType="begin"/>
      </w:r>
      <w:r w:rsidR="004F0EC3">
        <w:rPr>
          <w:rFonts w:ascii="Arial" w:hAnsi="Arial" w:cs="Arial"/>
        </w:rPr>
        <w:instrText xml:space="preserve"> ADDIN EN.CITE &lt;EndNote&gt;&lt;Cite&gt;&lt;Author&gt;An&lt;/Author&gt;&lt;Year&gt;2017&lt;/Year&gt;&lt;RecNum&gt;148&lt;/RecNum&gt;&lt;DisplayText&gt;[2]&lt;/DisplayText&gt;&lt;record&gt;&lt;rec-number&gt;148&lt;/rec-number&gt;&lt;foreign-keys&gt;&lt;key app="EN" db-id="5sa9s0e0r0d9fnexra7pr5xdwd5ztevx95s2" timestamp="1537352359"&gt;148&lt;/key&gt;&lt;/foreign-keys&gt;&lt;ref-type name="Journal Article"&gt;17&lt;/ref-type&gt;&lt;contributors&gt;&lt;authors&gt;&lt;author&gt;An, Seong Jin&lt;/author&gt;&lt;author&gt;Li, Jianlin&lt;/author&gt;&lt;author&gt;Du, Zhijia&lt;/author&gt;&lt;author&gt;Daniel, Claus&lt;/author&gt;&lt;author&gt;Wood, David L.&lt;/author&gt;&lt;/authors&gt;&lt;/contributors&gt;&lt;titles&gt;&lt;title&gt;Fast formation cycling for lithium ion batteries&lt;/title&gt;&lt;secondary-title&gt;Journal of Power Sources&lt;/secondary-title&gt;&lt;/titles&gt;&lt;periodical&gt;&lt;full-title&gt;Journal of Power Sources&lt;/full-title&gt;&lt;/periodical&gt;&lt;pages&gt;846-852&lt;/pages&gt;&lt;volume&gt;342&lt;/volume&gt;&lt;keywords&gt;&lt;keyword&gt;Lithium-ion battery&lt;/keyword&gt;&lt;keyword&gt;Fast formation&lt;/keyword&gt;&lt;keyword&gt;Cycle life&lt;/keyword&gt;&lt;keyword&gt;Resistance&lt;/keyword&gt;&lt;keyword&gt;Full pouch-cell&lt;/keyword&gt;&lt;keyword&gt;Solid electrolyte interphase&lt;/keyword&gt;&lt;/keywords&gt;&lt;dates&gt;&lt;year&gt;2017&lt;/year&gt;&lt;pub-dates&gt;&lt;date&gt;2017/02/28/&lt;/date&gt;&lt;/pub-dates&gt;&lt;/dates&gt;&lt;isbn&gt;0378-7753&lt;/isbn&gt;&lt;urls&gt;&lt;related-urls&gt;&lt;url&gt;http://www.sciencedirect.com/science/article/pii/S0378775317300113&lt;/url&gt;&lt;/related-urls&gt;&lt;/urls&gt;&lt;electronic-resource-num&gt;https://doi.org/10.1016/j.jpowsour.2017.01.011&lt;/electronic-resource-num&gt;&lt;/record&gt;&lt;/Cite&gt;&lt;/EndNote&gt;</w:instrText>
      </w:r>
      <w:r w:rsidR="00C10A8D">
        <w:rPr>
          <w:rFonts w:ascii="Arial" w:hAnsi="Arial" w:cs="Arial"/>
        </w:rPr>
        <w:fldChar w:fldCharType="separate"/>
      </w:r>
      <w:r w:rsidR="004F0EC3">
        <w:rPr>
          <w:rFonts w:ascii="Arial" w:hAnsi="Arial" w:cs="Arial"/>
          <w:noProof/>
        </w:rPr>
        <w:t>[2]</w:t>
      </w:r>
      <w:r w:rsidR="00C10A8D">
        <w:rPr>
          <w:rFonts w:ascii="Arial" w:hAnsi="Arial" w:cs="Arial"/>
        </w:rPr>
        <w:fldChar w:fldCharType="end"/>
      </w:r>
      <w:r w:rsidR="00827DD8">
        <w:rPr>
          <w:rFonts w:ascii="Arial" w:hAnsi="Arial" w:cs="Arial"/>
        </w:rPr>
        <w:t>.</w:t>
      </w:r>
      <w:r w:rsidR="00CD3ABF">
        <w:rPr>
          <w:rFonts w:ascii="Arial" w:hAnsi="Arial" w:cs="Arial"/>
        </w:rPr>
        <w:t xml:space="preserve"> </w:t>
      </w:r>
    </w:p>
    <w:p w14:paraId="56F994BF" w14:textId="35811367" w:rsidR="0099504C" w:rsidRDefault="000C10FE" w:rsidP="007A76A4">
      <w:pPr>
        <w:spacing w:line="360" w:lineRule="auto"/>
        <w:jc w:val="both"/>
        <w:rPr>
          <w:rFonts w:ascii="Arial" w:hAnsi="Arial" w:cs="Arial"/>
        </w:rPr>
      </w:pPr>
      <w:r>
        <w:rPr>
          <w:rFonts w:ascii="Arial" w:hAnsi="Arial" w:cs="Arial"/>
        </w:rPr>
        <w:t xml:space="preserve">The </w:t>
      </w:r>
      <w:r w:rsidR="00CA00EB">
        <w:rPr>
          <w:rFonts w:ascii="Arial" w:hAnsi="Arial" w:cs="Arial"/>
        </w:rPr>
        <w:t xml:space="preserve">aim of this thesis </w:t>
      </w:r>
      <w:r w:rsidR="00781CE4">
        <w:rPr>
          <w:rFonts w:ascii="Arial" w:hAnsi="Arial" w:cs="Arial"/>
        </w:rPr>
        <w:t xml:space="preserve">was to investigate the </w:t>
      </w:r>
      <w:r w:rsidR="00F87CCF">
        <w:rPr>
          <w:rFonts w:ascii="Arial" w:hAnsi="Arial" w:cs="Arial"/>
        </w:rPr>
        <w:t xml:space="preserve">effects of pre-lithiating </w:t>
      </w:r>
      <w:r w:rsidR="00EA3099">
        <w:rPr>
          <w:rFonts w:ascii="Arial" w:hAnsi="Arial" w:cs="Arial"/>
        </w:rPr>
        <w:t xml:space="preserve">negative </w:t>
      </w:r>
      <w:r w:rsidR="00F87CCF">
        <w:rPr>
          <w:rFonts w:ascii="Arial" w:hAnsi="Arial" w:cs="Arial"/>
        </w:rPr>
        <w:t xml:space="preserve">electrodes </w:t>
      </w:r>
      <w:r w:rsidR="007F25B2">
        <w:rPr>
          <w:rFonts w:ascii="Arial" w:hAnsi="Arial" w:cs="Arial"/>
        </w:rPr>
        <w:t>on the SEI and how t</w:t>
      </w:r>
      <w:r w:rsidR="00665F99">
        <w:rPr>
          <w:rFonts w:ascii="Arial" w:hAnsi="Arial" w:cs="Arial"/>
        </w:rPr>
        <w:t>o optimise the process for</w:t>
      </w:r>
      <w:r w:rsidR="00572013">
        <w:rPr>
          <w:rFonts w:ascii="Arial" w:hAnsi="Arial" w:cs="Arial"/>
        </w:rPr>
        <w:t xml:space="preserve"> improved capacity retention and </w:t>
      </w:r>
      <w:r w:rsidR="00DB38E0">
        <w:rPr>
          <w:rFonts w:ascii="Arial" w:hAnsi="Arial" w:cs="Arial"/>
        </w:rPr>
        <w:t xml:space="preserve">higher initial capacity. </w:t>
      </w:r>
    </w:p>
    <w:p w14:paraId="2FEEB2F9" w14:textId="19067964" w:rsidR="00DB38E0" w:rsidRPr="0099504C" w:rsidRDefault="00DB38E0" w:rsidP="007A76A4">
      <w:pPr>
        <w:spacing w:line="360" w:lineRule="auto"/>
        <w:jc w:val="both"/>
        <w:rPr>
          <w:rFonts w:ascii="Arial" w:hAnsi="Arial" w:cs="Arial"/>
        </w:rPr>
      </w:pPr>
      <w:r>
        <w:rPr>
          <w:rFonts w:ascii="Arial" w:hAnsi="Arial" w:cs="Arial"/>
        </w:rPr>
        <w:t xml:space="preserve">Chapter 1 </w:t>
      </w:r>
      <w:r w:rsidR="0066008C">
        <w:rPr>
          <w:rFonts w:ascii="Arial" w:hAnsi="Arial" w:cs="Arial"/>
        </w:rPr>
        <w:t xml:space="preserve">looks at the current state of the literature to </w:t>
      </w:r>
      <w:r w:rsidR="005F30BB">
        <w:rPr>
          <w:rFonts w:ascii="Arial" w:hAnsi="Arial" w:cs="Arial"/>
        </w:rPr>
        <w:t xml:space="preserve">see where </w:t>
      </w:r>
      <w:r w:rsidR="008D5183">
        <w:rPr>
          <w:rFonts w:ascii="Arial" w:hAnsi="Arial" w:cs="Arial"/>
        </w:rPr>
        <w:t xml:space="preserve">pre-lithiation is currently being used and </w:t>
      </w:r>
      <w:r w:rsidR="000B3DBB">
        <w:rPr>
          <w:rFonts w:ascii="Arial" w:hAnsi="Arial" w:cs="Arial"/>
        </w:rPr>
        <w:t>looks at what can be achieved using pre-lithiation</w:t>
      </w:r>
      <w:r w:rsidR="00424B64">
        <w:rPr>
          <w:rFonts w:ascii="Arial" w:hAnsi="Arial" w:cs="Arial"/>
        </w:rPr>
        <w:t xml:space="preserve">. Chapter </w:t>
      </w:r>
      <w:r w:rsidR="00AF20F9">
        <w:rPr>
          <w:rFonts w:ascii="Arial" w:hAnsi="Arial" w:cs="Arial"/>
        </w:rPr>
        <w:t>3</w:t>
      </w:r>
      <w:r w:rsidR="00424B64">
        <w:rPr>
          <w:rFonts w:ascii="Arial" w:hAnsi="Arial" w:cs="Arial"/>
        </w:rPr>
        <w:t xml:space="preserve"> used this knowledge to pre-lithiate cells with different electrolyte components to see their individual impact o</w:t>
      </w:r>
      <w:r w:rsidR="002A2801">
        <w:rPr>
          <w:rFonts w:ascii="Arial" w:hAnsi="Arial" w:cs="Arial"/>
        </w:rPr>
        <w:t>n the SEI formed with the</w:t>
      </w:r>
      <w:r w:rsidR="002625EA">
        <w:rPr>
          <w:rFonts w:ascii="Arial" w:hAnsi="Arial" w:cs="Arial"/>
        </w:rPr>
        <w:t>m and how th</w:t>
      </w:r>
      <w:r w:rsidR="00666A04">
        <w:rPr>
          <w:rFonts w:ascii="Arial" w:hAnsi="Arial" w:cs="Arial"/>
        </w:rPr>
        <w:t xml:space="preserve">e SEI affected cell performance. This work led to chapter </w:t>
      </w:r>
      <w:r w:rsidR="00AF20F9">
        <w:rPr>
          <w:rFonts w:ascii="Arial" w:hAnsi="Arial" w:cs="Arial"/>
        </w:rPr>
        <w:t>4</w:t>
      </w:r>
      <w:r w:rsidR="00666A04">
        <w:rPr>
          <w:rFonts w:ascii="Arial" w:hAnsi="Arial" w:cs="Arial"/>
        </w:rPr>
        <w:t xml:space="preserve"> with FEC</w:t>
      </w:r>
      <w:r w:rsidR="00321550">
        <w:rPr>
          <w:rFonts w:ascii="Arial" w:hAnsi="Arial" w:cs="Arial"/>
        </w:rPr>
        <w:t xml:space="preserve">, as the most beneficial electrolyte component being used to </w:t>
      </w:r>
      <w:r w:rsidR="00EA3099">
        <w:rPr>
          <w:rFonts w:ascii="Arial" w:hAnsi="Arial" w:cs="Arial"/>
        </w:rPr>
        <w:t xml:space="preserve">lithiate Si </w:t>
      </w:r>
      <w:r w:rsidR="00013E62">
        <w:rPr>
          <w:rFonts w:ascii="Arial" w:hAnsi="Arial" w:cs="Arial"/>
        </w:rPr>
        <w:t xml:space="preserve">electrodes. This work </w:t>
      </w:r>
      <w:r w:rsidR="00200E60">
        <w:rPr>
          <w:rFonts w:ascii="Arial" w:hAnsi="Arial" w:cs="Arial"/>
        </w:rPr>
        <w:t>found that the</w:t>
      </w:r>
      <w:r w:rsidR="00896703">
        <w:rPr>
          <w:rFonts w:ascii="Arial" w:hAnsi="Arial" w:cs="Arial"/>
        </w:rPr>
        <w:t xml:space="preserve"> pre-lithiated</w:t>
      </w:r>
      <w:r w:rsidR="00200E60">
        <w:rPr>
          <w:rFonts w:ascii="Arial" w:hAnsi="Arial" w:cs="Arial"/>
        </w:rPr>
        <w:t xml:space="preserve"> SEI </w:t>
      </w:r>
      <w:r w:rsidR="005D1E8C">
        <w:rPr>
          <w:rFonts w:ascii="Arial" w:hAnsi="Arial" w:cs="Arial"/>
        </w:rPr>
        <w:t xml:space="preserve">was being </w:t>
      </w:r>
      <w:r w:rsidR="00927BA7">
        <w:rPr>
          <w:rFonts w:ascii="Arial" w:hAnsi="Arial" w:cs="Arial"/>
        </w:rPr>
        <w:t xml:space="preserve">destroyed by </w:t>
      </w:r>
      <w:r w:rsidR="001A0C5A">
        <w:rPr>
          <w:rFonts w:ascii="Arial" w:hAnsi="Arial" w:cs="Arial"/>
        </w:rPr>
        <w:t>the large volume change seen in the</w:t>
      </w:r>
      <w:r w:rsidR="002B5330">
        <w:rPr>
          <w:rFonts w:ascii="Arial" w:hAnsi="Arial" w:cs="Arial"/>
        </w:rPr>
        <w:t xml:space="preserve"> Si electrodes. This </w:t>
      </w:r>
      <w:r w:rsidR="00451E67">
        <w:rPr>
          <w:rFonts w:ascii="Arial" w:hAnsi="Arial" w:cs="Arial"/>
        </w:rPr>
        <w:t>information</w:t>
      </w:r>
      <w:r w:rsidR="00B629DF">
        <w:rPr>
          <w:rFonts w:ascii="Arial" w:hAnsi="Arial" w:cs="Arial"/>
        </w:rPr>
        <w:t xml:space="preserve"> led to chapter </w:t>
      </w:r>
      <w:r w:rsidR="00AF20F9">
        <w:rPr>
          <w:rFonts w:ascii="Arial" w:hAnsi="Arial" w:cs="Arial"/>
        </w:rPr>
        <w:t>5</w:t>
      </w:r>
      <w:r w:rsidR="00B629DF">
        <w:rPr>
          <w:rFonts w:ascii="Arial" w:hAnsi="Arial" w:cs="Arial"/>
        </w:rPr>
        <w:t xml:space="preserve"> where the des</w:t>
      </w:r>
      <w:r w:rsidR="001E0095">
        <w:rPr>
          <w:rFonts w:ascii="Arial" w:hAnsi="Arial" w:cs="Arial"/>
        </w:rPr>
        <w:t xml:space="preserve">truction and reformation of the SEI was </w:t>
      </w:r>
      <w:r w:rsidR="00AF20F9">
        <w:rPr>
          <w:rFonts w:ascii="Arial" w:hAnsi="Arial" w:cs="Arial"/>
        </w:rPr>
        <w:t xml:space="preserve">investigated in graphite where the </w:t>
      </w:r>
      <w:r w:rsidR="00402B7C">
        <w:rPr>
          <w:rFonts w:ascii="Arial" w:hAnsi="Arial" w:cs="Arial"/>
        </w:rPr>
        <w:t xml:space="preserve">volume change is much smaller and can be </w:t>
      </w:r>
      <w:r w:rsidR="00AB29B0">
        <w:rPr>
          <w:rFonts w:ascii="Arial" w:hAnsi="Arial" w:cs="Arial"/>
        </w:rPr>
        <w:t>monitored over a longer period</w:t>
      </w:r>
      <w:r w:rsidR="00E961F3">
        <w:rPr>
          <w:rFonts w:ascii="Arial" w:hAnsi="Arial" w:cs="Arial"/>
        </w:rPr>
        <w:t xml:space="preserve">. Graphite </w:t>
      </w:r>
      <w:r w:rsidR="00561541">
        <w:rPr>
          <w:rFonts w:ascii="Arial" w:hAnsi="Arial" w:cs="Arial"/>
        </w:rPr>
        <w:t xml:space="preserve">electrodes are also less likely to suffer from mechanical failures so the </w:t>
      </w:r>
      <w:r w:rsidR="00755778">
        <w:rPr>
          <w:rFonts w:ascii="Arial" w:hAnsi="Arial" w:cs="Arial"/>
        </w:rPr>
        <w:t xml:space="preserve">small changes in performance can be more readily attributed to </w:t>
      </w:r>
      <w:r w:rsidR="00473855">
        <w:rPr>
          <w:rFonts w:ascii="Arial" w:hAnsi="Arial" w:cs="Arial"/>
        </w:rPr>
        <w:t>the impact of the SEI. Chapter 6 look</w:t>
      </w:r>
      <w:r w:rsidR="0040392A">
        <w:rPr>
          <w:rFonts w:ascii="Arial" w:hAnsi="Arial" w:cs="Arial"/>
        </w:rPr>
        <w:t>s at using the prior work in this thesis and applying it to hard carbon electrodes</w:t>
      </w:r>
      <w:r w:rsidR="005A4F32">
        <w:rPr>
          <w:rFonts w:ascii="Arial" w:hAnsi="Arial" w:cs="Arial"/>
        </w:rPr>
        <w:t xml:space="preserve"> for sodium</w:t>
      </w:r>
      <w:r w:rsidR="00451E67">
        <w:rPr>
          <w:rFonts w:ascii="Arial" w:hAnsi="Arial" w:cs="Arial"/>
        </w:rPr>
        <w:t xml:space="preserve">-ion applications as they suffer from </w:t>
      </w:r>
      <w:r w:rsidR="00C16D60">
        <w:rPr>
          <w:rFonts w:ascii="Arial" w:hAnsi="Arial" w:cs="Arial"/>
        </w:rPr>
        <w:t xml:space="preserve">a highly resistive SEI that </w:t>
      </w:r>
      <w:r w:rsidR="00FE1C67">
        <w:rPr>
          <w:rFonts w:ascii="Arial" w:hAnsi="Arial" w:cs="Arial"/>
        </w:rPr>
        <w:t xml:space="preserve">is more soluble in the electrolyte than Li-based ones. This </w:t>
      </w:r>
      <w:r w:rsidR="00CC3C92">
        <w:rPr>
          <w:rFonts w:ascii="Arial" w:hAnsi="Arial" w:cs="Arial"/>
        </w:rPr>
        <w:t xml:space="preserve">is all summed up in chapter 7 which also looks at how this work can be built upon to </w:t>
      </w:r>
      <w:r w:rsidR="00982752">
        <w:rPr>
          <w:rFonts w:ascii="Arial" w:hAnsi="Arial" w:cs="Arial"/>
        </w:rPr>
        <w:t xml:space="preserve">make pre-lithiation a viable technique for increasing the capacity in Li-ion batteries. </w:t>
      </w:r>
    </w:p>
    <w:p w14:paraId="73461C4E" w14:textId="77777777" w:rsidR="004D01EF" w:rsidRPr="0092670C" w:rsidRDefault="004D01EF" w:rsidP="004D01EF">
      <w:pPr>
        <w:pStyle w:val="Heading2"/>
        <w:rPr>
          <w:rFonts w:ascii="Arial" w:hAnsi="Arial" w:cs="Arial"/>
        </w:rPr>
      </w:pPr>
      <w:bookmarkStart w:id="7" w:name="_Toc82538711"/>
      <w:r w:rsidRPr="0092670C">
        <w:rPr>
          <w:rFonts w:ascii="Arial" w:hAnsi="Arial" w:cs="Arial"/>
        </w:rPr>
        <w:t>Li-ion battery fundamentals</w:t>
      </w:r>
      <w:bookmarkEnd w:id="7"/>
    </w:p>
    <w:p w14:paraId="63B8D2CC" w14:textId="6F338EA8" w:rsidR="004D01EF" w:rsidRPr="0092670C" w:rsidRDefault="004D01EF" w:rsidP="004D01EF">
      <w:pPr>
        <w:spacing w:line="360" w:lineRule="auto"/>
        <w:jc w:val="both"/>
        <w:rPr>
          <w:rFonts w:ascii="Arial" w:eastAsiaTheme="majorEastAsia" w:hAnsi="Arial" w:cs="Arial"/>
          <w:szCs w:val="26"/>
        </w:rPr>
      </w:pPr>
      <w:r w:rsidRPr="0092670C">
        <w:rPr>
          <w:rFonts w:ascii="Arial" w:eastAsiaTheme="majorEastAsia" w:hAnsi="Arial" w:cs="Arial"/>
          <w:szCs w:val="26"/>
        </w:rPr>
        <w:t xml:space="preserve">Lithium (Li) is a popular material for electrochemical </w:t>
      </w:r>
      <w:r w:rsidR="00496BC0">
        <w:rPr>
          <w:rFonts w:ascii="Arial" w:eastAsiaTheme="majorEastAsia" w:hAnsi="Arial" w:cs="Arial"/>
          <w:szCs w:val="26"/>
        </w:rPr>
        <w:t xml:space="preserve">energy </w:t>
      </w:r>
      <w:r w:rsidRPr="0092670C">
        <w:rPr>
          <w:rFonts w:ascii="Arial" w:eastAsiaTheme="majorEastAsia" w:hAnsi="Arial" w:cs="Arial"/>
          <w:szCs w:val="26"/>
        </w:rPr>
        <w:t xml:space="preserve">storage due to its </w:t>
      </w:r>
      <w:r w:rsidR="00496BC0">
        <w:rPr>
          <w:rFonts w:ascii="Arial" w:eastAsiaTheme="majorEastAsia" w:hAnsi="Arial" w:cs="Arial"/>
          <w:szCs w:val="26"/>
        </w:rPr>
        <w:t>low</w:t>
      </w:r>
      <w:r w:rsidRPr="0092670C">
        <w:rPr>
          <w:rFonts w:ascii="Arial" w:eastAsiaTheme="majorEastAsia" w:hAnsi="Arial" w:cs="Arial"/>
          <w:szCs w:val="26"/>
        </w:rPr>
        <w:t xml:space="preserve"> voltage (-3.04</w:t>
      </w:r>
      <w:r w:rsidR="00C41066">
        <w:rPr>
          <w:rFonts w:ascii="Arial" w:eastAsiaTheme="majorEastAsia" w:hAnsi="Arial" w:cs="Arial"/>
          <w:szCs w:val="26"/>
        </w:rPr>
        <w:t xml:space="preserve"> V</w:t>
      </w:r>
      <w:r w:rsidRPr="0092670C">
        <w:rPr>
          <w:rFonts w:ascii="Arial" w:eastAsiaTheme="majorEastAsia" w:hAnsi="Arial" w:cs="Arial"/>
          <w:szCs w:val="26"/>
        </w:rPr>
        <w:t xml:space="preserve"> Vs. SHE) and low density (0.534 g/cm</w:t>
      </w:r>
      <w:r w:rsidRPr="0092670C">
        <w:rPr>
          <w:rFonts w:ascii="Arial" w:eastAsiaTheme="majorEastAsia" w:hAnsi="Arial" w:cs="Arial"/>
          <w:szCs w:val="26"/>
          <w:vertAlign w:val="superscript"/>
        </w:rPr>
        <w:t>3</w:t>
      </w:r>
      <w:r w:rsidRPr="0092670C">
        <w:rPr>
          <w:rFonts w:ascii="Arial" w:eastAsiaTheme="majorEastAsia" w:hAnsi="Arial" w:cs="Arial"/>
          <w:szCs w:val="26"/>
        </w:rPr>
        <w:t xml:space="preserve">). Research for Li-ion batteries commenced in earnest during the 1970s oil crisis and Akira Yoshino, M. Stanley Whittingham and John B. Goodenough recently won the 2019 Nobel prize in Chemistry for their pioneering research into Li-ion electrochemistry </w:t>
      </w:r>
      <w:r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&lt;EndNote&gt;&lt;Cite&gt;&lt;Year&gt;2019&lt;/Year&gt;&lt;RecNum&gt;669&lt;/RecNum&gt;&lt;DisplayText&gt;[3]&lt;/DisplayText&gt;&lt;record&gt;&lt;rec-number&gt;669&lt;/rec-number&gt;&lt;foreign-keys&gt;&lt;key app="EN" db-id="5sa9s0e0r0d9fnexra7pr5xdwd5ztevx95s2" timestamp="1593904130" guid="9243cf58-0d44-40c9-9f81-c8e770f3a66b"&gt;669&lt;/key&gt;&lt;/foreign-keys&gt;&lt;ref-type name="Web Page"&gt;12&lt;/ref-type&gt;&lt;contributors&gt;&lt;/contributors&gt;&lt;titles&gt;&lt;title&gt;Press release: The Nobel Prize in Chemistry 2019&lt;/title&gt;&lt;/titles&gt;&lt;volume&gt;2020&lt;/volume&gt;&lt;number&gt;19/01/2020&lt;/number&gt;&lt;dates&gt;&lt;year&gt;2019&lt;/year&gt;&lt;/dates&gt;&lt;urls&gt;&lt;related-urls&gt;&lt;url&gt;https://www.nobelprize.org/prizes/chemistry/2019/press-release/&lt;/url&gt;&lt;/related-urls&gt;&lt;/urls&gt;&lt;/record&gt;&lt;/Cite&gt;&lt;/EndNote&gt;</w:instrText>
      </w:r>
      <w:r w:rsidRPr="0092670C">
        <w:rPr>
          <w:rFonts w:ascii="Arial" w:eastAsiaTheme="majorEastAsia" w:hAnsi="Arial" w:cs="Arial"/>
          <w:szCs w:val="26"/>
        </w:rPr>
        <w:fldChar w:fldCharType="separate"/>
      </w:r>
      <w:r w:rsidR="004F0EC3">
        <w:rPr>
          <w:rFonts w:ascii="Arial" w:eastAsiaTheme="majorEastAsia" w:hAnsi="Arial" w:cs="Arial"/>
          <w:noProof/>
          <w:szCs w:val="26"/>
        </w:rPr>
        <w:t>[3]</w:t>
      </w:r>
      <w:r w:rsidRPr="0092670C">
        <w:rPr>
          <w:rFonts w:ascii="Arial" w:eastAsiaTheme="majorEastAsia" w:hAnsi="Arial" w:cs="Arial"/>
          <w:szCs w:val="26"/>
        </w:rPr>
        <w:fldChar w:fldCharType="end"/>
      </w:r>
      <w:r w:rsidRPr="0092670C">
        <w:rPr>
          <w:rFonts w:ascii="Arial" w:eastAsiaTheme="majorEastAsia" w:hAnsi="Arial" w:cs="Arial"/>
          <w:szCs w:val="26"/>
        </w:rPr>
        <w:t xml:space="preserve">. Sony used this previous research and manufactured the first commercial battery in 1991, paving the way for the current wave of interest in the field </w:t>
      </w:r>
      <w:r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&lt;EndNote&gt;&lt;Cite&gt;&lt;Author&gt;Blomgren&lt;/Author&gt;&lt;Year&gt;2017&lt;/Year&gt;&lt;RecNum&gt;721&lt;/RecNum&gt;&lt;DisplayText&gt;[4]&lt;/DisplayText&gt;&lt;record&gt;&lt;rec-number&gt;721&lt;/rec-number&gt;&lt;foreign-keys&gt;&lt;key app="EN" db-id="5sa9s0e0r0d9fnexra7pr5xdwd5ztevx95s2" timestamp="1593904142" guid="70450905-86fc-42aa-be75-6df31031981d"&gt;721&lt;/key&gt;&lt;/foreign-keys&gt;&lt;ref-type name="Journal Article"&gt;17&lt;/ref-type&gt;&lt;contributors&gt;&lt;authors&gt;&lt;author&gt;Blomgren, George E.&lt;/author&gt;&lt;/authors&gt;&lt;/contributors&gt;&lt;titles&gt;&lt;title&gt;The Development and Future of Lithium Ion Batteries&lt;/title&gt;&lt;secondary-title&gt;Journal of The Electrochemical Society&lt;/secondary-title&gt;&lt;/titles&gt;&lt;periodical&gt;&lt;full-title&gt;Journal of the Electrochemical Society&lt;/full-title&gt;&lt;abbr-1&gt;J. Electrochem. Soc.&lt;/abbr-1&gt;&lt;/periodical&gt;&lt;pages&gt;A5019-A5025&lt;/pages&gt;&lt;volume&gt;164&lt;/volume&gt;&lt;number&gt;1&lt;/number&gt;&lt;dates&gt;&lt;year&gt;2017&lt;/year&gt;&lt;/dates&gt;&lt;publisher&gt;The Electrochemical Society&lt;/publisher&gt;&lt;isbn&gt;0013-4651&lt;/isbn&gt;&lt;urls&gt;&lt;related-urls&gt;&lt;url&gt;https://dx.doi.org/10.1149/2.0251701jes&lt;/url&gt;&lt;/related-urls&gt;&lt;/urls&gt;&lt;electronic-resource-num&gt;10.1149/2.0251701jes&lt;/electronic-resource-num&gt;&lt;/record&gt;&lt;/Cite&gt;&lt;/EndNote&gt;</w:instrText>
      </w:r>
      <w:r w:rsidRPr="0092670C">
        <w:rPr>
          <w:rFonts w:ascii="Arial" w:eastAsiaTheme="majorEastAsia" w:hAnsi="Arial" w:cs="Arial"/>
          <w:szCs w:val="26"/>
        </w:rPr>
        <w:fldChar w:fldCharType="separate"/>
      </w:r>
      <w:r w:rsidR="004F0EC3">
        <w:rPr>
          <w:rFonts w:ascii="Arial" w:eastAsiaTheme="majorEastAsia" w:hAnsi="Arial" w:cs="Arial"/>
          <w:noProof/>
          <w:szCs w:val="26"/>
        </w:rPr>
        <w:t>[4]</w:t>
      </w:r>
      <w:r w:rsidRPr="0092670C">
        <w:rPr>
          <w:rFonts w:ascii="Arial" w:eastAsiaTheme="majorEastAsia" w:hAnsi="Arial" w:cs="Arial"/>
          <w:szCs w:val="26"/>
        </w:rPr>
        <w:fldChar w:fldCharType="end"/>
      </w:r>
      <w:r w:rsidRPr="0092670C">
        <w:rPr>
          <w:rFonts w:ascii="Arial" w:eastAsiaTheme="majorEastAsia" w:hAnsi="Arial" w:cs="Arial"/>
          <w:szCs w:val="26"/>
        </w:rPr>
        <w:t xml:space="preserve">. </w:t>
      </w:r>
    </w:p>
    <w:p w14:paraId="5A02B14F" w14:textId="18353D82" w:rsidR="004D01EF" w:rsidRPr="006F2636" w:rsidRDefault="004D01EF" w:rsidP="006F2636">
      <w:pPr>
        <w:spacing w:line="360" w:lineRule="auto"/>
        <w:jc w:val="both"/>
        <w:rPr>
          <w:rFonts w:ascii="Arial" w:eastAsiaTheme="majorEastAsia" w:hAnsi="Arial" w:cs="Arial"/>
          <w:szCs w:val="26"/>
        </w:rPr>
      </w:pPr>
      <w:r w:rsidRPr="0092670C">
        <w:rPr>
          <w:rFonts w:ascii="Arial" w:eastAsiaTheme="majorEastAsia" w:hAnsi="Arial" w:cs="Arial"/>
          <w:szCs w:val="26"/>
        </w:rPr>
        <w:t xml:space="preserve"> A Li-ion battery operates via the </w:t>
      </w:r>
      <w:r w:rsidR="00EF3E0C">
        <w:rPr>
          <w:rFonts w:ascii="Arial" w:eastAsiaTheme="majorEastAsia" w:hAnsi="Arial" w:cs="Arial"/>
          <w:szCs w:val="26"/>
        </w:rPr>
        <w:t>rocking chair</w:t>
      </w:r>
      <w:r w:rsidRPr="0092670C">
        <w:rPr>
          <w:rFonts w:ascii="Arial" w:eastAsiaTheme="majorEastAsia" w:hAnsi="Arial" w:cs="Arial"/>
          <w:szCs w:val="26"/>
        </w:rPr>
        <w:t xml:space="preserve"> mechanism where Li</w:t>
      </w:r>
      <w:r w:rsidRPr="0092670C">
        <w:rPr>
          <w:rFonts w:ascii="Arial" w:eastAsiaTheme="majorEastAsia" w:hAnsi="Arial" w:cs="Arial"/>
          <w:szCs w:val="26"/>
          <w:vertAlign w:val="superscript"/>
        </w:rPr>
        <w:t>+</w:t>
      </w:r>
      <w:r w:rsidRPr="0092670C">
        <w:rPr>
          <w:rFonts w:ascii="Arial" w:eastAsiaTheme="majorEastAsia" w:hAnsi="Arial" w:cs="Arial"/>
          <w:szCs w:val="26"/>
        </w:rPr>
        <w:t xml:space="preserve"> is ejected from the anode diffuses through the separator via the electrolyte before entering the cathode during discharge, with the corresponding electrons forced through an external circuit producing electrical current. A schematic of a Li-ion battery can be seen in </w:t>
      </w:r>
      <w:r w:rsidRPr="0092670C">
        <w:rPr>
          <w:rFonts w:ascii="Arial" w:eastAsiaTheme="majorEastAsia" w:hAnsi="Arial" w:cs="Arial"/>
          <w:szCs w:val="28"/>
        </w:rPr>
        <w:fldChar w:fldCharType="begin"/>
      </w:r>
      <w:r w:rsidRPr="0092670C">
        <w:rPr>
          <w:rFonts w:ascii="Arial" w:eastAsiaTheme="majorEastAsia" w:hAnsi="Arial" w:cs="Arial"/>
          <w:szCs w:val="28"/>
        </w:rPr>
        <w:instrText xml:space="preserve"> REF _Ref27512557 \h  \* MERGEFORMAT </w:instrText>
      </w:r>
      <w:r w:rsidRPr="0092670C">
        <w:rPr>
          <w:rFonts w:ascii="Arial" w:eastAsiaTheme="majorEastAsia" w:hAnsi="Arial" w:cs="Arial"/>
          <w:szCs w:val="28"/>
        </w:rPr>
      </w:r>
      <w:r w:rsidRPr="0092670C">
        <w:rPr>
          <w:rFonts w:ascii="Arial" w:eastAsiaTheme="majorEastAsia" w:hAnsi="Arial" w:cs="Arial"/>
          <w:szCs w:val="28"/>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w:t>
      </w:r>
      <w:r w:rsidRPr="0092670C">
        <w:rPr>
          <w:rFonts w:ascii="Arial" w:eastAsiaTheme="majorEastAsia" w:hAnsi="Arial" w:cs="Arial"/>
          <w:szCs w:val="28"/>
        </w:rPr>
        <w:fldChar w:fldCharType="end"/>
      </w:r>
      <w:r w:rsidRPr="0092670C">
        <w:rPr>
          <w:rFonts w:ascii="Arial" w:eastAsiaTheme="majorEastAsia" w:hAnsi="Arial" w:cs="Arial"/>
          <w:szCs w:val="26"/>
        </w:rPr>
        <w:t xml:space="preserve">. The opposite process happens when the cell is charged, and this process can be repeated 1000’s of times and potentially power an automotive vehicle over 1000000 miles (1.6 million km) before the cell degrades and becomes unusable </w:t>
      </w:r>
      <w:r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&lt;EndNote&gt;&lt;Cite&gt;&lt;Author&gt;Harlow&lt;/Author&gt;&lt;Year&gt;2019&lt;/Year&gt;&lt;RecNum&gt;670&lt;/RecNum&gt;&lt;DisplayText&gt;[5]&lt;/DisplayText&gt;&lt;record&gt;&lt;rec-number&gt;670&lt;/rec-number&gt;&lt;foreign-keys&gt;&lt;key app="EN" db-id="5sa9s0e0r0d9fnexra7pr5xdwd5ztevx95s2" timestamp="1593904130" guid="f8f1957f-dc51-4ca4-8cd5-a50de9679c67"&gt;670&lt;/key&gt;&lt;/foreign-keys&gt;&lt;ref-type name="Journal Article"&gt;17&lt;/ref-type&gt;&lt;contributors&gt;&lt;authors&gt;&lt;author&gt;Harlow, Jessie E.&lt;/author&gt;&lt;author&gt;Ma, Xiaowei&lt;/author&gt;&lt;author&gt;Li, Jing&lt;/author&gt;&lt;author&gt;Logan, Eric&lt;/author&gt;&lt;author&gt;Liu, Yulong&lt;/author&gt;&lt;author&gt;Zhang, Ning&lt;/author&gt;&lt;author&gt;Ma, Lin&lt;/author&gt;&lt;author&gt;Glazier, Stephen L.&lt;/author&gt;&lt;author&gt;Cormier, Marc M. E.&lt;/author&gt;&lt;author&gt;Genovese, Matthew&lt;/author&gt;&lt;author&gt;Buteau, Samuel&lt;/author&gt;&lt;author&gt;Cameron, Andrew&lt;/author&gt;&lt;author&gt;Stark, Jamie E.&lt;/author&gt;&lt;author&gt;Dahn, J. R.&lt;/author&gt;&lt;/authors&gt;&lt;/contributors&gt;&lt;titles&gt;&lt;title&gt;A Wide Range of Testing Results on an Excellent Lithium-Ion Cell Chemistry to be used as Benchmarks for New Battery Technologies&lt;/title&gt;&lt;secondary-title&gt;Journal of The Electrochemical Society&lt;/secondary-title&gt;&lt;/titles&gt;&lt;periodical&gt;&lt;full-title&gt;Journal of the Electrochemical Society&lt;/full-title&gt;&lt;abbr-1&gt;J. Electrochem. Soc.&lt;/abbr-1&gt;&lt;/periodical&gt;&lt;pages&gt;A3031-A3044&lt;/pages&gt;&lt;volume&gt;166&lt;/volume&gt;&lt;number&gt;13&lt;/number&gt;&lt;dates&gt;&lt;year&gt;2019&lt;/year&gt;&lt;pub-dates&gt;&lt;date&gt;January 1, 2019&lt;/date&gt;&lt;/pub-dates&gt;&lt;/dates&gt;&lt;urls&gt;&lt;related-urls&gt;&lt;url&gt;http://jes.ecsdl.org/content/166/13/A3031.abstract&lt;/url&gt;&lt;/related-urls&gt;&lt;/urls&gt;&lt;electronic-resource-num&gt;10.1149/2.0981913jes&lt;/electronic-resource-num&gt;&lt;/record&gt;&lt;/Cite&gt;&lt;/EndNote&gt;</w:instrText>
      </w:r>
      <w:r w:rsidRPr="0092670C">
        <w:rPr>
          <w:rFonts w:ascii="Arial" w:eastAsiaTheme="majorEastAsia" w:hAnsi="Arial" w:cs="Arial"/>
          <w:szCs w:val="26"/>
        </w:rPr>
        <w:fldChar w:fldCharType="separate"/>
      </w:r>
      <w:r w:rsidR="004F0EC3">
        <w:rPr>
          <w:rFonts w:ascii="Arial" w:eastAsiaTheme="majorEastAsia" w:hAnsi="Arial" w:cs="Arial"/>
          <w:noProof/>
          <w:szCs w:val="26"/>
        </w:rPr>
        <w:t>[5]</w:t>
      </w:r>
      <w:r w:rsidRPr="0092670C">
        <w:rPr>
          <w:rFonts w:ascii="Arial" w:eastAsiaTheme="majorEastAsia" w:hAnsi="Arial" w:cs="Arial"/>
          <w:szCs w:val="26"/>
        </w:rPr>
        <w:fldChar w:fldCharType="end"/>
      </w:r>
      <w:r w:rsidRPr="0092670C">
        <w:rPr>
          <w:rFonts w:ascii="Arial" w:eastAsiaTheme="majorEastAsia" w:hAnsi="Arial" w:cs="Arial"/>
          <w:szCs w:val="26"/>
        </w:rPr>
        <w:t xml:space="preserve">. </w:t>
      </w:r>
    </w:p>
    <w:p w14:paraId="345909D4" w14:textId="242A6446" w:rsidR="004D01EF" w:rsidRPr="0092670C" w:rsidRDefault="006F2636" w:rsidP="004D01EF">
      <w:pPr>
        <w:pStyle w:val="Caption"/>
        <w:jc w:val="center"/>
        <w:rPr>
          <w:rFonts w:ascii="Arial" w:eastAsiaTheme="majorEastAsia" w:hAnsi="Arial" w:cs="Arial"/>
          <w:sz w:val="20"/>
          <w:szCs w:val="28"/>
        </w:rPr>
      </w:pPr>
      <w:bookmarkStart w:id="8" w:name="_Ref27512557"/>
      <w:r>
        <w:rPr>
          <w:noProof/>
        </w:rPr>
        <w:drawing>
          <wp:inline distT="0" distB="0" distL="0" distR="0" wp14:anchorId="17767023" wp14:editId="4E99FBC9">
            <wp:extent cx="5400040" cy="381762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817620"/>
                    </a:xfrm>
                    <a:prstGeom prst="rect">
                      <a:avLst/>
                    </a:prstGeom>
                    <a:noFill/>
                    <a:ln>
                      <a:noFill/>
                    </a:ln>
                  </pic:spPr>
                </pic:pic>
              </a:graphicData>
            </a:graphic>
          </wp:inline>
        </w:drawing>
      </w:r>
      <w:r w:rsidR="004D01EF"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bookmarkEnd w:id="8"/>
      <w:r w:rsidR="004D01EF" w:rsidRPr="0092670C">
        <w:rPr>
          <w:rFonts w:ascii="Arial" w:hAnsi="Arial" w:cs="Arial"/>
          <w:sz w:val="20"/>
          <w:szCs w:val="20"/>
        </w:rPr>
        <w:t>: Schematic of a typical Li-ion battery</w:t>
      </w:r>
      <w:r w:rsidR="009376DD">
        <w:rPr>
          <w:rFonts w:ascii="Arial" w:hAnsi="Arial" w:cs="Arial"/>
          <w:sz w:val="20"/>
          <w:szCs w:val="20"/>
        </w:rPr>
        <w:t>.</w:t>
      </w:r>
    </w:p>
    <w:p w14:paraId="17A3F000" w14:textId="01561383" w:rsidR="0075718B" w:rsidRPr="0092670C" w:rsidRDefault="004D01EF"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It is important to breakdown the main components of a Li-ion battery to understand the current state of the science for each part and the current barriers to improving performance. There are </w:t>
      </w:r>
      <w:r w:rsidR="004F1348">
        <w:rPr>
          <w:rFonts w:ascii="Arial" w:eastAsiaTheme="majorEastAsia" w:hAnsi="Arial" w:cs="Arial"/>
          <w:szCs w:val="26"/>
        </w:rPr>
        <w:t>7</w:t>
      </w:r>
      <w:r w:rsidRPr="0092670C">
        <w:rPr>
          <w:rFonts w:ascii="Arial" w:eastAsiaTheme="majorEastAsia" w:hAnsi="Arial" w:cs="Arial"/>
          <w:szCs w:val="26"/>
        </w:rPr>
        <w:t xml:space="preserve"> main internal components to a cell: the anode</w:t>
      </w:r>
      <w:r w:rsidR="004F1348">
        <w:rPr>
          <w:rFonts w:ascii="Arial" w:eastAsiaTheme="majorEastAsia" w:hAnsi="Arial" w:cs="Arial"/>
          <w:szCs w:val="26"/>
        </w:rPr>
        <w:t xml:space="preserve"> active material</w:t>
      </w:r>
      <w:r w:rsidRPr="0092670C">
        <w:rPr>
          <w:rFonts w:ascii="Arial" w:eastAsiaTheme="majorEastAsia" w:hAnsi="Arial" w:cs="Arial"/>
          <w:szCs w:val="26"/>
        </w:rPr>
        <w:t>, the cathode</w:t>
      </w:r>
      <w:r w:rsidR="004F1348">
        <w:rPr>
          <w:rFonts w:ascii="Arial" w:eastAsiaTheme="majorEastAsia" w:hAnsi="Arial" w:cs="Arial"/>
          <w:szCs w:val="26"/>
        </w:rPr>
        <w:t xml:space="preserve"> active material</w:t>
      </w:r>
      <w:r w:rsidRPr="0092670C">
        <w:rPr>
          <w:rFonts w:ascii="Arial" w:eastAsiaTheme="majorEastAsia" w:hAnsi="Arial" w:cs="Arial"/>
          <w:szCs w:val="26"/>
        </w:rPr>
        <w:t xml:space="preserve">, </w:t>
      </w:r>
      <w:r w:rsidR="004F1348">
        <w:rPr>
          <w:rFonts w:ascii="Arial" w:eastAsiaTheme="majorEastAsia" w:hAnsi="Arial" w:cs="Arial"/>
          <w:szCs w:val="26"/>
        </w:rPr>
        <w:t xml:space="preserve">the binder, </w:t>
      </w:r>
      <w:r w:rsidR="006106FA">
        <w:rPr>
          <w:rFonts w:ascii="Arial" w:eastAsiaTheme="majorEastAsia" w:hAnsi="Arial" w:cs="Arial"/>
          <w:szCs w:val="26"/>
        </w:rPr>
        <w:t xml:space="preserve">the conductive carbon, </w:t>
      </w:r>
      <w:r w:rsidRPr="0092670C">
        <w:rPr>
          <w:rFonts w:ascii="Arial" w:eastAsiaTheme="majorEastAsia" w:hAnsi="Arial" w:cs="Arial"/>
          <w:szCs w:val="26"/>
        </w:rPr>
        <w:t>the electrolyte, the separator an</w:t>
      </w:r>
      <w:r w:rsidR="00F478EE">
        <w:rPr>
          <w:rFonts w:ascii="Arial" w:eastAsiaTheme="majorEastAsia" w:hAnsi="Arial" w:cs="Arial"/>
          <w:szCs w:val="26"/>
        </w:rPr>
        <w:t xml:space="preserve">d </w:t>
      </w:r>
      <w:r w:rsidR="00FC13BE" w:rsidRPr="0092670C">
        <w:rPr>
          <w:rFonts w:ascii="Arial" w:eastAsiaTheme="majorEastAsia" w:hAnsi="Arial" w:cs="Arial"/>
          <w:szCs w:val="26"/>
        </w:rPr>
        <w:t>current collectors</w:t>
      </w:r>
      <w:r w:rsidR="00AC651E" w:rsidRPr="0092670C">
        <w:rPr>
          <w:rFonts w:ascii="Arial" w:eastAsiaTheme="majorEastAsia" w:hAnsi="Arial" w:cs="Arial"/>
          <w:szCs w:val="26"/>
        </w:rPr>
        <w:t>.</w:t>
      </w:r>
      <w:r w:rsidR="00923C0F" w:rsidRPr="0092670C">
        <w:rPr>
          <w:rFonts w:ascii="Arial" w:eastAsiaTheme="majorEastAsia" w:hAnsi="Arial" w:cs="Arial"/>
          <w:szCs w:val="26"/>
        </w:rPr>
        <w:t xml:space="preserve"> </w:t>
      </w:r>
      <w:r w:rsidR="006C4EF6" w:rsidRPr="0092670C">
        <w:rPr>
          <w:rFonts w:ascii="Arial" w:eastAsiaTheme="majorEastAsia" w:hAnsi="Arial" w:cs="Arial"/>
          <w:szCs w:val="26"/>
        </w:rPr>
        <w:t>Below</w:t>
      </w:r>
      <w:r w:rsidR="00923C0F" w:rsidRPr="0092670C">
        <w:rPr>
          <w:rFonts w:ascii="Arial" w:eastAsiaTheme="majorEastAsia" w:hAnsi="Arial" w:cs="Arial"/>
          <w:szCs w:val="26"/>
        </w:rPr>
        <w:t xml:space="preserve"> is a</w:t>
      </w:r>
      <w:r w:rsidR="007C3E60" w:rsidRPr="0092670C">
        <w:rPr>
          <w:rFonts w:ascii="Arial" w:eastAsiaTheme="majorEastAsia" w:hAnsi="Arial" w:cs="Arial"/>
          <w:szCs w:val="26"/>
        </w:rPr>
        <w:t>n outline of the internal components of a cell, how each one functions</w:t>
      </w:r>
      <w:r w:rsidR="002410F3" w:rsidRPr="0092670C">
        <w:rPr>
          <w:rFonts w:ascii="Arial" w:eastAsiaTheme="majorEastAsia" w:hAnsi="Arial" w:cs="Arial"/>
          <w:szCs w:val="26"/>
        </w:rPr>
        <w:t xml:space="preserve">, </w:t>
      </w:r>
      <w:r w:rsidR="002A01B9" w:rsidRPr="0092670C">
        <w:rPr>
          <w:rFonts w:ascii="Arial" w:eastAsiaTheme="majorEastAsia" w:hAnsi="Arial" w:cs="Arial"/>
          <w:szCs w:val="26"/>
        </w:rPr>
        <w:t xml:space="preserve">the </w:t>
      </w:r>
      <w:r w:rsidR="00E46D3F" w:rsidRPr="0092670C">
        <w:rPr>
          <w:rFonts w:ascii="Arial" w:eastAsiaTheme="majorEastAsia" w:hAnsi="Arial" w:cs="Arial"/>
          <w:szCs w:val="26"/>
        </w:rPr>
        <w:t>state-of-the-art</w:t>
      </w:r>
      <w:r w:rsidR="002A01B9" w:rsidRPr="0092670C">
        <w:rPr>
          <w:rFonts w:ascii="Arial" w:eastAsiaTheme="majorEastAsia" w:hAnsi="Arial" w:cs="Arial"/>
          <w:szCs w:val="26"/>
        </w:rPr>
        <w:t xml:space="preserve"> materials for each role</w:t>
      </w:r>
      <w:r w:rsidR="00611802" w:rsidRPr="0092670C">
        <w:rPr>
          <w:rFonts w:ascii="Arial" w:eastAsiaTheme="majorEastAsia" w:hAnsi="Arial" w:cs="Arial"/>
          <w:szCs w:val="26"/>
        </w:rPr>
        <w:t>,</w:t>
      </w:r>
      <w:r w:rsidR="002410F3" w:rsidRPr="0092670C">
        <w:rPr>
          <w:rFonts w:ascii="Arial" w:eastAsiaTheme="majorEastAsia" w:hAnsi="Arial" w:cs="Arial"/>
          <w:szCs w:val="26"/>
        </w:rPr>
        <w:t xml:space="preserve"> as well as a basic outline of some of the </w:t>
      </w:r>
      <w:r w:rsidR="00B51CBD" w:rsidRPr="0092670C">
        <w:rPr>
          <w:rFonts w:ascii="Arial" w:eastAsiaTheme="majorEastAsia" w:hAnsi="Arial" w:cs="Arial"/>
          <w:szCs w:val="26"/>
        </w:rPr>
        <w:t>degradation processes that occur</w:t>
      </w:r>
      <w:r w:rsidR="002A01B9" w:rsidRPr="0092670C">
        <w:rPr>
          <w:rFonts w:ascii="Arial" w:eastAsiaTheme="majorEastAsia" w:hAnsi="Arial" w:cs="Arial"/>
          <w:szCs w:val="26"/>
        </w:rPr>
        <w:t>.</w:t>
      </w:r>
      <w:r w:rsidR="00652B6F" w:rsidRPr="0092670C">
        <w:rPr>
          <w:rFonts w:ascii="Arial" w:eastAsiaTheme="majorEastAsia" w:hAnsi="Arial" w:cs="Arial"/>
          <w:szCs w:val="26"/>
        </w:rPr>
        <w:t xml:space="preserve"> </w:t>
      </w:r>
    </w:p>
    <w:p w14:paraId="6CFD2567" w14:textId="780B1941" w:rsidR="009F4439" w:rsidRPr="0092670C" w:rsidRDefault="009F4439" w:rsidP="00B730DC">
      <w:pPr>
        <w:pStyle w:val="Heading3"/>
        <w:spacing w:line="360" w:lineRule="auto"/>
        <w:rPr>
          <w:rFonts w:ascii="Arial" w:hAnsi="Arial" w:cs="Arial"/>
        </w:rPr>
      </w:pPr>
      <w:bookmarkStart w:id="9" w:name="_Toc82538712"/>
      <w:r w:rsidRPr="0092670C">
        <w:rPr>
          <w:rFonts w:ascii="Arial" w:hAnsi="Arial" w:cs="Arial"/>
        </w:rPr>
        <w:t xml:space="preserve">The </w:t>
      </w:r>
      <w:r w:rsidR="00CA4CC2" w:rsidRPr="0092670C">
        <w:rPr>
          <w:rFonts w:ascii="Arial" w:hAnsi="Arial" w:cs="Arial"/>
        </w:rPr>
        <w:t>A</w:t>
      </w:r>
      <w:r w:rsidRPr="0092670C">
        <w:rPr>
          <w:rFonts w:ascii="Arial" w:hAnsi="Arial" w:cs="Arial"/>
        </w:rPr>
        <w:t>node</w:t>
      </w:r>
      <w:bookmarkEnd w:id="9"/>
      <w:r w:rsidRPr="0092670C">
        <w:rPr>
          <w:rFonts w:ascii="Arial" w:hAnsi="Arial" w:cs="Arial"/>
        </w:rPr>
        <w:t xml:space="preserve"> </w:t>
      </w:r>
    </w:p>
    <w:p w14:paraId="1730451E" w14:textId="2FF9A29A" w:rsidR="007864A3" w:rsidRPr="0092670C" w:rsidRDefault="00051A21" w:rsidP="00220C84">
      <w:pPr>
        <w:spacing w:line="360" w:lineRule="auto"/>
        <w:rPr>
          <w:rFonts w:ascii="Arial" w:eastAsiaTheme="majorEastAsia" w:hAnsi="Arial" w:cs="Arial"/>
          <w:szCs w:val="26"/>
        </w:rPr>
      </w:pPr>
      <w:r w:rsidRPr="0092670C">
        <w:rPr>
          <w:rFonts w:ascii="Arial" w:eastAsiaTheme="majorEastAsia" w:hAnsi="Arial" w:cs="Arial"/>
          <w:szCs w:val="26"/>
        </w:rPr>
        <w:t>The anode is</w:t>
      </w:r>
      <w:r w:rsidR="009A10AC" w:rsidRPr="0092670C">
        <w:rPr>
          <w:rFonts w:ascii="Arial" w:eastAsiaTheme="majorEastAsia" w:hAnsi="Arial" w:cs="Arial"/>
          <w:szCs w:val="26"/>
        </w:rPr>
        <w:t xml:space="preserve"> </w:t>
      </w:r>
      <w:r w:rsidR="0060321B" w:rsidRPr="0092670C">
        <w:rPr>
          <w:rFonts w:ascii="Arial" w:eastAsiaTheme="majorEastAsia" w:hAnsi="Arial" w:cs="Arial"/>
          <w:szCs w:val="26"/>
        </w:rPr>
        <w:t xml:space="preserve">the negative electrode where </w:t>
      </w:r>
      <w:r w:rsidR="000933E9" w:rsidRPr="0092670C">
        <w:rPr>
          <w:rFonts w:ascii="Arial" w:eastAsiaTheme="majorEastAsia" w:hAnsi="Arial" w:cs="Arial"/>
          <w:szCs w:val="26"/>
        </w:rPr>
        <w:t xml:space="preserve">the electrons flow from when </w:t>
      </w:r>
      <w:r w:rsidR="00F6175D" w:rsidRPr="0092670C">
        <w:rPr>
          <w:rFonts w:ascii="Arial" w:eastAsiaTheme="majorEastAsia" w:hAnsi="Arial" w:cs="Arial"/>
          <w:szCs w:val="26"/>
        </w:rPr>
        <w:t>a cell is discharging</w:t>
      </w:r>
      <w:r w:rsidRPr="0092670C">
        <w:rPr>
          <w:rFonts w:ascii="Arial" w:eastAsiaTheme="majorEastAsia" w:hAnsi="Arial" w:cs="Arial"/>
          <w:szCs w:val="26"/>
        </w:rPr>
        <w:t>.</w:t>
      </w:r>
      <w:r w:rsidR="00AD3B6E" w:rsidRPr="0092670C">
        <w:rPr>
          <w:rFonts w:ascii="Arial" w:eastAsiaTheme="majorEastAsia" w:hAnsi="Arial" w:cs="Arial"/>
          <w:szCs w:val="26"/>
        </w:rPr>
        <w:t xml:space="preserve"> Pure</w:t>
      </w:r>
      <w:r w:rsidRPr="0092670C">
        <w:rPr>
          <w:rFonts w:ascii="Arial" w:eastAsiaTheme="majorEastAsia" w:hAnsi="Arial" w:cs="Arial"/>
          <w:szCs w:val="26"/>
        </w:rPr>
        <w:t xml:space="preserve"> </w:t>
      </w:r>
      <w:r w:rsidR="00FA4763" w:rsidRPr="0092670C">
        <w:rPr>
          <w:rFonts w:ascii="Arial" w:eastAsiaTheme="majorEastAsia" w:hAnsi="Arial" w:cs="Arial"/>
          <w:szCs w:val="26"/>
        </w:rPr>
        <w:t xml:space="preserve">Li metal </w:t>
      </w:r>
      <w:r w:rsidR="00220856" w:rsidRPr="0092670C">
        <w:rPr>
          <w:rFonts w:ascii="Arial" w:eastAsiaTheme="majorEastAsia" w:hAnsi="Arial" w:cs="Arial"/>
          <w:szCs w:val="26"/>
        </w:rPr>
        <w:t xml:space="preserve">would seem </w:t>
      </w:r>
      <w:r w:rsidR="00575ECC" w:rsidRPr="0092670C">
        <w:rPr>
          <w:rFonts w:ascii="Arial" w:eastAsiaTheme="majorEastAsia" w:hAnsi="Arial" w:cs="Arial"/>
          <w:szCs w:val="26"/>
        </w:rPr>
        <w:t xml:space="preserve">to be </w:t>
      </w:r>
      <w:r w:rsidR="00117FFD" w:rsidRPr="0092670C">
        <w:rPr>
          <w:rFonts w:ascii="Arial" w:eastAsiaTheme="majorEastAsia" w:hAnsi="Arial" w:cs="Arial"/>
          <w:szCs w:val="26"/>
        </w:rPr>
        <w:t xml:space="preserve">the most obvious choice due to its </w:t>
      </w:r>
      <w:r w:rsidR="00307725" w:rsidRPr="0092670C">
        <w:rPr>
          <w:rFonts w:ascii="Arial" w:eastAsiaTheme="majorEastAsia" w:hAnsi="Arial" w:cs="Arial"/>
          <w:szCs w:val="26"/>
        </w:rPr>
        <w:t>high capacity</w:t>
      </w:r>
      <w:r w:rsidR="00D12832" w:rsidRPr="0092670C">
        <w:rPr>
          <w:rFonts w:ascii="Arial" w:eastAsiaTheme="majorEastAsia" w:hAnsi="Arial" w:cs="Arial"/>
          <w:szCs w:val="26"/>
        </w:rPr>
        <w:t xml:space="preserve"> (3860</w:t>
      </w:r>
      <w:r w:rsidR="009376DD">
        <w:rPr>
          <w:rFonts w:ascii="Arial" w:eastAsiaTheme="majorEastAsia" w:hAnsi="Arial" w:cs="Arial"/>
          <w:szCs w:val="26"/>
        </w:rPr>
        <w:t xml:space="preserve"> </w:t>
      </w:r>
      <w:r w:rsidR="00D12832" w:rsidRPr="0092670C">
        <w:rPr>
          <w:rFonts w:ascii="Arial" w:eastAsiaTheme="majorEastAsia" w:hAnsi="Arial" w:cs="Arial"/>
          <w:szCs w:val="26"/>
        </w:rPr>
        <w:t>mAhg</w:t>
      </w:r>
      <w:r w:rsidR="00D12832" w:rsidRPr="0092670C">
        <w:rPr>
          <w:rFonts w:ascii="Arial" w:eastAsiaTheme="majorEastAsia" w:hAnsi="Arial" w:cs="Arial"/>
          <w:szCs w:val="26"/>
          <w:vertAlign w:val="superscript"/>
        </w:rPr>
        <w:t>-1</w:t>
      </w:r>
      <w:r w:rsidR="00D12832" w:rsidRPr="0092670C">
        <w:rPr>
          <w:rFonts w:ascii="Arial" w:eastAsiaTheme="majorEastAsia" w:hAnsi="Arial" w:cs="Arial"/>
          <w:szCs w:val="26"/>
        </w:rPr>
        <w:t xml:space="preserve">) but it </w:t>
      </w:r>
      <w:r w:rsidR="00FA4763" w:rsidRPr="0092670C">
        <w:rPr>
          <w:rFonts w:ascii="Arial" w:eastAsiaTheme="majorEastAsia" w:hAnsi="Arial" w:cs="Arial"/>
          <w:szCs w:val="26"/>
        </w:rPr>
        <w:t>cannot be use</w:t>
      </w:r>
      <w:r w:rsidR="001E2CD9" w:rsidRPr="0092670C">
        <w:rPr>
          <w:rFonts w:ascii="Arial" w:eastAsiaTheme="majorEastAsia" w:hAnsi="Arial" w:cs="Arial"/>
          <w:szCs w:val="26"/>
        </w:rPr>
        <w:t>d</w:t>
      </w:r>
      <w:r w:rsidR="00FA4763" w:rsidRPr="0092670C">
        <w:rPr>
          <w:rFonts w:ascii="Arial" w:eastAsiaTheme="majorEastAsia" w:hAnsi="Arial" w:cs="Arial"/>
          <w:szCs w:val="26"/>
        </w:rPr>
        <w:t xml:space="preserve"> for long term cycling due to the risk of dendrite formation</w:t>
      </w:r>
      <w:r w:rsidR="00E544A7" w:rsidRPr="0092670C">
        <w:rPr>
          <w:rFonts w:ascii="Arial" w:eastAsiaTheme="majorEastAsia" w:hAnsi="Arial" w:cs="Arial"/>
          <w:szCs w:val="26"/>
        </w:rPr>
        <w:t xml:space="preserve"> </w:t>
      </w:r>
      <w:r w:rsidR="006C347D"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&lt;EndNote&gt;&lt;Cite&gt;&lt;Author&gt;Love&lt;/Author&gt;&lt;Year&gt;2014&lt;/Year&gt;&lt;RecNum&gt;722&lt;/RecNum&gt;&lt;DisplayText&gt;[6]&lt;/DisplayText&gt;&lt;record&gt;&lt;rec-number&gt;722&lt;/rec-number&gt;&lt;foreign-keys&gt;&lt;key app="EN" db-id="5sa9s0e0r0d9fnexra7pr5xdwd5ztevx95s2" timestamp="1593904144" guid="0dcd898f-5f18-41b0-b8d4-80a1fda50fd9"&gt;722&lt;/key&gt;&lt;/foreign-keys&gt;&lt;ref-type name="Journal Article"&gt;17&lt;/ref-type&gt;&lt;contributors&gt;&lt;authors&gt;&lt;author&gt;Love, C. T.&lt;/author&gt;&lt;author&gt;Baturina, O. A.&lt;/author&gt;&lt;author&gt;Swider-Lyons, K. E.&lt;/author&gt;&lt;/authors&gt;&lt;/contributors&gt;&lt;titles&gt;&lt;title&gt;Observation of Lithium Dendrites at Ambient Temperature and Below&lt;/title&gt;&lt;secondary-title&gt;ECS Electrochemistry Letters&lt;/secondary-title&gt;&lt;/titles&gt;&lt;periodical&gt;&lt;full-title&gt;Ecs Electrochemistry Letters&lt;/full-title&gt;&lt;abbr-1&gt;ECS Electrochem. Lett.&lt;/abbr-1&gt;&lt;/periodical&gt;&lt;pages&gt;A24-A27&lt;/pages&gt;&lt;volume&gt;4&lt;/volume&gt;&lt;number&gt;2&lt;/number&gt;&lt;dates&gt;&lt;year&gt;2014&lt;/year&gt;&lt;/dates&gt;&lt;publisher&gt;The Electrochemical Society&lt;/publisher&gt;&lt;isbn&gt;2162-8726&lt;/isbn&gt;&lt;urls&gt;&lt;related-urls&gt;&lt;url&gt;https://dx.doi.org/10.1149/2.0041502eel&lt;/url&gt;&lt;/related-urls&gt;&lt;/urls&gt;&lt;electronic-resource-num&gt;10.1149/2.0041502eel&lt;/electronic-resource-num&gt;&lt;/record&gt;&lt;/Cite&gt;&lt;/EndNote&gt;</w:instrText>
      </w:r>
      <w:r w:rsidR="006C347D" w:rsidRPr="0092670C">
        <w:rPr>
          <w:rFonts w:ascii="Arial" w:eastAsiaTheme="majorEastAsia" w:hAnsi="Arial" w:cs="Arial"/>
          <w:szCs w:val="26"/>
        </w:rPr>
        <w:fldChar w:fldCharType="separate"/>
      </w:r>
      <w:r w:rsidR="004F0EC3">
        <w:rPr>
          <w:rFonts w:ascii="Arial" w:eastAsiaTheme="majorEastAsia" w:hAnsi="Arial" w:cs="Arial"/>
          <w:noProof/>
          <w:szCs w:val="26"/>
        </w:rPr>
        <w:t>[6]</w:t>
      </w:r>
      <w:r w:rsidR="006C347D" w:rsidRPr="0092670C">
        <w:rPr>
          <w:rFonts w:ascii="Arial" w:eastAsiaTheme="majorEastAsia" w:hAnsi="Arial" w:cs="Arial"/>
          <w:szCs w:val="26"/>
        </w:rPr>
        <w:fldChar w:fldCharType="end"/>
      </w:r>
      <w:r w:rsidR="00FA4763" w:rsidRPr="0092670C">
        <w:rPr>
          <w:rFonts w:ascii="Arial" w:eastAsiaTheme="majorEastAsia" w:hAnsi="Arial" w:cs="Arial"/>
          <w:szCs w:val="26"/>
        </w:rPr>
        <w:t xml:space="preserve">. </w:t>
      </w:r>
      <w:r w:rsidR="003620AB" w:rsidRPr="0092670C">
        <w:rPr>
          <w:rFonts w:ascii="Arial" w:eastAsiaTheme="majorEastAsia" w:hAnsi="Arial" w:cs="Arial"/>
          <w:szCs w:val="26"/>
        </w:rPr>
        <w:t xml:space="preserve">Dendrites are </w:t>
      </w:r>
      <w:r w:rsidR="001C4BD1" w:rsidRPr="0092670C">
        <w:rPr>
          <w:rFonts w:ascii="Arial" w:eastAsiaTheme="majorEastAsia" w:hAnsi="Arial" w:cs="Arial"/>
          <w:szCs w:val="26"/>
        </w:rPr>
        <w:t xml:space="preserve">growths that can </w:t>
      </w:r>
      <w:r w:rsidR="00ED1850" w:rsidRPr="0092670C">
        <w:rPr>
          <w:rFonts w:ascii="Arial" w:eastAsiaTheme="majorEastAsia" w:hAnsi="Arial" w:cs="Arial"/>
          <w:szCs w:val="26"/>
        </w:rPr>
        <w:t>emanate from the Li surface</w:t>
      </w:r>
      <w:r w:rsidR="00E656FB" w:rsidRPr="0092670C">
        <w:rPr>
          <w:rFonts w:ascii="Arial" w:eastAsiaTheme="majorEastAsia" w:hAnsi="Arial" w:cs="Arial"/>
          <w:szCs w:val="26"/>
        </w:rPr>
        <w:t xml:space="preserve"> and they will </w:t>
      </w:r>
      <w:r w:rsidR="006A2764" w:rsidRPr="0092670C">
        <w:rPr>
          <w:rFonts w:ascii="Arial" w:eastAsiaTheme="majorEastAsia" w:hAnsi="Arial" w:cs="Arial"/>
          <w:szCs w:val="26"/>
        </w:rPr>
        <w:t xml:space="preserve">keep growing until </w:t>
      </w:r>
      <w:r w:rsidR="007437A8" w:rsidRPr="0092670C">
        <w:rPr>
          <w:rFonts w:ascii="Arial" w:eastAsiaTheme="majorEastAsia" w:hAnsi="Arial" w:cs="Arial"/>
          <w:szCs w:val="26"/>
        </w:rPr>
        <w:t>they pierce through the separat</w:t>
      </w:r>
      <w:r w:rsidR="005B6EE7" w:rsidRPr="0092670C">
        <w:rPr>
          <w:rFonts w:ascii="Arial" w:eastAsiaTheme="majorEastAsia" w:hAnsi="Arial" w:cs="Arial"/>
          <w:szCs w:val="26"/>
        </w:rPr>
        <w:t xml:space="preserve">or </w:t>
      </w:r>
      <w:r w:rsidR="009E3CAA" w:rsidRPr="0092670C">
        <w:rPr>
          <w:rFonts w:ascii="Arial" w:eastAsiaTheme="majorEastAsia" w:hAnsi="Arial" w:cs="Arial"/>
          <w:szCs w:val="26"/>
        </w:rPr>
        <w:t xml:space="preserve">leading to a short circuit which is </w:t>
      </w:r>
      <w:r w:rsidR="00B96EA2" w:rsidRPr="0092670C">
        <w:rPr>
          <w:rFonts w:ascii="Arial" w:eastAsiaTheme="majorEastAsia" w:hAnsi="Arial" w:cs="Arial"/>
          <w:szCs w:val="26"/>
        </w:rPr>
        <w:t xml:space="preserve">a </w:t>
      </w:r>
      <w:r w:rsidR="009B030F" w:rsidRPr="0092670C">
        <w:rPr>
          <w:rFonts w:ascii="Arial" w:eastAsiaTheme="majorEastAsia" w:hAnsi="Arial" w:cs="Arial"/>
          <w:szCs w:val="26"/>
        </w:rPr>
        <w:t xml:space="preserve">major safety hazard. </w:t>
      </w:r>
      <w:r w:rsidR="0059757A" w:rsidRPr="0092670C">
        <w:rPr>
          <w:rFonts w:ascii="Arial" w:eastAsiaTheme="majorEastAsia" w:hAnsi="Arial" w:cs="Arial"/>
          <w:szCs w:val="26"/>
        </w:rPr>
        <w:t xml:space="preserve">As a </w:t>
      </w:r>
      <w:r w:rsidR="00803B07" w:rsidRPr="0092670C">
        <w:rPr>
          <w:rFonts w:ascii="Arial" w:eastAsiaTheme="majorEastAsia" w:hAnsi="Arial" w:cs="Arial"/>
          <w:szCs w:val="26"/>
        </w:rPr>
        <w:t>result,</w:t>
      </w:r>
      <w:r w:rsidR="0059757A" w:rsidRPr="0092670C">
        <w:rPr>
          <w:rFonts w:ascii="Arial" w:eastAsiaTheme="majorEastAsia" w:hAnsi="Arial" w:cs="Arial"/>
          <w:szCs w:val="26"/>
        </w:rPr>
        <w:t xml:space="preserve"> graphite is the most commonly used anode for Li-ion batteries.</w:t>
      </w:r>
      <w:r w:rsidR="00803B07" w:rsidRPr="0092670C">
        <w:rPr>
          <w:rFonts w:ascii="Arial" w:eastAsiaTheme="majorEastAsia" w:hAnsi="Arial" w:cs="Arial"/>
          <w:szCs w:val="26"/>
        </w:rPr>
        <w:t xml:space="preserve"> Li can intercalate </w:t>
      </w:r>
      <w:r w:rsidR="00C8333C" w:rsidRPr="0092670C">
        <w:rPr>
          <w:rFonts w:ascii="Arial" w:eastAsiaTheme="majorEastAsia" w:hAnsi="Arial" w:cs="Arial"/>
          <w:szCs w:val="26"/>
        </w:rPr>
        <w:t>in between</w:t>
      </w:r>
      <w:r w:rsidR="00363288" w:rsidRPr="0092670C">
        <w:rPr>
          <w:rFonts w:ascii="Arial" w:eastAsiaTheme="majorEastAsia" w:hAnsi="Arial" w:cs="Arial"/>
          <w:szCs w:val="26"/>
        </w:rPr>
        <w:t xml:space="preserve"> the graphite </w:t>
      </w:r>
      <w:r w:rsidR="00C8333C" w:rsidRPr="0092670C">
        <w:rPr>
          <w:rFonts w:ascii="Arial" w:eastAsiaTheme="majorEastAsia" w:hAnsi="Arial" w:cs="Arial"/>
          <w:szCs w:val="26"/>
        </w:rPr>
        <w:t xml:space="preserve">planes </w:t>
      </w:r>
      <w:r w:rsidR="00211CCB" w:rsidRPr="0092670C">
        <w:rPr>
          <w:rFonts w:ascii="Arial" w:eastAsiaTheme="majorEastAsia" w:hAnsi="Arial" w:cs="Arial"/>
          <w:szCs w:val="26"/>
        </w:rPr>
        <w:t xml:space="preserve">at a </w:t>
      </w:r>
      <w:r w:rsidR="00C848C3">
        <w:rPr>
          <w:rFonts w:ascii="Arial" w:eastAsiaTheme="majorEastAsia" w:hAnsi="Arial" w:cs="Arial"/>
          <w:szCs w:val="26"/>
        </w:rPr>
        <w:t>low</w:t>
      </w:r>
      <w:r w:rsidR="00211CCB" w:rsidRPr="0092670C">
        <w:rPr>
          <w:rFonts w:ascii="Arial" w:eastAsiaTheme="majorEastAsia" w:hAnsi="Arial" w:cs="Arial"/>
          <w:szCs w:val="26"/>
        </w:rPr>
        <w:t xml:space="preserve"> potential </w:t>
      </w:r>
      <w:r w:rsidR="00177CB3" w:rsidRPr="0092670C">
        <w:rPr>
          <w:rFonts w:ascii="Arial" w:eastAsiaTheme="majorEastAsia" w:hAnsi="Arial" w:cs="Arial"/>
          <w:szCs w:val="26"/>
        </w:rPr>
        <w:t>(</w:t>
      </w:r>
      <w:r w:rsidR="00773C0D" w:rsidRPr="0092670C">
        <w:rPr>
          <w:rFonts w:ascii="Arial" w:eastAsiaTheme="majorEastAsia" w:hAnsi="Arial" w:cs="Arial"/>
          <w:szCs w:val="26"/>
        </w:rPr>
        <w:t>0.1</w:t>
      </w:r>
      <w:r w:rsidR="009376DD">
        <w:rPr>
          <w:rFonts w:ascii="Arial" w:eastAsiaTheme="majorEastAsia" w:hAnsi="Arial" w:cs="Arial"/>
          <w:szCs w:val="26"/>
        </w:rPr>
        <w:t xml:space="preserve"> </w:t>
      </w:r>
      <w:r w:rsidR="00773C0D" w:rsidRPr="0092670C">
        <w:rPr>
          <w:rFonts w:ascii="Arial" w:eastAsiaTheme="majorEastAsia" w:hAnsi="Arial" w:cs="Arial"/>
          <w:szCs w:val="26"/>
        </w:rPr>
        <w:t xml:space="preserve">V </w:t>
      </w:r>
      <w:r w:rsidR="00E00EB7">
        <w:rPr>
          <w:rFonts w:ascii="Arial" w:eastAsiaTheme="majorEastAsia" w:hAnsi="Arial" w:cs="Arial"/>
          <w:szCs w:val="26"/>
        </w:rPr>
        <w:t>vs</w:t>
      </w:r>
      <w:r w:rsidR="00773C0D" w:rsidRPr="0092670C">
        <w:rPr>
          <w:rFonts w:ascii="Arial" w:eastAsiaTheme="majorEastAsia" w:hAnsi="Arial" w:cs="Arial"/>
          <w:szCs w:val="26"/>
        </w:rPr>
        <w:t xml:space="preserve"> Li/Li</w:t>
      </w:r>
      <w:r w:rsidR="00773C0D" w:rsidRPr="0092670C">
        <w:rPr>
          <w:rFonts w:ascii="Arial" w:eastAsiaTheme="majorEastAsia" w:hAnsi="Arial" w:cs="Arial"/>
          <w:szCs w:val="26"/>
          <w:vertAlign w:val="superscript"/>
        </w:rPr>
        <w:t>+</w:t>
      </w:r>
      <w:r w:rsidR="00773C0D" w:rsidRPr="0092670C">
        <w:rPr>
          <w:rFonts w:ascii="Arial" w:eastAsiaTheme="majorEastAsia" w:hAnsi="Arial" w:cs="Arial"/>
          <w:szCs w:val="26"/>
        </w:rPr>
        <w:t xml:space="preserve">) </w:t>
      </w:r>
      <w:r w:rsidR="00765933" w:rsidRPr="0092670C">
        <w:rPr>
          <w:rFonts w:ascii="Arial" w:eastAsiaTheme="majorEastAsia" w:hAnsi="Arial" w:cs="Arial"/>
          <w:szCs w:val="26"/>
        </w:rPr>
        <w:t xml:space="preserve">maximising the </w:t>
      </w:r>
      <w:r w:rsidR="003D2914" w:rsidRPr="0092670C">
        <w:rPr>
          <w:rFonts w:ascii="Arial" w:eastAsiaTheme="majorEastAsia" w:hAnsi="Arial" w:cs="Arial"/>
          <w:szCs w:val="26"/>
        </w:rPr>
        <w:t xml:space="preserve">energy </w:t>
      </w:r>
      <w:r w:rsidR="00765933" w:rsidRPr="0092670C">
        <w:rPr>
          <w:rFonts w:ascii="Arial" w:eastAsiaTheme="majorEastAsia" w:hAnsi="Arial" w:cs="Arial"/>
          <w:szCs w:val="26"/>
        </w:rPr>
        <w:t>output of the</w:t>
      </w:r>
      <w:r w:rsidR="003D2914" w:rsidRPr="0092670C">
        <w:rPr>
          <w:rFonts w:ascii="Arial" w:eastAsiaTheme="majorEastAsia" w:hAnsi="Arial" w:cs="Arial"/>
          <w:szCs w:val="26"/>
        </w:rPr>
        <w:t xml:space="preserve"> cell. </w:t>
      </w:r>
      <w:r w:rsidR="00E85F01" w:rsidRPr="0092670C">
        <w:rPr>
          <w:rFonts w:ascii="Arial" w:eastAsiaTheme="majorEastAsia" w:hAnsi="Arial" w:cs="Arial"/>
          <w:szCs w:val="26"/>
        </w:rPr>
        <w:t xml:space="preserve">The biggest issue with </w:t>
      </w:r>
      <w:r w:rsidR="008E3C32" w:rsidRPr="0092670C">
        <w:rPr>
          <w:rFonts w:ascii="Arial" w:eastAsiaTheme="majorEastAsia" w:hAnsi="Arial" w:cs="Arial"/>
          <w:szCs w:val="26"/>
        </w:rPr>
        <w:t xml:space="preserve">graphite is its </w:t>
      </w:r>
      <w:r w:rsidR="001E2CD9" w:rsidRPr="0092670C">
        <w:rPr>
          <w:rFonts w:ascii="Arial" w:eastAsiaTheme="majorEastAsia" w:hAnsi="Arial" w:cs="Arial"/>
          <w:szCs w:val="26"/>
        </w:rPr>
        <w:t>low</w:t>
      </w:r>
      <w:r w:rsidR="008E3C32" w:rsidRPr="0092670C">
        <w:rPr>
          <w:rFonts w:ascii="Arial" w:eastAsiaTheme="majorEastAsia" w:hAnsi="Arial" w:cs="Arial"/>
          <w:szCs w:val="26"/>
        </w:rPr>
        <w:t xml:space="preserve"> capacity </w:t>
      </w:r>
      <w:r w:rsidR="00844362" w:rsidRPr="0092670C">
        <w:rPr>
          <w:rFonts w:ascii="Arial" w:eastAsiaTheme="majorEastAsia" w:hAnsi="Arial" w:cs="Arial"/>
          <w:szCs w:val="26"/>
        </w:rPr>
        <w:t>when compared wi</w:t>
      </w:r>
      <w:r w:rsidR="00976E1F" w:rsidRPr="0092670C">
        <w:rPr>
          <w:rFonts w:ascii="Arial" w:eastAsiaTheme="majorEastAsia" w:hAnsi="Arial" w:cs="Arial"/>
          <w:szCs w:val="26"/>
        </w:rPr>
        <w:t>th</w:t>
      </w:r>
      <w:r w:rsidR="00844362" w:rsidRPr="0092670C">
        <w:rPr>
          <w:rFonts w:ascii="Arial" w:eastAsiaTheme="majorEastAsia" w:hAnsi="Arial" w:cs="Arial"/>
          <w:szCs w:val="26"/>
        </w:rPr>
        <w:t xml:space="preserve"> Li metal</w:t>
      </w:r>
      <w:r w:rsidR="00976E1F" w:rsidRPr="0092670C">
        <w:rPr>
          <w:rFonts w:ascii="Arial" w:eastAsiaTheme="majorEastAsia" w:hAnsi="Arial" w:cs="Arial"/>
          <w:szCs w:val="26"/>
        </w:rPr>
        <w:t xml:space="preserve"> (372</w:t>
      </w:r>
      <w:r w:rsidR="009376DD">
        <w:rPr>
          <w:rFonts w:ascii="Arial" w:eastAsiaTheme="majorEastAsia" w:hAnsi="Arial" w:cs="Arial"/>
          <w:szCs w:val="26"/>
        </w:rPr>
        <w:t xml:space="preserve"> </w:t>
      </w:r>
      <w:r w:rsidR="00976E1F" w:rsidRPr="0092670C">
        <w:rPr>
          <w:rFonts w:ascii="Arial" w:eastAsiaTheme="majorEastAsia" w:hAnsi="Arial" w:cs="Arial"/>
          <w:szCs w:val="26"/>
        </w:rPr>
        <w:t>mAh</w:t>
      </w:r>
      <w:r w:rsidR="00C40DA9" w:rsidRPr="0092670C">
        <w:rPr>
          <w:rFonts w:ascii="Arial" w:eastAsiaTheme="majorEastAsia" w:hAnsi="Arial" w:cs="Arial"/>
          <w:szCs w:val="26"/>
        </w:rPr>
        <w:t>g</w:t>
      </w:r>
      <w:r w:rsidR="00C40DA9" w:rsidRPr="0092670C">
        <w:rPr>
          <w:rFonts w:ascii="Arial" w:eastAsiaTheme="majorEastAsia" w:hAnsi="Arial" w:cs="Arial"/>
          <w:szCs w:val="26"/>
          <w:vertAlign w:val="superscript"/>
        </w:rPr>
        <w:t>-1</w:t>
      </w:r>
      <w:r w:rsidR="00976E1F" w:rsidRPr="0092670C">
        <w:rPr>
          <w:rFonts w:ascii="Arial" w:eastAsiaTheme="majorEastAsia" w:hAnsi="Arial" w:cs="Arial"/>
          <w:szCs w:val="26"/>
        </w:rPr>
        <w:t xml:space="preserve"> Vs. </w:t>
      </w:r>
      <w:r w:rsidR="00BF529A" w:rsidRPr="0092670C">
        <w:rPr>
          <w:rFonts w:ascii="Arial" w:eastAsiaTheme="majorEastAsia" w:hAnsi="Arial" w:cs="Arial"/>
          <w:szCs w:val="26"/>
        </w:rPr>
        <w:t>3860</w:t>
      </w:r>
      <w:r w:rsidR="009376DD">
        <w:rPr>
          <w:rFonts w:ascii="Arial" w:eastAsiaTheme="majorEastAsia" w:hAnsi="Arial" w:cs="Arial"/>
          <w:szCs w:val="26"/>
        </w:rPr>
        <w:t xml:space="preserve"> </w:t>
      </w:r>
      <w:r w:rsidR="00BF529A" w:rsidRPr="0092670C">
        <w:rPr>
          <w:rFonts w:ascii="Arial" w:eastAsiaTheme="majorEastAsia" w:hAnsi="Arial" w:cs="Arial"/>
          <w:szCs w:val="26"/>
        </w:rPr>
        <w:t>mAh</w:t>
      </w:r>
      <w:r w:rsidR="00C40DA9" w:rsidRPr="0092670C">
        <w:rPr>
          <w:rFonts w:ascii="Arial" w:eastAsiaTheme="majorEastAsia" w:hAnsi="Arial" w:cs="Arial"/>
          <w:szCs w:val="26"/>
        </w:rPr>
        <w:t>g</w:t>
      </w:r>
      <w:r w:rsidR="00C40DA9" w:rsidRPr="0092670C">
        <w:rPr>
          <w:rFonts w:ascii="Arial" w:eastAsiaTheme="majorEastAsia" w:hAnsi="Arial" w:cs="Arial"/>
          <w:szCs w:val="26"/>
          <w:vertAlign w:val="superscript"/>
        </w:rPr>
        <w:t>-1</w:t>
      </w:r>
      <w:r w:rsidR="00281533" w:rsidRPr="0092670C">
        <w:rPr>
          <w:rFonts w:ascii="Arial" w:eastAsiaTheme="majorEastAsia" w:hAnsi="Arial" w:cs="Arial"/>
          <w:szCs w:val="26"/>
        </w:rPr>
        <w:t>)</w:t>
      </w:r>
      <w:r w:rsidR="003E0D9E" w:rsidRPr="0092670C">
        <w:rPr>
          <w:rFonts w:ascii="Arial" w:eastAsiaTheme="majorEastAsia" w:hAnsi="Arial" w:cs="Arial"/>
          <w:szCs w:val="26"/>
        </w:rPr>
        <w:t xml:space="preserve"> as seen in </w:t>
      </w:r>
      <w:r w:rsidR="003E0D9E" w:rsidRPr="0092670C">
        <w:rPr>
          <w:rFonts w:ascii="Arial" w:eastAsiaTheme="majorEastAsia" w:hAnsi="Arial" w:cs="Arial"/>
        </w:rPr>
        <w:fldChar w:fldCharType="begin"/>
      </w:r>
      <w:r w:rsidR="003E0D9E" w:rsidRPr="0092670C">
        <w:rPr>
          <w:rFonts w:ascii="Arial" w:eastAsiaTheme="majorEastAsia" w:hAnsi="Arial" w:cs="Arial"/>
        </w:rPr>
        <w:instrText xml:space="preserve"> REF _Ref27657500 \h </w:instrText>
      </w:r>
      <w:r w:rsidR="00E544A7" w:rsidRPr="0092670C">
        <w:rPr>
          <w:rFonts w:ascii="Arial" w:eastAsiaTheme="majorEastAsia" w:hAnsi="Arial" w:cs="Arial"/>
        </w:rPr>
        <w:instrText xml:space="preserve"> \* MERGEFORMAT </w:instrText>
      </w:r>
      <w:r w:rsidR="003E0D9E" w:rsidRPr="0092670C">
        <w:rPr>
          <w:rFonts w:ascii="Arial" w:eastAsiaTheme="majorEastAsia" w:hAnsi="Arial" w:cs="Arial"/>
        </w:rPr>
      </w:r>
      <w:r w:rsidR="003E0D9E" w:rsidRPr="0092670C">
        <w:rPr>
          <w:rFonts w:ascii="Arial" w:eastAsiaTheme="majorEastAsia"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2</w:t>
      </w:r>
      <w:r w:rsidR="003E0D9E" w:rsidRPr="0092670C">
        <w:rPr>
          <w:rFonts w:ascii="Arial" w:eastAsiaTheme="majorEastAsia" w:hAnsi="Arial" w:cs="Arial"/>
        </w:rPr>
        <w:fldChar w:fldCharType="end"/>
      </w:r>
      <w:r w:rsidR="00844362" w:rsidRPr="0092670C">
        <w:rPr>
          <w:rFonts w:ascii="Arial" w:eastAsiaTheme="majorEastAsia" w:hAnsi="Arial" w:cs="Arial"/>
          <w:szCs w:val="26"/>
        </w:rPr>
        <w:t xml:space="preserve">. </w:t>
      </w:r>
      <w:r w:rsidR="00831DF3">
        <w:rPr>
          <w:rFonts w:ascii="Arial" w:eastAsiaTheme="majorEastAsia" w:hAnsi="Arial" w:cs="Arial"/>
          <w:szCs w:val="26"/>
        </w:rPr>
        <w:t>Anodes</w:t>
      </w:r>
      <w:r w:rsidR="00840E40" w:rsidRPr="0092670C">
        <w:rPr>
          <w:rFonts w:ascii="Arial" w:eastAsiaTheme="majorEastAsia" w:hAnsi="Arial" w:cs="Arial"/>
          <w:szCs w:val="26"/>
        </w:rPr>
        <w:t xml:space="preserve"> also </w:t>
      </w:r>
      <w:r w:rsidR="00E00EB7">
        <w:rPr>
          <w:rFonts w:ascii="Arial" w:eastAsiaTheme="majorEastAsia" w:hAnsi="Arial" w:cs="Arial"/>
          <w:szCs w:val="26"/>
        </w:rPr>
        <w:t>undergo</w:t>
      </w:r>
      <w:r w:rsidR="00840E40" w:rsidRPr="0092670C">
        <w:rPr>
          <w:rFonts w:ascii="Arial" w:eastAsiaTheme="majorEastAsia" w:hAnsi="Arial" w:cs="Arial"/>
          <w:szCs w:val="26"/>
        </w:rPr>
        <w:t xml:space="preserve"> </w:t>
      </w:r>
      <w:r w:rsidR="006A2E91" w:rsidRPr="0092670C">
        <w:rPr>
          <w:rFonts w:ascii="Arial" w:eastAsiaTheme="majorEastAsia" w:hAnsi="Arial" w:cs="Arial"/>
          <w:szCs w:val="26"/>
        </w:rPr>
        <w:t xml:space="preserve">a process </w:t>
      </w:r>
      <w:r w:rsidR="00E17DB4" w:rsidRPr="0092670C">
        <w:rPr>
          <w:rFonts w:ascii="Arial" w:eastAsiaTheme="majorEastAsia" w:hAnsi="Arial" w:cs="Arial"/>
          <w:szCs w:val="26"/>
        </w:rPr>
        <w:t xml:space="preserve">known as </w:t>
      </w:r>
      <w:r w:rsidR="001E11C6" w:rsidRPr="0092670C">
        <w:rPr>
          <w:rFonts w:ascii="Arial" w:eastAsiaTheme="majorEastAsia" w:hAnsi="Arial" w:cs="Arial"/>
          <w:szCs w:val="26"/>
        </w:rPr>
        <w:t>solid electrolyte interphase</w:t>
      </w:r>
      <w:r w:rsidR="00584A71" w:rsidRPr="0092670C">
        <w:rPr>
          <w:rFonts w:ascii="Arial" w:eastAsiaTheme="majorEastAsia" w:hAnsi="Arial" w:cs="Arial"/>
          <w:szCs w:val="26"/>
        </w:rPr>
        <w:t xml:space="preserve"> (SEI)</w:t>
      </w:r>
      <w:r w:rsidR="001E11C6" w:rsidRPr="0092670C">
        <w:rPr>
          <w:rFonts w:ascii="Arial" w:eastAsiaTheme="majorEastAsia" w:hAnsi="Arial" w:cs="Arial"/>
          <w:szCs w:val="26"/>
        </w:rPr>
        <w:t xml:space="preserve"> formation</w:t>
      </w:r>
      <w:r w:rsidR="00B930F3" w:rsidRPr="0092670C">
        <w:rPr>
          <w:rFonts w:ascii="Arial" w:eastAsiaTheme="majorEastAsia" w:hAnsi="Arial" w:cs="Arial"/>
          <w:szCs w:val="26"/>
        </w:rPr>
        <w:t>.</w:t>
      </w:r>
      <w:r w:rsidR="00831DF3">
        <w:rPr>
          <w:rFonts w:ascii="Arial" w:eastAsiaTheme="majorEastAsia" w:hAnsi="Arial" w:cs="Arial"/>
          <w:szCs w:val="26"/>
        </w:rPr>
        <w:t xml:space="preserve"> </w:t>
      </w:r>
      <w:r w:rsidR="005A783B">
        <w:rPr>
          <w:rFonts w:ascii="Arial" w:eastAsiaTheme="majorEastAsia" w:hAnsi="Arial" w:cs="Arial"/>
          <w:szCs w:val="26"/>
        </w:rPr>
        <w:t>This is where electrolyte degrade</w:t>
      </w:r>
      <w:r w:rsidR="008528B1">
        <w:rPr>
          <w:rFonts w:ascii="Arial" w:eastAsiaTheme="majorEastAsia" w:hAnsi="Arial" w:cs="Arial"/>
          <w:szCs w:val="26"/>
        </w:rPr>
        <w:t>s</w:t>
      </w:r>
      <w:r w:rsidR="005A783B">
        <w:rPr>
          <w:rFonts w:ascii="Arial" w:eastAsiaTheme="majorEastAsia" w:hAnsi="Arial" w:cs="Arial"/>
          <w:szCs w:val="26"/>
        </w:rPr>
        <w:t xml:space="preserve"> at the low </w:t>
      </w:r>
      <w:r w:rsidR="008528B1">
        <w:rPr>
          <w:rFonts w:ascii="Arial" w:eastAsiaTheme="majorEastAsia" w:hAnsi="Arial" w:cs="Arial"/>
          <w:szCs w:val="26"/>
        </w:rPr>
        <w:t xml:space="preserve">potential of the anode forming a layer on the surface. </w:t>
      </w:r>
      <w:r w:rsidR="00220C84">
        <w:rPr>
          <w:rFonts w:ascii="Arial" w:eastAsiaTheme="majorEastAsia" w:hAnsi="Arial" w:cs="Arial"/>
          <w:szCs w:val="26"/>
        </w:rPr>
        <w:t xml:space="preserve">Li metal </w:t>
      </w:r>
      <w:r w:rsidR="00A151D3">
        <w:rPr>
          <w:rFonts w:ascii="Arial" w:eastAsiaTheme="majorEastAsia" w:hAnsi="Arial" w:cs="Arial"/>
          <w:szCs w:val="26"/>
        </w:rPr>
        <w:t xml:space="preserve">anodes </w:t>
      </w:r>
      <w:r w:rsidR="00315004">
        <w:rPr>
          <w:rFonts w:ascii="Arial" w:eastAsiaTheme="majorEastAsia" w:hAnsi="Arial" w:cs="Arial"/>
          <w:szCs w:val="26"/>
        </w:rPr>
        <w:t>are stripped and replated</w:t>
      </w:r>
      <w:r w:rsidR="009C39A5">
        <w:rPr>
          <w:rFonts w:ascii="Arial" w:eastAsiaTheme="majorEastAsia" w:hAnsi="Arial" w:cs="Arial"/>
          <w:szCs w:val="26"/>
        </w:rPr>
        <w:t xml:space="preserve"> during cycling and this leads to</w:t>
      </w:r>
      <w:r w:rsidR="00315004">
        <w:rPr>
          <w:rFonts w:ascii="Arial" w:eastAsiaTheme="majorEastAsia" w:hAnsi="Arial" w:cs="Arial"/>
          <w:szCs w:val="26"/>
        </w:rPr>
        <w:t xml:space="preserve"> the already </w:t>
      </w:r>
      <w:r w:rsidR="00A21473">
        <w:rPr>
          <w:rFonts w:ascii="Arial" w:eastAsiaTheme="majorEastAsia" w:hAnsi="Arial" w:cs="Arial"/>
          <w:szCs w:val="26"/>
        </w:rPr>
        <w:t>formed SEI later to migrate back into t</w:t>
      </w:r>
      <w:r w:rsidR="0022132E">
        <w:rPr>
          <w:rFonts w:ascii="Arial" w:eastAsiaTheme="majorEastAsia" w:hAnsi="Arial" w:cs="Arial"/>
          <w:szCs w:val="26"/>
        </w:rPr>
        <w:t xml:space="preserve">he electrolyte </w:t>
      </w:r>
      <w:r w:rsidR="0036737B">
        <w:rPr>
          <w:rFonts w:ascii="Arial" w:eastAsiaTheme="majorEastAsia" w:hAnsi="Arial" w:cs="Arial"/>
          <w:szCs w:val="26"/>
        </w:rPr>
        <w:t xml:space="preserve">and a fresh layer is deposited during </w:t>
      </w:r>
      <w:r w:rsidR="004F1529">
        <w:rPr>
          <w:rFonts w:ascii="Arial" w:eastAsiaTheme="majorEastAsia" w:hAnsi="Arial" w:cs="Arial"/>
          <w:szCs w:val="26"/>
        </w:rPr>
        <w:t>pla</w:t>
      </w:r>
      <w:r w:rsidR="004D3FBE">
        <w:rPr>
          <w:rFonts w:ascii="Arial" w:eastAsiaTheme="majorEastAsia" w:hAnsi="Arial" w:cs="Arial"/>
          <w:szCs w:val="26"/>
        </w:rPr>
        <w:t xml:space="preserve">ting. This results in electrolyte depletion and </w:t>
      </w:r>
      <w:r w:rsidR="003A5694">
        <w:rPr>
          <w:rFonts w:ascii="Arial" w:eastAsiaTheme="majorEastAsia" w:hAnsi="Arial" w:cs="Arial"/>
          <w:szCs w:val="26"/>
        </w:rPr>
        <w:t xml:space="preserve">low coulombic efficiency. This doesn’t occur with graphite as </w:t>
      </w:r>
      <w:r w:rsidR="009A48C7">
        <w:rPr>
          <w:rFonts w:ascii="Arial" w:eastAsiaTheme="majorEastAsia" w:hAnsi="Arial" w:cs="Arial"/>
          <w:szCs w:val="26"/>
        </w:rPr>
        <w:t xml:space="preserve">it is </w:t>
      </w:r>
      <w:r w:rsidR="00F02DDF">
        <w:rPr>
          <w:rFonts w:ascii="Arial" w:eastAsiaTheme="majorEastAsia" w:hAnsi="Arial" w:cs="Arial"/>
          <w:szCs w:val="26"/>
        </w:rPr>
        <w:t xml:space="preserve">stays in places during cycling that the SEI </w:t>
      </w:r>
      <w:r w:rsidR="005A783B">
        <w:rPr>
          <w:rFonts w:ascii="Arial" w:eastAsiaTheme="majorEastAsia" w:hAnsi="Arial" w:cs="Arial"/>
          <w:szCs w:val="26"/>
        </w:rPr>
        <w:t>adheres to</w:t>
      </w:r>
      <w:r w:rsidR="008640D2">
        <w:rPr>
          <w:rFonts w:ascii="Arial" w:eastAsiaTheme="majorEastAsia" w:hAnsi="Arial" w:cs="Arial"/>
          <w:szCs w:val="26"/>
        </w:rPr>
        <w:t xml:space="preserve">, although smaller </w:t>
      </w:r>
      <w:r w:rsidR="008D4F1A">
        <w:rPr>
          <w:rFonts w:ascii="Arial" w:eastAsiaTheme="majorEastAsia" w:hAnsi="Arial" w:cs="Arial"/>
          <w:szCs w:val="26"/>
        </w:rPr>
        <w:t>quantities</w:t>
      </w:r>
      <w:r w:rsidR="008640D2">
        <w:rPr>
          <w:rFonts w:ascii="Arial" w:eastAsiaTheme="majorEastAsia" w:hAnsi="Arial" w:cs="Arial"/>
          <w:szCs w:val="26"/>
        </w:rPr>
        <w:t xml:space="preserve"> of fresh SEI are formed during cycling</w:t>
      </w:r>
      <w:r w:rsidR="005A783B">
        <w:rPr>
          <w:rFonts w:ascii="Arial" w:eastAsiaTheme="majorEastAsia" w:hAnsi="Arial" w:cs="Arial"/>
          <w:szCs w:val="26"/>
        </w:rPr>
        <w:t>.</w:t>
      </w:r>
      <w:r w:rsidR="0073211E">
        <w:rPr>
          <w:rFonts w:ascii="Arial" w:eastAsiaTheme="majorEastAsia" w:hAnsi="Arial" w:cs="Arial"/>
          <w:szCs w:val="26"/>
        </w:rPr>
        <w:t xml:space="preserve"> </w:t>
      </w:r>
      <w:r w:rsidR="00B930F3" w:rsidRPr="0092670C">
        <w:rPr>
          <w:rFonts w:ascii="Arial" w:eastAsiaTheme="majorEastAsia" w:hAnsi="Arial" w:cs="Arial"/>
          <w:szCs w:val="26"/>
        </w:rPr>
        <w:t xml:space="preserve"> More information can be found on the SEI in</w:t>
      </w:r>
      <w:r w:rsidR="004E6BEE" w:rsidRPr="0092670C">
        <w:rPr>
          <w:rFonts w:ascii="Arial" w:eastAsiaTheme="majorEastAsia" w:hAnsi="Arial" w:cs="Arial"/>
          <w:szCs w:val="26"/>
        </w:rPr>
        <w:t xml:space="preserve"> </w:t>
      </w:r>
      <w:r w:rsidR="00B30F90" w:rsidRPr="0092670C">
        <w:rPr>
          <w:rFonts w:ascii="Arial" w:eastAsiaTheme="majorEastAsia" w:hAnsi="Arial" w:cs="Arial"/>
          <w:szCs w:val="26"/>
        </w:rPr>
        <w:t>S</w:t>
      </w:r>
      <w:r w:rsidR="00B37575" w:rsidRPr="0092670C">
        <w:rPr>
          <w:rFonts w:ascii="Arial" w:eastAsiaTheme="majorEastAsia" w:hAnsi="Arial" w:cs="Arial"/>
          <w:szCs w:val="26"/>
        </w:rPr>
        <w:t xml:space="preserve">ection </w:t>
      </w:r>
      <w:r w:rsidR="004E6BEE" w:rsidRPr="0092670C">
        <w:rPr>
          <w:rFonts w:ascii="Arial" w:eastAsiaTheme="majorEastAsia" w:hAnsi="Arial" w:cs="Arial"/>
          <w:szCs w:val="26"/>
        </w:rPr>
        <w:fldChar w:fldCharType="begin"/>
      </w:r>
      <w:r w:rsidR="004E6BEE" w:rsidRPr="0092670C">
        <w:rPr>
          <w:rFonts w:ascii="Arial" w:eastAsiaTheme="majorEastAsia" w:hAnsi="Arial" w:cs="Arial"/>
          <w:szCs w:val="26"/>
        </w:rPr>
        <w:instrText xml:space="preserve"> REF _Ref26909597 \r \h </w:instrText>
      </w:r>
      <w:r w:rsidR="00B730DC" w:rsidRPr="0092670C">
        <w:rPr>
          <w:rFonts w:ascii="Arial" w:eastAsiaTheme="majorEastAsia" w:hAnsi="Arial" w:cs="Arial"/>
          <w:szCs w:val="26"/>
        </w:rPr>
        <w:instrText xml:space="preserve"> \* MERGEFORMAT </w:instrText>
      </w:r>
      <w:r w:rsidR="004E6BEE" w:rsidRPr="0092670C">
        <w:rPr>
          <w:rFonts w:ascii="Arial" w:eastAsiaTheme="majorEastAsia" w:hAnsi="Arial" w:cs="Arial"/>
          <w:szCs w:val="26"/>
        </w:rPr>
      </w:r>
      <w:r w:rsidR="004E6BEE" w:rsidRPr="0092670C">
        <w:rPr>
          <w:rFonts w:ascii="Arial" w:eastAsiaTheme="majorEastAsia" w:hAnsi="Arial" w:cs="Arial"/>
          <w:szCs w:val="26"/>
        </w:rPr>
        <w:fldChar w:fldCharType="separate"/>
      </w:r>
      <w:r w:rsidR="007342C8">
        <w:rPr>
          <w:rFonts w:ascii="Arial" w:eastAsiaTheme="majorEastAsia" w:hAnsi="Arial" w:cs="Arial"/>
          <w:szCs w:val="26"/>
        </w:rPr>
        <w:t>1.3</w:t>
      </w:r>
      <w:r w:rsidR="004E6BEE" w:rsidRPr="0092670C">
        <w:rPr>
          <w:rFonts w:ascii="Arial" w:eastAsiaTheme="majorEastAsia" w:hAnsi="Arial" w:cs="Arial"/>
          <w:szCs w:val="26"/>
        </w:rPr>
        <w:fldChar w:fldCharType="end"/>
      </w:r>
      <w:r w:rsidR="002B0757" w:rsidRPr="0092670C">
        <w:rPr>
          <w:rFonts w:ascii="Arial" w:eastAsiaTheme="majorEastAsia" w:hAnsi="Arial" w:cs="Arial"/>
          <w:szCs w:val="26"/>
        </w:rPr>
        <w:t xml:space="preserve"> </w:t>
      </w:r>
      <w:r w:rsidR="004E6BEE" w:rsidRPr="0092670C">
        <w:rPr>
          <w:rFonts w:ascii="Arial" w:eastAsiaTheme="majorEastAsia" w:hAnsi="Arial" w:cs="Arial"/>
          <w:szCs w:val="26"/>
        </w:rPr>
        <w:fldChar w:fldCharType="begin"/>
      </w:r>
      <w:r w:rsidR="004E6BEE" w:rsidRPr="0092670C">
        <w:rPr>
          <w:rFonts w:ascii="Arial" w:eastAsiaTheme="majorEastAsia" w:hAnsi="Arial" w:cs="Arial"/>
          <w:szCs w:val="26"/>
        </w:rPr>
        <w:instrText xml:space="preserve"> REF _Ref26909597 \h </w:instrText>
      </w:r>
      <w:r w:rsidR="00B730DC" w:rsidRPr="0092670C">
        <w:rPr>
          <w:rFonts w:ascii="Arial" w:eastAsiaTheme="majorEastAsia" w:hAnsi="Arial" w:cs="Arial"/>
          <w:szCs w:val="26"/>
        </w:rPr>
        <w:instrText xml:space="preserve"> \* MERGEFORMAT </w:instrText>
      </w:r>
      <w:r w:rsidR="004E6BEE" w:rsidRPr="0092670C">
        <w:rPr>
          <w:rFonts w:ascii="Arial" w:eastAsiaTheme="majorEastAsia" w:hAnsi="Arial" w:cs="Arial"/>
          <w:szCs w:val="26"/>
        </w:rPr>
      </w:r>
      <w:r w:rsidR="004E6BEE" w:rsidRPr="0092670C">
        <w:rPr>
          <w:rFonts w:ascii="Arial" w:eastAsiaTheme="majorEastAsia" w:hAnsi="Arial" w:cs="Arial"/>
          <w:szCs w:val="26"/>
        </w:rPr>
        <w:fldChar w:fldCharType="separate"/>
      </w:r>
      <w:r w:rsidR="007342C8" w:rsidRPr="0092670C">
        <w:rPr>
          <w:rFonts w:ascii="Arial" w:hAnsi="Arial" w:cs="Arial"/>
        </w:rPr>
        <w:t>The use of the SEI in Li-ion batteries</w:t>
      </w:r>
      <w:r w:rsidR="004E6BEE" w:rsidRPr="0092670C">
        <w:rPr>
          <w:rFonts w:ascii="Arial" w:eastAsiaTheme="majorEastAsia" w:hAnsi="Arial" w:cs="Arial"/>
          <w:szCs w:val="26"/>
        </w:rPr>
        <w:fldChar w:fldCharType="end"/>
      </w:r>
      <w:r w:rsidR="004E6BEE" w:rsidRPr="0092670C">
        <w:rPr>
          <w:rFonts w:ascii="Arial" w:eastAsiaTheme="majorEastAsia" w:hAnsi="Arial" w:cs="Arial"/>
          <w:szCs w:val="26"/>
        </w:rPr>
        <w:t>.</w:t>
      </w:r>
      <w:r w:rsidR="001E11C6" w:rsidRPr="0092670C">
        <w:rPr>
          <w:rFonts w:ascii="Arial" w:eastAsiaTheme="majorEastAsia" w:hAnsi="Arial" w:cs="Arial"/>
          <w:szCs w:val="26"/>
        </w:rPr>
        <w:t xml:space="preserve"> </w:t>
      </w:r>
    </w:p>
    <w:p w14:paraId="51063A27" w14:textId="77777777" w:rsidR="00122E4C" w:rsidRPr="0092670C" w:rsidRDefault="00253B18" w:rsidP="00122E4C">
      <w:pPr>
        <w:keepNext/>
        <w:spacing w:line="360" w:lineRule="auto"/>
        <w:jc w:val="center"/>
        <w:rPr>
          <w:rFonts w:ascii="Arial" w:hAnsi="Arial" w:cs="Arial"/>
        </w:rPr>
      </w:pPr>
      <w:r w:rsidRPr="0092670C">
        <w:rPr>
          <w:rFonts w:ascii="Arial" w:hAnsi="Arial" w:cs="Arial"/>
          <w:noProof/>
        </w:rPr>
        <w:drawing>
          <wp:inline distT="0" distB="0" distL="0" distR="0" wp14:anchorId="6CDDA321" wp14:editId="4FD99A7A">
            <wp:extent cx="3038475" cy="3059028"/>
            <wp:effectExtent l="0" t="0" r="0" b="8255"/>
            <wp:docPr id="49" name="Picture 49" descr="Image result for li-ion electrode capa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ion electrode capacit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9962" cy="3080661"/>
                    </a:xfrm>
                    <a:prstGeom prst="rect">
                      <a:avLst/>
                    </a:prstGeom>
                    <a:noFill/>
                    <a:ln>
                      <a:noFill/>
                    </a:ln>
                  </pic:spPr>
                </pic:pic>
              </a:graphicData>
            </a:graphic>
          </wp:inline>
        </w:drawing>
      </w:r>
    </w:p>
    <w:p w14:paraId="138A8255" w14:textId="28E05D81" w:rsidR="00253B18" w:rsidRPr="0092670C" w:rsidRDefault="00122E4C" w:rsidP="00122E4C">
      <w:pPr>
        <w:pStyle w:val="Caption"/>
        <w:jc w:val="center"/>
        <w:rPr>
          <w:rFonts w:ascii="Arial" w:eastAsiaTheme="majorEastAsia" w:hAnsi="Arial" w:cs="Arial"/>
          <w:sz w:val="20"/>
          <w:szCs w:val="28"/>
        </w:rPr>
      </w:pPr>
      <w:bookmarkStart w:id="10" w:name="_Ref27657500"/>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2</w:t>
      </w:r>
      <w:r w:rsidR="00356A26">
        <w:rPr>
          <w:rFonts w:ascii="Arial" w:hAnsi="Arial" w:cs="Arial"/>
          <w:sz w:val="20"/>
          <w:szCs w:val="20"/>
        </w:rPr>
        <w:fldChar w:fldCharType="end"/>
      </w:r>
      <w:bookmarkEnd w:id="10"/>
      <w:r w:rsidRPr="0092670C">
        <w:rPr>
          <w:rFonts w:ascii="Arial" w:hAnsi="Arial" w:cs="Arial"/>
          <w:sz w:val="20"/>
          <w:szCs w:val="20"/>
        </w:rPr>
        <w:t>: Graph showing the theoretical capacities of common anode and cathode materials</w:t>
      </w:r>
      <w:r w:rsidR="00B97230">
        <w:rPr>
          <w:rFonts w:ascii="Arial" w:hAnsi="Arial" w:cs="Arial"/>
          <w:sz w:val="20"/>
          <w:szCs w:val="20"/>
        </w:rPr>
        <w:t> </w:t>
      </w:r>
      <w:r w:rsidR="00181EF3" w:rsidRPr="0092670C">
        <w:rPr>
          <w:rFonts w:ascii="Arial" w:hAnsi="Arial" w:cs="Arial"/>
          <w:sz w:val="20"/>
          <w:szCs w:val="20"/>
        </w:rPr>
        <w:fldChar w:fldCharType="begin"/>
      </w:r>
      <w:r w:rsidR="004F0EC3">
        <w:rPr>
          <w:rFonts w:ascii="Arial" w:hAnsi="Arial" w:cs="Arial"/>
          <w:sz w:val="20"/>
          <w:szCs w:val="20"/>
        </w:rPr>
        <w:instrText xml:space="preserve"> ADDIN EN.CITE &lt;EndNote&gt;&lt;Cite&gt;&lt;Author&gt;Hausbrand&lt;/Author&gt;&lt;Year&gt;2015&lt;/Year&gt;&lt;RecNum&gt;671&lt;/RecNum&gt;&lt;DisplayText&gt;[7]&lt;/DisplayText&gt;&lt;record&gt;&lt;rec-number&gt;671&lt;/rec-number&gt;&lt;foreign-keys&gt;&lt;key app="EN" db-id="5sa9s0e0r0d9fnexra7pr5xdwd5ztevx95s2" timestamp="1593904130" guid="c1303684-fe1c-4f5c-a39e-a74627291548"&gt;671&lt;/key&gt;&lt;/foreign-keys&gt;&lt;ref-type name="Journal Article"&gt;17&lt;/ref-type&gt;&lt;contributors&gt;&lt;authors&gt;&lt;author&gt;Hausbrand, R&lt;/author&gt;&lt;author&gt;Cherkashinin, G&lt;/author&gt;&lt;author&gt;Ehrenberg, H&lt;/author&gt;&lt;author&gt;Gröting, M&lt;/author&gt;&lt;author&gt;Albe, K&lt;/author&gt;&lt;author&gt;Hess, C&lt;/author&gt;&lt;author&gt;Jaegermann, W&lt;/author&gt;&lt;/authors&gt;&lt;/contributors&gt;&lt;titles&gt;&lt;title&gt;Fundamental degradation mechanisms of layered oxide Li-ion battery cathode materials: Methodology, insights and novel approaches&lt;/title&gt;&lt;secondary-title&gt;Materials Science and Engineering: B&lt;/secondary-title&gt;&lt;/titles&gt;&lt;periodical&gt;&lt;full-title&gt;Materials Science and Engineering: B&lt;/full-title&gt;&lt;/periodical&gt;&lt;pages&gt;3-25&lt;/pages&gt;&lt;volume&gt;192&lt;/volume&gt;&lt;dates&gt;&lt;year&gt;2015&lt;/year&gt;&lt;/dates&gt;&lt;isbn&gt;0921-5107&lt;/isbn&gt;&lt;urls&gt;&lt;/urls&gt;&lt;/record&gt;&lt;/Cite&gt;&lt;/EndNote&gt;</w:instrText>
      </w:r>
      <w:r w:rsidR="00181EF3" w:rsidRPr="0092670C">
        <w:rPr>
          <w:rFonts w:ascii="Arial" w:hAnsi="Arial" w:cs="Arial"/>
          <w:sz w:val="20"/>
          <w:szCs w:val="20"/>
        </w:rPr>
        <w:fldChar w:fldCharType="separate"/>
      </w:r>
      <w:r w:rsidR="004F0EC3">
        <w:rPr>
          <w:rFonts w:ascii="Arial" w:hAnsi="Arial" w:cs="Arial"/>
          <w:noProof/>
          <w:sz w:val="20"/>
          <w:szCs w:val="20"/>
        </w:rPr>
        <w:t>[7]</w:t>
      </w:r>
      <w:r w:rsidR="00181EF3" w:rsidRPr="0092670C">
        <w:rPr>
          <w:rFonts w:ascii="Arial" w:hAnsi="Arial" w:cs="Arial"/>
          <w:sz w:val="20"/>
          <w:szCs w:val="20"/>
        </w:rPr>
        <w:fldChar w:fldCharType="end"/>
      </w:r>
      <w:r w:rsidR="009376DD">
        <w:rPr>
          <w:rFonts w:ascii="Arial" w:hAnsi="Arial" w:cs="Arial"/>
          <w:sz w:val="20"/>
          <w:szCs w:val="20"/>
        </w:rPr>
        <w:t>.</w:t>
      </w:r>
    </w:p>
    <w:p w14:paraId="2E37E2BF" w14:textId="2934115F" w:rsidR="00C15E8C" w:rsidRPr="0092670C" w:rsidRDefault="00C15E8C"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The limited capacity of graphite has meant that </w:t>
      </w:r>
      <w:r w:rsidR="00DB39CC" w:rsidRPr="0092670C">
        <w:rPr>
          <w:rFonts w:ascii="Arial" w:eastAsiaTheme="majorEastAsia" w:hAnsi="Arial" w:cs="Arial"/>
          <w:szCs w:val="26"/>
        </w:rPr>
        <w:t xml:space="preserve">researchers </w:t>
      </w:r>
      <w:r w:rsidR="00D530EB" w:rsidRPr="0092670C">
        <w:rPr>
          <w:rFonts w:ascii="Arial" w:eastAsiaTheme="majorEastAsia" w:hAnsi="Arial" w:cs="Arial"/>
          <w:szCs w:val="26"/>
        </w:rPr>
        <w:t xml:space="preserve">have been looking at alternatives to </w:t>
      </w:r>
      <w:r w:rsidR="00B81653" w:rsidRPr="0092670C">
        <w:rPr>
          <w:rFonts w:ascii="Arial" w:eastAsiaTheme="majorEastAsia" w:hAnsi="Arial" w:cs="Arial"/>
          <w:szCs w:val="26"/>
        </w:rPr>
        <w:t xml:space="preserve">graphite </w:t>
      </w:r>
      <w:r w:rsidR="00224257" w:rsidRPr="0092670C">
        <w:rPr>
          <w:rFonts w:ascii="Arial" w:eastAsiaTheme="majorEastAsia" w:hAnsi="Arial" w:cs="Arial"/>
          <w:szCs w:val="26"/>
        </w:rPr>
        <w:t xml:space="preserve">to try to improve the </w:t>
      </w:r>
      <w:r w:rsidR="00CE4384" w:rsidRPr="0092670C">
        <w:rPr>
          <w:rFonts w:ascii="Arial" w:eastAsiaTheme="majorEastAsia" w:hAnsi="Arial" w:cs="Arial"/>
          <w:szCs w:val="26"/>
        </w:rPr>
        <w:t>energy density</w:t>
      </w:r>
      <w:r w:rsidR="00AE6809" w:rsidRPr="0092670C">
        <w:rPr>
          <w:rFonts w:ascii="Arial" w:eastAsiaTheme="majorEastAsia" w:hAnsi="Arial" w:cs="Arial"/>
          <w:szCs w:val="26"/>
        </w:rPr>
        <w:t xml:space="preserve"> of commercial cells</w:t>
      </w:r>
      <w:r w:rsidR="00DF685D" w:rsidRPr="0092670C">
        <w:rPr>
          <w:rFonts w:ascii="Arial" w:eastAsiaTheme="majorEastAsia" w:hAnsi="Arial" w:cs="Arial"/>
          <w:szCs w:val="26"/>
        </w:rPr>
        <w:t xml:space="preserve"> </w:t>
      </w:r>
      <w:r w:rsidR="00041607"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&lt;EndNote&gt;&lt;Cite&gt;&lt;Author&gt;Vaughey&lt;/Author&gt;&lt;Year&gt;2003&lt;/Year&gt;&lt;RecNum&gt;723&lt;/RecNum&gt;&lt;DisplayText&gt;[8]&lt;/DisplayText&gt;&lt;record&gt;&lt;rec-number&gt;723&lt;/rec-number&gt;&lt;foreign-keys&gt;&lt;key app="EN" db-id="5sa9s0e0r0d9fnexra7pr5xdwd5ztevx95s2" timestamp="1593904145" guid="b505ff4a-09c5-440f-be99-4f364a4403a7"&gt;723&lt;/key&gt;&lt;/foreign-keys&gt;&lt;ref-type name="Journal Article"&gt;17&lt;/ref-type&gt;&lt;contributors&gt;&lt;authors&gt;&lt;author&gt;Vaughey, J. T.&lt;/author&gt;&lt;author&gt;Fransson, L.&lt;/author&gt;&lt;author&gt;Swinger, H. A.&lt;/author&gt;&lt;author&gt;Edström, K.&lt;/author&gt;&lt;author&gt;Thackeray, M. M.&lt;/author&gt;&lt;/authors&gt;&lt;/contributors&gt;&lt;titles&gt;&lt;title&gt;Alternative anode materials for lithium-ion batteries: a study of Ag3Sb&lt;/title&gt;&lt;secondary-title&gt;Journal of Power Sources&lt;/secondary-title&gt;&lt;/titles&gt;&lt;periodical&gt;&lt;full-title&gt;Journal of Power Sources&lt;/full-title&gt;&lt;/periodical&gt;&lt;pages&gt;64-68&lt;/pages&gt;&lt;volume&gt;119-121&lt;/volume&gt;&lt;keywords&gt;&lt;keyword&gt;Lithium-ion batteries&lt;/keyword&gt;&lt;keyword&gt;Intermetallic electrodes&lt;/keyword&gt;&lt;keyword&gt;Anodes&lt;/keyword&gt;&lt;keyword&gt;Silver antimony&lt;/keyword&gt;&lt;/keywords&gt;&lt;dates&gt;&lt;year&gt;2003&lt;/year&gt;&lt;pub-dates&gt;&lt;date&gt;2003/06/01/&lt;/date&gt;&lt;/pub-dates&gt;&lt;/dates&gt;&lt;isbn&gt;0378-7753&lt;/isbn&gt;&lt;urls&gt;&lt;related-urls&gt;&lt;url&gt;http://www.sciencedirect.com/science/article/pii/S0378775303001265&lt;/url&gt;&lt;/related-urls&gt;&lt;/urls&gt;&lt;electronic-resource-num&gt;https://doi.org/10.1016/S0378-7753(03)00126-5&lt;/electronic-resource-num&gt;&lt;/record&gt;&lt;/Cite&gt;&lt;/EndNote&gt;</w:instrText>
      </w:r>
      <w:r w:rsidR="00041607" w:rsidRPr="0092670C">
        <w:rPr>
          <w:rFonts w:ascii="Arial" w:eastAsiaTheme="majorEastAsia" w:hAnsi="Arial" w:cs="Arial"/>
          <w:szCs w:val="26"/>
        </w:rPr>
        <w:fldChar w:fldCharType="separate"/>
      </w:r>
      <w:r w:rsidR="004F0EC3">
        <w:rPr>
          <w:rFonts w:ascii="Arial" w:eastAsiaTheme="majorEastAsia" w:hAnsi="Arial" w:cs="Arial"/>
          <w:noProof/>
          <w:szCs w:val="26"/>
        </w:rPr>
        <w:t>[8]</w:t>
      </w:r>
      <w:r w:rsidR="00041607" w:rsidRPr="0092670C">
        <w:rPr>
          <w:rFonts w:ascii="Arial" w:eastAsiaTheme="majorEastAsia" w:hAnsi="Arial" w:cs="Arial"/>
          <w:szCs w:val="26"/>
        </w:rPr>
        <w:fldChar w:fldCharType="end"/>
      </w:r>
      <w:r w:rsidR="00224257" w:rsidRPr="0092670C">
        <w:rPr>
          <w:rFonts w:ascii="Arial" w:eastAsiaTheme="majorEastAsia" w:hAnsi="Arial" w:cs="Arial"/>
          <w:szCs w:val="26"/>
        </w:rPr>
        <w:t xml:space="preserve">. The </w:t>
      </w:r>
      <w:r w:rsidR="0089514E" w:rsidRPr="0092670C">
        <w:rPr>
          <w:rFonts w:ascii="Arial" w:eastAsiaTheme="majorEastAsia" w:hAnsi="Arial" w:cs="Arial"/>
          <w:szCs w:val="26"/>
        </w:rPr>
        <w:t>main c</w:t>
      </w:r>
      <w:r w:rsidR="00606EC2" w:rsidRPr="0092670C">
        <w:rPr>
          <w:rFonts w:ascii="Arial" w:eastAsiaTheme="majorEastAsia" w:hAnsi="Arial" w:cs="Arial"/>
          <w:szCs w:val="26"/>
        </w:rPr>
        <w:t>andidate</w:t>
      </w:r>
      <w:r w:rsidR="00C8497A" w:rsidRPr="0092670C">
        <w:rPr>
          <w:rFonts w:ascii="Arial" w:eastAsiaTheme="majorEastAsia" w:hAnsi="Arial" w:cs="Arial"/>
          <w:szCs w:val="26"/>
        </w:rPr>
        <w:t xml:space="preserve"> to replace graphite</w:t>
      </w:r>
      <w:r w:rsidR="0089514E" w:rsidRPr="0092670C">
        <w:rPr>
          <w:rFonts w:ascii="Arial" w:eastAsiaTheme="majorEastAsia" w:hAnsi="Arial" w:cs="Arial"/>
          <w:szCs w:val="26"/>
        </w:rPr>
        <w:t xml:space="preserve"> has been </w:t>
      </w:r>
      <w:r w:rsidR="003E1901" w:rsidRPr="0092670C">
        <w:rPr>
          <w:rFonts w:ascii="Arial" w:eastAsiaTheme="majorEastAsia" w:hAnsi="Arial" w:cs="Arial"/>
          <w:szCs w:val="26"/>
        </w:rPr>
        <w:t xml:space="preserve">silicon as it </w:t>
      </w:r>
      <w:r w:rsidR="0018022B" w:rsidRPr="0092670C">
        <w:rPr>
          <w:rFonts w:ascii="Arial" w:eastAsiaTheme="majorEastAsia" w:hAnsi="Arial" w:cs="Arial"/>
          <w:szCs w:val="26"/>
        </w:rPr>
        <w:t xml:space="preserve">has </w:t>
      </w:r>
      <w:r w:rsidR="00787F6A" w:rsidRPr="0092670C">
        <w:rPr>
          <w:rFonts w:ascii="Arial" w:eastAsiaTheme="majorEastAsia" w:hAnsi="Arial" w:cs="Arial"/>
          <w:szCs w:val="26"/>
        </w:rPr>
        <w:t xml:space="preserve">a high theoretical capacity </w:t>
      </w:r>
      <w:r w:rsidR="00264BAB" w:rsidRPr="0092670C">
        <w:rPr>
          <w:rFonts w:ascii="Arial" w:eastAsiaTheme="majorEastAsia" w:hAnsi="Arial" w:cs="Arial"/>
          <w:szCs w:val="26"/>
        </w:rPr>
        <w:t>(</w:t>
      </w:r>
      <w:r w:rsidR="00535D29" w:rsidRPr="0092670C">
        <w:rPr>
          <w:rFonts w:ascii="Arial" w:eastAsiaTheme="majorEastAsia" w:hAnsi="Arial" w:cs="Arial"/>
          <w:szCs w:val="26"/>
        </w:rPr>
        <w:t>4200mAh</w:t>
      </w:r>
      <w:r w:rsidR="00C40DA9" w:rsidRPr="0092670C">
        <w:rPr>
          <w:rFonts w:ascii="Arial" w:eastAsiaTheme="majorEastAsia" w:hAnsi="Arial" w:cs="Arial"/>
          <w:szCs w:val="26"/>
        </w:rPr>
        <w:t>g</w:t>
      </w:r>
      <w:r w:rsidR="00C40DA9" w:rsidRPr="0092670C">
        <w:rPr>
          <w:rFonts w:ascii="Arial" w:eastAsiaTheme="majorEastAsia" w:hAnsi="Arial" w:cs="Arial"/>
          <w:szCs w:val="26"/>
          <w:vertAlign w:val="superscript"/>
        </w:rPr>
        <w:t>-1</w:t>
      </w:r>
      <w:r w:rsidR="00741F2F" w:rsidRPr="0092670C">
        <w:rPr>
          <w:rFonts w:ascii="Arial" w:eastAsiaTheme="majorEastAsia" w:hAnsi="Arial" w:cs="Arial"/>
          <w:szCs w:val="26"/>
        </w:rPr>
        <w:t xml:space="preserve">) and </w:t>
      </w:r>
      <w:r w:rsidR="00DD7D78" w:rsidRPr="0092670C">
        <w:rPr>
          <w:rFonts w:ascii="Arial" w:eastAsiaTheme="majorEastAsia" w:hAnsi="Arial" w:cs="Arial"/>
          <w:szCs w:val="26"/>
        </w:rPr>
        <w:t xml:space="preserve">a </w:t>
      </w:r>
      <w:r w:rsidR="009C1D7A">
        <w:rPr>
          <w:rFonts w:ascii="Arial" w:eastAsiaTheme="majorEastAsia" w:hAnsi="Arial" w:cs="Arial"/>
          <w:szCs w:val="26"/>
        </w:rPr>
        <w:t>low</w:t>
      </w:r>
      <w:r w:rsidR="00EA32B7" w:rsidRPr="0092670C">
        <w:rPr>
          <w:rFonts w:ascii="Arial" w:eastAsiaTheme="majorEastAsia" w:hAnsi="Arial" w:cs="Arial"/>
          <w:szCs w:val="26"/>
        </w:rPr>
        <w:t xml:space="preserve"> potential</w:t>
      </w:r>
      <w:r w:rsidR="007A00C9" w:rsidRPr="0092670C">
        <w:rPr>
          <w:rFonts w:ascii="Arial" w:eastAsiaTheme="majorEastAsia" w:hAnsi="Arial" w:cs="Arial"/>
          <w:szCs w:val="26"/>
        </w:rPr>
        <w:t xml:space="preserve"> as seen in</w:t>
      </w:r>
      <w:r w:rsidR="00D16745" w:rsidRPr="0092670C">
        <w:rPr>
          <w:rFonts w:ascii="Arial" w:eastAsiaTheme="majorEastAsia" w:hAnsi="Arial" w:cs="Arial"/>
          <w:szCs w:val="26"/>
        </w:rPr>
        <w:t xml:space="preserve"> </w:t>
      </w:r>
      <w:r w:rsidR="00D16745" w:rsidRPr="0092670C">
        <w:rPr>
          <w:rFonts w:ascii="Arial" w:eastAsiaTheme="majorEastAsia" w:hAnsi="Arial" w:cs="Arial"/>
          <w:szCs w:val="28"/>
        </w:rPr>
        <w:fldChar w:fldCharType="begin"/>
      </w:r>
      <w:r w:rsidR="00D16745" w:rsidRPr="0092670C">
        <w:rPr>
          <w:rFonts w:ascii="Arial" w:eastAsiaTheme="majorEastAsia" w:hAnsi="Arial" w:cs="Arial"/>
          <w:szCs w:val="28"/>
        </w:rPr>
        <w:instrText xml:space="preserve"> REF _Ref27657500 \h </w:instrText>
      </w:r>
      <w:r w:rsidR="004B71DB" w:rsidRPr="0092670C">
        <w:rPr>
          <w:rFonts w:ascii="Arial" w:eastAsiaTheme="majorEastAsia" w:hAnsi="Arial" w:cs="Arial"/>
          <w:szCs w:val="28"/>
        </w:rPr>
        <w:instrText xml:space="preserve"> \* MERGEFORMAT </w:instrText>
      </w:r>
      <w:r w:rsidR="00D16745" w:rsidRPr="0092670C">
        <w:rPr>
          <w:rFonts w:ascii="Arial" w:eastAsiaTheme="majorEastAsia" w:hAnsi="Arial" w:cs="Arial"/>
          <w:szCs w:val="28"/>
        </w:rPr>
      </w:r>
      <w:r w:rsidR="00D16745" w:rsidRPr="0092670C">
        <w:rPr>
          <w:rFonts w:ascii="Arial" w:eastAsiaTheme="majorEastAsia" w:hAnsi="Arial" w:cs="Arial"/>
          <w:szCs w:val="28"/>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2</w:t>
      </w:r>
      <w:r w:rsidR="00D16745" w:rsidRPr="0092670C">
        <w:rPr>
          <w:rFonts w:ascii="Arial" w:eastAsiaTheme="majorEastAsia" w:hAnsi="Arial" w:cs="Arial"/>
          <w:szCs w:val="28"/>
        </w:rPr>
        <w:fldChar w:fldCharType="end"/>
      </w:r>
      <w:r w:rsidR="00A02FB0" w:rsidRPr="0092670C">
        <w:rPr>
          <w:rFonts w:ascii="Arial" w:eastAsiaTheme="majorEastAsia" w:hAnsi="Arial" w:cs="Arial"/>
          <w:szCs w:val="26"/>
        </w:rPr>
        <w:t>.</w:t>
      </w:r>
      <w:r w:rsidR="009C5339">
        <w:rPr>
          <w:rFonts w:ascii="Arial" w:eastAsiaTheme="majorEastAsia" w:hAnsi="Arial" w:cs="Arial"/>
          <w:szCs w:val="26"/>
        </w:rPr>
        <w:t xml:space="preserve"> It </w:t>
      </w:r>
      <w:r w:rsidR="009C5339" w:rsidRPr="00AA5CD3">
        <w:rPr>
          <w:rFonts w:ascii="Arial" w:eastAsiaTheme="majorEastAsia" w:hAnsi="Arial" w:cs="Arial"/>
          <w:szCs w:val="26"/>
        </w:rPr>
        <w:t>should be noted that this</w:t>
      </w:r>
      <w:r w:rsidR="009C5339">
        <w:rPr>
          <w:rFonts w:ascii="Arial" w:eastAsiaTheme="majorEastAsia" w:hAnsi="Arial" w:cs="Arial"/>
          <w:szCs w:val="26"/>
        </w:rPr>
        <w:t xml:space="preserve"> </w:t>
      </w:r>
      <w:r w:rsidR="00893834">
        <w:rPr>
          <w:rFonts w:ascii="Arial" w:eastAsiaTheme="majorEastAsia" w:hAnsi="Arial" w:cs="Arial"/>
          <w:szCs w:val="26"/>
        </w:rPr>
        <w:t xml:space="preserve">theoretical value </w:t>
      </w:r>
      <w:r w:rsidR="00FA3628">
        <w:rPr>
          <w:rFonts w:ascii="Arial" w:eastAsiaTheme="majorEastAsia" w:hAnsi="Arial" w:cs="Arial"/>
          <w:szCs w:val="26"/>
        </w:rPr>
        <w:t>can</w:t>
      </w:r>
      <w:r w:rsidR="00A070C5">
        <w:rPr>
          <w:rFonts w:ascii="Arial" w:eastAsiaTheme="majorEastAsia" w:hAnsi="Arial" w:cs="Arial"/>
          <w:szCs w:val="26"/>
        </w:rPr>
        <w:t xml:space="preserve">’t be achieved at room temperature due to the </w:t>
      </w:r>
      <w:r w:rsidR="00006043">
        <w:rPr>
          <w:rFonts w:ascii="Arial" w:eastAsiaTheme="majorEastAsia" w:hAnsi="Arial" w:cs="Arial"/>
          <w:szCs w:val="26"/>
        </w:rPr>
        <w:t xml:space="preserve">unfavourable </w:t>
      </w:r>
      <w:r w:rsidR="00A070C5">
        <w:rPr>
          <w:rFonts w:ascii="Arial" w:eastAsiaTheme="majorEastAsia" w:hAnsi="Arial" w:cs="Arial"/>
          <w:szCs w:val="26"/>
        </w:rPr>
        <w:t>thermody</w:t>
      </w:r>
      <w:r w:rsidR="00006043">
        <w:rPr>
          <w:rFonts w:ascii="Arial" w:eastAsiaTheme="majorEastAsia" w:hAnsi="Arial" w:cs="Arial"/>
          <w:szCs w:val="26"/>
        </w:rPr>
        <w:t xml:space="preserve">namic state and </w:t>
      </w:r>
      <w:r w:rsidR="00647624">
        <w:rPr>
          <w:rFonts w:ascii="Arial" w:eastAsiaTheme="majorEastAsia" w:hAnsi="Arial" w:cs="Arial"/>
          <w:szCs w:val="26"/>
        </w:rPr>
        <w:t>3579mAhg</w:t>
      </w:r>
      <w:r w:rsidR="00647624">
        <w:rPr>
          <w:rFonts w:ascii="Arial" w:eastAsiaTheme="majorEastAsia" w:hAnsi="Arial" w:cs="Arial"/>
          <w:szCs w:val="26"/>
          <w:vertAlign w:val="superscript"/>
        </w:rPr>
        <w:t>-1</w:t>
      </w:r>
      <w:r w:rsidR="00647624">
        <w:rPr>
          <w:rFonts w:ascii="Arial" w:eastAsiaTheme="majorEastAsia" w:hAnsi="Arial" w:cs="Arial"/>
          <w:szCs w:val="26"/>
        </w:rPr>
        <w:t xml:space="preserve"> is a more appropriate value </w:t>
      </w:r>
      <w:r w:rsidR="00F366B1">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&lt;EndNote&gt;&lt;Cite&gt;&lt;Author&gt;Obrovac&lt;/Author&gt;&lt;Year&gt;2007&lt;/Year&gt;&lt;RecNum&gt;883&lt;/RecNum&gt;&lt;DisplayText&gt;[9]&lt;/DisplayText&gt;&lt;record&gt;&lt;rec-number&gt;883&lt;/rec-number&gt;&lt;foreign-keys&gt;&lt;key app="EN" db-id="5sa9s0e0r0d9fnexra7pr5xdwd5ztevx95s2" timestamp="1624174901" guid="cfaafdd7-877c-4f4e-8f2d-530fccf5b77f"&gt;883&lt;/key&gt;&lt;/foreign-keys&gt;&lt;ref-type name="Journal Article"&gt;17&lt;/ref-type&gt;&lt;contributors&gt;&lt;authors&gt;&lt;author&gt;Obrovac, M. N.&lt;/author&gt;&lt;author&gt;Krause, L. J.&lt;/author&gt;&lt;/authors&gt;&lt;/contributors&gt;&lt;titles&gt;&lt;title&gt;Reversible Cycling of Crystalline Silicon Powder&lt;/title&gt;&lt;secondary-title&gt;Journal of The Electrochemical Society&lt;/secondary-title&gt;&lt;/titles&gt;&lt;periodical&gt;&lt;full-title&gt;Journal of the Electrochemical Society&lt;/full-title&gt;&lt;abbr-1&gt;J. Electrochem. Soc.&lt;/abbr-1&gt;&lt;/periodical&gt;&lt;pages&gt;A103&lt;/pages&gt;&lt;volume&gt;154&lt;/volume&gt;&lt;number&gt;2&lt;/number&gt;&lt;dates&gt;&lt;year&gt;2007&lt;/year&gt;&lt;/dates&gt;&lt;publisher&gt;The Electrochemical Society&lt;/publisher&gt;&lt;isbn&gt;0013-4651&lt;/isbn&gt;&lt;urls&gt;&lt;related-urls&gt;&lt;url&gt;http://dx.doi.org/10.1149/1.2402112&lt;/url&gt;&lt;/related-urls&gt;&lt;/urls&gt;&lt;electronic-resource-num&gt;10.1149/1.2402112&lt;/electronic-resource-num&gt;&lt;/record&gt;&lt;/Cite&gt;&lt;/EndNote&gt;</w:instrText>
      </w:r>
      <w:r w:rsidR="00F366B1">
        <w:rPr>
          <w:rFonts w:ascii="Arial" w:eastAsiaTheme="majorEastAsia" w:hAnsi="Arial" w:cs="Arial"/>
          <w:szCs w:val="26"/>
        </w:rPr>
        <w:fldChar w:fldCharType="separate"/>
      </w:r>
      <w:r w:rsidR="004F0EC3">
        <w:rPr>
          <w:rFonts w:ascii="Arial" w:eastAsiaTheme="majorEastAsia" w:hAnsi="Arial" w:cs="Arial"/>
          <w:noProof/>
          <w:szCs w:val="26"/>
        </w:rPr>
        <w:t>[9]</w:t>
      </w:r>
      <w:r w:rsidR="00F366B1">
        <w:rPr>
          <w:rFonts w:ascii="Arial" w:eastAsiaTheme="majorEastAsia" w:hAnsi="Arial" w:cs="Arial"/>
          <w:szCs w:val="26"/>
        </w:rPr>
        <w:fldChar w:fldCharType="end"/>
      </w:r>
      <w:r w:rsidR="00AA5CD3">
        <w:rPr>
          <w:rFonts w:ascii="Arial" w:eastAsiaTheme="majorEastAsia" w:hAnsi="Arial" w:cs="Arial"/>
          <w:szCs w:val="26"/>
        </w:rPr>
        <w:t>.</w:t>
      </w:r>
      <w:r w:rsidR="00A02FB0" w:rsidRPr="0092670C">
        <w:rPr>
          <w:rFonts w:ascii="Arial" w:eastAsiaTheme="majorEastAsia" w:hAnsi="Arial" w:cs="Arial"/>
          <w:szCs w:val="26"/>
        </w:rPr>
        <w:t xml:space="preserve"> </w:t>
      </w:r>
      <w:r w:rsidR="00200931" w:rsidRPr="0092670C">
        <w:rPr>
          <w:rFonts w:ascii="Arial" w:eastAsiaTheme="majorEastAsia" w:hAnsi="Arial" w:cs="Arial"/>
          <w:szCs w:val="26"/>
        </w:rPr>
        <w:t xml:space="preserve">It is currently </w:t>
      </w:r>
      <w:r w:rsidR="008D4F1A">
        <w:rPr>
          <w:rFonts w:ascii="Arial" w:eastAsiaTheme="majorEastAsia" w:hAnsi="Arial" w:cs="Arial"/>
          <w:szCs w:val="26"/>
        </w:rPr>
        <w:t>blended with</w:t>
      </w:r>
      <w:r w:rsidR="00200931" w:rsidRPr="0092670C">
        <w:rPr>
          <w:rFonts w:ascii="Arial" w:eastAsiaTheme="majorEastAsia" w:hAnsi="Arial" w:cs="Arial"/>
          <w:szCs w:val="26"/>
        </w:rPr>
        <w:t xml:space="preserve"> graphite anodes in </w:t>
      </w:r>
      <w:r w:rsidR="000B3833" w:rsidRPr="0092670C">
        <w:rPr>
          <w:rFonts w:ascii="Arial" w:eastAsiaTheme="majorEastAsia" w:hAnsi="Arial" w:cs="Arial"/>
          <w:szCs w:val="26"/>
        </w:rPr>
        <w:t xml:space="preserve">commercial cell in </w:t>
      </w:r>
      <w:r w:rsidR="00200931" w:rsidRPr="0092670C">
        <w:rPr>
          <w:rFonts w:ascii="Arial" w:eastAsiaTheme="majorEastAsia" w:hAnsi="Arial" w:cs="Arial"/>
          <w:szCs w:val="26"/>
        </w:rPr>
        <w:t>small quantities</w:t>
      </w:r>
      <w:r w:rsidR="009E6A14">
        <w:rPr>
          <w:rFonts w:ascii="Arial" w:eastAsiaTheme="majorEastAsia" w:hAnsi="Arial" w:cs="Arial"/>
          <w:szCs w:val="26"/>
        </w:rPr>
        <w:t xml:space="preserve"> often in the form of SiO</w:t>
      </w:r>
      <w:r w:rsidR="009E6A14" w:rsidRPr="009E6A14">
        <w:rPr>
          <w:rFonts w:ascii="Arial" w:eastAsiaTheme="majorEastAsia" w:hAnsi="Arial" w:cs="Arial"/>
          <w:szCs w:val="26"/>
          <w:vertAlign w:val="subscript"/>
        </w:rPr>
        <w:t>X</w:t>
      </w:r>
      <w:r w:rsidR="00200931" w:rsidRPr="0092670C">
        <w:rPr>
          <w:rFonts w:ascii="Arial" w:eastAsiaTheme="majorEastAsia" w:hAnsi="Arial" w:cs="Arial"/>
          <w:szCs w:val="26"/>
        </w:rPr>
        <w:t xml:space="preserve"> </w:t>
      </w:r>
      <w:r w:rsidR="00B177FD" w:rsidRPr="0092670C">
        <w:rPr>
          <w:rFonts w:ascii="Arial" w:eastAsiaTheme="majorEastAsia" w:hAnsi="Arial" w:cs="Arial"/>
          <w:szCs w:val="26"/>
        </w:rPr>
        <w:t>but is not the major electrode component</w:t>
      </w:r>
      <w:r w:rsidR="004B71DB" w:rsidRPr="0092670C">
        <w:rPr>
          <w:rFonts w:ascii="Arial" w:eastAsiaTheme="majorEastAsia" w:hAnsi="Arial" w:cs="Arial"/>
          <w:szCs w:val="26"/>
        </w:rPr>
        <w:t xml:space="preserve"> </w:t>
      </w:r>
      <w:r w:rsidR="00E36780"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&lt;EndNote&gt;&lt;Cite&gt;&lt;Author&gt;Wang&lt;/Author&gt;&lt;Year&gt;2015&lt;/Year&gt;&lt;RecNum&gt;198&lt;/RecNum&gt;&lt;DisplayText&gt;[10]&lt;/DisplayText&gt;&lt;record&gt;&lt;rec-number&gt;198&lt;/rec-number&gt;&lt;foreign-keys&gt;&lt;key app="EN" db-id="5sa9s0e0r0d9fnexra7pr5xdwd5ztevx95s2" timestamp="1552480974"&gt;198&lt;/key&gt;&lt;/foreign-keys&gt;&lt;ref-type name="Web Page"&gt;12&lt;/ref-type&gt;&lt;contributors&gt;&lt;authors&gt;&lt;author&gt;Ucilia Wang&lt;/author&gt;&lt;/authors&gt;&lt;/contributors&gt;&lt;titles&gt;&lt;title&gt;Why Tesla Rolls Out Better EV Batteries&lt;/title&gt;&lt;/titles&gt;&lt;volume&gt;2019&lt;/volume&gt;&lt;number&gt;13/03/19&lt;/number&gt;&lt;dates&gt;&lt;year&gt;2015&lt;/year&gt;&lt;/dates&gt;&lt;pub-location&gt;https://www.forbes.com/sites/uciliawang/2015/07/17/why-tesla-rolls-out-better-ev-batteries/#65d09e981dca&lt;/pub-location&gt;&lt;publisher&gt;Forbes&lt;/publisher&gt;&lt;urls&gt;&lt;related-urls&gt;&lt;url&gt;https://www.forbes.com/sites/uciliawang/2015/07/17/why-tesla-rolls-out-better-ev-batteries/#65d09e981dca&lt;/url&gt;&lt;/related-urls&gt;&lt;/urls&gt;&lt;language&gt;English&lt;/language&gt;&lt;/record&gt;&lt;/Cite&gt;&lt;/EndNote&gt;</w:instrText>
      </w:r>
      <w:r w:rsidR="00E36780" w:rsidRPr="0092670C">
        <w:rPr>
          <w:rFonts w:ascii="Arial" w:eastAsiaTheme="majorEastAsia" w:hAnsi="Arial" w:cs="Arial"/>
          <w:szCs w:val="26"/>
        </w:rPr>
        <w:fldChar w:fldCharType="separate"/>
      </w:r>
      <w:r w:rsidR="004F0EC3">
        <w:rPr>
          <w:rFonts w:ascii="Arial" w:eastAsiaTheme="majorEastAsia" w:hAnsi="Arial" w:cs="Arial"/>
          <w:noProof/>
          <w:szCs w:val="26"/>
        </w:rPr>
        <w:t>[10]</w:t>
      </w:r>
      <w:r w:rsidR="00E36780" w:rsidRPr="0092670C">
        <w:rPr>
          <w:rFonts w:ascii="Arial" w:eastAsiaTheme="majorEastAsia" w:hAnsi="Arial" w:cs="Arial"/>
          <w:szCs w:val="26"/>
        </w:rPr>
        <w:fldChar w:fldCharType="end"/>
      </w:r>
      <w:r w:rsidR="00B177FD" w:rsidRPr="0092670C">
        <w:rPr>
          <w:rFonts w:ascii="Arial" w:eastAsiaTheme="majorEastAsia" w:hAnsi="Arial" w:cs="Arial"/>
          <w:szCs w:val="26"/>
        </w:rPr>
        <w:t xml:space="preserve">. This is </w:t>
      </w:r>
      <w:r w:rsidR="0036756E" w:rsidRPr="0092670C">
        <w:rPr>
          <w:rFonts w:ascii="Arial" w:eastAsiaTheme="majorEastAsia" w:hAnsi="Arial" w:cs="Arial"/>
          <w:szCs w:val="26"/>
        </w:rPr>
        <w:t xml:space="preserve">because Si undergoes a large increase in volume when </w:t>
      </w:r>
      <w:r w:rsidR="006071CC" w:rsidRPr="0092670C">
        <w:rPr>
          <w:rFonts w:ascii="Arial" w:eastAsiaTheme="majorEastAsia" w:hAnsi="Arial" w:cs="Arial"/>
          <w:szCs w:val="26"/>
        </w:rPr>
        <w:t>it alloys with Li</w:t>
      </w:r>
      <w:r w:rsidR="006749E8" w:rsidRPr="0092670C">
        <w:rPr>
          <w:rFonts w:ascii="Arial" w:eastAsiaTheme="majorEastAsia" w:hAnsi="Arial" w:cs="Arial"/>
          <w:szCs w:val="26"/>
        </w:rPr>
        <w:t xml:space="preserve"> </w:t>
      </w:r>
      <w:r w:rsidR="00134FC0" w:rsidRPr="0092670C">
        <w:rPr>
          <w:rFonts w:ascii="Arial" w:eastAsiaTheme="majorEastAsia" w:hAnsi="Arial" w:cs="Arial"/>
          <w:szCs w:val="26"/>
        </w:rPr>
        <w:t>(</w:t>
      </w:r>
      <w:r w:rsidR="006749E8" w:rsidRPr="0092670C">
        <w:rPr>
          <w:rFonts w:ascii="Arial" w:eastAsiaTheme="majorEastAsia" w:hAnsi="Arial" w:cs="Arial"/>
          <w:szCs w:val="26"/>
        </w:rPr>
        <w:t>≈400%</w:t>
      </w:r>
      <w:r w:rsidR="00AA5CD3">
        <w:rPr>
          <w:rFonts w:ascii="Arial" w:eastAsiaTheme="majorEastAsia" w:hAnsi="Arial" w:cs="Arial"/>
          <w:szCs w:val="26"/>
        </w:rPr>
        <w:t xml:space="preserve"> or 280% at room temperature</w:t>
      </w:r>
      <w:r w:rsidR="006749E8" w:rsidRPr="0092670C">
        <w:rPr>
          <w:rFonts w:ascii="Arial" w:eastAsiaTheme="majorEastAsia" w:hAnsi="Arial" w:cs="Arial"/>
          <w:szCs w:val="26"/>
        </w:rPr>
        <w:t>)</w:t>
      </w:r>
      <w:r w:rsidR="004B71DB" w:rsidRPr="0092670C">
        <w:rPr>
          <w:rFonts w:ascii="Arial" w:eastAsiaTheme="majorEastAsia" w:hAnsi="Arial" w:cs="Arial"/>
          <w:szCs w:val="26"/>
        </w:rPr>
        <w:t xml:space="preserve"> </w:t>
      </w:r>
      <w:r w:rsidR="00736AEA" w:rsidRPr="0092670C">
        <w:rPr>
          <w:rFonts w:ascii="Arial" w:eastAsiaTheme="majorEastAsia" w:hAnsi="Arial" w:cs="Arial"/>
          <w:szCs w:val="26"/>
        </w:rPr>
        <w:fldChar w:fldCharType="begin">
          <w:fldData xml:space="preserve">PEVuZE5vdGU+PENpdGU+PEF1dGhvcj5LbzwvQXV0aG9yPjxZZWFyPjIwMTU8L1llYXI+PFJlY051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</w:fldData>
        </w:fldChar>
      </w:r>
      <w:r w:rsidR="004F0EC3">
        <w:rPr>
          <w:rFonts w:ascii="Arial" w:eastAsiaTheme="majorEastAsia" w:hAnsi="Arial" w:cs="Arial"/>
          <w:szCs w:val="26"/>
        </w:rPr>
        <w:instrText xml:space="preserve"> ADDIN EN.CITE </w:instrText>
      </w:r>
      <w:r w:rsidR="004F0EC3">
        <w:rPr>
          <w:rFonts w:ascii="Arial" w:eastAsiaTheme="majorEastAsia" w:hAnsi="Arial" w:cs="Arial"/>
          <w:szCs w:val="26"/>
        </w:rPr>
        <w:fldChar w:fldCharType="begin">
          <w:fldData xml:space="preserve">PEVuZE5vdGU+PENpdGU+PEF1dGhvcj5LbzwvQXV0aG9yPjxZZWFyPjIwMTU8L1llYXI+PFJlY051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</w:fldData>
        </w:fldChar>
      </w:r>
      <w:r w:rsidR="004F0EC3">
        <w:rPr>
          <w:rFonts w:ascii="Arial" w:eastAsiaTheme="majorEastAsia" w:hAnsi="Arial" w:cs="Arial"/>
          <w:szCs w:val="26"/>
        </w:rPr>
        <w:instrText xml:space="preserve"> ADDIN EN.CITE.DATA </w:instrText>
      </w:r>
      <w:r w:rsidR="004F0EC3">
        <w:rPr>
          <w:rFonts w:ascii="Arial" w:eastAsiaTheme="majorEastAsia" w:hAnsi="Arial" w:cs="Arial"/>
          <w:szCs w:val="26"/>
        </w:rPr>
      </w:r>
      <w:r w:rsidR="004F0EC3">
        <w:rPr>
          <w:rFonts w:ascii="Arial" w:eastAsiaTheme="majorEastAsia" w:hAnsi="Arial" w:cs="Arial"/>
          <w:szCs w:val="26"/>
        </w:rPr>
        <w:fldChar w:fldCharType="end"/>
      </w:r>
      <w:r w:rsidR="00736AEA" w:rsidRPr="0092670C">
        <w:rPr>
          <w:rFonts w:ascii="Arial" w:eastAsiaTheme="majorEastAsia" w:hAnsi="Arial" w:cs="Arial"/>
          <w:szCs w:val="26"/>
        </w:rPr>
      </w:r>
      <w:r w:rsidR="00736AEA" w:rsidRPr="0092670C">
        <w:rPr>
          <w:rFonts w:ascii="Arial" w:eastAsiaTheme="majorEastAsia" w:hAnsi="Arial" w:cs="Arial"/>
          <w:szCs w:val="26"/>
        </w:rPr>
        <w:fldChar w:fldCharType="separate"/>
      </w:r>
      <w:r w:rsidR="004F0EC3">
        <w:rPr>
          <w:rFonts w:ascii="Arial" w:eastAsiaTheme="majorEastAsia" w:hAnsi="Arial" w:cs="Arial"/>
          <w:noProof/>
          <w:szCs w:val="26"/>
        </w:rPr>
        <w:t>[9, 11]</w:t>
      </w:r>
      <w:r w:rsidR="00736AEA" w:rsidRPr="0092670C">
        <w:rPr>
          <w:rFonts w:ascii="Arial" w:eastAsiaTheme="majorEastAsia" w:hAnsi="Arial" w:cs="Arial"/>
          <w:szCs w:val="26"/>
        </w:rPr>
        <w:fldChar w:fldCharType="end"/>
      </w:r>
      <w:r w:rsidR="00993233" w:rsidRPr="0092670C">
        <w:rPr>
          <w:rFonts w:ascii="Arial" w:eastAsiaTheme="majorEastAsia" w:hAnsi="Arial" w:cs="Arial"/>
          <w:szCs w:val="26"/>
        </w:rPr>
        <w:t>. This increase can</w:t>
      </w:r>
      <w:r w:rsidR="0022654F" w:rsidRPr="0092670C">
        <w:rPr>
          <w:rFonts w:ascii="Arial" w:eastAsiaTheme="majorEastAsia" w:hAnsi="Arial" w:cs="Arial"/>
          <w:szCs w:val="26"/>
        </w:rPr>
        <w:t xml:space="preserve"> place </w:t>
      </w:r>
      <w:r w:rsidR="00C30FA1" w:rsidRPr="0092670C">
        <w:rPr>
          <w:rFonts w:ascii="Arial" w:eastAsiaTheme="majorEastAsia" w:hAnsi="Arial" w:cs="Arial"/>
          <w:szCs w:val="26"/>
        </w:rPr>
        <w:t xml:space="preserve">a large strain on the </w:t>
      </w:r>
      <w:r w:rsidR="008D77E8">
        <w:rPr>
          <w:rFonts w:ascii="Arial" w:eastAsiaTheme="majorEastAsia" w:hAnsi="Arial" w:cs="Arial"/>
          <w:szCs w:val="26"/>
        </w:rPr>
        <w:t>active particles</w:t>
      </w:r>
      <w:r w:rsidR="00C931E3" w:rsidRPr="0092670C">
        <w:rPr>
          <w:rFonts w:ascii="Arial" w:eastAsiaTheme="majorEastAsia" w:hAnsi="Arial" w:cs="Arial"/>
          <w:szCs w:val="26"/>
        </w:rPr>
        <w:t>,</w:t>
      </w:r>
      <w:r w:rsidR="00993233" w:rsidRPr="0092670C">
        <w:rPr>
          <w:rFonts w:ascii="Arial" w:eastAsiaTheme="majorEastAsia" w:hAnsi="Arial" w:cs="Arial"/>
          <w:szCs w:val="26"/>
        </w:rPr>
        <w:t xml:space="preserve"> pulveris</w:t>
      </w:r>
      <w:r w:rsidR="00C931E3" w:rsidRPr="0092670C">
        <w:rPr>
          <w:rFonts w:ascii="Arial" w:eastAsiaTheme="majorEastAsia" w:hAnsi="Arial" w:cs="Arial"/>
          <w:szCs w:val="26"/>
        </w:rPr>
        <w:t>in</w:t>
      </w:r>
      <w:r w:rsidR="009F03E8" w:rsidRPr="0092670C">
        <w:rPr>
          <w:rFonts w:ascii="Arial" w:eastAsiaTheme="majorEastAsia" w:hAnsi="Arial" w:cs="Arial"/>
          <w:szCs w:val="26"/>
        </w:rPr>
        <w:t>g it and</w:t>
      </w:r>
      <w:r w:rsidR="00993233" w:rsidRPr="0092670C">
        <w:rPr>
          <w:rFonts w:ascii="Arial" w:eastAsiaTheme="majorEastAsia" w:hAnsi="Arial" w:cs="Arial"/>
          <w:szCs w:val="26"/>
        </w:rPr>
        <w:t xml:space="preserve"> </w:t>
      </w:r>
      <w:r w:rsidR="00B443AA" w:rsidRPr="0092670C">
        <w:rPr>
          <w:rFonts w:ascii="Arial" w:eastAsiaTheme="majorEastAsia" w:hAnsi="Arial" w:cs="Arial"/>
          <w:szCs w:val="26"/>
        </w:rPr>
        <w:t xml:space="preserve">resulting </w:t>
      </w:r>
      <w:r w:rsidR="003D06D4" w:rsidRPr="0092670C">
        <w:rPr>
          <w:rFonts w:ascii="Arial" w:eastAsiaTheme="majorEastAsia" w:hAnsi="Arial" w:cs="Arial"/>
          <w:szCs w:val="26"/>
        </w:rPr>
        <w:t xml:space="preserve">in rapid capacity fade. </w:t>
      </w:r>
      <w:r w:rsidR="00941473" w:rsidRPr="0092670C">
        <w:rPr>
          <w:rFonts w:ascii="Arial" w:eastAsiaTheme="majorEastAsia" w:hAnsi="Arial" w:cs="Arial"/>
          <w:szCs w:val="26"/>
        </w:rPr>
        <w:t xml:space="preserve">To mitigate this expansion </w:t>
      </w:r>
      <w:r w:rsidR="001A167E" w:rsidRPr="0092670C">
        <w:rPr>
          <w:rFonts w:ascii="Arial" w:eastAsiaTheme="majorEastAsia" w:hAnsi="Arial" w:cs="Arial"/>
          <w:szCs w:val="26"/>
        </w:rPr>
        <w:t>low loadings</w:t>
      </w:r>
      <w:r w:rsidR="00E85C42" w:rsidRPr="0092670C">
        <w:rPr>
          <w:rFonts w:ascii="Arial" w:eastAsiaTheme="majorEastAsia" w:hAnsi="Arial" w:cs="Arial"/>
          <w:szCs w:val="26"/>
        </w:rPr>
        <w:t xml:space="preserve"> of silicon</w:t>
      </w:r>
      <w:r w:rsidR="00941473" w:rsidRPr="0092670C">
        <w:rPr>
          <w:rFonts w:ascii="Arial" w:eastAsiaTheme="majorEastAsia" w:hAnsi="Arial" w:cs="Arial"/>
          <w:szCs w:val="26"/>
        </w:rPr>
        <w:t xml:space="preserve"> </w:t>
      </w:r>
      <w:r w:rsidR="00E85C42" w:rsidRPr="0092670C">
        <w:rPr>
          <w:rFonts w:ascii="Arial" w:eastAsiaTheme="majorEastAsia" w:hAnsi="Arial" w:cs="Arial"/>
          <w:szCs w:val="26"/>
        </w:rPr>
        <w:t>are</w:t>
      </w:r>
      <w:r w:rsidR="00941473" w:rsidRPr="0092670C">
        <w:rPr>
          <w:rFonts w:ascii="Arial" w:eastAsiaTheme="majorEastAsia" w:hAnsi="Arial" w:cs="Arial"/>
          <w:szCs w:val="26"/>
        </w:rPr>
        <w:t xml:space="preserve"> used but new mitigation strategies are being developed constantly</w:t>
      </w:r>
      <w:r w:rsidR="00E224AA" w:rsidRPr="0092670C">
        <w:rPr>
          <w:rFonts w:ascii="Arial" w:eastAsiaTheme="majorEastAsia" w:hAnsi="Arial" w:cs="Arial"/>
          <w:szCs w:val="26"/>
        </w:rPr>
        <w:t xml:space="preserve"> to increase the wt.%</w:t>
      </w:r>
      <w:r w:rsidR="00A8346D" w:rsidRPr="0092670C">
        <w:rPr>
          <w:rFonts w:ascii="Arial" w:eastAsiaTheme="majorEastAsia" w:hAnsi="Arial" w:cs="Arial"/>
          <w:szCs w:val="26"/>
        </w:rPr>
        <w:t xml:space="preserve"> </w:t>
      </w:r>
      <w:r w:rsidR="006B218A"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&lt;EndNote&gt;&lt;Cite&gt;&lt;Author&gt;Kim&lt;/Author&gt;&lt;Year&gt;2014&lt;/Year&gt;&lt;RecNum&gt;735&lt;/RecNum&gt;&lt;DisplayText&gt;[12]&lt;/DisplayText&gt;&lt;record&gt;&lt;rec-number&gt;735&lt;/rec-number&gt;&lt;foreign-keys&gt;&lt;key app="EN" db-id="5sa9s0e0r0d9fnexra7pr5xdwd5ztevx95s2" timestamp="1593904155" guid="6bbfe041-b1b5-4845-8310-a240e16663f6"&gt;735&lt;/key&gt;&lt;/foreign-keys&gt;&lt;ref-type name="Journal Article"&gt;17&lt;/ref-type&gt;&lt;contributors&gt;&lt;authors&gt;&lt;author&gt;Kim, Hansu&lt;/author&gt;&lt;author&gt;Lee, Eung-Ju&lt;/author&gt;&lt;author&gt;Sun, Yang-Kook&lt;/author&gt;&lt;/authors&gt;&lt;/contributors&gt;&lt;titles&gt;&lt;title&gt;Recent advances in the Si-based nanocomposite materials as high capacity anode materials for lithium ion batteries&lt;/title&gt;&lt;secondary-title&gt;Materials Today&lt;/secondary-title&gt;&lt;/titles&gt;&lt;periodical&gt;&lt;full-title&gt;Materials Today&lt;/full-title&gt;&lt;/periodical&gt;&lt;pages&gt;285-297&lt;/pages&gt;&lt;volume&gt;17&lt;/volume&gt;&lt;number&gt;6&lt;/number&gt;&lt;dates&gt;&lt;year&gt;2014&lt;/year&gt;&lt;pub-dates&gt;&lt;date&gt;2014/07/01/&lt;/date&gt;&lt;/pub-dates&gt;&lt;/dates&gt;&lt;isbn&gt;1369-7021&lt;/isbn&gt;&lt;urls&gt;&lt;related-urls&gt;&lt;url&gt;http://www.sciencedirect.com/science/article/pii/S1369702114001850&lt;/url&gt;&lt;/related-urls&gt;&lt;/urls&gt;&lt;electronic-resource-num&gt;https://doi.org/10.1016/j.mattod.2014.05.003&lt;/electronic-resource-num&gt;&lt;/record&gt;&lt;/Cite&gt;&lt;/EndNote&gt;</w:instrText>
      </w:r>
      <w:r w:rsidR="006B218A" w:rsidRPr="0092670C">
        <w:rPr>
          <w:rFonts w:ascii="Arial" w:eastAsiaTheme="majorEastAsia" w:hAnsi="Arial" w:cs="Arial"/>
          <w:szCs w:val="26"/>
        </w:rPr>
        <w:fldChar w:fldCharType="separate"/>
      </w:r>
      <w:r w:rsidR="004F0EC3">
        <w:rPr>
          <w:rFonts w:ascii="Arial" w:eastAsiaTheme="majorEastAsia" w:hAnsi="Arial" w:cs="Arial"/>
          <w:noProof/>
          <w:szCs w:val="26"/>
        </w:rPr>
        <w:t>[12]</w:t>
      </w:r>
      <w:r w:rsidR="006B218A" w:rsidRPr="0092670C">
        <w:rPr>
          <w:rFonts w:ascii="Arial" w:eastAsiaTheme="majorEastAsia" w:hAnsi="Arial" w:cs="Arial"/>
          <w:szCs w:val="26"/>
        </w:rPr>
        <w:fldChar w:fldCharType="end"/>
      </w:r>
      <w:r w:rsidR="00941473" w:rsidRPr="0092670C">
        <w:rPr>
          <w:rFonts w:ascii="Arial" w:eastAsiaTheme="majorEastAsia" w:hAnsi="Arial" w:cs="Arial"/>
          <w:szCs w:val="26"/>
        </w:rPr>
        <w:t xml:space="preserve">. </w:t>
      </w:r>
      <w:r w:rsidR="00F83C5D" w:rsidRPr="0092670C">
        <w:rPr>
          <w:rFonts w:ascii="Arial" w:eastAsiaTheme="majorEastAsia" w:hAnsi="Arial" w:cs="Arial"/>
          <w:szCs w:val="26"/>
        </w:rPr>
        <w:t>Si ano</w:t>
      </w:r>
      <w:r w:rsidR="008C1952" w:rsidRPr="0092670C">
        <w:rPr>
          <w:rFonts w:ascii="Arial" w:eastAsiaTheme="majorEastAsia" w:hAnsi="Arial" w:cs="Arial"/>
          <w:szCs w:val="26"/>
        </w:rPr>
        <w:t>des are discussed further in</w:t>
      </w:r>
      <w:r w:rsidR="00DF7BFB" w:rsidRPr="0092670C">
        <w:rPr>
          <w:rFonts w:ascii="Arial" w:eastAsiaTheme="majorEastAsia" w:hAnsi="Arial" w:cs="Arial"/>
          <w:szCs w:val="26"/>
        </w:rPr>
        <w:t xml:space="preserve"> </w:t>
      </w:r>
      <w:r w:rsidR="00B30F90" w:rsidRPr="0092670C">
        <w:rPr>
          <w:rFonts w:ascii="Arial" w:eastAsiaTheme="majorEastAsia" w:hAnsi="Arial" w:cs="Arial"/>
          <w:szCs w:val="26"/>
        </w:rPr>
        <w:t>S</w:t>
      </w:r>
      <w:r w:rsidR="00DF7BFB" w:rsidRPr="0092670C">
        <w:rPr>
          <w:rFonts w:ascii="Arial" w:eastAsiaTheme="majorEastAsia" w:hAnsi="Arial" w:cs="Arial"/>
          <w:szCs w:val="26"/>
        </w:rPr>
        <w:t xml:space="preserve">ection </w:t>
      </w:r>
      <w:r w:rsidR="00DF7BFB" w:rsidRPr="0092670C">
        <w:rPr>
          <w:rFonts w:ascii="Arial" w:eastAsiaTheme="majorEastAsia" w:hAnsi="Arial" w:cs="Arial"/>
          <w:szCs w:val="26"/>
        </w:rPr>
        <w:fldChar w:fldCharType="begin"/>
      </w:r>
      <w:r w:rsidR="00DF7BFB" w:rsidRPr="0092670C">
        <w:rPr>
          <w:rFonts w:ascii="Arial" w:eastAsiaTheme="majorEastAsia" w:hAnsi="Arial" w:cs="Arial"/>
          <w:szCs w:val="26"/>
        </w:rPr>
        <w:instrText xml:space="preserve"> REF _Ref27047920 \r \h </w:instrText>
      </w:r>
      <w:r w:rsidR="00DF7BFB" w:rsidRPr="0092670C">
        <w:rPr>
          <w:rFonts w:ascii="Arial" w:eastAsiaTheme="majorEastAsia" w:hAnsi="Arial" w:cs="Arial"/>
          <w:szCs w:val="26"/>
        </w:rPr>
      </w:r>
      <w:r w:rsidR="00DF7BFB" w:rsidRPr="0092670C">
        <w:rPr>
          <w:rFonts w:ascii="Arial" w:eastAsiaTheme="majorEastAsia" w:hAnsi="Arial" w:cs="Arial"/>
          <w:szCs w:val="26"/>
        </w:rPr>
        <w:fldChar w:fldCharType="separate"/>
      </w:r>
      <w:r w:rsidR="007342C8">
        <w:rPr>
          <w:rFonts w:ascii="Arial" w:eastAsiaTheme="majorEastAsia" w:hAnsi="Arial" w:cs="Arial"/>
          <w:szCs w:val="26"/>
        </w:rPr>
        <w:t>4.1</w:t>
      </w:r>
      <w:r w:rsidR="00DF7BFB" w:rsidRPr="0092670C">
        <w:rPr>
          <w:rFonts w:ascii="Arial" w:eastAsiaTheme="majorEastAsia" w:hAnsi="Arial" w:cs="Arial"/>
          <w:szCs w:val="26"/>
        </w:rPr>
        <w:fldChar w:fldCharType="end"/>
      </w:r>
      <w:r w:rsidR="00DF7BFB" w:rsidRPr="0092670C">
        <w:rPr>
          <w:rFonts w:ascii="Arial" w:eastAsiaTheme="majorEastAsia" w:hAnsi="Arial" w:cs="Arial"/>
          <w:szCs w:val="26"/>
        </w:rPr>
        <w:t xml:space="preserve"> </w:t>
      </w:r>
      <w:r w:rsidR="00DF7BFB" w:rsidRPr="0092670C">
        <w:rPr>
          <w:rFonts w:ascii="Arial" w:eastAsiaTheme="majorEastAsia" w:hAnsi="Arial" w:cs="Arial"/>
          <w:szCs w:val="26"/>
        </w:rPr>
        <w:fldChar w:fldCharType="begin"/>
      </w:r>
      <w:r w:rsidR="00DF7BFB" w:rsidRPr="0092670C">
        <w:rPr>
          <w:rFonts w:ascii="Arial" w:eastAsiaTheme="majorEastAsia" w:hAnsi="Arial" w:cs="Arial"/>
          <w:szCs w:val="26"/>
        </w:rPr>
        <w:instrText xml:space="preserve"> REF _Ref27047928 \h </w:instrText>
      </w:r>
      <w:r w:rsidR="00DF7BFB" w:rsidRPr="0092670C">
        <w:rPr>
          <w:rFonts w:ascii="Arial" w:eastAsiaTheme="majorEastAsia" w:hAnsi="Arial" w:cs="Arial"/>
          <w:szCs w:val="26"/>
        </w:rPr>
      </w:r>
      <w:r w:rsidR="00DF7BFB" w:rsidRPr="0092670C">
        <w:rPr>
          <w:rFonts w:ascii="Arial" w:eastAsiaTheme="majorEastAsia" w:hAnsi="Arial" w:cs="Arial"/>
          <w:szCs w:val="26"/>
        </w:rPr>
        <w:fldChar w:fldCharType="separate"/>
      </w:r>
      <w:r w:rsidR="007342C8" w:rsidRPr="0092670C">
        <w:rPr>
          <w:rFonts w:ascii="Arial" w:hAnsi="Arial" w:cs="Arial"/>
        </w:rPr>
        <w:t>Si</w:t>
      </w:r>
      <w:r w:rsidR="007342C8" w:rsidRPr="0092670C">
        <w:rPr>
          <w:rFonts w:ascii="Arial" w:hAnsi="Arial" w:cs="Arial"/>
          <w:b/>
        </w:rPr>
        <w:t xml:space="preserve"> </w:t>
      </w:r>
      <w:r w:rsidR="007342C8" w:rsidRPr="0092670C">
        <w:rPr>
          <w:rFonts w:ascii="Arial" w:hAnsi="Arial" w:cs="Arial"/>
        </w:rPr>
        <w:t>Anodes</w:t>
      </w:r>
      <w:r w:rsidR="00DF7BFB" w:rsidRPr="0092670C">
        <w:rPr>
          <w:rFonts w:ascii="Arial" w:eastAsiaTheme="majorEastAsia" w:hAnsi="Arial" w:cs="Arial"/>
          <w:szCs w:val="26"/>
        </w:rPr>
        <w:fldChar w:fldCharType="end"/>
      </w:r>
      <w:r w:rsidR="00DF7BFB" w:rsidRPr="0092670C">
        <w:rPr>
          <w:rFonts w:ascii="Arial" w:eastAsiaTheme="majorEastAsia" w:hAnsi="Arial" w:cs="Arial"/>
          <w:szCs w:val="26"/>
        </w:rPr>
        <w:t>.</w:t>
      </w:r>
    </w:p>
    <w:p w14:paraId="7312B608" w14:textId="76CE0460" w:rsidR="00512351" w:rsidRPr="0092670C" w:rsidRDefault="009F4439" w:rsidP="00EC5323">
      <w:pPr>
        <w:pStyle w:val="Heading3"/>
        <w:rPr>
          <w:rFonts w:ascii="Arial" w:hAnsi="Arial" w:cs="Arial"/>
          <w:szCs w:val="26"/>
        </w:rPr>
      </w:pPr>
      <w:bookmarkStart w:id="11" w:name="_Toc82538713"/>
      <w:r w:rsidRPr="0092670C">
        <w:rPr>
          <w:rFonts w:ascii="Arial" w:hAnsi="Arial" w:cs="Arial"/>
          <w:szCs w:val="26"/>
        </w:rPr>
        <w:t xml:space="preserve">The </w:t>
      </w:r>
      <w:r w:rsidR="00A12FAE" w:rsidRPr="0092670C">
        <w:rPr>
          <w:rFonts w:ascii="Arial" w:hAnsi="Arial" w:cs="Arial"/>
          <w:szCs w:val="26"/>
        </w:rPr>
        <w:t>C</w:t>
      </w:r>
      <w:r w:rsidRPr="0092670C">
        <w:rPr>
          <w:rFonts w:ascii="Arial" w:hAnsi="Arial" w:cs="Arial"/>
          <w:szCs w:val="26"/>
        </w:rPr>
        <w:t>athode</w:t>
      </w:r>
      <w:bookmarkEnd w:id="11"/>
    </w:p>
    <w:p w14:paraId="41283528" w14:textId="3CECCB0F" w:rsidR="009F4439" w:rsidRPr="0092670C" w:rsidRDefault="00051A21" w:rsidP="00EC7057">
      <w:pPr>
        <w:spacing w:line="360" w:lineRule="auto"/>
        <w:jc w:val="both"/>
        <w:rPr>
          <w:rFonts w:ascii="Arial" w:eastAsiaTheme="majorEastAsia" w:hAnsi="Arial" w:cs="Arial"/>
          <w:szCs w:val="26"/>
        </w:rPr>
      </w:pPr>
      <w:r w:rsidRPr="0092670C">
        <w:rPr>
          <w:rFonts w:ascii="Arial" w:eastAsiaTheme="majorEastAsia" w:hAnsi="Arial" w:cs="Arial"/>
          <w:szCs w:val="26"/>
        </w:rPr>
        <w:t>The cathode is</w:t>
      </w:r>
      <w:r w:rsidR="001110F9" w:rsidRPr="0092670C">
        <w:rPr>
          <w:rFonts w:ascii="Arial" w:eastAsiaTheme="majorEastAsia" w:hAnsi="Arial" w:cs="Arial"/>
          <w:szCs w:val="26"/>
        </w:rPr>
        <w:t xml:space="preserve"> the positive electrode where </w:t>
      </w:r>
      <w:r w:rsidR="000A616B" w:rsidRPr="0092670C">
        <w:rPr>
          <w:rFonts w:ascii="Arial" w:eastAsiaTheme="majorEastAsia" w:hAnsi="Arial" w:cs="Arial"/>
          <w:szCs w:val="26"/>
        </w:rPr>
        <w:t>the electrons flow into when a cell is discharging</w:t>
      </w:r>
      <w:r w:rsidRPr="0092670C">
        <w:rPr>
          <w:rFonts w:ascii="Arial" w:eastAsiaTheme="majorEastAsia" w:hAnsi="Arial" w:cs="Arial"/>
          <w:szCs w:val="26"/>
        </w:rPr>
        <w:t xml:space="preserve">. </w:t>
      </w:r>
      <w:r w:rsidR="00F4596A" w:rsidRPr="0092670C">
        <w:rPr>
          <w:rFonts w:ascii="Arial" w:eastAsiaTheme="majorEastAsia" w:hAnsi="Arial" w:cs="Arial"/>
          <w:szCs w:val="26"/>
        </w:rPr>
        <w:t xml:space="preserve">Most cathode materials are layered </w:t>
      </w:r>
      <w:r w:rsidR="00C12326" w:rsidRPr="0092670C">
        <w:rPr>
          <w:rFonts w:ascii="Arial" w:eastAsiaTheme="majorEastAsia" w:hAnsi="Arial" w:cs="Arial"/>
          <w:szCs w:val="26"/>
        </w:rPr>
        <w:t xml:space="preserve">transition metal </w:t>
      </w:r>
      <w:r w:rsidR="00F4596A" w:rsidRPr="0092670C">
        <w:rPr>
          <w:rFonts w:ascii="Arial" w:eastAsiaTheme="majorEastAsia" w:hAnsi="Arial" w:cs="Arial"/>
          <w:szCs w:val="26"/>
        </w:rPr>
        <w:t>oxide materials</w:t>
      </w:r>
      <w:r w:rsidR="00E801DF" w:rsidRPr="0092670C">
        <w:rPr>
          <w:rFonts w:ascii="Arial" w:eastAsiaTheme="majorEastAsia" w:hAnsi="Arial" w:cs="Arial"/>
          <w:szCs w:val="26"/>
        </w:rPr>
        <w:t xml:space="preserve">. </w:t>
      </w:r>
      <w:r w:rsidR="008A25D7" w:rsidRPr="0092670C">
        <w:rPr>
          <w:rFonts w:ascii="Arial" w:eastAsiaTheme="majorEastAsia" w:hAnsi="Arial" w:cs="Arial"/>
          <w:szCs w:val="26"/>
        </w:rPr>
        <w:t xml:space="preserve">These </w:t>
      </w:r>
      <w:r w:rsidR="0078756D" w:rsidRPr="0092670C">
        <w:rPr>
          <w:rFonts w:ascii="Arial" w:eastAsiaTheme="majorEastAsia" w:hAnsi="Arial" w:cs="Arial"/>
          <w:szCs w:val="26"/>
        </w:rPr>
        <w:t>transition metal oxides can accommodate Li</w:t>
      </w:r>
      <w:r w:rsidR="00BB7088" w:rsidRPr="0092670C">
        <w:rPr>
          <w:rFonts w:ascii="Arial" w:eastAsiaTheme="majorEastAsia" w:hAnsi="Arial" w:cs="Arial"/>
          <w:szCs w:val="26"/>
          <w:vertAlign w:val="superscript"/>
        </w:rPr>
        <w:t>+</w:t>
      </w:r>
      <w:r w:rsidR="0078756D" w:rsidRPr="0092670C">
        <w:rPr>
          <w:rFonts w:ascii="Arial" w:eastAsiaTheme="majorEastAsia" w:hAnsi="Arial" w:cs="Arial"/>
          <w:szCs w:val="26"/>
        </w:rPr>
        <w:t xml:space="preserve"> </w:t>
      </w:r>
      <w:r w:rsidR="00DC3DD0" w:rsidRPr="0092670C">
        <w:rPr>
          <w:rFonts w:ascii="Arial" w:eastAsiaTheme="majorEastAsia" w:hAnsi="Arial" w:cs="Arial"/>
          <w:szCs w:val="26"/>
        </w:rPr>
        <w:t xml:space="preserve">in spaces in the crystal </w:t>
      </w:r>
      <w:r w:rsidR="004A20FC" w:rsidRPr="0092670C">
        <w:rPr>
          <w:rFonts w:ascii="Arial" w:eastAsiaTheme="majorEastAsia" w:hAnsi="Arial" w:cs="Arial"/>
          <w:szCs w:val="26"/>
        </w:rPr>
        <w:t xml:space="preserve">lattice with the </w:t>
      </w:r>
      <w:r w:rsidR="0036493F" w:rsidRPr="0092670C">
        <w:rPr>
          <w:rFonts w:ascii="Arial" w:eastAsiaTheme="majorEastAsia" w:hAnsi="Arial" w:cs="Arial"/>
          <w:szCs w:val="26"/>
        </w:rPr>
        <w:t xml:space="preserve">transition metal being reduced to </w:t>
      </w:r>
      <w:r w:rsidR="00CD6919" w:rsidRPr="0092670C">
        <w:rPr>
          <w:rFonts w:ascii="Arial" w:eastAsiaTheme="majorEastAsia" w:hAnsi="Arial" w:cs="Arial"/>
          <w:szCs w:val="26"/>
        </w:rPr>
        <w:t xml:space="preserve">balance the charge. </w:t>
      </w:r>
      <w:r w:rsidR="00C71DD2" w:rsidRPr="0092670C">
        <w:rPr>
          <w:rFonts w:ascii="Arial" w:eastAsiaTheme="majorEastAsia" w:hAnsi="Arial" w:cs="Arial"/>
          <w:szCs w:val="26"/>
        </w:rPr>
        <w:t>Th</w:t>
      </w:r>
      <w:r w:rsidR="00E861E8" w:rsidRPr="0092670C">
        <w:rPr>
          <w:rFonts w:ascii="Arial" w:eastAsiaTheme="majorEastAsia" w:hAnsi="Arial" w:cs="Arial"/>
          <w:szCs w:val="26"/>
        </w:rPr>
        <w:t>e</w:t>
      </w:r>
      <w:r w:rsidR="00C71DD2" w:rsidRPr="0092670C">
        <w:rPr>
          <w:rFonts w:ascii="Arial" w:eastAsiaTheme="majorEastAsia" w:hAnsi="Arial" w:cs="Arial"/>
          <w:szCs w:val="26"/>
        </w:rPr>
        <w:t xml:space="preserve"> first cathodes used were based on </w:t>
      </w:r>
      <w:r w:rsidR="00EF626D" w:rsidRPr="0092670C">
        <w:rPr>
          <w:rFonts w:ascii="Arial" w:eastAsiaTheme="majorEastAsia" w:hAnsi="Arial" w:cs="Arial"/>
          <w:szCs w:val="26"/>
        </w:rPr>
        <w:t>LiCoO</w:t>
      </w:r>
      <w:r w:rsidR="00EF626D" w:rsidRPr="0092670C">
        <w:rPr>
          <w:rFonts w:ascii="Arial" w:eastAsiaTheme="majorEastAsia" w:hAnsi="Arial" w:cs="Arial"/>
          <w:szCs w:val="26"/>
          <w:vertAlign w:val="subscript"/>
        </w:rPr>
        <w:t xml:space="preserve">2 </w:t>
      </w:r>
      <w:r w:rsidR="00EF626D" w:rsidRPr="0092670C">
        <w:rPr>
          <w:rFonts w:ascii="Arial" w:eastAsiaTheme="majorEastAsia" w:hAnsi="Arial" w:cs="Arial"/>
          <w:szCs w:val="26"/>
        </w:rPr>
        <w:t xml:space="preserve">which </w:t>
      </w:r>
      <w:r w:rsidR="008A56B9" w:rsidRPr="0092670C">
        <w:rPr>
          <w:rFonts w:ascii="Arial" w:eastAsiaTheme="majorEastAsia" w:hAnsi="Arial" w:cs="Arial"/>
          <w:szCs w:val="26"/>
        </w:rPr>
        <w:t xml:space="preserve">has a high </w:t>
      </w:r>
      <w:r w:rsidR="00205183" w:rsidRPr="0092670C">
        <w:rPr>
          <w:rFonts w:ascii="Arial" w:eastAsiaTheme="majorEastAsia" w:hAnsi="Arial" w:cs="Arial"/>
          <w:szCs w:val="26"/>
        </w:rPr>
        <w:t>capacity retention but a low capacity</w:t>
      </w:r>
      <w:r w:rsidR="005B5BF7" w:rsidRPr="0092670C">
        <w:rPr>
          <w:rFonts w:ascii="Arial" w:eastAsiaTheme="majorEastAsia" w:hAnsi="Arial" w:cs="Arial"/>
          <w:szCs w:val="26"/>
        </w:rPr>
        <w:t xml:space="preserve"> </w:t>
      </w:r>
      <w:r w:rsidR="0082550A"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&lt;EndNote&gt;&lt;Cite&gt;&lt;Author&gt;Ozawa&lt;/Author&gt;&lt;Year&gt;1994&lt;/Year&gt;&lt;RecNum&gt;120&lt;/RecNum&gt;&lt;DisplayText&gt;[13]&lt;/DisplayText&gt;&lt;record&gt;&lt;rec-number&gt;120&lt;/rec-number&gt;&lt;foreign-keys&gt;&lt;key app="EN" db-id="5sa9s0e0r0d9fnexra7pr5xdwd5ztevx95s2" timestamp="1517406012"&gt;120&lt;/key&gt;&lt;/foreign-keys&gt;&lt;ref-type name="Journal Article"&gt;17&lt;/ref-type&gt;&lt;contributors&gt;&lt;authors&gt;&lt;author&gt;Ozawa, Kazunori&lt;/author&gt;&lt;/authors&gt;&lt;/contributors&gt;&lt;titles&gt;&lt;title&gt;Lithium-ion rechargeable batteries with LiCoO2 and carbon electrodes: the LiCoO2/C system&lt;/title&gt;&lt;secondary-title&gt;Solid State Ionics&lt;/secondary-title&gt;&lt;/titles&gt;&lt;periodical&gt;&lt;full-title&gt;Solid State Ionics&lt;/full-title&gt;&lt;/periodical&gt;&lt;pages&gt;212-221&lt;/pages&gt;&lt;volume&gt;69&lt;/volume&gt;&lt;number&gt;3-4&lt;/number&gt;&lt;dates&gt;&lt;year&gt;1994&lt;/year&gt;&lt;/dates&gt;&lt;isbn&gt;0167-2738&lt;/isbn&gt;&lt;urls&gt;&lt;/urls&gt;&lt;/record&gt;&lt;/Cite&gt;&lt;/EndNote&gt;</w:instrText>
      </w:r>
      <w:r w:rsidR="0082550A" w:rsidRPr="0092670C">
        <w:rPr>
          <w:rFonts w:ascii="Arial" w:eastAsiaTheme="majorEastAsia" w:hAnsi="Arial" w:cs="Arial"/>
          <w:szCs w:val="26"/>
        </w:rPr>
        <w:fldChar w:fldCharType="separate"/>
      </w:r>
      <w:r w:rsidR="004F0EC3">
        <w:rPr>
          <w:rFonts w:ascii="Arial" w:eastAsiaTheme="majorEastAsia" w:hAnsi="Arial" w:cs="Arial"/>
          <w:noProof/>
          <w:szCs w:val="26"/>
        </w:rPr>
        <w:t>[13]</w:t>
      </w:r>
      <w:r w:rsidR="0082550A" w:rsidRPr="0092670C">
        <w:rPr>
          <w:rFonts w:ascii="Arial" w:eastAsiaTheme="majorEastAsia" w:hAnsi="Arial" w:cs="Arial"/>
          <w:szCs w:val="26"/>
        </w:rPr>
        <w:fldChar w:fldCharType="end"/>
      </w:r>
      <w:r w:rsidR="00205183" w:rsidRPr="0092670C">
        <w:rPr>
          <w:rFonts w:ascii="Arial" w:eastAsiaTheme="majorEastAsia" w:hAnsi="Arial" w:cs="Arial"/>
          <w:szCs w:val="26"/>
        </w:rPr>
        <w:t xml:space="preserve">. </w:t>
      </w:r>
      <w:r w:rsidR="00A7276A" w:rsidRPr="0092670C">
        <w:rPr>
          <w:rFonts w:ascii="Arial" w:eastAsiaTheme="majorEastAsia" w:hAnsi="Arial" w:cs="Arial"/>
          <w:szCs w:val="26"/>
        </w:rPr>
        <w:t xml:space="preserve">Since the initial development </w:t>
      </w:r>
      <w:r w:rsidR="00181FF3" w:rsidRPr="0092670C">
        <w:rPr>
          <w:rFonts w:ascii="Arial" w:eastAsiaTheme="majorEastAsia" w:hAnsi="Arial" w:cs="Arial"/>
          <w:szCs w:val="26"/>
        </w:rPr>
        <w:t xml:space="preserve">a range of new cathode materials have been developed. The </w:t>
      </w:r>
      <w:r w:rsidR="003C362D" w:rsidRPr="0092670C">
        <w:rPr>
          <w:rFonts w:ascii="Arial" w:eastAsiaTheme="majorEastAsia" w:hAnsi="Arial" w:cs="Arial"/>
          <w:szCs w:val="26"/>
        </w:rPr>
        <w:t xml:space="preserve">main cathode material family of interest </w:t>
      </w:r>
      <w:r w:rsidR="008945F5" w:rsidRPr="0092670C">
        <w:rPr>
          <w:rFonts w:ascii="Arial" w:eastAsiaTheme="majorEastAsia" w:hAnsi="Arial" w:cs="Arial"/>
          <w:szCs w:val="26"/>
        </w:rPr>
        <w:t xml:space="preserve">are </w:t>
      </w:r>
      <w:r w:rsidR="00921CAD" w:rsidRPr="0092670C">
        <w:rPr>
          <w:rFonts w:ascii="Arial" w:eastAsiaTheme="majorEastAsia" w:hAnsi="Arial" w:cs="Arial"/>
          <w:szCs w:val="26"/>
        </w:rPr>
        <w:t>known as NMCs with t</w:t>
      </w:r>
      <w:r w:rsidR="00465E46" w:rsidRPr="0092670C">
        <w:rPr>
          <w:rFonts w:ascii="Arial" w:eastAsiaTheme="majorEastAsia" w:hAnsi="Arial" w:cs="Arial"/>
          <w:szCs w:val="26"/>
        </w:rPr>
        <w:t>he N</w:t>
      </w:r>
      <w:r w:rsidR="00BE2DD8" w:rsidRPr="0092670C">
        <w:rPr>
          <w:rFonts w:ascii="Arial" w:eastAsiaTheme="majorEastAsia" w:hAnsi="Arial" w:cs="Arial"/>
          <w:szCs w:val="26"/>
        </w:rPr>
        <w:t xml:space="preserve"> </w:t>
      </w:r>
      <w:r w:rsidR="004B6979" w:rsidRPr="0092670C">
        <w:rPr>
          <w:rFonts w:ascii="Arial" w:eastAsiaTheme="majorEastAsia" w:hAnsi="Arial" w:cs="Arial"/>
          <w:szCs w:val="26"/>
        </w:rPr>
        <w:t>standin</w:t>
      </w:r>
      <w:r w:rsidR="002E1280" w:rsidRPr="0092670C">
        <w:rPr>
          <w:rFonts w:ascii="Arial" w:eastAsiaTheme="majorEastAsia" w:hAnsi="Arial" w:cs="Arial"/>
          <w:szCs w:val="26"/>
        </w:rPr>
        <w:t xml:space="preserve">g </w:t>
      </w:r>
      <w:r w:rsidR="00BE2DD8" w:rsidRPr="0092670C">
        <w:rPr>
          <w:rFonts w:ascii="Arial" w:eastAsiaTheme="majorEastAsia" w:hAnsi="Arial" w:cs="Arial"/>
          <w:szCs w:val="26"/>
        </w:rPr>
        <w:t>for nickel, M for manganese and C for cobalt</w:t>
      </w:r>
      <w:r w:rsidR="005B5BF7" w:rsidRPr="0092670C">
        <w:rPr>
          <w:rFonts w:ascii="Arial" w:eastAsiaTheme="majorEastAsia" w:hAnsi="Arial" w:cs="Arial"/>
          <w:szCs w:val="26"/>
        </w:rPr>
        <w:t xml:space="preserve"> </w:t>
      </w:r>
      <w:r w:rsidR="007D7B55"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&lt;EndNote&gt;&lt;Cite&gt;&lt;Author&gt;Xu&lt;/Author&gt;&lt;Year&gt;2017&lt;/Year&gt;&lt;RecNum&gt;726&lt;/RecNum&gt;&lt;DisplayText&gt;[14]&lt;/DisplayText&gt;&lt;record&gt;&lt;rec-number&gt;726&lt;/rec-number&gt;&lt;foreign-keys&gt;&lt;key app="EN" db-id="5sa9s0e0r0d9fnexra7pr5xdwd5ztevx95s2" timestamp="1593904147" guid="0e5e1175-5815-47fa-aa68-22baf8116e1b"&gt;726&lt;/key&gt;&lt;/foreign-keys&gt;&lt;ref-type name="Journal Article"&gt;17&lt;/ref-type&gt;&lt;contributors&gt;&lt;authors&gt;&lt;author&gt;Xu, Jing&lt;/author&gt;&lt;author&gt;Lin, Feng&lt;/author&gt;&lt;author&gt;Doeff, Marca M.&lt;/author&gt;&lt;author&gt;Tong, Wei&lt;/author&gt;&lt;/authors&gt;&lt;/contributors&gt;&lt;titles&gt;&lt;title&gt;A review of Ni-based layered oxides for rechargeable Li-ion batteries&lt;/title&gt;&lt;secondary-title&gt;Journal of Materials Chemistry A&lt;/secondary-title&gt;&lt;/titles&gt;&lt;periodical&gt;&lt;full-title&gt;Journal of Materials Chemistry A&lt;/full-title&gt;&lt;/periodical&gt;&lt;pages&gt;874-901&lt;/pages&gt;&lt;volume&gt;5&lt;/volume&gt;&lt;number&gt;3&lt;/number&gt;&lt;dates&gt;&lt;year&gt;2017&lt;/year&gt;&lt;/dates&gt;&lt;publisher&gt;The Royal Society of Chemistry&lt;/publisher&gt;&lt;isbn&gt;2050-7488&lt;/isbn&gt;&lt;work-type&gt;10.1039/C6TA07991A&lt;/work-type&gt;&lt;urls&gt;&lt;related-urls&gt;&lt;url&gt;http://dx.doi.org/10.1039/C6TA07991A&lt;/url&gt;&lt;/related-urls&gt;&lt;/urls&gt;&lt;electronic-resource-num&gt;10.1039/C6TA07991A&lt;/electronic-resource-num&gt;&lt;/record&gt;&lt;/Cite&gt;&lt;/EndNote&gt;</w:instrText>
      </w:r>
      <w:r w:rsidR="007D7B55" w:rsidRPr="0092670C">
        <w:rPr>
          <w:rFonts w:ascii="Arial" w:eastAsiaTheme="majorEastAsia" w:hAnsi="Arial" w:cs="Arial"/>
          <w:szCs w:val="26"/>
        </w:rPr>
        <w:fldChar w:fldCharType="separate"/>
      </w:r>
      <w:r w:rsidR="004F0EC3">
        <w:rPr>
          <w:rFonts w:ascii="Arial" w:eastAsiaTheme="majorEastAsia" w:hAnsi="Arial" w:cs="Arial"/>
          <w:noProof/>
          <w:szCs w:val="26"/>
        </w:rPr>
        <w:t>[14]</w:t>
      </w:r>
      <w:r w:rsidR="007D7B55" w:rsidRPr="0092670C">
        <w:rPr>
          <w:rFonts w:ascii="Arial" w:eastAsiaTheme="majorEastAsia" w:hAnsi="Arial" w:cs="Arial"/>
          <w:szCs w:val="26"/>
        </w:rPr>
        <w:fldChar w:fldCharType="end"/>
      </w:r>
      <w:r w:rsidR="00BE2DD8" w:rsidRPr="0092670C">
        <w:rPr>
          <w:rFonts w:ascii="Arial" w:eastAsiaTheme="majorEastAsia" w:hAnsi="Arial" w:cs="Arial"/>
          <w:szCs w:val="26"/>
        </w:rPr>
        <w:t xml:space="preserve">. </w:t>
      </w:r>
      <w:r w:rsidR="00452E08" w:rsidRPr="0092670C">
        <w:rPr>
          <w:rFonts w:ascii="Arial" w:eastAsiaTheme="majorEastAsia" w:hAnsi="Arial" w:cs="Arial"/>
          <w:szCs w:val="26"/>
        </w:rPr>
        <w:t>The ratio</w:t>
      </w:r>
      <w:r w:rsidR="00272BFB" w:rsidRPr="0092670C">
        <w:rPr>
          <w:rFonts w:ascii="Arial" w:eastAsiaTheme="majorEastAsia" w:hAnsi="Arial" w:cs="Arial"/>
          <w:szCs w:val="26"/>
        </w:rPr>
        <w:t xml:space="preserve">s of these elements can be altered depending upon the properties sought for in the cathode. Recently there </w:t>
      </w:r>
      <w:r w:rsidR="00A90D2D" w:rsidRPr="0092670C">
        <w:rPr>
          <w:rFonts w:ascii="Arial" w:eastAsiaTheme="majorEastAsia" w:hAnsi="Arial" w:cs="Arial"/>
          <w:szCs w:val="26"/>
        </w:rPr>
        <w:t xml:space="preserve">has been a trend to limit the use of cobalt </w:t>
      </w:r>
      <w:r w:rsidR="005275BA" w:rsidRPr="0092670C">
        <w:rPr>
          <w:rFonts w:ascii="Arial" w:eastAsiaTheme="majorEastAsia" w:hAnsi="Arial" w:cs="Arial"/>
          <w:szCs w:val="26"/>
        </w:rPr>
        <w:t xml:space="preserve">if not </w:t>
      </w:r>
      <w:r w:rsidR="00540522" w:rsidRPr="0092670C">
        <w:rPr>
          <w:rFonts w:ascii="Arial" w:eastAsiaTheme="majorEastAsia" w:hAnsi="Arial" w:cs="Arial"/>
          <w:szCs w:val="26"/>
        </w:rPr>
        <w:t>eliminate</w:t>
      </w:r>
      <w:r w:rsidR="005275BA" w:rsidRPr="0092670C">
        <w:rPr>
          <w:rFonts w:ascii="Arial" w:eastAsiaTheme="majorEastAsia" w:hAnsi="Arial" w:cs="Arial"/>
          <w:szCs w:val="26"/>
        </w:rPr>
        <w:t xml:space="preserve"> it entirely due to worries about mining practices in the democratic republic of </w:t>
      </w:r>
      <w:r w:rsidR="00540522" w:rsidRPr="0092670C">
        <w:rPr>
          <w:rFonts w:ascii="Arial" w:eastAsiaTheme="majorEastAsia" w:hAnsi="Arial" w:cs="Arial"/>
          <w:szCs w:val="26"/>
        </w:rPr>
        <w:t>Congo where most of it is currently mined</w:t>
      </w:r>
      <w:r w:rsidR="00F84525" w:rsidRPr="0092670C">
        <w:rPr>
          <w:rFonts w:ascii="Arial" w:eastAsiaTheme="majorEastAsia" w:hAnsi="Arial" w:cs="Arial"/>
          <w:szCs w:val="26"/>
        </w:rPr>
        <w:t xml:space="preserve"> </w:t>
      </w:r>
      <w:r w:rsidR="005B0FD0"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&lt;EndNote&gt;&lt;Cite&gt;&lt;Author&gt;Banza&lt;/Author&gt;&lt;Year&gt;2009&lt;/Year&gt;&lt;RecNum&gt;727&lt;/RecNum&gt;&lt;DisplayText&gt;[15]&lt;/DisplayText&gt;&lt;record&gt;&lt;rec-number&gt;727&lt;/rec-number&gt;&lt;foreign-keys&gt;&lt;key app="EN" db-id="5sa9s0e0r0d9fnexra7pr5xdwd5ztevx95s2" timestamp="1593904147" guid="9d6c8559-50bf-4014-b0f3-ee30c3bef013"&gt;727&lt;/key&gt;&lt;/foreign-keys&gt;&lt;ref-type name="Journal Article"&gt;17&lt;/ref-type&gt;&lt;contributors&gt;&lt;authors&gt;&lt;author&gt;Banza, Célestin Lubaba Nkulu&lt;/author&gt;&lt;author&gt;Nawrot, Tim S.&lt;/author&gt;&lt;author&gt;Haufroid, Vincent&lt;/author&gt;&lt;author&gt;Decrée, Sophie&lt;/author&gt;&lt;author&gt;De Putter, Thierry&lt;/author&gt;&lt;author&gt;Smolders, Erik&lt;/author&gt;&lt;author&gt;Kabyla, Benjamin Ilunga&lt;/author&gt;&lt;author&gt;Luboya, Oscar Numbi&lt;/author&gt;&lt;author&gt;Ilunga, Augustin Ndala&lt;/author&gt;&lt;author&gt;Mutombo, Alain Mwanza&lt;/author&gt;&lt;author&gt;Nemery, Benoit&lt;/author&gt;&lt;/authors&gt;&lt;/contributors&gt;&lt;titles&gt;&lt;title&gt;High human exposure to cobalt and other metals in Katanga, a mining area of the Democratic Republic of Congo&lt;/title&gt;&lt;secondary-title&gt;Environmental Research&lt;/secondary-title&gt;&lt;/titles&gt;&lt;periodical&gt;&lt;full-title&gt;Environmental Research&lt;/full-title&gt;&lt;/periodical&gt;&lt;pages&gt;745-752&lt;/pages&gt;&lt;volume&gt;109&lt;/volume&gt;&lt;number&gt;6&lt;/number&gt;&lt;keywords&gt;&lt;keyword&gt;Mining&lt;/keyword&gt;&lt;keyword&gt;Metals&lt;/keyword&gt;&lt;keyword&gt;Biomonitoring&lt;/keyword&gt;&lt;keyword&gt;Environmental pollution&lt;/keyword&gt;&lt;keyword&gt;Africa&lt;/keyword&gt;&lt;keyword&gt;Environmental justice&lt;/keyword&gt;&lt;keyword&gt;Children&lt;/keyword&gt;&lt;keyword&gt;Cobalt&lt;/keyword&gt;&lt;keyword&gt;Arsenic&lt;/keyword&gt;&lt;keyword&gt;Uranium&lt;/keyword&gt;&lt;/keywords&gt;&lt;dates&gt;&lt;year&gt;2009&lt;/year&gt;&lt;pub-dates&gt;&lt;date&gt;2009/08/01/&lt;/date&gt;&lt;/pub-dates&gt;&lt;/dates&gt;&lt;isbn&gt;0013-9351&lt;/isbn&gt;&lt;urls&gt;&lt;related-urls&gt;&lt;url&gt;http://www.sciencedirect.com/science/article/pii/S0013935109000814&lt;/url&gt;&lt;/related-urls&gt;&lt;/urls&gt;&lt;electronic-resource-num&gt;https://doi.org/10.1016/j.envres.2009.04.012&lt;/electronic-resource-num&gt;&lt;/record&gt;&lt;/Cite&gt;&lt;/EndNote&gt;</w:instrText>
      </w:r>
      <w:r w:rsidR="005B0FD0" w:rsidRPr="0092670C">
        <w:rPr>
          <w:rFonts w:ascii="Arial" w:eastAsiaTheme="majorEastAsia" w:hAnsi="Arial" w:cs="Arial"/>
          <w:szCs w:val="26"/>
        </w:rPr>
        <w:fldChar w:fldCharType="separate"/>
      </w:r>
      <w:r w:rsidR="004F0EC3">
        <w:rPr>
          <w:rFonts w:ascii="Arial" w:eastAsiaTheme="majorEastAsia" w:hAnsi="Arial" w:cs="Arial"/>
          <w:noProof/>
          <w:szCs w:val="26"/>
        </w:rPr>
        <w:t>[15]</w:t>
      </w:r>
      <w:r w:rsidR="005B0FD0" w:rsidRPr="0092670C">
        <w:rPr>
          <w:rFonts w:ascii="Arial" w:eastAsiaTheme="majorEastAsia" w:hAnsi="Arial" w:cs="Arial"/>
          <w:szCs w:val="26"/>
        </w:rPr>
        <w:fldChar w:fldCharType="end"/>
      </w:r>
      <w:r w:rsidR="006D1643" w:rsidRPr="0092670C">
        <w:rPr>
          <w:rFonts w:ascii="Arial" w:eastAsiaTheme="majorEastAsia" w:hAnsi="Arial" w:cs="Arial"/>
          <w:szCs w:val="26"/>
        </w:rPr>
        <w:t xml:space="preserve">. </w:t>
      </w:r>
      <w:r w:rsidR="00191A92" w:rsidRPr="0092670C">
        <w:rPr>
          <w:rFonts w:ascii="Arial" w:eastAsiaTheme="majorEastAsia" w:hAnsi="Arial" w:cs="Arial"/>
          <w:szCs w:val="26"/>
        </w:rPr>
        <w:t xml:space="preserve">This has proved difficult as the use of cobalt is known to support the structure of the </w:t>
      </w:r>
      <w:r w:rsidR="005705B3" w:rsidRPr="0092670C">
        <w:rPr>
          <w:rFonts w:ascii="Arial" w:eastAsiaTheme="majorEastAsia" w:hAnsi="Arial" w:cs="Arial"/>
          <w:szCs w:val="26"/>
        </w:rPr>
        <w:t>cathode and its removal can lead to lower capacity retention</w:t>
      </w:r>
      <w:r w:rsidR="00F84525" w:rsidRPr="0092670C">
        <w:rPr>
          <w:rFonts w:ascii="Arial" w:eastAsiaTheme="majorEastAsia" w:hAnsi="Arial" w:cs="Arial"/>
          <w:szCs w:val="26"/>
        </w:rPr>
        <w:t xml:space="preserve"> </w:t>
      </w:r>
      <w:r w:rsidR="0075199B"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&lt;EndNote&gt;&lt;Cite&gt;&lt;Author&gt;Li&lt;/Author&gt;&lt;Year&gt;2019&lt;/Year&gt;&lt;RecNum&gt;728&lt;/RecNum&gt;&lt;DisplayText&gt;[16]&lt;/DisplayText&gt;&lt;record&gt;&lt;rec-number&gt;728&lt;/rec-number&gt;&lt;foreign-keys&gt;&lt;key app="EN" db-id="5sa9s0e0r0d9fnexra7pr5xdwd5ztevx95s2" timestamp="1593904147" guid="8517a40a-740f-45e7-af32-4634d54677dd"&gt;728&lt;/key&gt;&lt;/foreign-keys&gt;&lt;ref-type name="Journal Article"&gt;17&lt;/ref-type&gt;&lt;contributors&gt;&lt;authors&gt;&lt;author&gt;Li, Xuemin&lt;/author&gt;&lt;author&gt;Colclasure, Andrew M.&lt;/author&gt;&lt;author&gt;Finegan, Donal P.&lt;/author&gt;&lt;author&gt;Ren, Dongsheng&lt;/author&gt;&lt;author&gt;Shi, Ying&lt;/author&gt;&lt;author&gt;Feng, Xuning&lt;/author&gt;&lt;author&gt;Cao, Lei&lt;/author&gt;&lt;author&gt;Yang, Yuan&lt;/author&gt;&lt;author&gt;Smith, Kandler&lt;/author&gt;&lt;/authors&gt;&lt;/contributors&gt;&lt;titles&gt;&lt;title&gt;Degradation mechanisms of high capacity 18650 cells containing Si-graphite anode and nickel-rich NMC cathode&lt;/title&gt;&lt;secondary-title&gt;Electrochimica Acta&lt;/secondary-title&gt;&lt;/titles&gt;&lt;periodical&gt;&lt;full-title&gt;Electrochimica Acta&lt;/full-title&gt;&lt;/periodical&gt;&lt;pages&gt;1109-1120&lt;/pages&gt;&lt;volume&gt;297&lt;/volume&gt;&lt;dates&gt;&lt;year&gt;2019&lt;/year&gt;&lt;/dates&gt;&lt;publisher&gt;Elsevier BV&lt;/publisher&gt;&lt;isbn&gt;0013-4686&lt;/isbn&gt;&lt;urls&gt;&lt;related-urls&gt;&lt;url&gt;https://dx.doi.org/10.1016/j.electacta.2018.11.194&lt;/url&gt;&lt;/related-urls&gt;&lt;/urls&gt;&lt;electronic-resource-num&gt;10.1016/j.electacta.2018.11.194&lt;/electronic-resource-num&gt;&lt;/record&gt;&lt;/Cite&gt;&lt;/EndNote&gt;</w:instrText>
      </w:r>
      <w:r w:rsidR="0075199B" w:rsidRPr="0092670C">
        <w:rPr>
          <w:rFonts w:ascii="Arial" w:eastAsiaTheme="majorEastAsia" w:hAnsi="Arial" w:cs="Arial"/>
          <w:szCs w:val="26"/>
        </w:rPr>
        <w:fldChar w:fldCharType="separate"/>
      </w:r>
      <w:r w:rsidR="004F0EC3">
        <w:rPr>
          <w:rFonts w:ascii="Arial" w:eastAsiaTheme="majorEastAsia" w:hAnsi="Arial" w:cs="Arial"/>
          <w:noProof/>
          <w:szCs w:val="26"/>
        </w:rPr>
        <w:t>[16]</w:t>
      </w:r>
      <w:r w:rsidR="0075199B" w:rsidRPr="0092670C">
        <w:rPr>
          <w:rFonts w:ascii="Arial" w:eastAsiaTheme="majorEastAsia" w:hAnsi="Arial" w:cs="Arial"/>
          <w:szCs w:val="26"/>
        </w:rPr>
        <w:fldChar w:fldCharType="end"/>
      </w:r>
      <w:r w:rsidR="005705B3" w:rsidRPr="0092670C">
        <w:rPr>
          <w:rFonts w:ascii="Arial" w:eastAsiaTheme="majorEastAsia" w:hAnsi="Arial" w:cs="Arial"/>
          <w:szCs w:val="26"/>
        </w:rPr>
        <w:t xml:space="preserve">. </w:t>
      </w:r>
      <w:r w:rsidR="00FA5673">
        <w:rPr>
          <w:rFonts w:ascii="Arial" w:eastAsiaTheme="majorEastAsia" w:hAnsi="Arial" w:cs="Arial"/>
          <w:szCs w:val="26"/>
        </w:rPr>
        <w:t>Cobalt is also more expensive</w:t>
      </w:r>
      <w:r w:rsidR="00625958">
        <w:rPr>
          <w:rFonts w:ascii="Arial" w:eastAsiaTheme="majorEastAsia" w:hAnsi="Arial" w:cs="Arial"/>
          <w:szCs w:val="26"/>
        </w:rPr>
        <w:t xml:space="preserve"> than nickel</w:t>
      </w:r>
      <w:r w:rsidR="00FA5673">
        <w:rPr>
          <w:rFonts w:ascii="Arial" w:eastAsiaTheme="majorEastAsia" w:hAnsi="Arial" w:cs="Arial"/>
          <w:szCs w:val="26"/>
        </w:rPr>
        <w:t xml:space="preserve"> so despite its </w:t>
      </w:r>
      <w:r w:rsidR="00625958">
        <w:rPr>
          <w:rFonts w:ascii="Arial" w:eastAsiaTheme="majorEastAsia" w:hAnsi="Arial" w:cs="Arial"/>
          <w:szCs w:val="26"/>
        </w:rPr>
        <w:t xml:space="preserve">attractive properties </w:t>
      </w:r>
      <w:r w:rsidR="00B42D06">
        <w:rPr>
          <w:rFonts w:ascii="Arial" w:eastAsiaTheme="majorEastAsia" w:hAnsi="Arial" w:cs="Arial"/>
          <w:szCs w:val="26"/>
        </w:rPr>
        <w:t xml:space="preserve">much active research is being undertaken to eliminate cobalt from cells </w:t>
      </w:r>
      <w:r w:rsidR="0024430E">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&lt;EndNote&gt;&lt;Cite&gt;&lt;Author&gt;Li&lt;/Author&gt;&lt;Year&gt;2020&lt;/Year&gt;&lt;RecNum&gt;372&lt;/RecNum&gt;&lt;DisplayText&gt;[17]&lt;/DisplayText&gt;&lt;record&gt;&lt;rec-number&gt;372&lt;/rec-number&gt;&lt;foreign-keys&gt;&lt;key app="EN" db-id="5sa9s0e0r0d9fnexra7pr5xdwd5ztevx95s2" timestamp="1631727828"&gt;372&lt;/key&gt;&lt;/foreign-keys&gt;&lt;ref-type name="Journal Article"&gt;17&lt;/ref-type&gt;&lt;contributors&gt;&lt;authors&gt;&lt;author&gt;Li, Wangda&lt;/author&gt;&lt;author&gt;Lee, Steven&lt;/author&gt;&lt;author&gt;Manthiram, Arumugam&lt;/author&gt;&lt;/authors&gt;&lt;/contributors&gt;&lt;titles&gt;&lt;title&gt;High-Nickel NMA: A Cobalt-Free Alternative to NMC and NCA Cathodes for Lithium-Ion Batteries&lt;/title&gt;&lt;secondary-title&gt;Advanced Materials&lt;/secondary-title&gt;&lt;/titles&gt;&lt;periodical&gt;&lt;full-title&gt;Advanced Materials&lt;/full-title&gt;&lt;abbr-1&gt;Adv. Mater.&lt;/abbr-1&gt;&lt;/periodical&gt;&lt;pages&gt;2002718&lt;/pages&gt;&lt;volume&gt;32&lt;/volume&gt;&lt;number&gt;33&lt;/number&gt;&lt;keywords&gt;&lt;keyword&gt;cobalt-free cathode materials&lt;/keyword&gt;&lt;keyword&gt;high-nickel layered oxides&lt;/keyword&gt;&lt;keyword&gt;high-nickel NMA&lt;/keyword&gt;&lt;keyword&gt;lithium-ion batteries&lt;/keyword&gt;&lt;keyword&gt;zero cobalt&lt;/keyword&gt;&lt;/keywords&gt;&lt;dates&gt;&lt;year&gt;2020&lt;/year&gt;&lt;pub-dates&gt;&lt;date&gt;2020/08/01&lt;/date&gt;&lt;/pub-dates&gt;&lt;/dates&gt;&lt;publisher&gt;John Wiley &amp;amp; Sons, Ltd&lt;/publisher&gt;&lt;isbn&gt;0935-9648&lt;/isbn&gt;&lt;work-type&gt;https://doi.org/10.1002/adma.202002718&lt;/work-type&gt;&lt;urls&gt;&lt;related-urls&gt;&lt;url&gt;https://doi.org/10.1002/adma.202002718&lt;/url&gt;&lt;/related-urls&gt;&lt;/urls&gt;&lt;electronic-resource-num&gt;https://doi.org/10.1002/adma.202002718&lt;/electronic-resource-num&gt;&lt;access-date&gt;2021/09/15&lt;/access-date&gt;&lt;/record&gt;&lt;/Cite&gt;&lt;/EndNote&gt;</w:instrText>
      </w:r>
      <w:r w:rsidR="0024430E">
        <w:rPr>
          <w:rFonts w:ascii="Arial" w:eastAsiaTheme="majorEastAsia" w:hAnsi="Arial" w:cs="Arial"/>
          <w:szCs w:val="26"/>
        </w:rPr>
        <w:fldChar w:fldCharType="separate"/>
      </w:r>
      <w:r w:rsidR="004F0EC3">
        <w:rPr>
          <w:rFonts w:ascii="Arial" w:eastAsiaTheme="majorEastAsia" w:hAnsi="Arial" w:cs="Arial"/>
          <w:noProof/>
          <w:szCs w:val="26"/>
        </w:rPr>
        <w:t>[17]</w:t>
      </w:r>
      <w:r w:rsidR="0024430E">
        <w:rPr>
          <w:rFonts w:ascii="Arial" w:eastAsiaTheme="majorEastAsia" w:hAnsi="Arial" w:cs="Arial"/>
          <w:szCs w:val="26"/>
        </w:rPr>
        <w:fldChar w:fldCharType="end"/>
      </w:r>
      <w:r w:rsidR="00D04AF8">
        <w:rPr>
          <w:rFonts w:ascii="Arial" w:eastAsiaTheme="majorEastAsia" w:hAnsi="Arial" w:cs="Arial"/>
          <w:szCs w:val="26"/>
        </w:rPr>
        <w:t>.</w:t>
      </w:r>
    </w:p>
    <w:p w14:paraId="64C89EB3" w14:textId="77777777" w:rsidR="00B47E67" w:rsidRPr="0092670C" w:rsidRDefault="005608C9" w:rsidP="00B47E67">
      <w:pPr>
        <w:keepNext/>
        <w:spacing w:line="360" w:lineRule="auto"/>
        <w:jc w:val="center"/>
        <w:rPr>
          <w:rFonts w:ascii="Arial" w:hAnsi="Arial" w:cs="Arial"/>
        </w:rPr>
      </w:pPr>
      <w:r w:rsidRPr="0092670C">
        <w:rPr>
          <w:rFonts w:ascii="Arial" w:hAnsi="Arial" w:cs="Arial"/>
          <w:noProof/>
        </w:rPr>
        <w:drawing>
          <wp:inline distT="0" distB="0" distL="0" distR="0" wp14:anchorId="060D9E08" wp14:editId="0E05BF47">
            <wp:extent cx="3905250" cy="243206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3279" cy="2443292"/>
                    </a:xfrm>
                    <a:prstGeom prst="rect">
                      <a:avLst/>
                    </a:prstGeom>
                  </pic:spPr>
                </pic:pic>
              </a:graphicData>
            </a:graphic>
          </wp:inline>
        </w:drawing>
      </w:r>
    </w:p>
    <w:p w14:paraId="77599213" w14:textId="1F35031D" w:rsidR="005608C9" w:rsidRPr="0092670C" w:rsidRDefault="00B47E67" w:rsidP="00B47E67">
      <w:pPr>
        <w:pStyle w:val="Caption"/>
        <w:jc w:val="center"/>
        <w:rPr>
          <w:rFonts w:ascii="Arial" w:eastAsiaTheme="majorEastAsia" w:hAnsi="Arial" w:cs="Arial"/>
          <w:sz w:val="20"/>
          <w:szCs w:val="28"/>
        </w:rPr>
      </w:pPr>
      <w:bookmarkStart w:id="12" w:name="_Ref30533790"/>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3</w:t>
      </w:r>
      <w:r w:rsidR="00356A26">
        <w:rPr>
          <w:rFonts w:ascii="Arial" w:hAnsi="Arial" w:cs="Arial"/>
          <w:sz w:val="20"/>
          <w:szCs w:val="20"/>
        </w:rPr>
        <w:fldChar w:fldCharType="end"/>
      </w:r>
      <w:bookmarkEnd w:id="12"/>
      <w:r w:rsidRPr="0092670C">
        <w:rPr>
          <w:rFonts w:ascii="Arial" w:hAnsi="Arial" w:cs="Arial"/>
          <w:sz w:val="20"/>
          <w:szCs w:val="20"/>
        </w:rPr>
        <w:t>: Overview of the mechanisms for capacity fade in cathodes</w:t>
      </w:r>
      <w:r w:rsidR="009376DD">
        <w:rPr>
          <w:rFonts w:ascii="Arial" w:hAnsi="Arial" w:cs="Arial"/>
          <w:sz w:val="20"/>
          <w:szCs w:val="20"/>
        </w:rPr>
        <w:t xml:space="preserve"> </w:t>
      </w:r>
      <w:r w:rsidR="000B1690" w:rsidRPr="0092670C">
        <w:rPr>
          <w:rFonts w:ascii="Arial" w:hAnsi="Arial" w:cs="Arial"/>
          <w:sz w:val="20"/>
          <w:szCs w:val="20"/>
        </w:rPr>
        <w:fldChar w:fldCharType="begin"/>
      </w:r>
      <w:r w:rsidR="004F0EC3">
        <w:rPr>
          <w:rFonts w:ascii="Arial" w:hAnsi="Arial" w:cs="Arial"/>
          <w:sz w:val="20"/>
          <w:szCs w:val="20"/>
        </w:rPr>
        <w:instrText xml:space="preserve"> ADDIN EN.CITE &lt;EndNote&gt;&lt;Cite&gt;&lt;Author&gt;Hausbrand&lt;/Author&gt;&lt;Year&gt;2015&lt;/Year&gt;&lt;RecNum&gt;671&lt;/RecNum&gt;&lt;DisplayText&gt;[7]&lt;/DisplayText&gt;&lt;record&gt;&lt;rec-number&gt;671&lt;/rec-number&gt;&lt;foreign-keys&gt;&lt;key app="EN" db-id="5sa9s0e0r0d9fnexra7pr5xdwd5ztevx95s2" timestamp="1593904130" guid="c1303684-fe1c-4f5c-a39e-a74627291548"&gt;671&lt;/key&gt;&lt;/foreign-keys&gt;&lt;ref-type name="Journal Article"&gt;17&lt;/ref-type&gt;&lt;contributors&gt;&lt;authors&gt;&lt;author&gt;Hausbrand, R&lt;/author&gt;&lt;author&gt;Cherkashinin, G&lt;/author&gt;&lt;author&gt;Ehrenberg, H&lt;/author&gt;&lt;author&gt;Gröting, M&lt;/author&gt;&lt;author&gt;Albe, K&lt;/author&gt;&lt;author&gt;Hess, C&lt;/author&gt;&lt;author&gt;Jaegermann, W&lt;/author&gt;&lt;/authors&gt;&lt;/contributors&gt;&lt;titles&gt;&lt;title&gt;Fundamental degradation mechanisms of layered oxide Li-ion battery cathode materials: Methodology, insights and novel approaches&lt;/title&gt;&lt;secondary-title&gt;Materials Science and Engineering: B&lt;/secondary-title&gt;&lt;/titles&gt;&lt;periodical&gt;&lt;full-title&gt;Materials Science and Engineering: B&lt;/full-title&gt;&lt;/periodical&gt;&lt;pages&gt;3-25&lt;/pages&gt;&lt;volume&gt;192&lt;/volume&gt;&lt;dates&gt;&lt;year&gt;2015&lt;/year&gt;&lt;/dates&gt;&lt;isbn&gt;0921-5107&lt;/isbn&gt;&lt;urls&gt;&lt;/urls&gt;&lt;/record&gt;&lt;/Cite&gt;&lt;/EndNote&gt;</w:instrText>
      </w:r>
      <w:r w:rsidR="000B1690" w:rsidRPr="0092670C">
        <w:rPr>
          <w:rFonts w:ascii="Arial" w:hAnsi="Arial" w:cs="Arial"/>
          <w:sz w:val="20"/>
          <w:szCs w:val="20"/>
        </w:rPr>
        <w:fldChar w:fldCharType="separate"/>
      </w:r>
      <w:r w:rsidR="004F0EC3">
        <w:rPr>
          <w:rFonts w:ascii="Arial" w:hAnsi="Arial" w:cs="Arial"/>
          <w:noProof/>
          <w:sz w:val="20"/>
          <w:szCs w:val="20"/>
        </w:rPr>
        <w:t>[7]</w:t>
      </w:r>
      <w:r w:rsidR="000B1690" w:rsidRPr="0092670C">
        <w:rPr>
          <w:rFonts w:ascii="Arial" w:hAnsi="Arial" w:cs="Arial"/>
          <w:sz w:val="20"/>
          <w:szCs w:val="20"/>
        </w:rPr>
        <w:fldChar w:fldCharType="end"/>
      </w:r>
      <w:r w:rsidR="009376DD">
        <w:rPr>
          <w:rFonts w:ascii="Arial" w:hAnsi="Arial" w:cs="Arial"/>
          <w:sz w:val="20"/>
          <w:szCs w:val="20"/>
        </w:rPr>
        <w:t>.</w:t>
      </w:r>
    </w:p>
    <w:p w14:paraId="0DFA47CD" w14:textId="4716E60B" w:rsidR="0036654F" w:rsidRPr="0092670C" w:rsidRDefault="0069493D" w:rsidP="00EC7057">
      <w:pPr>
        <w:spacing w:line="360" w:lineRule="auto"/>
        <w:jc w:val="both"/>
        <w:rPr>
          <w:rFonts w:ascii="Arial" w:eastAsiaTheme="majorEastAsia" w:hAnsi="Arial" w:cs="Arial"/>
          <w:szCs w:val="26"/>
        </w:rPr>
      </w:pPr>
      <w:r w:rsidRPr="0092670C">
        <w:rPr>
          <w:rFonts w:ascii="Arial" w:eastAsiaTheme="majorEastAsia" w:hAnsi="Arial" w:cs="Arial"/>
          <w:szCs w:val="26"/>
        </w:rPr>
        <w:t>Cathodes can undergo reactions that reduce the</w:t>
      </w:r>
      <w:r w:rsidR="00AE71BF" w:rsidRPr="0092670C">
        <w:rPr>
          <w:rFonts w:ascii="Arial" w:eastAsiaTheme="majorEastAsia" w:hAnsi="Arial" w:cs="Arial"/>
          <w:szCs w:val="26"/>
        </w:rPr>
        <w:t xml:space="preserve">ir </w:t>
      </w:r>
      <w:r w:rsidRPr="0092670C">
        <w:rPr>
          <w:rFonts w:ascii="Arial" w:eastAsiaTheme="majorEastAsia" w:hAnsi="Arial" w:cs="Arial"/>
          <w:szCs w:val="26"/>
        </w:rPr>
        <w:t>capacity</w:t>
      </w:r>
      <w:r w:rsidR="00AE71BF" w:rsidRPr="0092670C">
        <w:rPr>
          <w:rFonts w:ascii="Arial" w:eastAsiaTheme="majorEastAsia" w:hAnsi="Arial" w:cs="Arial"/>
          <w:szCs w:val="26"/>
        </w:rPr>
        <w:t xml:space="preserve">. </w:t>
      </w:r>
      <w:r w:rsidR="0068198A" w:rsidRPr="0092670C">
        <w:rPr>
          <w:rFonts w:ascii="Arial" w:eastAsiaTheme="majorEastAsia" w:hAnsi="Arial" w:cs="Arial"/>
          <w:szCs w:val="26"/>
        </w:rPr>
        <w:t xml:space="preserve">As there are a range of materials </w:t>
      </w:r>
      <w:r w:rsidR="00624192" w:rsidRPr="0092670C">
        <w:rPr>
          <w:rFonts w:ascii="Arial" w:eastAsiaTheme="majorEastAsia" w:hAnsi="Arial" w:cs="Arial"/>
          <w:szCs w:val="26"/>
        </w:rPr>
        <w:t>to choose from when making cathodes the</w:t>
      </w:r>
      <w:r w:rsidR="00594033" w:rsidRPr="0092670C">
        <w:rPr>
          <w:rFonts w:ascii="Arial" w:eastAsiaTheme="majorEastAsia" w:hAnsi="Arial" w:cs="Arial"/>
          <w:szCs w:val="26"/>
        </w:rPr>
        <w:t>re are at least as many degradation pathways.</w:t>
      </w:r>
      <w:r w:rsidR="007B65F9" w:rsidRPr="0092670C">
        <w:rPr>
          <w:rFonts w:ascii="Arial" w:eastAsiaTheme="majorEastAsia" w:hAnsi="Arial" w:cs="Arial"/>
          <w:szCs w:val="26"/>
        </w:rPr>
        <w:t xml:space="preserve"> </w:t>
      </w:r>
      <w:r w:rsidR="00DD300B" w:rsidRPr="0092670C">
        <w:rPr>
          <w:rFonts w:ascii="Arial" w:eastAsiaTheme="majorEastAsia" w:hAnsi="Arial" w:cs="Arial"/>
          <w:szCs w:val="26"/>
        </w:rPr>
        <w:t xml:space="preserve">Hausbrand </w:t>
      </w:r>
      <w:r w:rsidR="00DD300B" w:rsidRPr="0092670C">
        <w:rPr>
          <w:rFonts w:ascii="Arial" w:eastAsiaTheme="majorEastAsia" w:hAnsi="Arial" w:cs="Arial"/>
          <w:i/>
          <w:iCs/>
          <w:szCs w:val="26"/>
        </w:rPr>
        <w:t>et al.</w:t>
      </w:r>
      <w:r w:rsidR="00DD300B" w:rsidRPr="0092670C">
        <w:rPr>
          <w:rFonts w:ascii="Arial" w:eastAsiaTheme="majorEastAsia" w:hAnsi="Arial" w:cs="Arial"/>
          <w:szCs w:val="26"/>
        </w:rPr>
        <w:t xml:space="preserve"> in their review highlighted 3 major degradation pathwa</w:t>
      </w:r>
      <w:r w:rsidR="00B71FD9" w:rsidRPr="0092670C">
        <w:rPr>
          <w:rFonts w:ascii="Arial" w:eastAsiaTheme="majorEastAsia" w:hAnsi="Arial" w:cs="Arial"/>
          <w:szCs w:val="26"/>
        </w:rPr>
        <w:t xml:space="preserve">ys: </w:t>
      </w:r>
      <w:r w:rsidR="00A904B5" w:rsidRPr="0092670C">
        <w:rPr>
          <w:rFonts w:ascii="Arial" w:eastAsiaTheme="majorEastAsia" w:hAnsi="Arial" w:cs="Arial"/>
          <w:szCs w:val="26"/>
        </w:rPr>
        <w:t>Degradation as a result of</w:t>
      </w:r>
      <w:r w:rsidR="006D5EF2" w:rsidRPr="0092670C">
        <w:rPr>
          <w:rFonts w:ascii="Arial" w:eastAsiaTheme="majorEastAsia" w:hAnsi="Arial" w:cs="Arial"/>
          <w:szCs w:val="26"/>
        </w:rPr>
        <w:t xml:space="preserve"> overcharge, </w:t>
      </w:r>
      <w:r w:rsidR="009D3377" w:rsidRPr="0092670C">
        <w:rPr>
          <w:rFonts w:ascii="Arial" w:eastAsiaTheme="majorEastAsia" w:hAnsi="Arial" w:cs="Arial"/>
          <w:szCs w:val="26"/>
        </w:rPr>
        <w:t xml:space="preserve">formation </w:t>
      </w:r>
      <w:r w:rsidR="00CA57F7" w:rsidRPr="0092670C">
        <w:rPr>
          <w:rFonts w:ascii="Arial" w:eastAsiaTheme="majorEastAsia" w:hAnsi="Arial" w:cs="Arial"/>
          <w:szCs w:val="26"/>
        </w:rPr>
        <w:t>of a cathode electrolyte interphase (CEI)</w:t>
      </w:r>
      <w:r w:rsidR="00DA2096" w:rsidRPr="0092670C">
        <w:rPr>
          <w:rFonts w:ascii="Arial" w:eastAsiaTheme="majorEastAsia" w:hAnsi="Arial" w:cs="Arial"/>
          <w:szCs w:val="26"/>
        </w:rPr>
        <w:t xml:space="preserve">, which is analogous to SEI formation on the anode and </w:t>
      </w:r>
      <w:r w:rsidR="00DF3D56" w:rsidRPr="0092670C">
        <w:rPr>
          <w:rFonts w:ascii="Arial" w:eastAsiaTheme="majorEastAsia" w:hAnsi="Arial" w:cs="Arial"/>
          <w:szCs w:val="26"/>
        </w:rPr>
        <w:t>loss of fre</w:t>
      </w:r>
      <w:r w:rsidR="006121B4" w:rsidRPr="0092670C">
        <w:rPr>
          <w:rFonts w:ascii="Arial" w:eastAsiaTheme="majorEastAsia" w:hAnsi="Arial" w:cs="Arial"/>
          <w:szCs w:val="26"/>
        </w:rPr>
        <w:t>e</w:t>
      </w:r>
      <w:r w:rsidR="00DF3D56" w:rsidRPr="0092670C">
        <w:rPr>
          <w:rFonts w:ascii="Arial" w:eastAsiaTheme="majorEastAsia" w:hAnsi="Arial" w:cs="Arial"/>
          <w:szCs w:val="26"/>
        </w:rPr>
        <w:t xml:space="preserve"> lithium</w:t>
      </w:r>
      <w:r w:rsidR="001A406F" w:rsidRPr="0092670C">
        <w:rPr>
          <w:rFonts w:ascii="Arial" w:eastAsiaTheme="majorEastAsia" w:hAnsi="Arial" w:cs="Arial"/>
          <w:szCs w:val="26"/>
        </w:rPr>
        <w:t xml:space="preserve"> </w:t>
      </w:r>
      <w:r w:rsidR="0085064E"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&lt;EndNote&gt;&lt;Cite&gt;&lt;Author&gt;Hausbrand&lt;/Author&gt;&lt;Year&gt;2015&lt;/Year&gt;&lt;RecNum&gt;671&lt;/RecNum&gt;&lt;DisplayText&gt;[7]&lt;/DisplayText&gt;&lt;record&gt;&lt;rec-number&gt;671&lt;/rec-number&gt;&lt;foreign-keys&gt;&lt;key app="EN" db-id="5sa9s0e0r0d9fnexra7pr5xdwd5ztevx95s2" timestamp="1593904130" guid="c1303684-fe1c-4f5c-a39e-a74627291548"&gt;671&lt;/key&gt;&lt;/foreign-keys&gt;&lt;ref-type name="Journal Article"&gt;17&lt;/ref-type&gt;&lt;contributors&gt;&lt;authors&gt;&lt;author&gt;Hausbrand, R&lt;/author&gt;&lt;author&gt;Cherkashinin, G&lt;/author&gt;&lt;author&gt;Ehrenberg, H&lt;/author&gt;&lt;author&gt;Gröting, M&lt;/author&gt;&lt;author&gt;Albe, K&lt;/author&gt;&lt;author&gt;Hess, C&lt;/author&gt;&lt;author&gt;Jaegermann, W&lt;/author&gt;&lt;/authors&gt;&lt;/contributors&gt;&lt;titles&gt;&lt;title&gt;Fundamental degradation mechanisms of layered oxide Li-ion battery cathode materials: Methodology, insights and novel approaches&lt;/title&gt;&lt;secondary-title&gt;Materials Science and Engineering: B&lt;/secondary-title&gt;&lt;/titles&gt;&lt;periodical&gt;&lt;full-title&gt;Materials Science and Engineering: B&lt;/full-title&gt;&lt;/periodical&gt;&lt;pages&gt;3-25&lt;/pages&gt;&lt;volume&gt;192&lt;/volume&gt;&lt;dates&gt;&lt;year&gt;2015&lt;/year&gt;&lt;/dates&gt;&lt;isbn&gt;0921-5107&lt;/isbn&gt;&lt;urls&gt;&lt;/urls&gt;&lt;/record&gt;&lt;/Cite&gt;&lt;/EndNote&gt;</w:instrText>
      </w:r>
      <w:r w:rsidR="0085064E" w:rsidRPr="0092670C">
        <w:rPr>
          <w:rFonts w:ascii="Arial" w:eastAsiaTheme="majorEastAsia" w:hAnsi="Arial" w:cs="Arial"/>
          <w:szCs w:val="26"/>
        </w:rPr>
        <w:fldChar w:fldCharType="separate"/>
      </w:r>
      <w:r w:rsidR="004F0EC3">
        <w:rPr>
          <w:rFonts w:ascii="Arial" w:eastAsiaTheme="majorEastAsia" w:hAnsi="Arial" w:cs="Arial"/>
          <w:noProof/>
          <w:szCs w:val="26"/>
        </w:rPr>
        <w:t>[7]</w:t>
      </w:r>
      <w:r w:rsidR="0085064E" w:rsidRPr="0092670C">
        <w:rPr>
          <w:rFonts w:ascii="Arial" w:eastAsiaTheme="majorEastAsia" w:hAnsi="Arial" w:cs="Arial"/>
          <w:szCs w:val="26"/>
        </w:rPr>
        <w:fldChar w:fldCharType="end"/>
      </w:r>
      <w:r w:rsidR="006121B4" w:rsidRPr="0092670C">
        <w:rPr>
          <w:rFonts w:ascii="Arial" w:eastAsiaTheme="majorEastAsia" w:hAnsi="Arial" w:cs="Arial"/>
          <w:szCs w:val="26"/>
        </w:rPr>
        <w:t>.</w:t>
      </w:r>
      <w:r w:rsidR="00383DF8" w:rsidRPr="0092670C">
        <w:rPr>
          <w:rFonts w:ascii="Arial" w:eastAsiaTheme="majorEastAsia" w:hAnsi="Arial" w:cs="Arial"/>
          <w:szCs w:val="26"/>
        </w:rPr>
        <w:t xml:space="preserve"> All of the</w:t>
      </w:r>
      <w:r w:rsidR="00167B07" w:rsidRPr="0092670C">
        <w:rPr>
          <w:rFonts w:ascii="Arial" w:eastAsiaTheme="majorEastAsia" w:hAnsi="Arial" w:cs="Arial"/>
          <w:szCs w:val="26"/>
        </w:rPr>
        <w:t>se degradation mechanisms are linked</w:t>
      </w:r>
      <w:r w:rsidR="0084522E" w:rsidRPr="0092670C">
        <w:rPr>
          <w:rFonts w:ascii="Arial" w:eastAsiaTheme="majorEastAsia" w:hAnsi="Arial" w:cs="Arial"/>
          <w:szCs w:val="26"/>
        </w:rPr>
        <w:t>,</w:t>
      </w:r>
      <w:r w:rsidR="00167B07" w:rsidRPr="0092670C">
        <w:rPr>
          <w:rFonts w:ascii="Arial" w:eastAsiaTheme="majorEastAsia" w:hAnsi="Arial" w:cs="Arial"/>
          <w:szCs w:val="26"/>
        </w:rPr>
        <w:t xml:space="preserve"> with the formation of the CEI</w:t>
      </w:r>
      <w:r w:rsidR="0084522E" w:rsidRPr="0092670C">
        <w:rPr>
          <w:rFonts w:ascii="Arial" w:eastAsiaTheme="majorEastAsia" w:hAnsi="Arial" w:cs="Arial"/>
          <w:szCs w:val="26"/>
        </w:rPr>
        <w:t xml:space="preserve"> increasing the total resistance of the cell</w:t>
      </w:r>
      <w:r w:rsidR="001A406F" w:rsidRPr="0092670C">
        <w:rPr>
          <w:rFonts w:ascii="Arial" w:eastAsiaTheme="majorEastAsia" w:hAnsi="Arial" w:cs="Arial"/>
          <w:szCs w:val="26"/>
        </w:rPr>
        <w:t xml:space="preserve"> and </w:t>
      </w:r>
      <w:r w:rsidR="00207651" w:rsidRPr="0092670C">
        <w:rPr>
          <w:rFonts w:ascii="Arial" w:eastAsiaTheme="majorEastAsia" w:hAnsi="Arial" w:cs="Arial"/>
          <w:szCs w:val="26"/>
        </w:rPr>
        <w:t>an overview of these pathways as well as some more</w:t>
      </w:r>
      <w:r w:rsidR="008E2978" w:rsidRPr="0092670C">
        <w:rPr>
          <w:rFonts w:ascii="Arial" w:eastAsiaTheme="majorEastAsia" w:hAnsi="Arial" w:cs="Arial"/>
          <w:szCs w:val="26"/>
        </w:rPr>
        <w:t xml:space="preserve"> </w:t>
      </w:r>
      <w:r w:rsidR="00207651" w:rsidRPr="0092670C">
        <w:rPr>
          <w:rFonts w:ascii="Arial" w:eastAsiaTheme="majorEastAsia" w:hAnsi="Arial" w:cs="Arial"/>
          <w:szCs w:val="26"/>
        </w:rPr>
        <w:t>mino</w:t>
      </w:r>
      <w:r w:rsidR="008E2978" w:rsidRPr="0092670C">
        <w:rPr>
          <w:rFonts w:ascii="Arial" w:eastAsiaTheme="majorEastAsia" w:hAnsi="Arial" w:cs="Arial"/>
          <w:szCs w:val="26"/>
        </w:rPr>
        <w:t>r</w:t>
      </w:r>
      <w:r w:rsidR="00207651" w:rsidRPr="0092670C">
        <w:rPr>
          <w:rFonts w:ascii="Arial" w:eastAsiaTheme="majorEastAsia" w:hAnsi="Arial" w:cs="Arial"/>
          <w:szCs w:val="26"/>
        </w:rPr>
        <w:t xml:space="preserve"> </w:t>
      </w:r>
      <w:r w:rsidR="00B85706" w:rsidRPr="0092670C">
        <w:rPr>
          <w:rFonts w:ascii="Arial" w:eastAsiaTheme="majorEastAsia" w:hAnsi="Arial" w:cs="Arial"/>
          <w:szCs w:val="26"/>
        </w:rPr>
        <w:t xml:space="preserve">degradation </w:t>
      </w:r>
      <w:r w:rsidR="008E2978" w:rsidRPr="0092670C">
        <w:rPr>
          <w:rFonts w:ascii="Arial" w:eastAsiaTheme="majorEastAsia" w:hAnsi="Arial" w:cs="Arial"/>
          <w:szCs w:val="26"/>
        </w:rPr>
        <w:t>options</w:t>
      </w:r>
      <w:r w:rsidR="00B85706" w:rsidRPr="0092670C">
        <w:rPr>
          <w:rFonts w:ascii="Arial" w:eastAsiaTheme="majorEastAsia" w:hAnsi="Arial" w:cs="Arial"/>
          <w:szCs w:val="26"/>
        </w:rPr>
        <w:t xml:space="preserve"> can be seen in </w:t>
      </w:r>
      <w:r w:rsidR="008E2978" w:rsidRPr="0092670C">
        <w:rPr>
          <w:rFonts w:ascii="Arial" w:eastAsiaTheme="majorEastAsia" w:hAnsi="Arial" w:cs="Arial"/>
        </w:rPr>
        <w:fldChar w:fldCharType="begin"/>
      </w:r>
      <w:r w:rsidR="008E2978" w:rsidRPr="0092670C">
        <w:rPr>
          <w:rFonts w:ascii="Arial" w:eastAsiaTheme="majorEastAsia" w:hAnsi="Arial" w:cs="Arial"/>
        </w:rPr>
        <w:instrText xml:space="preserve"> REF _Ref30533790 \h </w:instrText>
      </w:r>
      <w:r w:rsidR="00F84525" w:rsidRPr="0092670C">
        <w:rPr>
          <w:rFonts w:ascii="Arial" w:eastAsiaTheme="majorEastAsia" w:hAnsi="Arial" w:cs="Arial"/>
        </w:rPr>
        <w:instrText xml:space="preserve"> \* MERGEFORMAT </w:instrText>
      </w:r>
      <w:r w:rsidR="008E2978" w:rsidRPr="0092670C">
        <w:rPr>
          <w:rFonts w:ascii="Arial" w:eastAsiaTheme="majorEastAsia" w:hAnsi="Arial" w:cs="Arial"/>
        </w:rPr>
      </w:r>
      <w:r w:rsidR="008E2978" w:rsidRPr="0092670C">
        <w:rPr>
          <w:rFonts w:ascii="Arial" w:eastAsiaTheme="majorEastAsia"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3</w:t>
      </w:r>
      <w:r w:rsidR="008E2978" w:rsidRPr="0092670C">
        <w:rPr>
          <w:rFonts w:ascii="Arial" w:eastAsiaTheme="majorEastAsia" w:hAnsi="Arial" w:cs="Arial"/>
        </w:rPr>
        <w:fldChar w:fldCharType="end"/>
      </w:r>
      <w:r w:rsidR="0084522E" w:rsidRPr="0092670C">
        <w:rPr>
          <w:rFonts w:ascii="Arial" w:eastAsiaTheme="majorEastAsia" w:hAnsi="Arial" w:cs="Arial"/>
          <w:szCs w:val="26"/>
        </w:rPr>
        <w:t xml:space="preserve">. This increase in resistance </w:t>
      </w:r>
      <w:r w:rsidR="00CF4138" w:rsidRPr="0092670C">
        <w:rPr>
          <w:rFonts w:ascii="Arial" w:eastAsiaTheme="majorEastAsia" w:hAnsi="Arial" w:cs="Arial"/>
          <w:szCs w:val="26"/>
        </w:rPr>
        <w:t xml:space="preserve">leads to overcharging </w:t>
      </w:r>
      <w:r w:rsidR="00131D03" w:rsidRPr="0092670C">
        <w:rPr>
          <w:rFonts w:ascii="Arial" w:eastAsiaTheme="majorEastAsia" w:hAnsi="Arial" w:cs="Arial"/>
          <w:szCs w:val="26"/>
        </w:rPr>
        <w:t>of the cathode</w:t>
      </w:r>
      <w:r w:rsidR="00CF4138" w:rsidRPr="0092670C">
        <w:rPr>
          <w:rFonts w:ascii="Arial" w:eastAsiaTheme="majorEastAsia" w:hAnsi="Arial" w:cs="Arial"/>
          <w:szCs w:val="26"/>
        </w:rPr>
        <w:t xml:space="preserve">. This overcharging </w:t>
      </w:r>
      <w:r w:rsidR="00131D03" w:rsidRPr="0092670C">
        <w:rPr>
          <w:rFonts w:ascii="Arial" w:eastAsiaTheme="majorEastAsia" w:hAnsi="Arial" w:cs="Arial"/>
          <w:szCs w:val="26"/>
        </w:rPr>
        <w:t xml:space="preserve">then </w:t>
      </w:r>
      <w:r w:rsidR="001F7A91" w:rsidRPr="0092670C">
        <w:rPr>
          <w:rFonts w:ascii="Arial" w:eastAsiaTheme="majorEastAsia" w:hAnsi="Arial" w:cs="Arial"/>
          <w:szCs w:val="26"/>
        </w:rPr>
        <w:t>cause</w:t>
      </w:r>
      <w:r w:rsidR="00A11EFB" w:rsidRPr="0092670C">
        <w:rPr>
          <w:rFonts w:ascii="Arial" w:eastAsiaTheme="majorEastAsia" w:hAnsi="Arial" w:cs="Arial"/>
          <w:szCs w:val="26"/>
        </w:rPr>
        <w:t>s crystal defects in the lattice</w:t>
      </w:r>
      <w:r w:rsidR="00A437E9" w:rsidRPr="0092670C">
        <w:rPr>
          <w:rFonts w:ascii="Arial" w:eastAsiaTheme="majorEastAsia" w:hAnsi="Arial" w:cs="Arial"/>
          <w:szCs w:val="26"/>
        </w:rPr>
        <w:t>, which prevents lithium uptake in the cathode causing capacity fade.</w:t>
      </w:r>
      <w:r w:rsidR="00167B07" w:rsidRPr="0092670C">
        <w:rPr>
          <w:rFonts w:ascii="Arial" w:eastAsiaTheme="majorEastAsia" w:hAnsi="Arial" w:cs="Arial"/>
          <w:szCs w:val="26"/>
        </w:rPr>
        <w:t xml:space="preserve"> </w:t>
      </w:r>
      <w:r w:rsidR="00DD18AF" w:rsidRPr="0092670C">
        <w:rPr>
          <w:rFonts w:ascii="Arial" w:eastAsiaTheme="majorEastAsia" w:hAnsi="Arial" w:cs="Arial"/>
          <w:szCs w:val="26"/>
        </w:rPr>
        <w:t>In most cases</w:t>
      </w:r>
      <w:r w:rsidR="00131D03" w:rsidRPr="0092670C">
        <w:rPr>
          <w:rFonts w:ascii="Arial" w:eastAsiaTheme="majorEastAsia" w:hAnsi="Arial" w:cs="Arial"/>
          <w:szCs w:val="26"/>
        </w:rPr>
        <w:t>, t</w:t>
      </w:r>
      <w:r w:rsidR="003F5E7D" w:rsidRPr="0092670C">
        <w:rPr>
          <w:rFonts w:ascii="Arial" w:eastAsiaTheme="majorEastAsia" w:hAnsi="Arial" w:cs="Arial"/>
          <w:szCs w:val="26"/>
        </w:rPr>
        <w:t xml:space="preserve">hese issues </w:t>
      </w:r>
      <w:r w:rsidR="000A75D0" w:rsidRPr="0092670C">
        <w:rPr>
          <w:rFonts w:ascii="Arial" w:eastAsiaTheme="majorEastAsia" w:hAnsi="Arial" w:cs="Arial"/>
          <w:szCs w:val="26"/>
        </w:rPr>
        <w:t xml:space="preserve">aren’t as severe as </w:t>
      </w:r>
      <w:r w:rsidR="001110BA" w:rsidRPr="0092670C">
        <w:rPr>
          <w:rFonts w:ascii="Arial" w:eastAsiaTheme="majorEastAsia" w:hAnsi="Arial" w:cs="Arial"/>
          <w:szCs w:val="26"/>
        </w:rPr>
        <w:t>anode degrad</w:t>
      </w:r>
      <w:r w:rsidR="009F4445" w:rsidRPr="0092670C">
        <w:rPr>
          <w:rFonts w:ascii="Arial" w:eastAsiaTheme="majorEastAsia" w:hAnsi="Arial" w:cs="Arial"/>
          <w:szCs w:val="26"/>
        </w:rPr>
        <w:t>ation mechanisms</w:t>
      </w:r>
      <w:r w:rsidR="000A75D0" w:rsidRPr="0092670C">
        <w:rPr>
          <w:rFonts w:ascii="Arial" w:eastAsiaTheme="majorEastAsia" w:hAnsi="Arial" w:cs="Arial"/>
          <w:szCs w:val="26"/>
        </w:rPr>
        <w:t xml:space="preserve"> and </w:t>
      </w:r>
      <w:r w:rsidR="00572D24" w:rsidRPr="0092670C">
        <w:rPr>
          <w:rFonts w:ascii="Arial" w:eastAsiaTheme="majorEastAsia" w:hAnsi="Arial" w:cs="Arial"/>
          <w:szCs w:val="26"/>
        </w:rPr>
        <w:t>occur</w:t>
      </w:r>
      <w:r w:rsidR="000A75D0" w:rsidRPr="0092670C">
        <w:rPr>
          <w:rFonts w:ascii="Arial" w:eastAsiaTheme="majorEastAsia" w:hAnsi="Arial" w:cs="Arial"/>
          <w:szCs w:val="26"/>
        </w:rPr>
        <w:t xml:space="preserve"> over much longer timescales in comparison. </w:t>
      </w:r>
    </w:p>
    <w:p w14:paraId="42C80427" w14:textId="5DC0D62C" w:rsidR="009F4439" w:rsidRPr="0092670C" w:rsidRDefault="002A6CE4" w:rsidP="00EC5323">
      <w:pPr>
        <w:pStyle w:val="Heading3"/>
        <w:rPr>
          <w:rFonts w:ascii="Arial" w:hAnsi="Arial" w:cs="Arial"/>
          <w:szCs w:val="26"/>
        </w:rPr>
      </w:pPr>
      <w:bookmarkStart w:id="13" w:name="_Toc82538714"/>
      <w:r w:rsidRPr="0092670C">
        <w:rPr>
          <w:rFonts w:ascii="Arial" w:hAnsi="Arial" w:cs="Arial"/>
          <w:szCs w:val="26"/>
        </w:rPr>
        <w:t xml:space="preserve">The </w:t>
      </w:r>
      <w:r w:rsidR="00A12FAE" w:rsidRPr="0092670C">
        <w:rPr>
          <w:rFonts w:ascii="Arial" w:hAnsi="Arial" w:cs="Arial"/>
          <w:szCs w:val="26"/>
        </w:rPr>
        <w:t>E</w:t>
      </w:r>
      <w:r w:rsidRPr="0092670C">
        <w:rPr>
          <w:rFonts w:ascii="Arial" w:hAnsi="Arial" w:cs="Arial"/>
          <w:szCs w:val="26"/>
        </w:rPr>
        <w:t>lectrolyte</w:t>
      </w:r>
      <w:bookmarkEnd w:id="13"/>
    </w:p>
    <w:p w14:paraId="416A8D52" w14:textId="410CC2DC" w:rsidR="0092094F" w:rsidRPr="0092670C" w:rsidRDefault="000B34BB"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The electrolyte </w:t>
      </w:r>
      <w:r w:rsidR="00F64411" w:rsidRPr="0092670C">
        <w:rPr>
          <w:rFonts w:ascii="Arial" w:eastAsiaTheme="majorEastAsia" w:hAnsi="Arial" w:cs="Arial"/>
          <w:szCs w:val="26"/>
        </w:rPr>
        <w:t>enables</w:t>
      </w:r>
      <w:r w:rsidR="00A778D6" w:rsidRPr="0092670C">
        <w:rPr>
          <w:rFonts w:ascii="Arial" w:eastAsiaTheme="majorEastAsia" w:hAnsi="Arial" w:cs="Arial"/>
          <w:szCs w:val="26"/>
        </w:rPr>
        <w:t xml:space="preserve"> the trans</w:t>
      </w:r>
      <w:r w:rsidR="00DD6F20" w:rsidRPr="0092670C">
        <w:rPr>
          <w:rFonts w:ascii="Arial" w:eastAsiaTheme="majorEastAsia" w:hAnsi="Arial" w:cs="Arial"/>
          <w:szCs w:val="26"/>
        </w:rPr>
        <w:t xml:space="preserve">port of ions between the anode and cathode. </w:t>
      </w:r>
      <w:r w:rsidR="003F0238" w:rsidRPr="0092670C">
        <w:rPr>
          <w:rFonts w:ascii="Arial" w:eastAsiaTheme="majorEastAsia" w:hAnsi="Arial" w:cs="Arial"/>
          <w:szCs w:val="26"/>
        </w:rPr>
        <w:t xml:space="preserve">In </w:t>
      </w:r>
      <w:r w:rsidR="00D61A06" w:rsidRPr="0092670C">
        <w:rPr>
          <w:rFonts w:ascii="Arial" w:eastAsiaTheme="majorEastAsia" w:hAnsi="Arial" w:cs="Arial"/>
          <w:szCs w:val="26"/>
        </w:rPr>
        <w:t>other common battery chemistries such as lead aci</w:t>
      </w:r>
      <w:r w:rsidR="00731F5D" w:rsidRPr="0092670C">
        <w:rPr>
          <w:rFonts w:ascii="Arial" w:eastAsiaTheme="majorEastAsia" w:hAnsi="Arial" w:cs="Arial"/>
          <w:szCs w:val="26"/>
        </w:rPr>
        <w:t xml:space="preserve">d </w:t>
      </w:r>
      <w:r w:rsidR="001A2EDC" w:rsidRPr="0092670C">
        <w:rPr>
          <w:rFonts w:ascii="Arial" w:eastAsiaTheme="majorEastAsia" w:hAnsi="Arial" w:cs="Arial"/>
          <w:szCs w:val="26"/>
        </w:rPr>
        <w:t>an aqueous salt solution is used due to its</w:t>
      </w:r>
      <w:r w:rsidR="001F3786" w:rsidRPr="0092670C">
        <w:rPr>
          <w:rFonts w:ascii="Arial" w:eastAsiaTheme="majorEastAsia" w:hAnsi="Arial" w:cs="Arial"/>
          <w:szCs w:val="26"/>
        </w:rPr>
        <w:t xml:space="preserve"> abundance, reasonable conductivity and </w:t>
      </w:r>
      <w:r w:rsidR="00FE1F50" w:rsidRPr="0092670C">
        <w:rPr>
          <w:rFonts w:ascii="Arial" w:eastAsiaTheme="majorEastAsia" w:hAnsi="Arial" w:cs="Arial"/>
          <w:szCs w:val="26"/>
        </w:rPr>
        <w:t>the simplicity of manufacturing with aque</w:t>
      </w:r>
      <w:r w:rsidR="003903D7" w:rsidRPr="0092670C">
        <w:rPr>
          <w:rFonts w:ascii="Arial" w:eastAsiaTheme="majorEastAsia" w:hAnsi="Arial" w:cs="Arial"/>
          <w:szCs w:val="26"/>
        </w:rPr>
        <w:t xml:space="preserve">ous solutions. </w:t>
      </w:r>
      <w:r w:rsidR="008B70F0" w:rsidRPr="0092670C">
        <w:rPr>
          <w:rFonts w:ascii="Arial" w:eastAsiaTheme="majorEastAsia" w:hAnsi="Arial" w:cs="Arial"/>
          <w:szCs w:val="26"/>
        </w:rPr>
        <w:t>Aqueous solution</w:t>
      </w:r>
      <w:r w:rsidR="00462C24" w:rsidRPr="0092670C">
        <w:rPr>
          <w:rFonts w:ascii="Arial" w:eastAsiaTheme="majorEastAsia" w:hAnsi="Arial" w:cs="Arial"/>
          <w:szCs w:val="26"/>
        </w:rPr>
        <w:t>s</w:t>
      </w:r>
      <w:r w:rsidR="008B70F0" w:rsidRPr="0092670C">
        <w:rPr>
          <w:rFonts w:ascii="Arial" w:eastAsiaTheme="majorEastAsia" w:hAnsi="Arial" w:cs="Arial"/>
          <w:szCs w:val="26"/>
        </w:rPr>
        <w:t xml:space="preserve"> are unsuitable for </w:t>
      </w:r>
      <w:r w:rsidR="00757060" w:rsidRPr="0092670C">
        <w:rPr>
          <w:rFonts w:ascii="Arial" w:eastAsiaTheme="majorEastAsia" w:hAnsi="Arial" w:cs="Arial"/>
          <w:szCs w:val="26"/>
        </w:rPr>
        <w:t xml:space="preserve">Li-ion batteries as </w:t>
      </w:r>
      <w:r w:rsidR="009C2FC0" w:rsidRPr="0092670C">
        <w:rPr>
          <w:rFonts w:ascii="Arial" w:eastAsiaTheme="majorEastAsia" w:hAnsi="Arial" w:cs="Arial"/>
          <w:szCs w:val="26"/>
        </w:rPr>
        <w:t>their</w:t>
      </w:r>
      <w:r w:rsidR="00757060" w:rsidRPr="0092670C">
        <w:rPr>
          <w:rFonts w:ascii="Arial" w:eastAsiaTheme="majorEastAsia" w:hAnsi="Arial" w:cs="Arial"/>
          <w:szCs w:val="26"/>
        </w:rPr>
        <w:t xml:space="preserve"> operating voltage is outside of the voltage window</w:t>
      </w:r>
      <w:r w:rsidR="0019353E" w:rsidRPr="0092670C">
        <w:rPr>
          <w:rFonts w:ascii="Arial" w:eastAsiaTheme="majorEastAsia" w:hAnsi="Arial" w:cs="Arial"/>
          <w:szCs w:val="26"/>
        </w:rPr>
        <w:t xml:space="preserve"> of water</w:t>
      </w:r>
      <w:r w:rsidR="00291303" w:rsidRPr="0092670C">
        <w:rPr>
          <w:rFonts w:ascii="Arial" w:eastAsiaTheme="majorEastAsia" w:hAnsi="Arial" w:cs="Arial"/>
          <w:szCs w:val="26"/>
        </w:rPr>
        <w:t xml:space="preserve"> </w:t>
      </w:r>
      <w:r w:rsidR="00D17DDA"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&lt;EndNote&gt;&lt;Cite&gt;&lt;Author&gt;Ruffo&lt;/Author&gt;&lt;Year&gt;2009&lt;/Year&gt;&lt;RecNum&gt;729&lt;/RecNum&gt;&lt;DisplayText&gt;[18]&lt;/DisplayText&gt;&lt;record&gt;&lt;rec-number&gt;729&lt;/rec-number&gt;&lt;foreign-keys&gt;&lt;key app="EN" db-id="5sa9s0e0r0d9fnexra7pr5xdwd5ztevx95s2" timestamp="1593904149" guid="55f7c26a-ffab-471f-99de-60df5d163b44"&gt;729&lt;/key&gt;&lt;/foreign-keys&gt;&lt;ref-type name="Journal Article"&gt;17&lt;/ref-type&gt;&lt;contributors&gt;&lt;authors&gt;&lt;author&gt;Ruffo, Riccardo&lt;/author&gt;&lt;author&gt;Wessells, Colin&lt;/author&gt;&lt;author&gt;Huggins, Robert A.&lt;/author&gt;&lt;author&gt;Cui, Yi&lt;/author&gt;&lt;/authors&gt;&lt;/contributors&gt;&lt;titles&gt;&lt;title&gt;Electrochemical behavior of LiCoO2 as aqueous lithium-ion battery electrodes&lt;/title&gt;&lt;secondary-title&gt;Electrochemistry Communications&lt;/secondary-title&gt;&lt;/titles&gt;&lt;periodical&gt;&lt;full-title&gt;Electrochemistry Communications&lt;/full-title&gt;&lt;/periodical&gt;&lt;pages&gt;247-249&lt;/pages&gt;&lt;volume&gt;11&lt;/volume&gt;&lt;number&gt;2&lt;/number&gt;&lt;dates&gt;&lt;year&gt;2009&lt;/year&gt;&lt;/dates&gt;&lt;publisher&gt;Elsevier BV&lt;/publisher&gt;&lt;isbn&gt;1388-2481&lt;/isbn&gt;&lt;urls&gt;&lt;related-urls&gt;&lt;url&gt;https://dx.doi.org/10.1016/j.elecom.2008.11.015&lt;/url&gt;&lt;/related-urls&gt;&lt;/urls&gt;&lt;electronic-resource-num&gt;10.1016/j.elecom.2008.11.015&lt;/electronic-resource-num&gt;&lt;/record&gt;&lt;/Cite&gt;&lt;/EndNote&gt;</w:instrText>
      </w:r>
      <w:r w:rsidR="00D17DDA" w:rsidRPr="0092670C">
        <w:rPr>
          <w:rFonts w:ascii="Arial" w:eastAsiaTheme="majorEastAsia" w:hAnsi="Arial" w:cs="Arial"/>
          <w:szCs w:val="26"/>
        </w:rPr>
        <w:fldChar w:fldCharType="separate"/>
      </w:r>
      <w:r w:rsidR="004F0EC3">
        <w:rPr>
          <w:rFonts w:ascii="Arial" w:eastAsiaTheme="majorEastAsia" w:hAnsi="Arial" w:cs="Arial"/>
          <w:noProof/>
          <w:szCs w:val="26"/>
        </w:rPr>
        <w:t>[18]</w:t>
      </w:r>
      <w:r w:rsidR="00D17DDA" w:rsidRPr="0092670C">
        <w:rPr>
          <w:rFonts w:ascii="Arial" w:eastAsiaTheme="majorEastAsia" w:hAnsi="Arial" w:cs="Arial"/>
          <w:szCs w:val="26"/>
        </w:rPr>
        <w:fldChar w:fldCharType="end"/>
      </w:r>
      <w:r w:rsidR="00757060" w:rsidRPr="0092670C">
        <w:rPr>
          <w:rFonts w:ascii="Arial" w:eastAsiaTheme="majorEastAsia" w:hAnsi="Arial" w:cs="Arial"/>
          <w:szCs w:val="26"/>
        </w:rPr>
        <w:t>. Th</w:t>
      </w:r>
      <w:r w:rsidR="00413519" w:rsidRPr="0092670C">
        <w:rPr>
          <w:rFonts w:ascii="Arial" w:eastAsiaTheme="majorEastAsia" w:hAnsi="Arial" w:cs="Arial"/>
          <w:szCs w:val="26"/>
        </w:rPr>
        <w:t xml:space="preserve">e voltage window is the voltage range within which the </w:t>
      </w:r>
      <w:r w:rsidR="00D97145" w:rsidRPr="0092670C">
        <w:rPr>
          <w:rFonts w:ascii="Arial" w:eastAsiaTheme="majorEastAsia" w:hAnsi="Arial" w:cs="Arial"/>
          <w:szCs w:val="26"/>
        </w:rPr>
        <w:t xml:space="preserve">electrolyte is </w:t>
      </w:r>
      <w:r w:rsidR="00DB295D" w:rsidRPr="0092670C">
        <w:rPr>
          <w:rFonts w:ascii="Arial" w:eastAsiaTheme="majorEastAsia" w:hAnsi="Arial" w:cs="Arial"/>
          <w:szCs w:val="26"/>
        </w:rPr>
        <w:t>stable and will not break down</w:t>
      </w:r>
      <w:r w:rsidR="004645A8" w:rsidRPr="0092670C">
        <w:rPr>
          <w:rFonts w:ascii="Arial" w:eastAsiaTheme="majorEastAsia" w:hAnsi="Arial" w:cs="Arial"/>
          <w:szCs w:val="26"/>
        </w:rPr>
        <w:t>.</w:t>
      </w:r>
      <w:r w:rsidR="0096598D">
        <w:rPr>
          <w:rFonts w:ascii="Arial" w:eastAsiaTheme="majorEastAsia" w:hAnsi="Arial" w:cs="Arial"/>
          <w:szCs w:val="26"/>
        </w:rPr>
        <w:t xml:space="preserve"> Water has a stable volt</w:t>
      </w:r>
      <w:r w:rsidR="00444DAC">
        <w:rPr>
          <w:rFonts w:ascii="Arial" w:eastAsiaTheme="majorEastAsia" w:hAnsi="Arial" w:cs="Arial"/>
          <w:szCs w:val="26"/>
        </w:rPr>
        <w:t>age window</w:t>
      </w:r>
      <w:r w:rsidR="00246D82">
        <w:rPr>
          <w:rFonts w:ascii="Arial" w:eastAsiaTheme="majorEastAsia" w:hAnsi="Arial" w:cs="Arial"/>
          <w:szCs w:val="26"/>
        </w:rPr>
        <w:t xml:space="preserve"> of 1.23</w:t>
      </w:r>
      <w:r w:rsidR="005E2A7C">
        <w:rPr>
          <w:rFonts w:ascii="Arial" w:eastAsiaTheme="majorEastAsia" w:hAnsi="Arial" w:cs="Arial"/>
          <w:szCs w:val="26"/>
        </w:rPr>
        <w:t xml:space="preserve">V </w:t>
      </w:r>
      <w:r w:rsidR="00DF5219">
        <w:rPr>
          <w:rFonts w:ascii="Arial" w:eastAsiaTheme="majorEastAsia" w:hAnsi="Arial" w:cs="Arial"/>
          <w:szCs w:val="26"/>
        </w:rPr>
        <w:t>between 2.6</w:t>
      </w:r>
      <w:r w:rsidR="00B53B42">
        <w:rPr>
          <w:rFonts w:ascii="Arial" w:eastAsiaTheme="majorEastAsia" w:hAnsi="Arial" w:cs="Arial"/>
          <w:szCs w:val="26"/>
        </w:rPr>
        <w:t>3</w:t>
      </w:r>
      <w:r w:rsidR="00DF5219">
        <w:rPr>
          <w:rFonts w:ascii="Arial" w:eastAsiaTheme="majorEastAsia" w:hAnsi="Arial" w:cs="Arial"/>
          <w:szCs w:val="26"/>
        </w:rPr>
        <w:t xml:space="preserve">V and </w:t>
      </w:r>
      <w:r w:rsidR="003A0451">
        <w:rPr>
          <w:rFonts w:ascii="Arial" w:eastAsiaTheme="majorEastAsia" w:hAnsi="Arial" w:cs="Arial"/>
          <w:szCs w:val="26"/>
        </w:rPr>
        <w:t>3.8</w:t>
      </w:r>
      <w:r w:rsidR="00B53B42">
        <w:rPr>
          <w:rFonts w:ascii="Arial" w:eastAsiaTheme="majorEastAsia" w:hAnsi="Arial" w:cs="Arial"/>
          <w:szCs w:val="26"/>
        </w:rPr>
        <w:t>6</w:t>
      </w:r>
      <w:r w:rsidR="003A0451">
        <w:rPr>
          <w:rFonts w:ascii="Arial" w:eastAsiaTheme="majorEastAsia" w:hAnsi="Arial" w:cs="Arial"/>
          <w:szCs w:val="26"/>
        </w:rPr>
        <w:t xml:space="preserve">V </w:t>
      </w:r>
      <w:r w:rsidR="00381759">
        <w:rPr>
          <w:rFonts w:ascii="Arial" w:eastAsiaTheme="majorEastAsia" w:hAnsi="Arial" w:cs="Arial"/>
          <w:szCs w:val="26"/>
        </w:rPr>
        <w:t>vs. Li/Li</w:t>
      </w:r>
      <w:r w:rsidR="00381759">
        <w:rPr>
          <w:rFonts w:ascii="Arial" w:eastAsiaTheme="majorEastAsia" w:hAnsi="Arial" w:cs="Arial"/>
          <w:szCs w:val="26"/>
          <w:vertAlign w:val="superscript"/>
        </w:rPr>
        <w:t>+</w:t>
      </w:r>
      <w:r w:rsidR="00CF58F7">
        <w:rPr>
          <w:rFonts w:ascii="Arial" w:eastAsiaTheme="majorEastAsia" w:hAnsi="Arial" w:cs="Arial"/>
          <w:szCs w:val="26"/>
          <w:vertAlign w:val="superscript"/>
        </w:rPr>
        <w:t xml:space="preserve"> </w:t>
      </w:r>
      <w:r w:rsidR="0091510F" w:rsidRPr="0034082E">
        <w:rPr>
          <w:rFonts w:ascii="Arial" w:eastAsiaTheme="majorEastAsia" w:hAnsi="Arial" w:cs="Arial"/>
          <w:szCs w:val="26"/>
        </w:rPr>
        <w:fldChar w:fldCharType="begin"/>
      </w:r>
      <w:r w:rsidR="004F0EC3" w:rsidRPr="0034082E">
        <w:rPr>
          <w:rFonts w:ascii="Arial" w:eastAsiaTheme="majorEastAsia" w:hAnsi="Arial" w:cs="Arial"/>
          <w:szCs w:val="26"/>
        </w:rPr>
        <w:instrText xml:space="preserve"> ADDIN EN.CITE &lt;EndNote&gt;&lt;Cite&gt;&lt;Author&gt;Xu&lt;/Author&gt;&lt;Year&gt;2016&lt;/Year&gt;&lt;RecNum&gt;364&lt;/RecNum&gt;&lt;DisplayText&gt;[19]&lt;/DisplayText&gt;&lt;record&gt;&lt;rec-number&gt;364&lt;/rec-number&gt;&lt;foreign-keys&gt;&lt;key app="EN" db-id="5sa9s0e0r0d9fnexra7pr5xdwd5ztevx95s2" timestamp="1630255745"&gt;364&lt;/key&gt;&lt;/foreign-keys&gt;&lt;ref-type name="Journal Article"&gt;17&lt;/ref-type&gt;&lt;contributors&gt;&lt;authors&gt;&lt;author&gt;Xu, Kang&lt;/author&gt;&lt;author&gt;Wang, Chunsheng&lt;/author&gt;&lt;/authors&gt;&lt;/contributors&gt;&lt;titles&gt;&lt;title&gt;Batteries: Widening voltage windows&lt;/title&gt;&lt;secondary-title&gt;Nature Energy&lt;/secondary-title&gt;&lt;/titles&gt;&lt;periodical&gt;&lt;full-title&gt;Nature Energy&lt;/full-title&gt;&lt;/periodical&gt;&lt;pages&gt;16161&lt;/pages&gt;&lt;volume&gt;1&lt;/volume&gt;&lt;number&gt;10&lt;/number&gt;&lt;dates&gt;&lt;year&gt;2016&lt;/year&gt;&lt;pub-dates&gt;&lt;date&gt;2016/10/06&lt;/date&gt;&lt;/pub-dates&gt;&lt;/dates&gt;&lt;isbn&gt;2058-7546&lt;/isbn&gt;&lt;urls&gt;&lt;related-urls&gt;&lt;url&gt;https://doi.org/10.1038/nenergy.2016.161&lt;/url&gt;&lt;/related-urls&gt;&lt;/urls&gt;&lt;electronic-resource-num&gt;10.1038/nenergy.2016.161&lt;/electronic-resource-num&gt;&lt;/record&gt;&lt;/Cite&gt;&lt;/EndNote&gt;</w:instrText>
      </w:r>
      <w:r w:rsidR="0091510F" w:rsidRPr="0034082E">
        <w:rPr>
          <w:rFonts w:ascii="Arial" w:eastAsiaTheme="majorEastAsia" w:hAnsi="Arial" w:cs="Arial"/>
          <w:szCs w:val="26"/>
        </w:rPr>
        <w:fldChar w:fldCharType="separate"/>
      </w:r>
      <w:r w:rsidR="004F0EC3" w:rsidRPr="0034082E">
        <w:rPr>
          <w:rFonts w:ascii="Arial" w:eastAsiaTheme="majorEastAsia" w:hAnsi="Arial" w:cs="Arial"/>
          <w:noProof/>
          <w:szCs w:val="26"/>
        </w:rPr>
        <w:t>[19]</w:t>
      </w:r>
      <w:r w:rsidR="0091510F" w:rsidRPr="0034082E">
        <w:rPr>
          <w:rFonts w:ascii="Arial" w:eastAsiaTheme="majorEastAsia" w:hAnsi="Arial" w:cs="Arial"/>
          <w:szCs w:val="26"/>
        </w:rPr>
        <w:fldChar w:fldCharType="end"/>
      </w:r>
      <w:r w:rsidR="00381759" w:rsidRPr="0034082E">
        <w:rPr>
          <w:rFonts w:ascii="Arial" w:eastAsiaTheme="majorEastAsia" w:hAnsi="Arial" w:cs="Arial"/>
          <w:szCs w:val="26"/>
        </w:rPr>
        <w:t>.</w:t>
      </w:r>
      <w:r w:rsidR="00381759">
        <w:rPr>
          <w:rFonts w:ascii="Arial" w:eastAsiaTheme="majorEastAsia" w:hAnsi="Arial" w:cs="Arial"/>
          <w:szCs w:val="26"/>
        </w:rPr>
        <w:t xml:space="preserve"> </w:t>
      </w:r>
      <w:r w:rsidR="00C94B3A" w:rsidRPr="0092670C">
        <w:rPr>
          <w:rFonts w:ascii="Arial" w:eastAsiaTheme="majorEastAsia" w:hAnsi="Arial" w:cs="Arial"/>
          <w:szCs w:val="26"/>
        </w:rPr>
        <w:t xml:space="preserve">One of </w:t>
      </w:r>
      <w:r w:rsidR="00DB153C" w:rsidRPr="0092670C">
        <w:rPr>
          <w:rFonts w:ascii="Arial" w:eastAsiaTheme="majorEastAsia" w:hAnsi="Arial" w:cs="Arial"/>
          <w:szCs w:val="26"/>
        </w:rPr>
        <w:t xml:space="preserve">the benefits of Li-ion batteries </w:t>
      </w:r>
      <w:r w:rsidR="008C32C3" w:rsidRPr="0092670C">
        <w:rPr>
          <w:rFonts w:ascii="Arial" w:eastAsiaTheme="majorEastAsia" w:hAnsi="Arial" w:cs="Arial"/>
          <w:szCs w:val="26"/>
        </w:rPr>
        <w:t>is their large voltage range</w:t>
      </w:r>
      <w:r w:rsidR="00843C1D" w:rsidRPr="0092670C">
        <w:rPr>
          <w:rFonts w:ascii="Arial" w:eastAsiaTheme="majorEastAsia" w:hAnsi="Arial" w:cs="Arial"/>
          <w:szCs w:val="26"/>
        </w:rPr>
        <w:t xml:space="preserve">, which gives </w:t>
      </w:r>
      <w:r w:rsidR="00AE636B" w:rsidRPr="0092670C">
        <w:rPr>
          <w:rFonts w:ascii="Arial" w:eastAsiaTheme="majorEastAsia" w:hAnsi="Arial" w:cs="Arial"/>
          <w:szCs w:val="26"/>
        </w:rPr>
        <w:t xml:space="preserve">the battery a larger </w:t>
      </w:r>
      <w:r w:rsidR="00A85401" w:rsidRPr="0092670C">
        <w:rPr>
          <w:rFonts w:ascii="Arial" w:eastAsiaTheme="majorEastAsia" w:hAnsi="Arial" w:cs="Arial"/>
          <w:szCs w:val="26"/>
        </w:rPr>
        <w:t xml:space="preserve">energy density </w:t>
      </w:r>
      <w:r w:rsidR="002D6BE8" w:rsidRPr="0092670C">
        <w:rPr>
          <w:rFonts w:ascii="Arial" w:eastAsiaTheme="majorEastAsia" w:hAnsi="Arial" w:cs="Arial"/>
          <w:szCs w:val="26"/>
        </w:rPr>
        <w:t>(E</w:t>
      </w:r>
      <w:r w:rsidR="00AF2227">
        <w:rPr>
          <w:rFonts w:ascii="Arial" w:eastAsiaTheme="majorEastAsia" w:hAnsi="Arial" w:cs="Arial"/>
          <w:szCs w:val="26"/>
        </w:rPr>
        <w:t xml:space="preserve"> </w:t>
      </w:r>
      <w:r w:rsidR="002D6BE8" w:rsidRPr="0092670C">
        <w:rPr>
          <w:rFonts w:ascii="Arial" w:eastAsiaTheme="majorEastAsia" w:hAnsi="Arial" w:cs="Arial"/>
          <w:szCs w:val="26"/>
        </w:rPr>
        <w:t>=</w:t>
      </w:r>
      <w:r w:rsidR="00AF2227">
        <w:rPr>
          <w:rFonts w:ascii="Arial" w:eastAsiaTheme="majorEastAsia" w:hAnsi="Arial" w:cs="Arial"/>
          <w:szCs w:val="26"/>
        </w:rPr>
        <w:t xml:space="preserve"> </w:t>
      </w:r>
      <w:r w:rsidR="002D6BE8" w:rsidRPr="0092670C">
        <w:rPr>
          <w:rFonts w:ascii="Arial" w:eastAsiaTheme="majorEastAsia" w:hAnsi="Arial" w:cs="Arial"/>
          <w:szCs w:val="26"/>
        </w:rPr>
        <w:t>QV)</w:t>
      </w:r>
      <w:r w:rsidR="008C32C3" w:rsidRPr="0092670C">
        <w:rPr>
          <w:rFonts w:ascii="Arial" w:eastAsiaTheme="majorEastAsia" w:hAnsi="Arial" w:cs="Arial"/>
          <w:szCs w:val="26"/>
        </w:rPr>
        <w:t xml:space="preserve"> </w:t>
      </w:r>
      <w:r w:rsidR="00866C82" w:rsidRPr="0092670C">
        <w:rPr>
          <w:rFonts w:ascii="Arial" w:eastAsiaTheme="majorEastAsia" w:hAnsi="Arial" w:cs="Arial"/>
          <w:szCs w:val="26"/>
        </w:rPr>
        <w:t xml:space="preserve">and as a result an electrolyte with a wide </w:t>
      </w:r>
      <w:r w:rsidR="00BD5A5C" w:rsidRPr="0092670C">
        <w:rPr>
          <w:rFonts w:ascii="Arial" w:eastAsiaTheme="majorEastAsia" w:hAnsi="Arial" w:cs="Arial"/>
          <w:szCs w:val="26"/>
        </w:rPr>
        <w:t>voltage window is required</w:t>
      </w:r>
      <w:r w:rsidR="002D6BE8" w:rsidRPr="0092670C">
        <w:rPr>
          <w:rFonts w:ascii="Arial" w:eastAsiaTheme="majorEastAsia" w:hAnsi="Arial" w:cs="Arial"/>
          <w:szCs w:val="26"/>
        </w:rPr>
        <w:t xml:space="preserve"> to take ad</w:t>
      </w:r>
      <w:r w:rsidR="00D4623D" w:rsidRPr="0092670C">
        <w:rPr>
          <w:rFonts w:ascii="Arial" w:eastAsiaTheme="majorEastAsia" w:hAnsi="Arial" w:cs="Arial"/>
          <w:szCs w:val="26"/>
        </w:rPr>
        <w:t xml:space="preserve">vantage of the </w:t>
      </w:r>
      <w:r w:rsidR="00EE4CA8" w:rsidRPr="0092670C">
        <w:rPr>
          <w:rFonts w:ascii="Arial" w:eastAsiaTheme="majorEastAsia" w:hAnsi="Arial" w:cs="Arial"/>
          <w:szCs w:val="26"/>
        </w:rPr>
        <w:t>extra energy available in the system</w:t>
      </w:r>
      <w:r w:rsidR="00BD5A5C" w:rsidRPr="0092670C">
        <w:rPr>
          <w:rFonts w:ascii="Arial" w:eastAsiaTheme="majorEastAsia" w:hAnsi="Arial" w:cs="Arial"/>
          <w:szCs w:val="26"/>
        </w:rPr>
        <w:t>.</w:t>
      </w:r>
      <w:r w:rsidR="007528BA" w:rsidRPr="0092670C">
        <w:rPr>
          <w:rFonts w:ascii="Arial" w:eastAsiaTheme="majorEastAsia" w:hAnsi="Arial" w:cs="Arial"/>
          <w:szCs w:val="26"/>
        </w:rPr>
        <w:t xml:space="preserve"> </w:t>
      </w:r>
      <w:r w:rsidR="002338D2" w:rsidRPr="0092670C">
        <w:rPr>
          <w:rFonts w:ascii="Arial" w:eastAsiaTheme="majorEastAsia" w:hAnsi="Arial" w:cs="Arial"/>
          <w:szCs w:val="26"/>
        </w:rPr>
        <w:t xml:space="preserve"> </w:t>
      </w:r>
      <w:r w:rsidR="004645A8" w:rsidRPr="0092670C">
        <w:rPr>
          <w:rFonts w:ascii="Arial" w:eastAsiaTheme="majorEastAsia" w:hAnsi="Arial" w:cs="Arial"/>
          <w:szCs w:val="26"/>
        </w:rPr>
        <w:t>Due</w:t>
      </w:r>
      <w:r w:rsidR="00671DF5" w:rsidRPr="0092670C">
        <w:rPr>
          <w:rFonts w:ascii="Arial" w:eastAsiaTheme="majorEastAsia" w:hAnsi="Arial" w:cs="Arial"/>
          <w:szCs w:val="26"/>
        </w:rPr>
        <w:t xml:space="preserve"> to the unsuitability of </w:t>
      </w:r>
      <w:r w:rsidR="00714845" w:rsidRPr="0092670C">
        <w:rPr>
          <w:rFonts w:ascii="Arial" w:eastAsiaTheme="majorEastAsia" w:hAnsi="Arial" w:cs="Arial"/>
          <w:szCs w:val="26"/>
        </w:rPr>
        <w:t xml:space="preserve">aqueous solutions </w:t>
      </w:r>
      <w:r w:rsidR="00AE5EAD" w:rsidRPr="0092670C">
        <w:rPr>
          <w:rFonts w:ascii="Arial" w:eastAsiaTheme="majorEastAsia" w:hAnsi="Arial" w:cs="Arial"/>
          <w:szCs w:val="26"/>
        </w:rPr>
        <w:t xml:space="preserve">other electrolytes are required. The most commonly used are </w:t>
      </w:r>
      <w:r w:rsidR="008E0A6B" w:rsidRPr="0092670C">
        <w:rPr>
          <w:rFonts w:ascii="Arial" w:eastAsiaTheme="majorEastAsia" w:hAnsi="Arial" w:cs="Arial"/>
          <w:szCs w:val="26"/>
        </w:rPr>
        <w:t xml:space="preserve">organic carbonates with a dissolved </w:t>
      </w:r>
      <w:r w:rsidR="00E96B11">
        <w:rPr>
          <w:rFonts w:ascii="Arial" w:eastAsiaTheme="majorEastAsia" w:hAnsi="Arial" w:cs="Arial"/>
          <w:szCs w:val="26"/>
        </w:rPr>
        <w:t>weakly</w:t>
      </w:r>
      <w:r w:rsidR="008E0A6B" w:rsidRPr="0092670C">
        <w:rPr>
          <w:rFonts w:ascii="Arial" w:eastAsiaTheme="majorEastAsia" w:hAnsi="Arial" w:cs="Arial"/>
          <w:szCs w:val="26"/>
        </w:rPr>
        <w:t xml:space="preserve">-coordinating </w:t>
      </w:r>
      <w:r w:rsidR="007B21A5" w:rsidRPr="0092670C">
        <w:rPr>
          <w:rFonts w:ascii="Arial" w:eastAsiaTheme="majorEastAsia" w:hAnsi="Arial" w:cs="Arial"/>
          <w:szCs w:val="26"/>
        </w:rPr>
        <w:t>lithium</w:t>
      </w:r>
      <w:r w:rsidR="008E0A6B" w:rsidRPr="0092670C">
        <w:rPr>
          <w:rFonts w:ascii="Arial" w:eastAsiaTheme="majorEastAsia" w:hAnsi="Arial" w:cs="Arial"/>
          <w:szCs w:val="26"/>
        </w:rPr>
        <w:t xml:space="preserve"> salt.</w:t>
      </w:r>
      <w:r w:rsidR="00F51BF2">
        <w:rPr>
          <w:rFonts w:ascii="Arial" w:eastAsiaTheme="majorEastAsia" w:hAnsi="Arial" w:cs="Arial"/>
          <w:szCs w:val="26"/>
        </w:rPr>
        <w:t xml:space="preserve"> A </w:t>
      </w:r>
      <w:r w:rsidR="00E96B11">
        <w:rPr>
          <w:rFonts w:ascii="Arial" w:eastAsiaTheme="majorEastAsia" w:hAnsi="Arial" w:cs="Arial"/>
          <w:szCs w:val="26"/>
        </w:rPr>
        <w:t>weakly</w:t>
      </w:r>
      <w:r w:rsidR="00F51BF2">
        <w:rPr>
          <w:rFonts w:ascii="Arial" w:eastAsiaTheme="majorEastAsia" w:hAnsi="Arial" w:cs="Arial"/>
          <w:szCs w:val="26"/>
        </w:rPr>
        <w:t xml:space="preserve">-coordinating salt </w:t>
      </w:r>
      <w:r w:rsidR="00341C79">
        <w:rPr>
          <w:rFonts w:ascii="Arial" w:eastAsiaTheme="majorEastAsia" w:hAnsi="Arial" w:cs="Arial"/>
          <w:szCs w:val="26"/>
        </w:rPr>
        <w:t xml:space="preserve">has limited interaction with </w:t>
      </w:r>
      <w:r w:rsidR="00CC66B2">
        <w:rPr>
          <w:rFonts w:ascii="Arial" w:eastAsiaTheme="majorEastAsia" w:hAnsi="Arial" w:cs="Arial"/>
          <w:szCs w:val="26"/>
        </w:rPr>
        <w:t>the lithium</w:t>
      </w:r>
      <w:r w:rsidR="008F30A1">
        <w:rPr>
          <w:rFonts w:ascii="Arial" w:eastAsiaTheme="majorEastAsia" w:hAnsi="Arial" w:cs="Arial"/>
          <w:szCs w:val="26"/>
        </w:rPr>
        <w:t xml:space="preserve"> cation</w:t>
      </w:r>
      <w:r w:rsidR="00CC66B2">
        <w:rPr>
          <w:rFonts w:ascii="Arial" w:eastAsiaTheme="majorEastAsia" w:hAnsi="Arial" w:cs="Arial"/>
          <w:szCs w:val="26"/>
        </w:rPr>
        <w:t xml:space="preserve"> allowing it to easily solvate/desolvate into the electrodes</w:t>
      </w:r>
      <w:r w:rsidR="00642A5A">
        <w:rPr>
          <w:rFonts w:ascii="Arial" w:eastAsiaTheme="majorEastAsia" w:hAnsi="Arial" w:cs="Arial"/>
          <w:szCs w:val="26"/>
        </w:rPr>
        <w:t xml:space="preserve"> </w:t>
      </w:r>
      <w:r w:rsidR="00642A5A">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&lt;EndNote&gt;&lt;Cite&gt;&lt;Author&gt;Bayley&lt;/Author&gt;&lt;Year&gt;2011&lt;/Year&gt;&lt;RecNum&gt;884&lt;/RecNum&gt;&lt;DisplayText&gt;[20]&lt;/DisplayText&gt;&lt;record&gt;&lt;rec-number&gt;884&lt;/rec-number&gt;&lt;foreign-keys&gt;&lt;key app="EN" db-id="5sa9s0e0r0d9fnexra7pr5xdwd5ztevx95s2" timestamp="1624176018" guid="5661b070-5623-4053-aa5d-86c99d4fc6bf"&gt;884&lt;/key&gt;&lt;/foreign-keys&gt;&lt;ref-type name="Journal Article"&gt;17&lt;/ref-type&gt;&lt;contributors&gt;&lt;authors&gt;&lt;author&gt;Bayley, Paul M.&lt;/author&gt;&lt;author&gt;Best, A. S.&lt;/author&gt;&lt;author&gt;MacFarlane, D. R.&lt;/author&gt;&lt;author&gt;Forsyth, M.&lt;/author&gt;&lt;/authors&gt;&lt;/contributors&gt;&lt;titles&gt;&lt;title&gt;The effect of coordinating and non-coordinating additives on the transport properties in ionic liquid electrolytes for lithium batteries&lt;/title&gt;&lt;secondary-title&gt;Physical Chemistry Chemical Physics&lt;/secondary-title&gt;&lt;/titles&gt;&lt;periodical&gt;&lt;full-title&gt;Physical Chemistry Chemical Physics&lt;/full-title&gt;&lt;abbr-1&gt;Phys. Chem. Chem. Phys.&lt;/abbr-1&gt;&lt;/periodical&gt;&lt;pages&gt;4632-4640&lt;/pages&gt;&lt;volume&gt;13&lt;/volume&gt;&lt;number&gt;10&lt;/number&gt;&lt;dates&gt;&lt;year&gt;2011&lt;/year&gt;&lt;/dates&gt;&lt;publisher&gt;The Royal Society of Chemistry&lt;/publisher&gt;&lt;isbn&gt;1463-9076&lt;/isbn&gt;&lt;work-type&gt;10.1039/C0CP02084B&lt;/work-type&gt;&lt;urls&gt;&lt;related-urls&gt;&lt;url&gt;http://dx.doi.org/10.1039/C0CP02084B&lt;/url&gt;&lt;/related-urls&gt;&lt;/urls&gt;&lt;electronic-resource-num&gt;10.1039/C0CP02084B&lt;/electronic-resource-num&gt;&lt;/record&gt;&lt;/Cite&gt;&lt;/EndNote&gt;</w:instrText>
      </w:r>
      <w:r w:rsidR="00642A5A">
        <w:rPr>
          <w:rFonts w:ascii="Arial" w:eastAsiaTheme="majorEastAsia" w:hAnsi="Arial" w:cs="Arial"/>
          <w:szCs w:val="26"/>
        </w:rPr>
        <w:fldChar w:fldCharType="separate"/>
      </w:r>
      <w:r w:rsidR="004F0EC3">
        <w:rPr>
          <w:rFonts w:ascii="Arial" w:eastAsiaTheme="majorEastAsia" w:hAnsi="Arial" w:cs="Arial"/>
          <w:noProof/>
          <w:szCs w:val="26"/>
        </w:rPr>
        <w:t>[20]</w:t>
      </w:r>
      <w:r w:rsidR="00642A5A">
        <w:rPr>
          <w:rFonts w:ascii="Arial" w:eastAsiaTheme="majorEastAsia" w:hAnsi="Arial" w:cs="Arial"/>
          <w:szCs w:val="26"/>
        </w:rPr>
        <w:fldChar w:fldCharType="end"/>
      </w:r>
      <w:r w:rsidR="00642A5A">
        <w:rPr>
          <w:rFonts w:ascii="Arial" w:eastAsiaTheme="majorEastAsia" w:hAnsi="Arial" w:cs="Arial"/>
          <w:szCs w:val="26"/>
        </w:rPr>
        <w:t>.</w:t>
      </w:r>
      <w:r w:rsidR="008E0A6B" w:rsidRPr="0092670C">
        <w:rPr>
          <w:rFonts w:ascii="Arial" w:eastAsiaTheme="majorEastAsia" w:hAnsi="Arial" w:cs="Arial"/>
          <w:szCs w:val="26"/>
        </w:rPr>
        <w:t xml:space="preserve"> </w:t>
      </w:r>
      <w:r w:rsidR="003954DC" w:rsidRPr="0092670C">
        <w:rPr>
          <w:rFonts w:ascii="Arial" w:eastAsiaTheme="majorEastAsia" w:hAnsi="Arial" w:cs="Arial"/>
          <w:szCs w:val="26"/>
        </w:rPr>
        <w:t>Carbonates are used as they have a wider voltage window</w:t>
      </w:r>
      <w:r w:rsidR="00620B1B" w:rsidRPr="0092670C">
        <w:rPr>
          <w:rFonts w:ascii="Arial" w:eastAsiaTheme="majorEastAsia" w:hAnsi="Arial" w:cs="Arial"/>
          <w:szCs w:val="26"/>
        </w:rPr>
        <w:t xml:space="preserve"> tha</w:t>
      </w:r>
      <w:r w:rsidR="004352C4">
        <w:rPr>
          <w:rFonts w:ascii="Arial" w:eastAsiaTheme="majorEastAsia" w:hAnsi="Arial" w:cs="Arial"/>
          <w:szCs w:val="26"/>
        </w:rPr>
        <w:t>n</w:t>
      </w:r>
      <w:r w:rsidR="00620B1B" w:rsidRPr="0092670C">
        <w:rPr>
          <w:rFonts w:ascii="Arial" w:eastAsiaTheme="majorEastAsia" w:hAnsi="Arial" w:cs="Arial"/>
          <w:szCs w:val="26"/>
        </w:rPr>
        <w:t xml:space="preserve"> water whilst still </w:t>
      </w:r>
      <w:r w:rsidR="003A2C4B" w:rsidRPr="0092670C">
        <w:rPr>
          <w:rFonts w:ascii="Arial" w:eastAsiaTheme="majorEastAsia" w:hAnsi="Arial" w:cs="Arial"/>
          <w:szCs w:val="26"/>
        </w:rPr>
        <w:t xml:space="preserve">being </w:t>
      </w:r>
      <w:r w:rsidR="009C56FE" w:rsidRPr="0092670C">
        <w:rPr>
          <w:rFonts w:ascii="Arial" w:eastAsiaTheme="majorEastAsia" w:hAnsi="Arial" w:cs="Arial"/>
          <w:szCs w:val="26"/>
        </w:rPr>
        <w:t xml:space="preserve">polar solvents that can dissolve the Li salts. </w:t>
      </w:r>
      <w:r w:rsidR="00301F2D" w:rsidRPr="0092670C">
        <w:rPr>
          <w:rFonts w:ascii="Arial" w:eastAsiaTheme="majorEastAsia" w:hAnsi="Arial" w:cs="Arial"/>
          <w:szCs w:val="26"/>
        </w:rPr>
        <w:t>Most electrolytes contain more than one carbonate</w:t>
      </w:r>
      <w:r w:rsidR="00E8044E" w:rsidRPr="0092670C">
        <w:rPr>
          <w:rFonts w:ascii="Arial" w:eastAsiaTheme="majorEastAsia" w:hAnsi="Arial" w:cs="Arial"/>
          <w:szCs w:val="26"/>
        </w:rPr>
        <w:t xml:space="preserve"> as a single carbonate would not match all of the criteria </w:t>
      </w:r>
      <w:r w:rsidR="004B09FB" w:rsidRPr="0092670C">
        <w:rPr>
          <w:rFonts w:ascii="Arial" w:eastAsiaTheme="majorEastAsia" w:hAnsi="Arial" w:cs="Arial"/>
          <w:szCs w:val="26"/>
        </w:rPr>
        <w:t xml:space="preserve">for a good electrolyte. </w:t>
      </w:r>
      <w:r w:rsidR="00A467D9" w:rsidRPr="0092670C">
        <w:rPr>
          <w:rFonts w:ascii="Arial" w:eastAsiaTheme="majorEastAsia" w:hAnsi="Arial" w:cs="Arial"/>
          <w:szCs w:val="26"/>
        </w:rPr>
        <w:t>A good electrolyte</w:t>
      </w:r>
      <w:r w:rsidR="00F7443C" w:rsidRPr="0092670C">
        <w:rPr>
          <w:rFonts w:ascii="Arial" w:eastAsiaTheme="majorEastAsia" w:hAnsi="Arial" w:cs="Arial"/>
          <w:szCs w:val="26"/>
        </w:rPr>
        <w:t xml:space="preserve"> </w:t>
      </w:r>
      <w:r w:rsidR="0012356B" w:rsidRPr="0092670C">
        <w:rPr>
          <w:rFonts w:ascii="Arial" w:eastAsiaTheme="majorEastAsia" w:hAnsi="Arial" w:cs="Arial"/>
          <w:szCs w:val="26"/>
        </w:rPr>
        <w:t>for Li-ion batterie</w:t>
      </w:r>
      <w:r w:rsidR="00B51BAF" w:rsidRPr="0092670C">
        <w:rPr>
          <w:rFonts w:ascii="Arial" w:eastAsiaTheme="majorEastAsia" w:hAnsi="Arial" w:cs="Arial"/>
          <w:szCs w:val="26"/>
        </w:rPr>
        <w:t>s requires</w:t>
      </w:r>
      <w:r w:rsidR="00317C26" w:rsidRPr="0092670C">
        <w:rPr>
          <w:rFonts w:ascii="Arial" w:eastAsiaTheme="majorEastAsia" w:hAnsi="Arial" w:cs="Arial"/>
          <w:szCs w:val="26"/>
        </w:rPr>
        <w:t xml:space="preserve"> it to be polar enough to</w:t>
      </w:r>
      <w:r w:rsidR="006058E8" w:rsidRPr="0092670C">
        <w:rPr>
          <w:rFonts w:ascii="Arial" w:eastAsiaTheme="majorEastAsia" w:hAnsi="Arial" w:cs="Arial"/>
          <w:szCs w:val="26"/>
        </w:rPr>
        <w:t xml:space="preserve"> be able to </w:t>
      </w:r>
      <w:r w:rsidR="00CA7897" w:rsidRPr="0092670C">
        <w:rPr>
          <w:rFonts w:ascii="Arial" w:eastAsiaTheme="majorEastAsia" w:hAnsi="Arial" w:cs="Arial"/>
          <w:szCs w:val="26"/>
        </w:rPr>
        <w:t xml:space="preserve">dissolve the Li salt. </w:t>
      </w:r>
      <w:r w:rsidR="00BC3EF6" w:rsidRPr="0092670C">
        <w:rPr>
          <w:rFonts w:ascii="Arial" w:eastAsiaTheme="majorEastAsia" w:hAnsi="Arial" w:cs="Arial"/>
          <w:szCs w:val="26"/>
        </w:rPr>
        <w:t xml:space="preserve">It </w:t>
      </w:r>
      <w:r w:rsidR="00CE0844" w:rsidRPr="0092670C">
        <w:rPr>
          <w:rFonts w:ascii="Arial" w:eastAsiaTheme="majorEastAsia" w:hAnsi="Arial" w:cs="Arial"/>
          <w:szCs w:val="26"/>
        </w:rPr>
        <w:t xml:space="preserve">also </w:t>
      </w:r>
      <w:r w:rsidR="006A1C43" w:rsidRPr="0092670C">
        <w:rPr>
          <w:rFonts w:ascii="Arial" w:eastAsiaTheme="majorEastAsia" w:hAnsi="Arial" w:cs="Arial"/>
          <w:szCs w:val="26"/>
        </w:rPr>
        <w:t>need</w:t>
      </w:r>
      <w:r w:rsidR="00C05954" w:rsidRPr="0092670C">
        <w:rPr>
          <w:rFonts w:ascii="Arial" w:eastAsiaTheme="majorEastAsia" w:hAnsi="Arial" w:cs="Arial"/>
          <w:szCs w:val="26"/>
        </w:rPr>
        <w:t>s</w:t>
      </w:r>
      <w:r w:rsidR="006A1C43" w:rsidRPr="0092670C">
        <w:rPr>
          <w:rFonts w:ascii="Arial" w:eastAsiaTheme="majorEastAsia" w:hAnsi="Arial" w:cs="Arial"/>
          <w:szCs w:val="26"/>
        </w:rPr>
        <w:t xml:space="preserve"> to have a low viscosity to be able to effectively wet the electrode surfaces.</w:t>
      </w:r>
      <w:r w:rsidR="0012356B" w:rsidRPr="0092670C">
        <w:rPr>
          <w:rFonts w:ascii="Arial" w:eastAsiaTheme="majorEastAsia" w:hAnsi="Arial" w:cs="Arial"/>
          <w:szCs w:val="26"/>
        </w:rPr>
        <w:t xml:space="preserve"> </w:t>
      </w:r>
      <w:r w:rsidR="007371F2" w:rsidRPr="0092670C">
        <w:rPr>
          <w:rFonts w:ascii="Arial" w:eastAsiaTheme="majorEastAsia" w:hAnsi="Arial" w:cs="Arial"/>
          <w:szCs w:val="26"/>
        </w:rPr>
        <w:t xml:space="preserve">As the viscosity </w:t>
      </w:r>
      <w:r w:rsidR="00682FFB" w:rsidRPr="0092670C">
        <w:rPr>
          <w:rFonts w:ascii="Arial" w:eastAsiaTheme="majorEastAsia" w:hAnsi="Arial" w:cs="Arial"/>
          <w:szCs w:val="26"/>
        </w:rPr>
        <w:t xml:space="preserve">of </w:t>
      </w:r>
      <w:r w:rsidR="000C7360" w:rsidRPr="0092670C">
        <w:rPr>
          <w:rFonts w:ascii="Arial" w:eastAsiaTheme="majorEastAsia" w:hAnsi="Arial" w:cs="Arial"/>
          <w:szCs w:val="26"/>
        </w:rPr>
        <w:t xml:space="preserve">a liquid is closely related to its </w:t>
      </w:r>
      <w:r w:rsidR="00356005" w:rsidRPr="0092670C">
        <w:rPr>
          <w:rFonts w:ascii="Arial" w:eastAsiaTheme="majorEastAsia" w:hAnsi="Arial" w:cs="Arial"/>
          <w:szCs w:val="26"/>
        </w:rPr>
        <w:t>polarity</w:t>
      </w:r>
      <w:r w:rsidR="000C7360" w:rsidRPr="0092670C">
        <w:rPr>
          <w:rFonts w:ascii="Arial" w:eastAsiaTheme="majorEastAsia" w:hAnsi="Arial" w:cs="Arial"/>
          <w:szCs w:val="26"/>
        </w:rPr>
        <w:t xml:space="preserve"> it means that </w:t>
      </w:r>
      <w:r w:rsidR="00E42BC5" w:rsidRPr="0092670C">
        <w:rPr>
          <w:rFonts w:ascii="Arial" w:eastAsiaTheme="majorEastAsia" w:hAnsi="Arial" w:cs="Arial"/>
          <w:szCs w:val="26"/>
        </w:rPr>
        <w:t>th</w:t>
      </w:r>
      <w:r w:rsidR="00BD5A5C" w:rsidRPr="0092670C">
        <w:rPr>
          <w:rFonts w:ascii="Arial" w:eastAsiaTheme="majorEastAsia" w:hAnsi="Arial" w:cs="Arial"/>
          <w:szCs w:val="26"/>
        </w:rPr>
        <w:t xml:space="preserve">e </w:t>
      </w:r>
      <w:r w:rsidR="000D4574" w:rsidRPr="0092670C">
        <w:rPr>
          <w:rFonts w:ascii="Arial" w:eastAsiaTheme="majorEastAsia" w:hAnsi="Arial" w:cs="Arial"/>
          <w:szCs w:val="26"/>
        </w:rPr>
        <w:t xml:space="preserve">polarity of the electrolyte </w:t>
      </w:r>
      <w:r w:rsidR="00630175" w:rsidRPr="0092670C">
        <w:rPr>
          <w:rFonts w:ascii="Arial" w:eastAsiaTheme="majorEastAsia" w:hAnsi="Arial" w:cs="Arial"/>
          <w:szCs w:val="26"/>
        </w:rPr>
        <w:t>needs</w:t>
      </w:r>
      <w:r w:rsidR="000D4574" w:rsidRPr="0092670C">
        <w:rPr>
          <w:rFonts w:ascii="Arial" w:eastAsiaTheme="majorEastAsia" w:hAnsi="Arial" w:cs="Arial"/>
          <w:szCs w:val="26"/>
        </w:rPr>
        <w:t xml:space="preserve"> to be carefully </w:t>
      </w:r>
      <w:r w:rsidR="00FD6665" w:rsidRPr="0092670C">
        <w:rPr>
          <w:rFonts w:ascii="Arial" w:eastAsiaTheme="majorEastAsia" w:hAnsi="Arial" w:cs="Arial"/>
          <w:szCs w:val="26"/>
        </w:rPr>
        <w:t xml:space="preserve">tuned to achieve both aims. </w:t>
      </w:r>
    </w:p>
    <w:p w14:paraId="7C019602" w14:textId="1A1D7F19" w:rsidR="00090922" w:rsidRPr="0092670C" w:rsidRDefault="00090922" w:rsidP="00090922">
      <w:pPr>
        <w:spacing w:line="360" w:lineRule="auto"/>
        <w:jc w:val="both"/>
        <w:rPr>
          <w:rFonts w:ascii="Arial" w:eastAsiaTheme="majorEastAsia" w:hAnsi="Arial" w:cs="Arial"/>
          <w:szCs w:val="26"/>
        </w:rPr>
      </w:pPr>
      <w:r w:rsidRPr="0092670C">
        <w:rPr>
          <w:rFonts w:ascii="Arial" w:eastAsiaTheme="majorEastAsia" w:hAnsi="Arial" w:cs="Arial"/>
          <w:szCs w:val="26"/>
        </w:rPr>
        <w:t xml:space="preserve">Most electrolytes contain a cyclic and a linear carbonate. These cyclic carbonates are highly polar molecules that ensure that the electrolyte can </w:t>
      </w:r>
      <w:r w:rsidR="0034082E">
        <w:rPr>
          <w:rFonts w:ascii="Arial" w:eastAsiaTheme="majorEastAsia" w:hAnsi="Arial" w:cs="Arial"/>
          <w:szCs w:val="26"/>
        </w:rPr>
        <w:t>solvate a sufficient concentration of</w:t>
      </w:r>
      <w:r w:rsidRPr="0092670C">
        <w:rPr>
          <w:rFonts w:ascii="Arial" w:eastAsiaTheme="majorEastAsia" w:hAnsi="Arial" w:cs="Arial"/>
          <w:szCs w:val="26"/>
        </w:rPr>
        <w:t xml:space="preserve"> Li salt. The two most common cyclic carbonates are </w:t>
      </w:r>
      <w:r w:rsidR="00832A48">
        <w:rPr>
          <w:rFonts w:ascii="Arial" w:eastAsiaTheme="majorEastAsia" w:hAnsi="Arial" w:cs="Arial"/>
          <w:szCs w:val="26"/>
        </w:rPr>
        <w:t>Propylene</w:t>
      </w:r>
      <w:r w:rsidRPr="0092670C">
        <w:rPr>
          <w:rFonts w:ascii="Arial" w:eastAsiaTheme="majorEastAsia" w:hAnsi="Arial" w:cs="Arial"/>
          <w:szCs w:val="26"/>
        </w:rPr>
        <w:t xml:space="preserve"> carbonate (</w:t>
      </w:r>
      <w:r w:rsidR="00832A48">
        <w:rPr>
          <w:rFonts w:ascii="Arial" w:eastAsiaTheme="majorEastAsia" w:hAnsi="Arial" w:cs="Arial"/>
          <w:szCs w:val="26"/>
        </w:rPr>
        <w:t>P</w:t>
      </w:r>
      <w:r w:rsidRPr="0092670C">
        <w:rPr>
          <w:rFonts w:ascii="Arial" w:eastAsiaTheme="majorEastAsia" w:hAnsi="Arial" w:cs="Arial"/>
          <w:szCs w:val="26"/>
        </w:rPr>
        <w:t xml:space="preserve">C) and </w:t>
      </w:r>
      <w:r w:rsidR="00832A48">
        <w:rPr>
          <w:rFonts w:ascii="Arial" w:eastAsiaTheme="majorEastAsia" w:hAnsi="Arial" w:cs="Arial"/>
          <w:szCs w:val="26"/>
        </w:rPr>
        <w:t xml:space="preserve">ethylene </w:t>
      </w:r>
      <w:r w:rsidRPr="0092670C">
        <w:rPr>
          <w:rFonts w:ascii="Arial" w:eastAsiaTheme="majorEastAsia" w:hAnsi="Arial" w:cs="Arial"/>
          <w:szCs w:val="26"/>
        </w:rPr>
        <w:t>carbonate (</w:t>
      </w:r>
      <w:r w:rsidR="00832A48">
        <w:rPr>
          <w:rFonts w:ascii="Arial" w:eastAsiaTheme="majorEastAsia" w:hAnsi="Arial" w:cs="Arial"/>
          <w:szCs w:val="26"/>
        </w:rPr>
        <w:t>E</w:t>
      </w:r>
      <w:r w:rsidRPr="0092670C">
        <w:rPr>
          <w:rFonts w:ascii="Arial" w:eastAsiaTheme="majorEastAsia" w:hAnsi="Arial" w:cs="Arial"/>
          <w:szCs w:val="26"/>
        </w:rPr>
        <w:t xml:space="preserve">C) seen in </w:t>
      </w:r>
      <w:r w:rsidRPr="0092670C">
        <w:rPr>
          <w:rFonts w:ascii="Arial" w:eastAsiaTheme="majorEastAsia" w:hAnsi="Arial" w:cs="Arial"/>
        </w:rPr>
        <w:fldChar w:fldCharType="begin"/>
      </w:r>
      <w:r w:rsidRPr="0092670C">
        <w:rPr>
          <w:rFonts w:ascii="Arial" w:eastAsiaTheme="majorEastAsia" w:hAnsi="Arial" w:cs="Arial"/>
        </w:rPr>
        <w:instrText xml:space="preserve"> REF _Ref34339061 \h  \* MERGEFORMAT </w:instrText>
      </w:r>
      <w:r w:rsidRPr="0092670C">
        <w:rPr>
          <w:rFonts w:ascii="Arial" w:eastAsiaTheme="majorEastAsia" w:hAnsi="Arial" w:cs="Arial"/>
        </w:rPr>
      </w:r>
      <w:r w:rsidRPr="0092670C">
        <w:rPr>
          <w:rFonts w:ascii="Arial" w:eastAsiaTheme="majorEastAsia"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4</w:t>
      </w:r>
      <w:r w:rsidRPr="0092670C">
        <w:rPr>
          <w:rFonts w:ascii="Arial" w:eastAsiaTheme="majorEastAsia" w:hAnsi="Arial" w:cs="Arial"/>
        </w:rPr>
        <w:fldChar w:fldCharType="end"/>
      </w:r>
      <w:r w:rsidRPr="0092670C">
        <w:rPr>
          <w:rFonts w:ascii="Arial" w:eastAsiaTheme="majorEastAsia" w:hAnsi="Arial" w:cs="Arial"/>
          <w:szCs w:val="26"/>
        </w:rPr>
        <w:t xml:space="preserve">. </w:t>
      </w:r>
    </w:p>
    <w:p w14:paraId="63E4B772" w14:textId="09D97E99" w:rsidR="00090922" w:rsidRPr="0092670C" w:rsidRDefault="0067644A" w:rsidP="00090922">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2163" w:dyaOrig="1297" w14:anchorId="7998F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65.9pt" o:ole="">
            <v:imagedata r:id="rId17" o:title=""/>
          </v:shape>
          <o:OLEObject Type="Embed" ProgID="ChemDraw.Document.6.0" ShapeID="_x0000_i1025" DrawAspect="Content" ObjectID="_1700733914" r:id="rId18"/>
        </w:object>
      </w:r>
      <w:r w:rsidRPr="0092670C">
        <w:rPr>
          <w:rFonts w:ascii="Arial" w:hAnsi="Arial" w:cs="Arial"/>
          <w:noProof/>
        </w:rPr>
      </w:r>
      <w:r w:rsidR="0067644A" w:rsidRPr="0092670C">
        <w:rPr>
          <w:rFonts w:ascii="Arial" w:hAnsi="Arial" w:cs="Arial"/>
          <w:noProof/>
        </w:rPr>
        <w:object w:dxaOrig="1683" w:dyaOrig="1213" w14:anchorId="70305929">
          <v:shape id="_x0000_i1026" type="#_x0000_t75" style="width:83.9pt;height:60.1pt" o:ole="">
            <v:imagedata r:id="rId19" o:title=""/>
          </v:shape>
          <o:OLEObject Type="Embed" ProgID="ChemDraw.Document.6.0" ShapeID="_x0000_i1026" DrawAspect="Content" ObjectID="_1700733915" r:id="rId20"/>
        </w:object>
      </w:r>
    </w:p>
    <w:p w14:paraId="585E7FD5" w14:textId="480529D9" w:rsidR="00090922" w:rsidRPr="0092670C" w:rsidRDefault="00090922" w:rsidP="00090922">
      <w:pPr>
        <w:pStyle w:val="Caption"/>
        <w:jc w:val="center"/>
        <w:rPr>
          <w:rFonts w:ascii="Arial" w:hAnsi="Arial" w:cs="Arial"/>
          <w:sz w:val="20"/>
          <w:szCs w:val="20"/>
        </w:rPr>
      </w:pPr>
      <w:bookmarkStart w:id="14" w:name="_Ref34339061"/>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bookmarkEnd w:id="14"/>
      <w:r w:rsidRPr="0092670C">
        <w:rPr>
          <w:rFonts w:ascii="Arial" w:hAnsi="Arial" w:cs="Arial"/>
          <w:sz w:val="20"/>
          <w:szCs w:val="20"/>
        </w:rPr>
        <w:t xml:space="preserve">: Chemical structure of </w:t>
      </w:r>
      <w:r w:rsidR="00651D54">
        <w:rPr>
          <w:rFonts w:ascii="Arial" w:hAnsi="Arial" w:cs="Arial"/>
          <w:sz w:val="20"/>
          <w:szCs w:val="20"/>
        </w:rPr>
        <w:t>P</w:t>
      </w:r>
      <w:r w:rsidRPr="0092670C">
        <w:rPr>
          <w:rFonts w:ascii="Arial" w:hAnsi="Arial" w:cs="Arial"/>
          <w:sz w:val="20"/>
          <w:szCs w:val="20"/>
        </w:rPr>
        <w:t xml:space="preserve">C (left) and </w:t>
      </w:r>
      <w:r w:rsidR="00651D54">
        <w:rPr>
          <w:rFonts w:ascii="Arial" w:hAnsi="Arial" w:cs="Arial"/>
          <w:sz w:val="20"/>
          <w:szCs w:val="20"/>
        </w:rPr>
        <w:t>E</w:t>
      </w:r>
      <w:r w:rsidRPr="0092670C">
        <w:rPr>
          <w:rFonts w:ascii="Arial" w:hAnsi="Arial" w:cs="Arial"/>
          <w:sz w:val="20"/>
          <w:szCs w:val="20"/>
        </w:rPr>
        <w:t>C (right)</w:t>
      </w:r>
      <w:r w:rsidR="00AF2227">
        <w:rPr>
          <w:rFonts w:ascii="Arial" w:hAnsi="Arial" w:cs="Arial"/>
          <w:sz w:val="20"/>
          <w:szCs w:val="20"/>
        </w:rPr>
        <w:t>.</w:t>
      </w:r>
    </w:p>
    <w:p w14:paraId="53BB3244" w14:textId="77777777" w:rsidR="00090922" w:rsidRPr="0092670C" w:rsidRDefault="00090922" w:rsidP="00EC7057">
      <w:pPr>
        <w:spacing w:line="360" w:lineRule="auto"/>
        <w:jc w:val="both"/>
        <w:rPr>
          <w:rFonts w:ascii="Arial" w:eastAsiaTheme="majorEastAsia" w:hAnsi="Arial" w:cs="Arial"/>
          <w:szCs w:val="26"/>
        </w:rPr>
      </w:pPr>
    </w:p>
    <w:p w14:paraId="160458DF" w14:textId="77777777" w:rsidR="00354887" w:rsidRPr="0092670C" w:rsidRDefault="00323D36" w:rsidP="00354887">
      <w:pPr>
        <w:keepNext/>
        <w:spacing w:line="360" w:lineRule="auto"/>
        <w:jc w:val="center"/>
        <w:rPr>
          <w:rFonts w:ascii="Arial" w:hAnsi="Arial" w:cs="Arial"/>
        </w:rPr>
      </w:pPr>
      <w:r w:rsidRPr="0092670C">
        <w:rPr>
          <w:rFonts w:ascii="Arial" w:hAnsi="Arial" w:cs="Arial"/>
          <w:noProof/>
        </w:rPr>
        <w:drawing>
          <wp:inline distT="0" distB="0" distL="0" distR="0" wp14:anchorId="380AA399" wp14:editId="34F6AA78">
            <wp:extent cx="4914022" cy="413766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8914" cy="4175459"/>
                    </a:xfrm>
                    <a:prstGeom prst="rect">
                      <a:avLst/>
                    </a:prstGeom>
                  </pic:spPr>
                </pic:pic>
              </a:graphicData>
            </a:graphic>
          </wp:inline>
        </w:drawing>
      </w:r>
    </w:p>
    <w:p w14:paraId="45BC0339" w14:textId="12374D00" w:rsidR="00323D36" w:rsidRPr="0092670C" w:rsidRDefault="00354887" w:rsidP="00354887">
      <w:pPr>
        <w:pStyle w:val="Caption"/>
        <w:jc w:val="center"/>
        <w:rPr>
          <w:rFonts w:ascii="Arial" w:eastAsiaTheme="majorEastAsia" w:hAnsi="Arial" w:cs="Arial"/>
          <w:szCs w:val="26"/>
        </w:rPr>
      </w:pPr>
      <w:bookmarkStart w:id="15" w:name="_Ref27584681"/>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bookmarkEnd w:id="15"/>
      <w:r w:rsidRPr="0092670C">
        <w:rPr>
          <w:rFonts w:ascii="Arial" w:hAnsi="Arial" w:cs="Arial"/>
          <w:sz w:val="20"/>
          <w:szCs w:val="20"/>
        </w:rPr>
        <w:t>: Schematic of the effects of EC and PC based electrolytes on graphite</w:t>
      </w:r>
      <w:r w:rsidR="002338D2" w:rsidRPr="0092670C">
        <w:rPr>
          <w:rFonts w:ascii="Arial" w:hAnsi="Arial" w:cs="Arial"/>
          <w:sz w:val="20"/>
          <w:szCs w:val="20"/>
        </w:rPr>
        <w:t xml:space="preserve"> </w:t>
      </w:r>
      <w:r w:rsidR="00B13DBE" w:rsidRPr="0092670C">
        <w:rPr>
          <w:rFonts w:ascii="Arial" w:hAnsi="Arial" w:cs="Arial"/>
          <w:sz w:val="20"/>
          <w:szCs w:val="20"/>
        </w:rPr>
        <w:fldChar w:fldCharType="begin"/>
      </w:r>
      <w:r w:rsidR="004F0EC3">
        <w:rPr>
          <w:rFonts w:ascii="Arial" w:hAnsi="Arial" w:cs="Arial"/>
          <w:sz w:val="20"/>
          <w:szCs w:val="20"/>
        </w:rPr>
        <w:instrText xml:space="preserve"> ADDIN EN.CITE &lt;EndNote&gt;&lt;Cite&gt;&lt;Author&gt;An&lt;/Author&gt;&lt;Year&gt;2016&lt;/Year&gt;&lt;RecNum&gt;146&lt;/RecNum&gt;&lt;DisplayText&gt;[21]&lt;/DisplayText&gt;&lt;record&gt;&lt;rec-number&gt;146&lt;/rec-number&gt;&lt;foreign-keys&gt;&lt;key app="EN" db-id="5sa9s0e0r0d9fnexra7pr5xdwd5ztevx95s2" timestamp="1536588117"&gt;146&lt;/key&gt;&lt;/foreign-keys&gt;&lt;ref-type name="Journal Article"&gt;17&lt;/ref-type&gt;&lt;contributors&gt;&lt;authors&gt;&lt;author&gt;An, Seong Jin&lt;/author&gt;&lt;author&gt;Li, Jianlin&lt;/author&gt;&lt;author&gt;Daniel, Claus&lt;/author&gt;&lt;author&gt;Mohanty, Debasish&lt;/author&gt;&lt;author&gt;Nagpure, Shrikant&lt;/author&gt;&lt;author&gt;Wood, David L.&lt;/author&gt;&lt;/authors&gt;&lt;/contributors&gt;&lt;titles&gt;&lt;title&gt;The state of understanding of the lithium-ion-battery graphite solid electrolyte interphase (SEI) and its relationship to formation cycling&lt;/title&gt;&lt;secondary-title&gt;Carbon&lt;/secondary-title&gt;&lt;/titles&gt;&lt;periodical&gt;&lt;full-title&gt;Carbon&lt;/full-title&gt;&lt;/periodical&gt;&lt;pages&gt;52-76&lt;/pages&gt;&lt;volume&gt;105&lt;/volume&gt;&lt;dates&gt;&lt;year&gt;2016&lt;/year&gt;&lt;pub-dates&gt;&lt;date&gt;2016/08/01/&lt;/date&gt;&lt;/pub-dates&gt;&lt;/dates&gt;&lt;isbn&gt;0008-6223&lt;/isbn&gt;&lt;urls&gt;&lt;related-urls&gt;&lt;url&gt;http://www.sciencedirect.com/science/article/pii/S0008622316302676&lt;/url&gt;&lt;/related-urls&gt;&lt;/urls&gt;&lt;electronic-resource-num&gt;https://doi.org/10.1016/j.carbon.2016.04.008&lt;/electronic-resource-num&gt;&lt;/record&gt;&lt;/Cite&gt;&lt;/EndNote&gt;</w:instrText>
      </w:r>
      <w:r w:rsidR="00B13DBE" w:rsidRPr="0092670C">
        <w:rPr>
          <w:rFonts w:ascii="Arial" w:hAnsi="Arial" w:cs="Arial"/>
          <w:sz w:val="20"/>
          <w:szCs w:val="20"/>
        </w:rPr>
        <w:fldChar w:fldCharType="separate"/>
      </w:r>
      <w:r w:rsidR="004F0EC3">
        <w:rPr>
          <w:rFonts w:ascii="Arial" w:hAnsi="Arial" w:cs="Arial"/>
          <w:noProof/>
          <w:sz w:val="20"/>
          <w:szCs w:val="20"/>
        </w:rPr>
        <w:t>[21]</w:t>
      </w:r>
      <w:r w:rsidR="00B13DBE" w:rsidRPr="0092670C">
        <w:rPr>
          <w:rFonts w:ascii="Arial" w:hAnsi="Arial" w:cs="Arial"/>
          <w:sz w:val="20"/>
          <w:szCs w:val="20"/>
        </w:rPr>
        <w:fldChar w:fldCharType="end"/>
      </w:r>
      <w:r w:rsidR="00AF2227">
        <w:rPr>
          <w:rFonts w:ascii="Arial" w:hAnsi="Arial" w:cs="Arial"/>
          <w:sz w:val="20"/>
          <w:szCs w:val="20"/>
        </w:rPr>
        <w:t>.</w:t>
      </w:r>
    </w:p>
    <w:p w14:paraId="328DE51D" w14:textId="7D110E36" w:rsidR="004645A8" w:rsidRPr="0092670C" w:rsidRDefault="00D45527" w:rsidP="00EC7057">
      <w:pPr>
        <w:spacing w:line="360" w:lineRule="auto"/>
        <w:jc w:val="both"/>
        <w:rPr>
          <w:rFonts w:ascii="Arial" w:eastAsiaTheme="majorEastAsia" w:hAnsi="Arial" w:cs="Arial"/>
          <w:szCs w:val="26"/>
        </w:rPr>
      </w:pPr>
      <w:r w:rsidRPr="0092670C">
        <w:rPr>
          <w:rFonts w:ascii="Arial" w:eastAsiaTheme="majorEastAsia" w:hAnsi="Arial" w:cs="Arial"/>
          <w:szCs w:val="26"/>
        </w:rPr>
        <w:t>P</w:t>
      </w:r>
      <w:r w:rsidR="004D735B" w:rsidRPr="0092670C">
        <w:rPr>
          <w:rFonts w:ascii="Arial" w:eastAsiaTheme="majorEastAsia" w:hAnsi="Arial" w:cs="Arial"/>
          <w:szCs w:val="26"/>
        </w:rPr>
        <w:t>C</w:t>
      </w:r>
      <w:r w:rsidRPr="0092670C">
        <w:rPr>
          <w:rFonts w:ascii="Arial" w:eastAsiaTheme="majorEastAsia" w:hAnsi="Arial" w:cs="Arial"/>
          <w:szCs w:val="26"/>
        </w:rPr>
        <w:t xml:space="preserve"> is a liquid at room </w:t>
      </w:r>
      <w:r w:rsidR="00294000" w:rsidRPr="0092670C">
        <w:rPr>
          <w:rFonts w:ascii="Arial" w:eastAsiaTheme="majorEastAsia" w:hAnsi="Arial" w:cs="Arial"/>
          <w:szCs w:val="26"/>
        </w:rPr>
        <w:t>temperature,</w:t>
      </w:r>
      <w:r w:rsidRPr="0092670C">
        <w:rPr>
          <w:rFonts w:ascii="Arial" w:eastAsiaTheme="majorEastAsia" w:hAnsi="Arial" w:cs="Arial"/>
          <w:szCs w:val="26"/>
        </w:rPr>
        <w:t xml:space="preserve"> </w:t>
      </w:r>
      <w:r w:rsidR="004D735B" w:rsidRPr="0092670C">
        <w:rPr>
          <w:rFonts w:ascii="Arial" w:eastAsiaTheme="majorEastAsia" w:hAnsi="Arial" w:cs="Arial"/>
          <w:szCs w:val="26"/>
        </w:rPr>
        <w:t>and this makes it</w:t>
      </w:r>
      <w:r w:rsidR="00294000" w:rsidRPr="0092670C">
        <w:rPr>
          <w:rFonts w:ascii="Arial" w:eastAsiaTheme="majorEastAsia" w:hAnsi="Arial" w:cs="Arial"/>
          <w:szCs w:val="26"/>
        </w:rPr>
        <w:t xml:space="preserve"> easier to </w:t>
      </w:r>
      <w:r w:rsidR="00BC1A76" w:rsidRPr="0092670C">
        <w:rPr>
          <w:rFonts w:ascii="Arial" w:eastAsiaTheme="majorEastAsia" w:hAnsi="Arial" w:cs="Arial"/>
          <w:szCs w:val="26"/>
        </w:rPr>
        <w:t>use when manufacturing electrolytes</w:t>
      </w:r>
      <w:r w:rsidR="00D9081B" w:rsidRPr="0092670C">
        <w:rPr>
          <w:rFonts w:ascii="Arial" w:eastAsiaTheme="majorEastAsia" w:hAnsi="Arial" w:cs="Arial"/>
          <w:szCs w:val="26"/>
        </w:rPr>
        <w:t xml:space="preserve">. </w:t>
      </w:r>
      <w:r w:rsidR="00ED7CE0" w:rsidRPr="0092670C">
        <w:rPr>
          <w:rFonts w:ascii="Arial" w:eastAsiaTheme="majorEastAsia" w:hAnsi="Arial" w:cs="Arial"/>
          <w:szCs w:val="26"/>
        </w:rPr>
        <w:t xml:space="preserve">The </w:t>
      </w:r>
      <w:r w:rsidR="003C752A" w:rsidRPr="0092670C">
        <w:rPr>
          <w:rFonts w:ascii="Arial" w:eastAsiaTheme="majorEastAsia" w:hAnsi="Arial" w:cs="Arial"/>
          <w:szCs w:val="26"/>
        </w:rPr>
        <w:t xml:space="preserve">use of </w:t>
      </w:r>
      <w:r w:rsidR="006B4049" w:rsidRPr="0092670C">
        <w:rPr>
          <w:rFonts w:ascii="Arial" w:eastAsiaTheme="majorEastAsia" w:hAnsi="Arial" w:cs="Arial"/>
          <w:szCs w:val="26"/>
        </w:rPr>
        <w:t xml:space="preserve">PC can be problematic </w:t>
      </w:r>
      <w:r w:rsidR="00701655" w:rsidRPr="0092670C">
        <w:rPr>
          <w:rFonts w:ascii="Arial" w:eastAsiaTheme="majorEastAsia" w:hAnsi="Arial" w:cs="Arial"/>
          <w:szCs w:val="26"/>
        </w:rPr>
        <w:t xml:space="preserve">as it </w:t>
      </w:r>
      <w:r w:rsidR="002850D0" w:rsidRPr="0092670C">
        <w:rPr>
          <w:rFonts w:ascii="Arial" w:eastAsiaTheme="majorEastAsia" w:hAnsi="Arial" w:cs="Arial"/>
          <w:szCs w:val="26"/>
        </w:rPr>
        <w:t>is prone to co-intercalate into graphite with Li</w:t>
      </w:r>
      <w:r w:rsidR="003506D9">
        <w:rPr>
          <w:rFonts w:ascii="Arial" w:eastAsiaTheme="majorEastAsia" w:hAnsi="Arial" w:cs="Arial"/>
          <w:szCs w:val="26"/>
        </w:rPr>
        <w:t xml:space="preserve"> </w:t>
      </w:r>
      <w:r w:rsidR="003506D9">
        <w:rPr>
          <w:rFonts w:ascii="Arial" w:eastAsiaTheme="majorEastAsia" w:hAnsi="Arial" w:cs="Arial"/>
          <w:szCs w:val="26"/>
        </w:rPr>
        <w:fldChar w:fldCharType="begin"/>
      </w:r>
      <w:r w:rsidR="003506D9">
        <w:rPr>
          <w:rFonts w:ascii="Arial" w:eastAsiaTheme="majorEastAsia" w:hAnsi="Arial" w:cs="Arial"/>
          <w:szCs w:val="26"/>
        </w:rPr>
        <w:instrText xml:space="preserve"> ADDIN EN.CITE &lt;EndNote&gt;&lt;Cite&gt;&lt;Author&gt;An&lt;/Author&gt;&lt;Year&gt;2016&lt;/Year&gt;&lt;RecNum&gt;146&lt;/RecNum&gt;&lt;DisplayText&gt;[21]&lt;/DisplayText&gt;&lt;record&gt;&lt;rec-number&gt;146&lt;/rec-number&gt;&lt;foreign-keys&gt;&lt;key app="EN" db-id="5sa9s0e0r0d9fnexra7pr5xdwd5ztevx95s2" timestamp="1536588117"&gt;146&lt;/key&gt;&lt;/foreign-keys&gt;&lt;ref-type name="Journal Article"&gt;17&lt;/ref-type&gt;&lt;contributors&gt;&lt;authors&gt;&lt;author&gt;An, Seong Jin&lt;/author&gt;&lt;author&gt;Li, Jianlin&lt;/author&gt;&lt;author&gt;Daniel, Claus&lt;/author&gt;&lt;author&gt;Mohanty, Debasish&lt;/author&gt;&lt;author&gt;Nagpure, Shrikant&lt;/author&gt;&lt;author&gt;Wood, David L.&lt;/author&gt;&lt;/authors&gt;&lt;/contributors&gt;&lt;titles&gt;&lt;title&gt;The state of understanding of the lithium-ion-battery graphite solid electrolyte interphase (SEI) and its relationship to formation cycling&lt;/title&gt;&lt;secondary-title&gt;Carbon&lt;/secondary-title&gt;&lt;/titles&gt;&lt;periodical&gt;&lt;full-title&gt;Carbon&lt;/full-title&gt;&lt;/periodical&gt;&lt;pages&gt;52-76&lt;/pages&gt;&lt;volume&gt;105&lt;/volume&gt;&lt;dates&gt;&lt;year&gt;2016&lt;/year&gt;&lt;pub-dates&gt;&lt;date&gt;2016/08/01/&lt;/date&gt;&lt;/pub-dates&gt;&lt;/dates&gt;&lt;isbn&gt;0008-6223&lt;/isbn&gt;&lt;urls&gt;&lt;related-urls&gt;&lt;url&gt;http://www.sciencedirect.com/science/article/pii/S0008622316302676&lt;/url&gt;&lt;/related-urls&gt;&lt;/urls&gt;&lt;electronic-resource-num&gt;https://doi.org/10.1016/j.carbon.2016.04.008&lt;/electronic-resource-num&gt;&lt;/record&gt;&lt;/Cite&gt;&lt;/EndNote&gt;</w:instrText>
      </w:r>
      <w:r w:rsidR="003506D9">
        <w:rPr>
          <w:rFonts w:ascii="Arial" w:eastAsiaTheme="majorEastAsia" w:hAnsi="Arial" w:cs="Arial"/>
          <w:szCs w:val="26"/>
        </w:rPr>
        <w:fldChar w:fldCharType="separate"/>
      </w:r>
      <w:r w:rsidR="003506D9">
        <w:rPr>
          <w:rFonts w:ascii="Arial" w:eastAsiaTheme="majorEastAsia" w:hAnsi="Arial" w:cs="Arial"/>
          <w:noProof/>
          <w:szCs w:val="26"/>
        </w:rPr>
        <w:t>[21]</w:t>
      </w:r>
      <w:r w:rsidR="003506D9">
        <w:rPr>
          <w:rFonts w:ascii="Arial" w:eastAsiaTheme="majorEastAsia" w:hAnsi="Arial" w:cs="Arial"/>
          <w:szCs w:val="26"/>
        </w:rPr>
        <w:fldChar w:fldCharType="end"/>
      </w:r>
      <w:r w:rsidR="002850D0" w:rsidRPr="0092670C">
        <w:rPr>
          <w:rFonts w:ascii="Arial" w:eastAsiaTheme="majorEastAsia" w:hAnsi="Arial" w:cs="Arial"/>
          <w:szCs w:val="26"/>
        </w:rPr>
        <w:t xml:space="preserve">. This PC can then degrade </w:t>
      </w:r>
      <w:r w:rsidR="00094AEE" w:rsidRPr="0092670C">
        <w:rPr>
          <w:rFonts w:ascii="Arial" w:eastAsiaTheme="majorEastAsia" w:hAnsi="Arial" w:cs="Arial"/>
          <w:szCs w:val="26"/>
        </w:rPr>
        <w:t xml:space="preserve">leading to a pressure build up that causes </w:t>
      </w:r>
      <w:r w:rsidR="001F0F31" w:rsidRPr="0092670C">
        <w:rPr>
          <w:rFonts w:ascii="Arial" w:eastAsiaTheme="majorEastAsia" w:hAnsi="Arial" w:cs="Arial"/>
          <w:szCs w:val="26"/>
        </w:rPr>
        <w:t xml:space="preserve">the </w:t>
      </w:r>
      <w:r w:rsidR="00094AEE" w:rsidRPr="0092670C">
        <w:rPr>
          <w:rFonts w:ascii="Arial" w:eastAsiaTheme="majorEastAsia" w:hAnsi="Arial" w:cs="Arial"/>
          <w:szCs w:val="26"/>
        </w:rPr>
        <w:t>graphite</w:t>
      </w:r>
      <w:r w:rsidR="001F0F31" w:rsidRPr="0092670C">
        <w:rPr>
          <w:rFonts w:ascii="Arial" w:eastAsiaTheme="majorEastAsia" w:hAnsi="Arial" w:cs="Arial"/>
          <w:szCs w:val="26"/>
        </w:rPr>
        <w:t xml:space="preserve"> to</w:t>
      </w:r>
      <w:r w:rsidR="00094AEE" w:rsidRPr="0092670C">
        <w:rPr>
          <w:rFonts w:ascii="Arial" w:eastAsiaTheme="majorEastAsia" w:hAnsi="Arial" w:cs="Arial"/>
          <w:szCs w:val="26"/>
        </w:rPr>
        <w:t xml:space="preserve"> exfoliat</w:t>
      </w:r>
      <w:r w:rsidR="001F0F31" w:rsidRPr="0092670C">
        <w:rPr>
          <w:rFonts w:ascii="Arial" w:eastAsiaTheme="majorEastAsia" w:hAnsi="Arial" w:cs="Arial"/>
          <w:szCs w:val="26"/>
        </w:rPr>
        <w:t>e</w:t>
      </w:r>
      <w:r w:rsidR="0046218D" w:rsidRPr="0092670C">
        <w:rPr>
          <w:rFonts w:ascii="Arial" w:eastAsiaTheme="majorEastAsia" w:hAnsi="Arial" w:cs="Arial"/>
          <w:szCs w:val="26"/>
        </w:rPr>
        <w:t xml:space="preserve">, which can be seen in </w:t>
      </w:r>
      <w:r w:rsidR="0046218D" w:rsidRPr="0092670C">
        <w:rPr>
          <w:rFonts w:ascii="Arial" w:eastAsiaTheme="majorEastAsia" w:hAnsi="Arial" w:cs="Arial"/>
          <w:szCs w:val="28"/>
        </w:rPr>
        <w:fldChar w:fldCharType="begin"/>
      </w:r>
      <w:r w:rsidR="0046218D" w:rsidRPr="0092670C">
        <w:rPr>
          <w:rFonts w:ascii="Arial" w:eastAsiaTheme="majorEastAsia" w:hAnsi="Arial" w:cs="Arial"/>
          <w:szCs w:val="28"/>
        </w:rPr>
        <w:instrText xml:space="preserve"> REF _Ref27584681 \h </w:instrText>
      </w:r>
      <w:r w:rsidR="00E21DCD" w:rsidRPr="0092670C">
        <w:rPr>
          <w:rFonts w:ascii="Arial" w:eastAsiaTheme="majorEastAsia" w:hAnsi="Arial" w:cs="Arial"/>
          <w:szCs w:val="28"/>
        </w:rPr>
        <w:instrText xml:space="preserve"> \* MERGEFORMAT </w:instrText>
      </w:r>
      <w:r w:rsidR="0046218D" w:rsidRPr="0092670C">
        <w:rPr>
          <w:rFonts w:ascii="Arial" w:eastAsiaTheme="majorEastAsia" w:hAnsi="Arial" w:cs="Arial"/>
          <w:szCs w:val="28"/>
        </w:rPr>
      </w:r>
      <w:r w:rsidR="0046218D" w:rsidRPr="0092670C">
        <w:rPr>
          <w:rFonts w:ascii="Arial" w:eastAsiaTheme="majorEastAsia" w:hAnsi="Arial" w:cs="Arial"/>
          <w:szCs w:val="28"/>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5</w:t>
      </w:r>
      <w:r w:rsidR="0046218D" w:rsidRPr="0092670C">
        <w:rPr>
          <w:rFonts w:ascii="Arial" w:eastAsiaTheme="majorEastAsia" w:hAnsi="Arial" w:cs="Arial"/>
          <w:szCs w:val="28"/>
        </w:rPr>
        <w:fldChar w:fldCharType="end"/>
      </w:r>
      <w:r w:rsidR="00504DC3" w:rsidRPr="0092670C">
        <w:rPr>
          <w:rFonts w:ascii="Arial" w:eastAsiaTheme="majorEastAsia" w:hAnsi="Arial" w:cs="Arial"/>
          <w:szCs w:val="26"/>
        </w:rPr>
        <w:t>. T</w:t>
      </w:r>
      <w:r w:rsidR="001F0F31" w:rsidRPr="0092670C">
        <w:rPr>
          <w:rFonts w:ascii="Arial" w:eastAsiaTheme="majorEastAsia" w:hAnsi="Arial" w:cs="Arial"/>
          <w:szCs w:val="26"/>
        </w:rPr>
        <w:t xml:space="preserve">his exfoliation can lead to excessive early capacity fade. </w:t>
      </w:r>
      <w:r w:rsidR="002D5D6C" w:rsidRPr="0092670C">
        <w:rPr>
          <w:rFonts w:ascii="Arial" w:eastAsiaTheme="majorEastAsia" w:hAnsi="Arial" w:cs="Arial"/>
          <w:szCs w:val="26"/>
        </w:rPr>
        <w:t>Th</w:t>
      </w:r>
      <w:r w:rsidR="0066371D" w:rsidRPr="0092670C">
        <w:rPr>
          <w:rFonts w:ascii="Arial" w:eastAsiaTheme="majorEastAsia" w:hAnsi="Arial" w:cs="Arial"/>
          <w:szCs w:val="26"/>
        </w:rPr>
        <w:t>is issue can be avoided by using ethylene carbonate (EC)</w:t>
      </w:r>
      <w:r w:rsidR="008E29A1" w:rsidRPr="0092670C">
        <w:rPr>
          <w:rFonts w:ascii="Arial" w:eastAsiaTheme="majorEastAsia" w:hAnsi="Arial" w:cs="Arial"/>
          <w:szCs w:val="26"/>
        </w:rPr>
        <w:t xml:space="preserve"> based electrolytes</w:t>
      </w:r>
      <w:r w:rsidR="0066371D" w:rsidRPr="0092670C">
        <w:rPr>
          <w:rFonts w:ascii="Arial" w:eastAsiaTheme="majorEastAsia" w:hAnsi="Arial" w:cs="Arial"/>
          <w:szCs w:val="26"/>
        </w:rPr>
        <w:t xml:space="preserve">. </w:t>
      </w:r>
      <w:r w:rsidR="000B1D3A" w:rsidRPr="0092670C">
        <w:rPr>
          <w:rFonts w:ascii="Arial" w:eastAsiaTheme="majorEastAsia" w:hAnsi="Arial" w:cs="Arial"/>
          <w:szCs w:val="26"/>
        </w:rPr>
        <w:t xml:space="preserve">Whilst EC can </w:t>
      </w:r>
      <w:r w:rsidR="00C1614E" w:rsidRPr="0092670C">
        <w:rPr>
          <w:rFonts w:ascii="Arial" w:eastAsiaTheme="majorEastAsia" w:hAnsi="Arial" w:cs="Arial"/>
          <w:szCs w:val="26"/>
        </w:rPr>
        <w:t xml:space="preserve">mitigate the issue of graphite exfoliation it is a solid at room temperature </w:t>
      </w:r>
      <w:r w:rsidR="00C05954" w:rsidRPr="0092670C">
        <w:rPr>
          <w:rFonts w:ascii="Arial" w:eastAsiaTheme="majorEastAsia" w:hAnsi="Arial" w:cs="Arial"/>
          <w:szCs w:val="26"/>
        </w:rPr>
        <w:t>and th</w:t>
      </w:r>
      <w:r w:rsidR="007371F2" w:rsidRPr="0092670C">
        <w:rPr>
          <w:rFonts w:ascii="Arial" w:eastAsiaTheme="majorEastAsia" w:hAnsi="Arial" w:cs="Arial"/>
          <w:szCs w:val="26"/>
        </w:rPr>
        <w:t xml:space="preserve">is </w:t>
      </w:r>
      <w:r w:rsidR="00356005" w:rsidRPr="0092670C">
        <w:rPr>
          <w:rFonts w:ascii="Arial" w:eastAsiaTheme="majorEastAsia" w:hAnsi="Arial" w:cs="Arial"/>
          <w:szCs w:val="26"/>
        </w:rPr>
        <w:t xml:space="preserve">poses difficulties when </w:t>
      </w:r>
      <w:r w:rsidR="00886E57" w:rsidRPr="0092670C">
        <w:rPr>
          <w:rFonts w:ascii="Arial" w:eastAsiaTheme="majorEastAsia" w:hAnsi="Arial" w:cs="Arial"/>
          <w:szCs w:val="26"/>
        </w:rPr>
        <w:t>manufacturing the electrolyte</w:t>
      </w:r>
      <w:r w:rsidR="00E36790">
        <w:rPr>
          <w:rFonts w:ascii="Arial" w:eastAsiaTheme="majorEastAsia" w:hAnsi="Arial" w:cs="Arial"/>
          <w:szCs w:val="26"/>
        </w:rPr>
        <w:t>, hence the need for linear carbonates</w:t>
      </w:r>
      <w:r w:rsidR="003506D9">
        <w:rPr>
          <w:rFonts w:ascii="Arial" w:eastAsiaTheme="majorEastAsia" w:hAnsi="Arial" w:cs="Arial"/>
          <w:szCs w:val="26"/>
        </w:rPr>
        <w:t xml:space="preserve"> to make a liquid solution at room temperature</w:t>
      </w:r>
      <w:r w:rsidR="00886E57" w:rsidRPr="0092670C">
        <w:rPr>
          <w:rFonts w:ascii="Arial" w:eastAsiaTheme="majorEastAsia" w:hAnsi="Arial" w:cs="Arial"/>
          <w:szCs w:val="26"/>
        </w:rPr>
        <w:t>.</w:t>
      </w:r>
      <w:r w:rsidR="00733EE7">
        <w:rPr>
          <w:rFonts w:ascii="Arial" w:eastAsiaTheme="majorEastAsia" w:hAnsi="Arial" w:cs="Arial"/>
          <w:szCs w:val="26"/>
        </w:rPr>
        <w:t xml:space="preserve"> </w:t>
      </w:r>
    </w:p>
    <w:p w14:paraId="3EAAE5F2" w14:textId="36C30CB9" w:rsidR="00294000" w:rsidRPr="0092670C" w:rsidRDefault="00294000"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The linear carbonates are </w:t>
      </w:r>
      <w:r w:rsidR="00A07D13" w:rsidRPr="0092670C">
        <w:rPr>
          <w:rFonts w:ascii="Arial" w:eastAsiaTheme="majorEastAsia" w:hAnsi="Arial" w:cs="Arial"/>
          <w:szCs w:val="26"/>
        </w:rPr>
        <w:t xml:space="preserve">typically </w:t>
      </w:r>
      <w:r w:rsidRPr="0092670C">
        <w:rPr>
          <w:rFonts w:ascii="Arial" w:eastAsiaTheme="majorEastAsia" w:hAnsi="Arial" w:cs="Arial"/>
          <w:szCs w:val="26"/>
        </w:rPr>
        <w:t xml:space="preserve">small </w:t>
      </w:r>
      <w:r w:rsidR="00886E57" w:rsidRPr="0092670C">
        <w:rPr>
          <w:rFonts w:ascii="Arial" w:eastAsiaTheme="majorEastAsia" w:hAnsi="Arial" w:cs="Arial"/>
          <w:szCs w:val="26"/>
        </w:rPr>
        <w:t xml:space="preserve">molecules </w:t>
      </w:r>
      <w:r w:rsidR="00A2596A" w:rsidRPr="0092670C">
        <w:rPr>
          <w:rFonts w:ascii="Arial" w:eastAsiaTheme="majorEastAsia" w:hAnsi="Arial" w:cs="Arial"/>
          <w:szCs w:val="26"/>
        </w:rPr>
        <w:t xml:space="preserve">that </w:t>
      </w:r>
      <w:r w:rsidR="00A07D13" w:rsidRPr="0092670C">
        <w:rPr>
          <w:rFonts w:ascii="Arial" w:eastAsiaTheme="majorEastAsia" w:hAnsi="Arial" w:cs="Arial"/>
          <w:szCs w:val="26"/>
        </w:rPr>
        <w:t>are less</w:t>
      </w:r>
      <w:r w:rsidR="00B7171C" w:rsidRPr="0092670C">
        <w:rPr>
          <w:rFonts w:ascii="Arial" w:eastAsiaTheme="majorEastAsia" w:hAnsi="Arial" w:cs="Arial"/>
          <w:szCs w:val="26"/>
        </w:rPr>
        <w:t xml:space="preserve"> polar </w:t>
      </w:r>
      <w:r w:rsidR="00A07D13" w:rsidRPr="0092670C">
        <w:rPr>
          <w:rFonts w:ascii="Arial" w:eastAsiaTheme="majorEastAsia" w:hAnsi="Arial" w:cs="Arial"/>
          <w:szCs w:val="26"/>
        </w:rPr>
        <w:t>than</w:t>
      </w:r>
      <w:r w:rsidR="00B7171C" w:rsidRPr="0092670C">
        <w:rPr>
          <w:rFonts w:ascii="Arial" w:eastAsiaTheme="majorEastAsia" w:hAnsi="Arial" w:cs="Arial"/>
          <w:szCs w:val="26"/>
        </w:rPr>
        <w:t xml:space="preserve"> the </w:t>
      </w:r>
      <w:r w:rsidR="000B347A" w:rsidRPr="0092670C">
        <w:rPr>
          <w:rFonts w:ascii="Arial" w:eastAsiaTheme="majorEastAsia" w:hAnsi="Arial" w:cs="Arial"/>
          <w:szCs w:val="26"/>
        </w:rPr>
        <w:t>cyclic carbonates. The</w:t>
      </w:r>
      <w:r w:rsidR="00F901C9" w:rsidRPr="0092670C">
        <w:rPr>
          <w:rFonts w:ascii="Arial" w:eastAsiaTheme="majorEastAsia" w:hAnsi="Arial" w:cs="Arial"/>
          <w:szCs w:val="26"/>
        </w:rPr>
        <w:t xml:space="preserve"> three most commonly seen are </w:t>
      </w:r>
      <w:r w:rsidR="008566F9" w:rsidRPr="0092670C">
        <w:rPr>
          <w:rFonts w:ascii="Arial" w:eastAsiaTheme="majorEastAsia" w:hAnsi="Arial" w:cs="Arial"/>
          <w:szCs w:val="26"/>
        </w:rPr>
        <w:t xml:space="preserve">diethyl carbonate (DEC), </w:t>
      </w:r>
      <w:r w:rsidR="004E737A" w:rsidRPr="0092670C">
        <w:rPr>
          <w:rFonts w:ascii="Arial" w:eastAsiaTheme="majorEastAsia" w:hAnsi="Arial" w:cs="Arial"/>
          <w:szCs w:val="26"/>
        </w:rPr>
        <w:t xml:space="preserve">dimethyl carbonate </w:t>
      </w:r>
      <w:r w:rsidR="00A53184" w:rsidRPr="0092670C">
        <w:rPr>
          <w:rFonts w:ascii="Arial" w:eastAsiaTheme="majorEastAsia" w:hAnsi="Arial" w:cs="Arial"/>
          <w:szCs w:val="26"/>
        </w:rPr>
        <w:t>(DMC) and ethyl methyl carbonate (EMC)</w:t>
      </w:r>
      <w:r w:rsidR="003C7DCD" w:rsidRPr="0092670C">
        <w:rPr>
          <w:rFonts w:ascii="Arial" w:eastAsiaTheme="majorEastAsia" w:hAnsi="Arial" w:cs="Arial"/>
          <w:szCs w:val="26"/>
        </w:rPr>
        <w:t xml:space="preserve"> with their chemical structures shown in </w:t>
      </w:r>
      <w:r w:rsidR="003C7DCD" w:rsidRPr="0092670C">
        <w:rPr>
          <w:rFonts w:ascii="Arial" w:eastAsiaTheme="majorEastAsia" w:hAnsi="Arial" w:cs="Arial"/>
        </w:rPr>
        <w:fldChar w:fldCharType="begin"/>
      </w:r>
      <w:r w:rsidR="003C7DCD" w:rsidRPr="0092670C">
        <w:rPr>
          <w:rFonts w:ascii="Arial" w:eastAsiaTheme="majorEastAsia" w:hAnsi="Arial" w:cs="Arial"/>
        </w:rPr>
        <w:instrText xml:space="preserve"> REF _Ref34339533 \h  \* MERGEFORMAT </w:instrText>
      </w:r>
      <w:r w:rsidR="003C7DCD" w:rsidRPr="0092670C">
        <w:rPr>
          <w:rFonts w:ascii="Arial" w:eastAsiaTheme="majorEastAsia" w:hAnsi="Arial" w:cs="Arial"/>
        </w:rPr>
      </w:r>
      <w:r w:rsidR="003C7DCD" w:rsidRPr="0092670C">
        <w:rPr>
          <w:rFonts w:ascii="Arial" w:eastAsiaTheme="majorEastAsia"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6</w:t>
      </w:r>
      <w:r w:rsidR="003C7DCD" w:rsidRPr="0092670C">
        <w:rPr>
          <w:rFonts w:ascii="Arial" w:eastAsiaTheme="majorEastAsia" w:hAnsi="Arial" w:cs="Arial"/>
        </w:rPr>
        <w:fldChar w:fldCharType="end"/>
      </w:r>
      <w:r w:rsidR="003B3774" w:rsidRPr="0092670C">
        <w:rPr>
          <w:rFonts w:ascii="Arial" w:eastAsiaTheme="majorEastAsia" w:hAnsi="Arial" w:cs="Arial"/>
          <w:szCs w:val="26"/>
        </w:rPr>
        <w:t xml:space="preserve">. </w:t>
      </w:r>
      <w:r w:rsidR="00881090" w:rsidRPr="0092670C">
        <w:rPr>
          <w:rFonts w:ascii="Arial" w:eastAsiaTheme="majorEastAsia" w:hAnsi="Arial" w:cs="Arial"/>
          <w:szCs w:val="26"/>
        </w:rPr>
        <w:t>Th</w:t>
      </w:r>
      <w:r w:rsidR="00D302FF" w:rsidRPr="0092670C">
        <w:rPr>
          <w:rFonts w:ascii="Arial" w:eastAsiaTheme="majorEastAsia" w:hAnsi="Arial" w:cs="Arial"/>
          <w:szCs w:val="26"/>
        </w:rPr>
        <w:t>ese two types of carbonates</w:t>
      </w:r>
      <w:r w:rsidR="00E32FFA" w:rsidRPr="0092670C">
        <w:rPr>
          <w:rFonts w:ascii="Arial" w:eastAsiaTheme="majorEastAsia" w:hAnsi="Arial" w:cs="Arial"/>
          <w:szCs w:val="26"/>
        </w:rPr>
        <w:t xml:space="preserve"> can then be</w:t>
      </w:r>
      <w:r w:rsidR="00D302FF" w:rsidRPr="0092670C">
        <w:rPr>
          <w:rFonts w:ascii="Arial" w:eastAsiaTheme="majorEastAsia" w:hAnsi="Arial" w:cs="Arial"/>
          <w:szCs w:val="26"/>
        </w:rPr>
        <w:t xml:space="preserve"> combine</w:t>
      </w:r>
      <w:r w:rsidR="00E32FFA" w:rsidRPr="0092670C">
        <w:rPr>
          <w:rFonts w:ascii="Arial" w:eastAsiaTheme="majorEastAsia" w:hAnsi="Arial" w:cs="Arial"/>
          <w:szCs w:val="26"/>
        </w:rPr>
        <w:t>d</w:t>
      </w:r>
      <w:r w:rsidR="00D302FF" w:rsidRPr="0092670C">
        <w:rPr>
          <w:rFonts w:ascii="Arial" w:eastAsiaTheme="majorEastAsia" w:hAnsi="Arial" w:cs="Arial"/>
          <w:szCs w:val="26"/>
        </w:rPr>
        <w:t xml:space="preserve"> to give an electrolyte with the </w:t>
      </w:r>
      <w:r w:rsidR="004C0BB2" w:rsidRPr="0092670C">
        <w:rPr>
          <w:rFonts w:ascii="Arial" w:eastAsiaTheme="majorEastAsia" w:hAnsi="Arial" w:cs="Arial"/>
          <w:szCs w:val="26"/>
        </w:rPr>
        <w:t xml:space="preserve">physical </w:t>
      </w:r>
      <w:r w:rsidR="00CF58B4" w:rsidRPr="0092670C">
        <w:rPr>
          <w:rFonts w:ascii="Arial" w:eastAsiaTheme="majorEastAsia" w:hAnsi="Arial" w:cs="Arial"/>
          <w:szCs w:val="26"/>
        </w:rPr>
        <w:t xml:space="preserve">characteristics </w:t>
      </w:r>
      <w:r w:rsidR="004C0BB2" w:rsidRPr="0092670C">
        <w:rPr>
          <w:rFonts w:ascii="Arial" w:eastAsiaTheme="majorEastAsia" w:hAnsi="Arial" w:cs="Arial"/>
          <w:szCs w:val="26"/>
        </w:rPr>
        <w:t xml:space="preserve">that are </w:t>
      </w:r>
      <w:r w:rsidR="00CF58B4" w:rsidRPr="0092670C">
        <w:rPr>
          <w:rFonts w:ascii="Arial" w:eastAsiaTheme="majorEastAsia" w:hAnsi="Arial" w:cs="Arial"/>
          <w:szCs w:val="26"/>
        </w:rPr>
        <w:t xml:space="preserve">ideal for </w:t>
      </w:r>
      <w:r w:rsidR="004C0BB2" w:rsidRPr="0092670C">
        <w:rPr>
          <w:rFonts w:ascii="Arial" w:eastAsiaTheme="majorEastAsia" w:hAnsi="Arial" w:cs="Arial"/>
          <w:szCs w:val="26"/>
        </w:rPr>
        <w:t xml:space="preserve">the electrolyte. </w:t>
      </w:r>
      <w:r w:rsidR="00E36790" w:rsidRPr="0092670C">
        <w:rPr>
          <w:rFonts w:ascii="Arial" w:eastAsiaTheme="majorEastAsia" w:hAnsi="Arial" w:cs="Arial"/>
          <w:szCs w:val="26"/>
        </w:rPr>
        <w:t xml:space="preserve">For a list of common electrolyte materials and their properties see </w:t>
      </w:r>
      <w:r w:rsidR="00E36790" w:rsidRPr="00804CAD">
        <w:rPr>
          <w:rFonts w:ascii="Arial" w:eastAsiaTheme="majorEastAsia" w:hAnsi="Arial" w:cs="Arial"/>
        </w:rPr>
        <w:fldChar w:fldCharType="begin"/>
      </w:r>
      <w:r w:rsidR="00E36790" w:rsidRPr="00804CAD">
        <w:rPr>
          <w:rFonts w:ascii="Arial" w:eastAsiaTheme="majorEastAsia" w:hAnsi="Arial" w:cs="Arial"/>
        </w:rPr>
        <w:instrText xml:space="preserve"> REF _Ref44864057 \h  \* MERGEFORMAT </w:instrText>
      </w:r>
      <w:r w:rsidR="00E36790" w:rsidRPr="00804CAD">
        <w:rPr>
          <w:rFonts w:ascii="Arial" w:eastAsiaTheme="majorEastAsia" w:hAnsi="Arial" w:cs="Arial"/>
        </w:rPr>
      </w:r>
      <w:r w:rsidR="00E36790" w:rsidRPr="00804CAD">
        <w:rPr>
          <w:rFonts w:ascii="Arial" w:eastAsiaTheme="majorEastAsia" w:hAnsi="Arial" w:cs="Arial"/>
        </w:rPr>
        <w:fldChar w:fldCharType="separate"/>
      </w:r>
      <w:r w:rsidR="00E36790" w:rsidRPr="00804CAD">
        <w:rPr>
          <w:rFonts w:ascii="Arial" w:hAnsi="Arial" w:cs="Arial"/>
        </w:rPr>
        <w:t xml:space="preserve">Table </w:t>
      </w:r>
      <w:r w:rsidR="00E36790" w:rsidRPr="00804CAD">
        <w:rPr>
          <w:rFonts w:ascii="Arial" w:hAnsi="Arial" w:cs="Arial"/>
          <w:noProof/>
        </w:rPr>
        <w:t>1</w:t>
      </w:r>
      <w:r w:rsidR="00E36790" w:rsidRPr="00804CAD">
        <w:rPr>
          <w:rFonts w:ascii="Arial" w:hAnsi="Arial" w:cs="Arial"/>
        </w:rPr>
        <w:noBreakHyphen/>
      </w:r>
      <w:r w:rsidR="00E36790" w:rsidRPr="00804CAD">
        <w:rPr>
          <w:rFonts w:ascii="Arial" w:hAnsi="Arial" w:cs="Arial"/>
          <w:noProof/>
        </w:rPr>
        <w:t>1</w:t>
      </w:r>
      <w:r w:rsidR="00E36790" w:rsidRPr="00804CAD">
        <w:rPr>
          <w:rFonts w:ascii="Arial" w:eastAsiaTheme="majorEastAsia" w:hAnsi="Arial" w:cs="Arial"/>
        </w:rPr>
        <w:fldChar w:fldCharType="end"/>
      </w:r>
      <w:r w:rsidR="00E36790" w:rsidRPr="0092670C">
        <w:rPr>
          <w:rFonts w:ascii="Arial" w:eastAsiaTheme="majorEastAsia" w:hAnsi="Arial" w:cs="Arial"/>
          <w:szCs w:val="26"/>
        </w:rPr>
        <w:t xml:space="preserve"> on page</w:t>
      </w:r>
      <w:r w:rsidR="00E36790">
        <w:rPr>
          <w:rFonts w:ascii="Arial" w:eastAsiaTheme="majorEastAsia" w:hAnsi="Arial" w:cs="Arial"/>
          <w:szCs w:val="26"/>
        </w:rPr>
        <w:t xml:space="preserve"> </w:t>
      </w:r>
      <w:r w:rsidR="00E36790">
        <w:rPr>
          <w:rFonts w:ascii="Arial" w:eastAsiaTheme="majorEastAsia" w:hAnsi="Arial" w:cs="Arial"/>
          <w:szCs w:val="26"/>
        </w:rPr>
        <w:fldChar w:fldCharType="begin"/>
      </w:r>
      <w:r w:rsidR="00E36790">
        <w:rPr>
          <w:rFonts w:ascii="Arial" w:eastAsiaTheme="majorEastAsia" w:hAnsi="Arial" w:cs="Arial"/>
          <w:szCs w:val="26"/>
        </w:rPr>
        <w:instrText xml:space="preserve"> PAGEREF _Ref44864087 \h </w:instrText>
      </w:r>
      <w:r w:rsidR="00E36790">
        <w:rPr>
          <w:rFonts w:ascii="Arial" w:eastAsiaTheme="majorEastAsia" w:hAnsi="Arial" w:cs="Arial"/>
          <w:szCs w:val="26"/>
        </w:rPr>
      </w:r>
      <w:r w:rsidR="00E36790">
        <w:rPr>
          <w:rFonts w:ascii="Arial" w:eastAsiaTheme="majorEastAsia" w:hAnsi="Arial" w:cs="Arial"/>
          <w:szCs w:val="26"/>
        </w:rPr>
        <w:fldChar w:fldCharType="separate"/>
      </w:r>
      <w:r w:rsidR="00E36790">
        <w:rPr>
          <w:rFonts w:ascii="Arial" w:eastAsiaTheme="majorEastAsia" w:hAnsi="Arial" w:cs="Arial"/>
          <w:noProof/>
          <w:szCs w:val="26"/>
        </w:rPr>
        <w:t>16</w:t>
      </w:r>
      <w:r w:rsidR="00E36790">
        <w:rPr>
          <w:rFonts w:ascii="Arial" w:eastAsiaTheme="majorEastAsia" w:hAnsi="Arial" w:cs="Arial"/>
          <w:szCs w:val="26"/>
        </w:rPr>
        <w:fldChar w:fldCharType="end"/>
      </w:r>
      <w:r w:rsidR="00E36790">
        <w:rPr>
          <w:rFonts w:ascii="Arial" w:eastAsiaTheme="majorEastAsia" w:hAnsi="Arial" w:cs="Arial"/>
          <w:szCs w:val="26"/>
        </w:rPr>
        <w:t>.</w:t>
      </w:r>
    </w:p>
    <w:p w14:paraId="087254DC" w14:textId="6BD421CF" w:rsidR="00643F9D" w:rsidRPr="0092670C" w:rsidRDefault="0067644A" w:rsidP="00643F9D">
      <w:pPr>
        <w:keepNext/>
        <w:spacing w:line="360" w:lineRule="auto"/>
        <w:jc w:val="both"/>
        <w:rPr>
          <w:rFonts w:ascii="Arial" w:hAnsi="Arial" w:cs="Arial"/>
        </w:rPr>
      </w:pPr>
      <w:r w:rsidRPr="0092670C">
        <w:rPr>
          <w:rFonts w:ascii="Arial" w:hAnsi="Arial" w:cs="Arial"/>
          <w:noProof/>
        </w:rPr>
      </w:r>
      <w:r w:rsidR="0067644A" w:rsidRPr="0092670C">
        <w:rPr>
          <w:rFonts w:ascii="Arial" w:hAnsi="Arial" w:cs="Arial"/>
          <w:noProof/>
        </w:rPr>
        <w:object w:dxaOrig="2158" w:dyaOrig="1141" w14:anchorId="7A25875F">
          <v:shape id="_x0000_i1027" type="#_x0000_t75" style="width:90pt;height:47.9pt" o:ole="">
            <v:imagedata r:id="rId22" o:title=""/>
          </v:shape>
          <o:OLEObject Type="Embed" ProgID="ChemDraw.Document.6.0" ShapeID="_x0000_i1027" DrawAspect="Content" ObjectID="_1700733916" r:id="rId23"/>
        </w:object>
      </w:r>
      <w:r w:rsidR="004D068E" w:rsidRPr="0092670C">
        <w:rPr>
          <w:rFonts w:ascii="Arial" w:hAnsi="Arial" w:cs="Arial"/>
        </w:rPr>
        <w:t xml:space="preserve"> </w:t>
      </w:r>
      <w:r w:rsidR="005E6FD3" w:rsidRPr="0092670C">
        <w:rPr>
          <w:rFonts w:ascii="Arial" w:hAnsi="Arial" w:cs="Arial"/>
        </w:rPr>
        <w:t xml:space="preserve">      </w:t>
      </w:r>
      <w:r w:rsidRPr="0092670C">
        <w:rPr>
          <w:rFonts w:ascii="Arial" w:hAnsi="Arial" w:cs="Arial"/>
          <w:noProof/>
        </w:rPr>
      </w:r>
      <w:r w:rsidR="0067644A" w:rsidRPr="0092670C">
        <w:rPr>
          <w:rFonts w:ascii="Arial" w:hAnsi="Arial" w:cs="Arial"/>
          <w:noProof/>
        </w:rPr>
        <w:object w:dxaOrig="2679" w:dyaOrig="1141" w14:anchorId="61DF1951">
          <v:shape id="_x0000_i1028" type="#_x0000_t75" style="width:108pt;height:47.9pt" o:ole="">
            <v:imagedata r:id="rId24" o:title=""/>
          </v:shape>
          <o:OLEObject Type="Embed" ProgID="ChemDraw.Document.6.0" ShapeID="_x0000_i1028" DrawAspect="Content" ObjectID="_1700733917" r:id="rId25"/>
        </w:object>
      </w:r>
      <w:r w:rsidR="00963D5D" w:rsidRPr="0092670C">
        <w:rPr>
          <w:rFonts w:ascii="Arial" w:hAnsi="Arial" w:cs="Arial"/>
        </w:rPr>
        <w:t xml:space="preserve"> </w:t>
      </w:r>
      <w:r w:rsidR="005E6FD3" w:rsidRPr="0092670C">
        <w:rPr>
          <w:rFonts w:ascii="Arial" w:hAnsi="Arial" w:cs="Arial"/>
        </w:rPr>
        <w:t xml:space="preserve">       </w:t>
      </w:r>
      <w:r w:rsidRPr="0092670C">
        <w:rPr>
          <w:rFonts w:ascii="Arial" w:hAnsi="Arial" w:cs="Arial"/>
          <w:noProof/>
        </w:rPr>
      </w:r>
      <w:r w:rsidR="0067644A" w:rsidRPr="0092670C">
        <w:rPr>
          <w:rFonts w:ascii="Arial" w:hAnsi="Arial" w:cs="Arial"/>
          <w:noProof/>
        </w:rPr>
        <w:object w:dxaOrig="3195" w:dyaOrig="1141" w14:anchorId="68B62C6F">
          <v:shape id="_x0000_i1029" type="#_x0000_t75" style="width:137.9pt;height:47.9pt" o:ole="">
            <v:imagedata r:id="rId26" o:title=""/>
          </v:shape>
          <o:OLEObject Type="Embed" ProgID="ChemDraw.Document.6.0" ShapeID="_x0000_i1029" DrawAspect="Content" ObjectID="_1700733918" r:id="rId27"/>
        </w:object>
      </w:r>
    </w:p>
    <w:p w14:paraId="49AD7DC9" w14:textId="250D893E" w:rsidR="008D7EE7" w:rsidRPr="00B97230" w:rsidRDefault="00643F9D" w:rsidP="00643F9D">
      <w:pPr>
        <w:pStyle w:val="Caption"/>
        <w:jc w:val="center"/>
        <w:rPr>
          <w:rFonts w:ascii="Arial" w:eastAsiaTheme="majorEastAsia" w:hAnsi="Arial" w:cs="Arial"/>
          <w:sz w:val="20"/>
          <w:szCs w:val="28"/>
        </w:rPr>
      </w:pPr>
      <w:bookmarkStart w:id="16" w:name="_Ref34339533"/>
      <w:r w:rsidRPr="00B97230">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bookmarkEnd w:id="16"/>
      <w:r w:rsidRPr="00B97230">
        <w:rPr>
          <w:rFonts w:ascii="Arial" w:hAnsi="Arial" w:cs="Arial"/>
          <w:sz w:val="20"/>
          <w:szCs w:val="20"/>
        </w:rPr>
        <w:t>: Chemical structures from left to right of DMC, EMC and DEC</w:t>
      </w:r>
      <w:r w:rsidR="00454BC4" w:rsidRPr="00B97230">
        <w:rPr>
          <w:rFonts w:ascii="Arial" w:hAnsi="Arial" w:cs="Arial"/>
          <w:sz w:val="20"/>
          <w:szCs w:val="20"/>
        </w:rPr>
        <w:t>.</w:t>
      </w:r>
    </w:p>
    <w:p w14:paraId="1B6C5C9E" w14:textId="73DA93FE" w:rsidR="000A6EE9" w:rsidRPr="00F06CB2" w:rsidRDefault="00955BFC"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The Li salts are typically </w:t>
      </w:r>
      <w:r w:rsidR="001662A3">
        <w:rPr>
          <w:rFonts w:ascii="Arial" w:eastAsiaTheme="majorEastAsia" w:hAnsi="Arial" w:cs="Arial"/>
          <w:szCs w:val="26"/>
        </w:rPr>
        <w:t>weakly</w:t>
      </w:r>
      <w:r w:rsidR="001662A3" w:rsidRPr="0092670C">
        <w:rPr>
          <w:rFonts w:ascii="Arial" w:eastAsiaTheme="majorEastAsia" w:hAnsi="Arial" w:cs="Arial"/>
          <w:szCs w:val="26"/>
        </w:rPr>
        <w:t xml:space="preserve"> coordinating</w:t>
      </w:r>
      <w:r w:rsidRPr="0092670C">
        <w:rPr>
          <w:rFonts w:ascii="Arial" w:eastAsiaTheme="majorEastAsia" w:hAnsi="Arial" w:cs="Arial"/>
          <w:szCs w:val="26"/>
        </w:rPr>
        <w:t>. The most common</w:t>
      </w:r>
      <w:r w:rsidR="002B514E" w:rsidRPr="0092670C">
        <w:rPr>
          <w:rFonts w:ascii="Arial" w:eastAsiaTheme="majorEastAsia" w:hAnsi="Arial" w:cs="Arial"/>
          <w:szCs w:val="26"/>
        </w:rPr>
        <w:t xml:space="preserve"> ones</w:t>
      </w:r>
      <w:r w:rsidRPr="0092670C">
        <w:rPr>
          <w:rFonts w:ascii="Arial" w:eastAsiaTheme="majorEastAsia" w:hAnsi="Arial" w:cs="Arial"/>
          <w:szCs w:val="26"/>
        </w:rPr>
        <w:t xml:space="preserve"> </w:t>
      </w:r>
      <w:r w:rsidR="002B514E" w:rsidRPr="0092670C">
        <w:rPr>
          <w:rFonts w:ascii="Arial" w:eastAsiaTheme="majorEastAsia" w:hAnsi="Arial" w:cs="Arial"/>
          <w:szCs w:val="26"/>
        </w:rPr>
        <w:t xml:space="preserve">encountered </w:t>
      </w:r>
      <w:r w:rsidRPr="0092670C">
        <w:rPr>
          <w:rFonts w:ascii="Arial" w:eastAsiaTheme="majorEastAsia" w:hAnsi="Arial" w:cs="Arial"/>
          <w:szCs w:val="26"/>
        </w:rPr>
        <w:t>in research</w:t>
      </w:r>
      <w:r w:rsidR="00DA2427" w:rsidRPr="0092670C">
        <w:rPr>
          <w:rFonts w:ascii="Arial" w:eastAsiaTheme="majorEastAsia" w:hAnsi="Arial" w:cs="Arial"/>
          <w:szCs w:val="26"/>
        </w:rPr>
        <w:t xml:space="preserve"> are </w:t>
      </w:r>
      <w:r w:rsidR="002B514E" w:rsidRPr="0092670C">
        <w:rPr>
          <w:rFonts w:ascii="Arial" w:eastAsiaTheme="majorEastAsia" w:hAnsi="Arial" w:cs="Arial"/>
          <w:szCs w:val="26"/>
        </w:rPr>
        <w:t>LiPF</w:t>
      </w:r>
      <w:r w:rsidR="00823902" w:rsidRPr="0092670C">
        <w:rPr>
          <w:rFonts w:ascii="Arial" w:eastAsiaTheme="majorEastAsia" w:hAnsi="Arial" w:cs="Arial"/>
          <w:szCs w:val="26"/>
          <w:vertAlign w:val="subscript"/>
        </w:rPr>
        <w:t>6</w:t>
      </w:r>
      <w:r w:rsidR="00823902" w:rsidRPr="0092670C">
        <w:rPr>
          <w:rFonts w:ascii="Arial" w:eastAsiaTheme="majorEastAsia" w:hAnsi="Arial" w:cs="Arial"/>
          <w:szCs w:val="26"/>
        </w:rPr>
        <w:t>, LiBF</w:t>
      </w:r>
      <w:r w:rsidR="00823902" w:rsidRPr="0092670C">
        <w:rPr>
          <w:rFonts w:ascii="Arial" w:eastAsiaTheme="majorEastAsia" w:hAnsi="Arial" w:cs="Arial"/>
          <w:szCs w:val="26"/>
          <w:vertAlign w:val="subscript"/>
        </w:rPr>
        <w:t>4</w:t>
      </w:r>
      <w:r w:rsidR="00E27C80" w:rsidRPr="0092670C">
        <w:rPr>
          <w:rFonts w:ascii="Arial" w:eastAsiaTheme="majorEastAsia" w:hAnsi="Arial" w:cs="Arial"/>
          <w:szCs w:val="26"/>
        </w:rPr>
        <w:t>, LiC</w:t>
      </w:r>
      <w:r w:rsidR="00246B2E" w:rsidRPr="0092670C">
        <w:rPr>
          <w:rFonts w:ascii="Arial" w:eastAsiaTheme="majorEastAsia" w:hAnsi="Arial" w:cs="Arial"/>
          <w:szCs w:val="26"/>
        </w:rPr>
        <w:t>lO</w:t>
      </w:r>
      <w:r w:rsidR="00246B2E" w:rsidRPr="0092670C">
        <w:rPr>
          <w:rFonts w:ascii="Arial" w:eastAsiaTheme="majorEastAsia" w:hAnsi="Arial" w:cs="Arial"/>
          <w:szCs w:val="26"/>
          <w:vertAlign w:val="subscript"/>
        </w:rPr>
        <w:t>4</w:t>
      </w:r>
      <w:r w:rsidR="001D7943" w:rsidRPr="0092670C">
        <w:rPr>
          <w:rFonts w:ascii="Arial" w:eastAsiaTheme="majorEastAsia" w:hAnsi="Arial" w:cs="Arial"/>
          <w:szCs w:val="26"/>
        </w:rPr>
        <w:t>, LiAsF</w:t>
      </w:r>
      <w:r w:rsidR="001D7943" w:rsidRPr="0092670C">
        <w:rPr>
          <w:rFonts w:ascii="Arial" w:eastAsiaTheme="majorEastAsia" w:hAnsi="Arial" w:cs="Arial"/>
          <w:szCs w:val="26"/>
          <w:vertAlign w:val="subscript"/>
        </w:rPr>
        <w:t>6</w:t>
      </w:r>
      <w:r w:rsidR="00A85A44">
        <w:rPr>
          <w:rFonts w:ascii="Arial" w:eastAsiaTheme="majorEastAsia" w:hAnsi="Arial" w:cs="Arial"/>
          <w:szCs w:val="26"/>
        </w:rPr>
        <w:t>,</w:t>
      </w:r>
      <w:r w:rsidR="007532E4" w:rsidRPr="0092670C">
        <w:rPr>
          <w:rFonts w:ascii="Arial" w:eastAsiaTheme="majorEastAsia" w:hAnsi="Arial" w:cs="Arial"/>
          <w:szCs w:val="26"/>
        </w:rPr>
        <w:t xml:space="preserve"> </w:t>
      </w:r>
      <w:r w:rsidR="00D23ECD" w:rsidRPr="0092670C">
        <w:rPr>
          <w:rFonts w:ascii="Arial" w:eastAsiaTheme="majorEastAsia" w:hAnsi="Arial" w:cs="Arial"/>
          <w:szCs w:val="26"/>
        </w:rPr>
        <w:t>Li</w:t>
      </w:r>
      <w:r w:rsidR="00297ED0" w:rsidRPr="0092670C">
        <w:rPr>
          <w:rFonts w:ascii="Arial" w:eastAsiaTheme="majorEastAsia" w:hAnsi="Arial" w:cs="Arial"/>
          <w:szCs w:val="26"/>
        </w:rPr>
        <w:t>N</w:t>
      </w:r>
      <w:r w:rsidR="00540F5A" w:rsidRPr="0092670C">
        <w:rPr>
          <w:rFonts w:ascii="Arial" w:eastAsiaTheme="majorEastAsia" w:hAnsi="Arial" w:cs="Arial"/>
          <w:szCs w:val="26"/>
        </w:rPr>
        <w:t>(</w:t>
      </w:r>
      <w:r w:rsidR="0023194E" w:rsidRPr="0092670C">
        <w:rPr>
          <w:rFonts w:ascii="Arial" w:eastAsiaTheme="majorEastAsia" w:hAnsi="Arial" w:cs="Arial"/>
          <w:szCs w:val="26"/>
        </w:rPr>
        <w:t>SO</w:t>
      </w:r>
      <w:r w:rsidR="0023194E" w:rsidRPr="0092670C">
        <w:rPr>
          <w:rFonts w:ascii="Arial" w:eastAsiaTheme="majorEastAsia" w:hAnsi="Arial" w:cs="Arial"/>
          <w:szCs w:val="26"/>
          <w:vertAlign w:val="subscript"/>
        </w:rPr>
        <w:t>2</w:t>
      </w:r>
      <w:r w:rsidR="0023194E" w:rsidRPr="0092670C">
        <w:rPr>
          <w:rFonts w:ascii="Arial" w:eastAsiaTheme="majorEastAsia" w:hAnsi="Arial" w:cs="Arial"/>
          <w:szCs w:val="26"/>
        </w:rPr>
        <w:t>F)</w:t>
      </w:r>
      <w:r w:rsidR="0023194E" w:rsidRPr="0092670C">
        <w:rPr>
          <w:rFonts w:ascii="Arial" w:eastAsiaTheme="majorEastAsia" w:hAnsi="Arial" w:cs="Arial"/>
          <w:szCs w:val="26"/>
          <w:vertAlign w:val="subscript"/>
        </w:rPr>
        <w:t>2</w:t>
      </w:r>
      <w:r w:rsidR="005216FA">
        <w:rPr>
          <w:rFonts w:ascii="Arial" w:eastAsiaTheme="majorEastAsia" w:hAnsi="Arial" w:cs="Arial"/>
          <w:szCs w:val="26"/>
        </w:rPr>
        <w:t xml:space="preserve"> (</w:t>
      </w:r>
      <w:r w:rsidR="00C6664F" w:rsidRPr="0092670C">
        <w:rPr>
          <w:rFonts w:ascii="Arial" w:eastAsiaTheme="majorEastAsia" w:hAnsi="Arial" w:cs="Arial"/>
          <w:szCs w:val="26"/>
        </w:rPr>
        <w:t>LiFS</w:t>
      </w:r>
      <w:r w:rsidR="00BC7024" w:rsidRPr="0092670C">
        <w:rPr>
          <w:rFonts w:ascii="Arial" w:eastAsiaTheme="majorEastAsia" w:hAnsi="Arial" w:cs="Arial"/>
          <w:szCs w:val="26"/>
        </w:rPr>
        <w:t>I</w:t>
      </w:r>
      <w:r w:rsidR="005216FA">
        <w:rPr>
          <w:rFonts w:ascii="Arial" w:eastAsiaTheme="majorEastAsia" w:hAnsi="Arial" w:cs="Arial"/>
          <w:szCs w:val="26"/>
        </w:rPr>
        <w:t xml:space="preserve">) and </w:t>
      </w:r>
      <w:r w:rsidR="00761FAE">
        <w:rPr>
          <w:rFonts w:ascii="Arial" w:eastAsiaTheme="majorEastAsia" w:hAnsi="Arial" w:cs="Arial"/>
          <w:szCs w:val="26"/>
        </w:rPr>
        <w:t>LiN</w:t>
      </w:r>
      <w:r w:rsidR="00CC3763">
        <w:rPr>
          <w:rFonts w:ascii="Arial" w:eastAsiaTheme="majorEastAsia" w:hAnsi="Arial" w:cs="Arial"/>
          <w:szCs w:val="26"/>
        </w:rPr>
        <w:t>(SO</w:t>
      </w:r>
      <w:r w:rsidR="00CC3763" w:rsidRPr="00CC3763">
        <w:rPr>
          <w:rFonts w:ascii="Arial" w:eastAsiaTheme="majorEastAsia" w:hAnsi="Arial" w:cs="Arial"/>
          <w:szCs w:val="26"/>
          <w:vertAlign w:val="subscript"/>
        </w:rPr>
        <w:t>2</w:t>
      </w:r>
      <w:r w:rsidR="00CC3763">
        <w:rPr>
          <w:rFonts w:ascii="Arial" w:eastAsiaTheme="majorEastAsia" w:hAnsi="Arial" w:cs="Arial"/>
          <w:szCs w:val="26"/>
        </w:rPr>
        <w:t>CF</w:t>
      </w:r>
      <w:r w:rsidR="00CC3763" w:rsidRPr="00CC3763">
        <w:rPr>
          <w:rFonts w:ascii="Arial" w:eastAsiaTheme="majorEastAsia" w:hAnsi="Arial" w:cs="Arial"/>
          <w:szCs w:val="26"/>
          <w:vertAlign w:val="subscript"/>
        </w:rPr>
        <w:t>3</w:t>
      </w:r>
      <w:r w:rsidR="00CC3763">
        <w:rPr>
          <w:rFonts w:ascii="Arial" w:eastAsiaTheme="majorEastAsia" w:hAnsi="Arial" w:cs="Arial"/>
          <w:szCs w:val="26"/>
        </w:rPr>
        <w:t>)</w:t>
      </w:r>
      <w:r w:rsidR="00CC3763" w:rsidRPr="00CC3763">
        <w:rPr>
          <w:rFonts w:ascii="Arial" w:eastAsiaTheme="majorEastAsia" w:hAnsi="Arial" w:cs="Arial"/>
          <w:szCs w:val="26"/>
          <w:vertAlign w:val="subscript"/>
        </w:rPr>
        <w:t>2</w:t>
      </w:r>
      <w:r w:rsidR="00DE2CDE">
        <w:rPr>
          <w:rFonts w:ascii="Arial" w:eastAsiaTheme="majorEastAsia" w:hAnsi="Arial" w:cs="Arial"/>
          <w:szCs w:val="26"/>
        </w:rPr>
        <w:t xml:space="preserve"> </w:t>
      </w:r>
      <w:r w:rsidR="00CC3763">
        <w:rPr>
          <w:rFonts w:ascii="Arial" w:eastAsiaTheme="majorEastAsia" w:hAnsi="Arial" w:cs="Arial"/>
          <w:szCs w:val="26"/>
        </w:rPr>
        <w:t>(</w:t>
      </w:r>
      <w:r w:rsidR="00DE2CDE">
        <w:rPr>
          <w:rFonts w:ascii="Arial" w:eastAsiaTheme="majorEastAsia" w:hAnsi="Arial" w:cs="Arial"/>
          <w:szCs w:val="26"/>
        </w:rPr>
        <w:t>LiTFSI).</w:t>
      </w:r>
      <w:r w:rsidR="00171582" w:rsidRPr="0092670C">
        <w:rPr>
          <w:rFonts w:ascii="Arial" w:eastAsiaTheme="majorEastAsia" w:hAnsi="Arial" w:cs="Arial"/>
          <w:szCs w:val="26"/>
        </w:rPr>
        <w:t xml:space="preserve"> </w:t>
      </w:r>
      <w:r w:rsidR="000A6EE9">
        <w:rPr>
          <w:rFonts w:ascii="Arial" w:eastAsiaTheme="majorEastAsia" w:hAnsi="Arial" w:cs="Arial"/>
          <w:szCs w:val="26"/>
        </w:rPr>
        <w:t>LiClO</w:t>
      </w:r>
      <w:r w:rsidR="000A6EE9">
        <w:rPr>
          <w:rFonts w:ascii="Arial" w:eastAsiaTheme="majorEastAsia" w:hAnsi="Arial" w:cs="Arial"/>
          <w:szCs w:val="26"/>
          <w:vertAlign w:val="subscript"/>
        </w:rPr>
        <w:t xml:space="preserve">4 </w:t>
      </w:r>
      <w:r w:rsidR="000A6EE9">
        <w:rPr>
          <w:rFonts w:ascii="Arial" w:eastAsiaTheme="majorEastAsia" w:hAnsi="Arial" w:cs="Arial"/>
          <w:szCs w:val="26"/>
        </w:rPr>
        <w:t xml:space="preserve">is not used </w:t>
      </w:r>
      <w:r w:rsidR="005550E0">
        <w:rPr>
          <w:rFonts w:ascii="Arial" w:eastAsiaTheme="majorEastAsia" w:hAnsi="Arial" w:cs="Arial"/>
          <w:szCs w:val="26"/>
        </w:rPr>
        <w:t>commercially</w:t>
      </w:r>
      <w:r w:rsidR="000A6EE9">
        <w:rPr>
          <w:rFonts w:ascii="Arial" w:eastAsiaTheme="majorEastAsia" w:hAnsi="Arial" w:cs="Arial"/>
          <w:szCs w:val="26"/>
        </w:rPr>
        <w:t xml:space="preserve"> due</w:t>
      </w:r>
      <w:r w:rsidR="005550E0">
        <w:rPr>
          <w:rFonts w:ascii="Arial" w:eastAsiaTheme="majorEastAsia" w:hAnsi="Arial" w:cs="Arial"/>
          <w:szCs w:val="26"/>
        </w:rPr>
        <w:t xml:space="preserve"> to its explosive </w:t>
      </w:r>
      <w:r w:rsidR="00CF7A8C">
        <w:rPr>
          <w:rFonts w:ascii="Arial" w:eastAsiaTheme="majorEastAsia" w:hAnsi="Arial" w:cs="Arial"/>
          <w:szCs w:val="26"/>
        </w:rPr>
        <w:t>characteristics</w:t>
      </w:r>
      <w:r w:rsidR="006E1F4B">
        <w:rPr>
          <w:rFonts w:ascii="Arial" w:eastAsiaTheme="majorEastAsia" w:hAnsi="Arial" w:cs="Arial"/>
          <w:szCs w:val="26"/>
        </w:rPr>
        <w:t xml:space="preserve"> </w:t>
      </w:r>
      <w:r w:rsidR="006E1F4B">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&lt;EndNote&gt;&lt;Cite&gt;&lt;Author&gt;Xu&lt;/Author&gt;&lt;Year&gt;2004&lt;/Year&gt;&lt;RecNum&gt;366&lt;/RecNum&gt;&lt;DisplayText&gt;[22]&lt;/DisplayText&gt;&lt;record&gt;&lt;rec-number&gt;366&lt;/rec-number&gt;&lt;foreign-keys&gt;&lt;key app="EN" db-id="5sa9s0e0r0d9fnexra7pr5xdwd5ztevx95s2" timestamp="1630769699"&gt;366&lt;/key&gt;&lt;/foreign-keys&gt;&lt;ref-type name="Journal Article"&gt;17&lt;/ref-type&gt;&lt;contributors&gt;&lt;authors&gt;&lt;author&gt;Xu, Kang&lt;/author&gt;&lt;/authors&gt;&lt;/contributors&gt;&lt;titles&gt;&lt;title&gt;Nonaqueous Liquid Electrolytes for Lithium-Based Rechargeable Batteries&lt;/title&gt;&lt;secondary-title&gt;Chemical Reviews&lt;/secondary-title&gt;&lt;/titles&gt;&lt;periodical&gt;&lt;full-title&gt;Chemical Reviews&lt;/full-title&gt;&lt;/periodical&gt;&lt;pages&gt;4303-4418&lt;/pages&gt;&lt;volume&gt;104&lt;/volume&gt;&lt;number&gt;10&lt;/number&gt;&lt;dates&gt;&lt;year&gt;2004&lt;/year&gt;&lt;pub-dates&gt;&lt;date&gt;2004/10/01&lt;/date&gt;&lt;/pub-dates&gt;&lt;/dates&gt;&lt;publisher&gt;American Chemical Society&lt;/publisher&gt;&lt;isbn&gt;0009-2665&lt;/isbn&gt;&lt;urls&gt;&lt;related-urls&gt;&lt;url&gt;https://doi.org/10.1021/cr030203g&lt;/url&gt;&lt;/related-urls&gt;&lt;/urls&gt;&lt;electronic-resource-num&gt;10.1021/cr030203g&lt;/electronic-resource-num&gt;&lt;/record&gt;&lt;/Cite&gt;&lt;/EndNote&gt;</w:instrText>
      </w:r>
      <w:r w:rsidR="006E1F4B">
        <w:rPr>
          <w:rFonts w:ascii="Arial" w:eastAsiaTheme="majorEastAsia" w:hAnsi="Arial" w:cs="Arial"/>
          <w:szCs w:val="26"/>
        </w:rPr>
        <w:fldChar w:fldCharType="separate"/>
      </w:r>
      <w:r w:rsidR="004F0EC3">
        <w:rPr>
          <w:rFonts w:ascii="Arial" w:eastAsiaTheme="majorEastAsia" w:hAnsi="Arial" w:cs="Arial"/>
          <w:noProof/>
          <w:szCs w:val="26"/>
        </w:rPr>
        <w:t>[22]</w:t>
      </w:r>
      <w:r w:rsidR="006E1F4B">
        <w:rPr>
          <w:rFonts w:ascii="Arial" w:eastAsiaTheme="majorEastAsia" w:hAnsi="Arial" w:cs="Arial"/>
          <w:szCs w:val="26"/>
        </w:rPr>
        <w:fldChar w:fldCharType="end"/>
      </w:r>
      <w:r w:rsidR="00CF7A8C">
        <w:rPr>
          <w:rFonts w:ascii="Arial" w:eastAsiaTheme="majorEastAsia" w:hAnsi="Arial" w:cs="Arial"/>
          <w:szCs w:val="26"/>
        </w:rPr>
        <w:t xml:space="preserve">. </w:t>
      </w:r>
      <w:r w:rsidR="006A5107" w:rsidRPr="0092670C">
        <w:rPr>
          <w:rFonts w:ascii="Arial" w:eastAsiaTheme="majorEastAsia" w:hAnsi="Arial" w:cs="Arial"/>
          <w:szCs w:val="26"/>
        </w:rPr>
        <w:t>LiAsF</w:t>
      </w:r>
      <w:r w:rsidR="006A5107" w:rsidRPr="0092670C">
        <w:rPr>
          <w:rFonts w:ascii="Arial" w:eastAsiaTheme="majorEastAsia" w:hAnsi="Arial" w:cs="Arial"/>
          <w:szCs w:val="26"/>
          <w:vertAlign w:val="subscript"/>
        </w:rPr>
        <w:t>6</w:t>
      </w:r>
      <w:r w:rsidR="006A5107">
        <w:rPr>
          <w:rFonts w:ascii="Arial" w:eastAsiaTheme="majorEastAsia" w:hAnsi="Arial" w:cs="Arial"/>
          <w:szCs w:val="26"/>
          <w:vertAlign w:val="subscript"/>
        </w:rPr>
        <w:t xml:space="preserve"> </w:t>
      </w:r>
      <w:r w:rsidR="006A5107">
        <w:rPr>
          <w:rFonts w:ascii="Arial" w:eastAsiaTheme="majorEastAsia" w:hAnsi="Arial" w:cs="Arial"/>
          <w:szCs w:val="26"/>
        </w:rPr>
        <w:t xml:space="preserve">cannot be used </w:t>
      </w:r>
      <w:r w:rsidR="00B53EED">
        <w:rPr>
          <w:rFonts w:ascii="Arial" w:eastAsiaTheme="majorEastAsia" w:hAnsi="Arial" w:cs="Arial"/>
          <w:szCs w:val="26"/>
        </w:rPr>
        <w:t>commercially</w:t>
      </w:r>
      <w:r w:rsidR="006A5107">
        <w:rPr>
          <w:rFonts w:ascii="Arial" w:eastAsiaTheme="majorEastAsia" w:hAnsi="Arial" w:cs="Arial"/>
          <w:szCs w:val="26"/>
        </w:rPr>
        <w:t xml:space="preserve"> due to the high </w:t>
      </w:r>
      <w:r w:rsidR="00B53EED">
        <w:rPr>
          <w:rFonts w:ascii="Arial" w:eastAsiaTheme="majorEastAsia" w:hAnsi="Arial" w:cs="Arial"/>
          <w:szCs w:val="26"/>
        </w:rPr>
        <w:t>toxicity</w:t>
      </w:r>
      <w:r w:rsidR="006A5107">
        <w:rPr>
          <w:rFonts w:ascii="Arial" w:eastAsiaTheme="majorEastAsia" w:hAnsi="Arial" w:cs="Arial"/>
          <w:szCs w:val="26"/>
        </w:rPr>
        <w:t xml:space="preserve"> of </w:t>
      </w:r>
      <w:r w:rsidR="00B53EED">
        <w:rPr>
          <w:rFonts w:ascii="Arial" w:eastAsiaTheme="majorEastAsia" w:hAnsi="Arial" w:cs="Arial"/>
          <w:szCs w:val="26"/>
        </w:rPr>
        <w:t xml:space="preserve">As </w:t>
      </w:r>
      <w:r w:rsidR="00B53EED">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&lt;EndNote&gt;&lt;Cite&gt;&lt;Author&gt;Xu&lt;/Author&gt;&lt;Year&gt;2004&lt;/Year&gt;&lt;RecNum&gt;366&lt;/RecNum&gt;&lt;DisplayText&gt;[22]&lt;/DisplayText&gt;&lt;record&gt;&lt;rec-number&gt;366&lt;/rec-number&gt;&lt;foreign-keys&gt;&lt;key app="EN" db-id="5sa9s0e0r0d9fnexra7pr5xdwd5ztevx95s2" timestamp="1630769699"&gt;366&lt;/key&gt;&lt;/foreign-keys&gt;&lt;ref-type name="Journal Article"&gt;17&lt;/ref-type&gt;&lt;contributors&gt;&lt;authors&gt;&lt;author&gt;Xu, Kang&lt;/author&gt;&lt;/authors&gt;&lt;/contributors&gt;&lt;titles&gt;&lt;title&gt;Nonaqueous Liquid Electrolytes for Lithium-Based Rechargeable Batteries&lt;/title&gt;&lt;secondary-title&gt;Chemical Reviews&lt;/secondary-title&gt;&lt;/titles&gt;&lt;periodical&gt;&lt;full-title&gt;Chemical Reviews&lt;/full-title&gt;&lt;/periodical&gt;&lt;pages&gt;4303-4418&lt;/pages&gt;&lt;volume&gt;104&lt;/volume&gt;&lt;number&gt;10&lt;/number&gt;&lt;dates&gt;&lt;year&gt;2004&lt;/year&gt;&lt;pub-dates&gt;&lt;date&gt;2004/10/01&lt;/date&gt;&lt;/pub-dates&gt;&lt;/dates&gt;&lt;publisher&gt;American Chemical Society&lt;/publisher&gt;&lt;isbn&gt;0009-2665&lt;/isbn&gt;&lt;urls&gt;&lt;related-urls&gt;&lt;url&gt;https://doi.org/10.1021/cr030203g&lt;/url&gt;&lt;/related-urls&gt;&lt;/urls&gt;&lt;electronic-resource-num&gt;10.1021/cr030203g&lt;/electronic-resource-num&gt;&lt;/record&gt;&lt;/Cite&gt;&lt;/EndNote&gt;</w:instrText>
      </w:r>
      <w:r w:rsidR="00B53EED">
        <w:rPr>
          <w:rFonts w:ascii="Arial" w:eastAsiaTheme="majorEastAsia" w:hAnsi="Arial" w:cs="Arial"/>
          <w:szCs w:val="26"/>
        </w:rPr>
        <w:fldChar w:fldCharType="separate"/>
      </w:r>
      <w:r w:rsidR="004F0EC3">
        <w:rPr>
          <w:rFonts w:ascii="Arial" w:eastAsiaTheme="majorEastAsia" w:hAnsi="Arial" w:cs="Arial"/>
          <w:noProof/>
          <w:szCs w:val="26"/>
        </w:rPr>
        <w:t>[22]</w:t>
      </w:r>
      <w:r w:rsidR="00B53EED">
        <w:rPr>
          <w:rFonts w:ascii="Arial" w:eastAsiaTheme="majorEastAsia" w:hAnsi="Arial" w:cs="Arial"/>
          <w:szCs w:val="26"/>
        </w:rPr>
        <w:fldChar w:fldCharType="end"/>
      </w:r>
      <w:r w:rsidR="00B53EED">
        <w:rPr>
          <w:rFonts w:ascii="Arial" w:eastAsiaTheme="majorEastAsia" w:hAnsi="Arial" w:cs="Arial"/>
          <w:szCs w:val="26"/>
        </w:rPr>
        <w:t>.</w:t>
      </w:r>
      <w:r w:rsidR="00507BD3">
        <w:rPr>
          <w:rFonts w:ascii="Arial" w:eastAsiaTheme="majorEastAsia" w:hAnsi="Arial" w:cs="Arial"/>
          <w:szCs w:val="26"/>
        </w:rPr>
        <w:t xml:space="preserve"> </w:t>
      </w:r>
      <w:r w:rsidR="00FE3C8E" w:rsidRPr="0092670C">
        <w:rPr>
          <w:rFonts w:ascii="Arial" w:eastAsiaTheme="majorEastAsia" w:hAnsi="Arial" w:cs="Arial"/>
          <w:szCs w:val="26"/>
        </w:rPr>
        <w:t>LiBF</w:t>
      </w:r>
      <w:r w:rsidR="00FE3C8E" w:rsidRPr="0092670C">
        <w:rPr>
          <w:rFonts w:ascii="Arial" w:eastAsiaTheme="majorEastAsia" w:hAnsi="Arial" w:cs="Arial"/>
          <w:szCs w:val="26"/>
          <w:vertAlign w:val="subscript"/>
        </w:rPr>
        <w:t>4</w:t>
      </w:r>
      <w:r w:rsidR="00FE3C8E">
        <w:rPr>
          <w:rFonts w:ascii="Arial" w:eastAsiaTheme="majorEastAsia" w:hAnsi="Arial" w:cs="Arial"/>
          <w:szCs w:val="26"/>
        </w:rPr>
        <w:t xml:space="preserve"> is </w:t>
      </w:r>
      <w:r w:rsidR="007D340F">
        <w:rPr>
          <w:rFonts w:ascii="Arial" w:eastAsiaTheme="majorEastAsia" w:hAnsi="Arial" w:cs="Arial"/>
          <w:szCs w:val="26"/>
        </w:rPr>
        <w:t>not often used due to its poor ionic conductivity</w:t>
      </w:r>
      <w:r w:rsidR="00B6673E">
        <w:rPr>
          <w:rFonts w:ascii="Arial" w:eastAsiaTheme="majorEastAsia" w:hAnsi="Arial" w:cs="Arial"/>
          <w:szCs w:val="26"/>
        </w:rPr>
        <w:t xml:space="preserve">. This only leaves the two salts that are used commercially: </w:t>
      </w:r>
      <w:r w:rsidR="00B6673E" w:rsidRPr="0092670C">
        <w:rPr>
          <w:rFonts w:ascii="Arial" w:eastAsiaTheme="majorEastAsia" w:hAnsi="Arial" w:cs="Arial"/>
          <w:szCs w:val="26"/>
        </w:rPr>
        <w:t>LiPF</w:t>
      </w:r>
      <w:r w:rsidR="00B6673E" w:rsidRPr="0092670C">
        <w:rPr>
          <w:rFonts w:ascii="Arial" w:eastAsiaTheme="majorEastAsia" w:hAnsi="Arial" w:cs="Arial"/>
          <w:szCs w:val="26"/>
          <w:vertAlign w:val="subscript"/>
        </w:rPr>
        <w:t>6</w:t>
      </w:r>
      <w:r w:rsidR="00B6673E">
        <w:rPr>
          <w:rFonts w:ascii="Arial" w:eastAsiaTheme="majorEastAsia" w:hAnsi="Arial" w:cs="Arial"/>
          <w:szCs w:val="26"/>
          <w:vertAlign w:val="subscript"/>
        </w:rPr>
        <w:t xml:space="preserve"> </w:t>
      </w:r>
      <w:r w:rsidR="00B6673E">
        <w:rPr>
          <w:rFonts w:ascii="Arial" w:eastAsiaTheme="majorEastAsia" w:hAnsi="Arial" w:cs="Arial"/>
          <w:szCs w:val="26"/>
        </w:rPr>
        <w:t>and LiFSI</w:t>
      </w:r>
      <w:r w:rsidR="0095194C">
        <w:rPr>
          <w:rFonts w:ascii="Arial" w:eastAsiaTheme="majorEastAsia" w:hAnsi="Arial" w:cs="Arial"/>
          <w:szCs w:val="26"/>
        </w:rPr>
        <w:t xml:space="preserve">. </w:t>
      </w:r>
      <w:r w:rsidR="00F06CB2" w:rsidRPr="0092670C">
        <w:rPr>
          <w:rFonts w:ascii="Arial" w:eastAsiaTheme="majorEastAsia" w:hAnsi="Arial" w:cs="Arial"/>
          <w:szCs w:val="26"/>
        </w:rPr>
        <w:t>LiPF</w:t>
      </w:r>
      <w:r w:rsidR="00F06CB2" w:rsidRPr="0092670C">
        <w:rPr>
          <w:rFonts w:ascii="Arial" w:eastAsiaTheme="majorEastAsia" w:hAnsi="Arial" w:cs="Arial"/>
          <w:szCs w:val="26"/>
          <w:vertAlign w:val="subscript"/>
        </w:rPr>
        <w:t>6</w:t>
      </w:r>
      <w:r w:rsidR="00F06CB2">
        <w:rPr>
          <w:rFonts w:ascii="Arial" w:eastAsiaTheme="majorEastAsia" w:hAnsi="Arial" w:cs="Arial"/>
          <w:szCs w:val="26"/>
          <w:vertAlign w:val="subscript"/>
        </w:rPr>
        <w:t xml:space="preserve"> </w:t>
      </w:r>
      <w:r w:rsidR="00F06CB2">
        <w:rPr>
          <w:rFonts w:ascii="Arial" w:eastAsiaTheme="majorEastAsia" w:hAnsi="Arial" w:cs="Arial"/>
          <w:szCs w:val="26"/>
        </w:rPr>
        <w:t xml:space="preserve">is </w:t>
      </w:r>
      <w:r w:rsidR="00763D8C">
        <w:rPr>
          <w:rFonts w:ascii="Arial" w:eastAsiaTheme="majorEastAsia" w:hAnsi="Arial" w:cs="Arial"/>
          <w:szCs w:val="26"/>
        </w:rPr>
        <w:t xml:space="preserve">used routinely </w:t>
      </w:r>
      <w:r w:rsidR="002546E6">
        <w:rPr>
          <w:rFonts w:ascii="Arial" w:eastAsiaTheme="majorEastAsia" w:hAnsi="Arial" w:cs="Arial"/>
          <w:szCs w:val="26"/>
        </w:rPr>
        <w:t xml:space="preserve">as it doesn’t suffer from the same </w:t>
      </w:r>
      <w:r w:rsidR="008C55DC">
        <w:rPr>
          <w:rFonts w:ascii="Arial" w:eastAsiaTheme="majorEastAsia" w:hAnsi="Arial" w:cs="Arial"/>
          <w:szCs w:val="26"/>
        </w:rPr>
        <w:t xml:space="preserve">problems as the previously mentioned salts. LiFSI is </w:t>
      </w:r>
      <w:r w:rsidR="004C1E37">
        <w:rPr>
          <w:rFonts w:ascii="Arial" w:eastAsiaTheme="majorEastAsia" w:hAnsi="Arial" w:cs="Arial"/>
          <w:szCs w:val="26"/>
        </w:rPr>
        <w:t xml:space="preserve">becoming more </w:t>
      </w:r>
      <w:r w:rsidR="0019088B">
        <w:rPr>
          <w:rFonts w:ascii="Arial" w:eastAsiaTheme="majorEastAsia" w:hAnsi="Arial" w:cs="Arial"/>
          <w:szCs w:val="26"/>
        </w:rPr>
        <w:t>popular</w:t>
      </w:r>
      <w:r w:rsidR="008D0565">
        <w:rPr>
          <w:rFonts w:ascii="Arial" w:eastAsiaTheme="majorEastAsia" w:hAnsi="Arial" w:cs="Arial"/>
          <w:szCs w:val="26"/>
        </w:rPr>
        <w:t xml:space="preserve"> for its higher </w:t>
      </w:r>
      <w:r w:rsidR="0019088B">
        <w:rPr>
          <w:rFonts w:ascii="Arial" w:eastAsiaTheme="majorEastAsia" w:hAnsi="Arial" w:cs="Arial"/>
          <w:szCs w:val="26"/>
        </w:rPr>
        <w:t>thermal</w:t>
      </w:r>
      <w:r w:rsidR="008D0565">
        <w:rPr>
          <w:rFonts w:ascii="Arial" w:eastAsiaTheme="majorEastAsia" w:hAnsi="Arial" w:cs="Arial"/>
          <w:szCs w:val="26"/>
        </w:rPr>
        <w:t xml:space="preserve"> stability although it can cause corrosion issues with Al current collectors</w:t>
      </w:r>
      <w:r w:rsidR="0019088B">
        <w:rPr>
          <w:rFonts w:ascii="Arial" w:eastAsiaTheme="majorEastAsia" w:hAnsi="Arial" w:cs="Arial"/>
          <w:szCs w:val="26"/>
        </w:rPr>
        <w:t xml:space="preserve">. This has not stopped commercialisation with </w:t>
      </w:r>
      <w:r w:rsidR="00B95DDE" w:rsidRPr="00B95DDE">
        <w:rPr>
          <w:rFonts w:ascii="Arial" w:eastAsiaTheme="majorEastAsia" w:hAnsi="Arial" w:cs="Arial"/>
          <w:szCs w:val="26"/>
        </w:rPr>
        <w:t xml:space="preserve">Nippon Shokubai </w:t>
      </w:r>
      <w:r w:rsidR="00B95DDE">
        <w:rPr>
          <w:rFonts w:ascii="Arial" w:eastAsiaTheme="majorEastAsia" w:hAnsi="Arial" w:cs="Arial"/>
          <w:szCs w:val="26"/>
        </w:rPr>
        <w:t xml:space="preserve">producing LiFSI on the tonne scale annually </w:t>
      </w:r>
      <w:r w:rsidR="00B95DDE">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&lt;EndNote&gt;&lt;Cite&gt;&lt;Year&gt;2012&lt;/Year&gt;&lt;RecNum&gt;367&lt;/RecNum&gt;&lt;DisplayText&gt;[23]&lt;/DisplayText&gt;&lt;record&gt;&lt;rec-number&gt;367&lt;/rec-number&gt;&lt;foreign-keys&gt;&lt;key app="EN" db-id="5sa9s0e0r0d9fnexra7pr5xdwd5ztevx95s2" timestamp="1630773386"&gt;367&lt;/key&gt;&lt;/foreign-keys&gt;&lt;ref-type name="Web Page"&gt;12&lt;/ref-type&gt;&lt;contributors&gt;&lt;/contributors&gt;&lt;titles&gt;&lt;title&gt;Nippon Shokubai develops process for LiFSI electrolyte for Li-ion batteries&lt;/title&gt;&lt;/titles&gt;&lt;volume&gt;2021&lt;/volume&gt;&lt;number&gt;04/09/21&lt;/number&gt;&lt;dates&gt;&lt;year&gt;2012&lt;/year&gt;&lt;/dates&gt;&lt;publisher&gt;Green Car Congress&lt;/publisher&gt;&lt;urls&gt;&lt;related-urls&gt;&lt;url&gt;https://www.greencarcongress.com/2012/03/lifsi-20120321.html&lt;/url&gt;&lt;/related-urls&gt;&lt;/urls&gt;&lt;language&gt;English&lt;/language&gt;&lt;/record&gt;&lt;/Cite&gt;&lt;/EndNote&gt;</w:instrText>
      </w:r>
      <w:r w:rsidR="00B95DDE">
        <w:rPr>
          <w:rFonts w:ascii="Arial" w:eastAsiaTheme="majorEastAsia" w:hAnsi="Arial" w:cs="Arial"/>
          <w:szCs w:val="26"/>
        </w:rPr>
        <w:fldChar w:fldCharType="separate"/>
      </w:r>
      <w:r w:rsidR="004F0EC3">
        <w:rPr>
          <w:rFonts w:ascii="Arial" w:eastAsiaTheme="majorEastAsia" w:hAnsi="Arial" w:cs="Arial"/>
          <w:noProof/>
          <w:szCs w:val="26"/>
        </w:rPr>
        <w:t>[23]</w:t>
      </w:r>
      <w:r w:rsidR="00B95DDE">
        <w:rPr>
          <w:rFonts w:ascii="Arial" w:eastAsiaTheme="majorEastAsia" w:hAnsi="Arial" w:cs="Arial"/>
          <w:szCs w:val="26"/>
        </w:rPr>
        <w:fldChar w:fldCharType="end"/>
      </w:r>
      <w:r w:rsidR="001B0C62">
        <w:rPr>
          <w:rFonts w:ascii="Arial" w:eastAsiaTheme="majorEastAsia" w:hAnsi="Arial" w:cs="Arial"/>
          <w:szCs w:val="26"/>
        </w:rPr>
        <w:t>.</w:t>
      </w:r>
      <w:r w:rsidR="00E24B46">
        <w:rPr>
          <w:rFonts w:ascii="Arial" w:eastAsiaTheme="majorEastAsia" w:hAnsi="Arial" w:cs="Arial"/>
          <w:szCs w:val="26"/>
        </w:rPr>
        <w:t xml:space="preserve"> </w:t>
      </w:r>
      <w:r w:rsidR="00465879">
        <w:rPr>
          <w:rFonts w:ascii="Arial" w:eastAsiaTheme="majorEastAsia" w:hAnsi="Arial" w:cs="Arial"/>
          <w:szCs w:val="26"/>
        </w:rPr>
        <w:t xml:space="preserve">LiTFSI is predominately used </w:t>
      </w:r>
      <w:r w:rsidR="00DA383F">
        <w:rPr>
          <w:rFonts w:ascii="Arial" w:eastAsiaTheme="majorEastAsia" w:hAnsi="Arial" w:cs="Arial"/>
          <w:szCs w:val="26"/>
        </w:rPr>
        <w:t xml:space="preserve">for </w:t>
      </w:r>
      <w:r w:rsidR="002B01B8">
        <w:rPr>
          <w:rFonts w:ascii="Arial" w:eastAsiaTheme="majorEastAsia" w:hAnsi="Arial" w:cs="Arial"/>
          <w:szCs w:val="26"/>
        </w:rPr>
        <w:t>“</w:t>
      </w:r>
      <w:r w:rsidR="00842BE0">
        <w:rPr>
          <w:rFonts w:ascii="Arial" w:eastAsiaTheme="majorEastAsia" w:hAnsi="Arial" w:cs="Arial"/>
          <w:szCs w:val="26"/>
        </w:rPr>
        <w:t>water-in-salt” electrolytes</w:t>
      </w:r>
      <w:r w:rsidR="000E607A">
        <w:rPr>
          <w:rFonts w:ascii="Arial" w:eastAsiaTheme="majorEastAsia" w:hAnsi="Arial" w:cs="Arial"/>
          <w:szCs w:val="26"/>
        </w:rPr>
        <w:t xml:space="preserve"> and are still at the research level</w:t>
      </w:r>
      <w:r w:rsidR="000A2B65">
        <w:rPr>
          <w:rFonts w:ascii="Arial" w:eastAsiaTheme="majorEastAsia" w:hAnsi="Arial" w:cs="Arial"/>
          <w:szCs w:val="26"/>
        </w:rPr>
        <w:t xml:space="preserve"> </w:t>
      </w:r>
      <w:r w:rsidR="000A0491">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&lt;EndNote&gt;&lt;Cite&gt;&lt;Author&gt;Shen&lt;/Author&gt;&lt;Year&gt;2021&lt;/Year&gt;&lt;RecNum&gt;373&lt;/RecNum&gt;&lt;DisplayText&gt;[24]&lt;/DisplayText&gt;&lt;record&gt;&lt;rec-number&gt;373&lt;/rec-number&gt;&lt;foreign-keys&gt;&lt;key app="EN" db-id="5sa9s0e0r0d9fnexra7pr5xdwd5ztevx95s2" timestamp="1631792683"&gt;373&lt;/key&gt;&lt;/foreign-keys&gt;&lt;ref-type name="Journal Article"&gt;17&lt;/ref-type&gt;&lt;contributors&gt;&lt;authors&gt;&lt;author&gt;Shen, Yuanhao&lt;/author&gt;&lt;author&gt;Liu, Bin&lt;/author&gt;&lt;author&gt;Liu, Xiaorui&lt;/author&gt;&lt;author&gt;Liu, Jie&lt;/author&gt;&lt;author&gt;Ding, Jia&lt;/author&gt;&lt;author&gt;Zhong, Cheng&lt;/author&gt;&lt;author&gt;Hu, Wenbin&lt;/author&gt;&lt;/authors&gt;&lt;/contributors&gt;&lt;titles&gt;&lt;title&gt;Water-in-salt electrolyte for safe and high-energy aqueous battery&lt;/title&gt;&lt;secondary-title&gt;Energy Storage Materials&lt;/secondary-title&gt;&lt;/titles&gt;&lt;periodical&gt;&lt;full-title&gt;Energy Storage Materials&lt;/full-title&gt;&lt;/periodical&gt;&lt;pages&gt;461-474&lt;/pages&gt;&lt;volume&gt;34&lt;/volume&gt;&lt;keywords&gt;&lt;keyword&gt;Water-in-salt electrolyte&lt;/keyword&gt;&lt;keyword&gt;Electrochemical stability window&lt;/keyword&gt;&lt;keyword&gt;Aqueous metal-ion batteries&lt;/keyword&gt;&lt;keyword&gt;Aqueous zinc-based batteries&lt;/keyword&gt;&lt;/keywords&gt;&lt;dates&gt;&lt;year&gt;2021&lt;/year&gt;&lt;pub-dates&gt;&lt;date&gt;2021/01/01/&lt;/date&gt;&lt;/pub-dates&gt;&lt;/dates&gt;&lt;isbn&gt;2405-8297&lt;/isbn&gt;&lt;urls&gt;&lt;related-urls&gt;&lt;url&gt;https://www.sciencedirect.com/science/article/pii/S2405829720303895&lt;/url&gt;&lt;/related-urls&gt;&lt;/urls&gt;&lt;electronic-resource-num&gt;https://doi.org/10.1016/j.ensm.2020.10.011&lt;/electronic-resource-num&gt;&lt;/record&gt;&lt;/Cite&gt;&lt;/EndNote&gt;</w:instrText>
      </w:r>
      <w:r w:rsidR="000A0491">
        <w:rPr>
          <w:rFonts w:ascii="Arial" w:eastAsiaTheme="majorEastAsia" w:hAnsi="Arial" w:cs="Arial"/>
          <w:szCs w:val="26"/>
        </w:rPr>
        <w:fldChar w:fldCharType="separate"/>
      </w:r>
      <w:r w:rsidR="004F0EC3">
        <w:rPr>
          <w:rFonts w:ascii="Arial" w:eastAsiaTheme="majorEastAsia" w:hAnsi="Arial" w:cs="Arial"/>
          <w:noProof/>
          <w:szCs w:val="26"/>
        </w:rPr>
        <w:t>[24]</w:t>
      </w:r>
      <w:r w:rsidR="000A0491">
        <w:rPr>
          <w:rFonts w:ascii="Arial" w:eastAsiaTheme="majorEastAsia" w:hAnsi="Arial" w:cs="Arial"/>
          <w:szCs w:val="26"/>
        </w:rPr>
        <w:fldChar w:fldCharType="end"/>
      </w:r>
      <w:r w:rsidR="000A2B65">
        <w:rPr>
          <w:rFonts w:ascii="Arial" w:eastAsiaTheme="majorEastAsia" w:hAnsi="Arial" w:cs="Arial"/>
          <w:szCs w:val="26"/>
        </w:rPr>
        <w:t>.</w:t>
      </w:r>
    </w:p>
    <w:p w14:paraId="3900BF6E" w14:textId="041C97BD" w:rsidR="002D0B7D" w:rsidRPr="0092670C" w:rsidRDefault="000A3727"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These electrolytes may have </w:t>
      </w:r>
      <w:r w:rsidR="001F2055" w:rsidRPr="0092670C">
        <w:rPr>
          <w:rFonts w:ascii="Arial" w:eastAsiaTheme="majorEastAsia" w:hAnsi="Arial" w:cs="Arial"/>
          <w:szCs w:val="26"/>
        </w:rPr>
        <w:t xml:space="preserve">good physical </w:t>
      </w:r>
      <w:r w:rsidR="00EA322F" w:rsidRPr="0092670C">
        <w:rPr>
          <w:rFonts w:ascii="Arial" w:eastAsiaTheme="majorEastAsia" w:hAnsi="Arial" w:cs="Arial"/>
          <w:szCs w:val="26"/>
        </w:rPr>
        <w:t>characteristics,</w:t>
      </w:r>
      <w:r w:rsidR="0028229E" w:rsidRPr="0092670C">
        <w:rPr>
          <w:rFonts w:ascii="Arial" w:eastAsiaTheme="majorEastAsia" w:hAnsi="Arial" w:cs="Arial"/>
          <w:szCs w:val="26"/>
        </w:rPr>
        <w:t xml:space="preserve"> but the</w:t>
      </w:r>
      <w:r w:rsidR="00697325" w:rsidRPr="0092670C">
        <w:rPr>
          <w:rFonts w:ascii="Arial" w:eastAsiaTheme="majorEastAsia" w:hAnsi="Arial" w:cs="Arial"/>
          <w:szCs w:val="26"/>
        </w:rPr>
        <w:t>y</w:t>
      </w:r>
      <w:r w:rsidR="00D30BBB">
        <w:rPr>
          <w:rFonts w:ascii="Arial" w:eastAsiaTheme="majorEastAsia" w:hAnsi="Arial" w:cs="Arial"/>
          <w:szCs w:val="26"/>
        </w:rPr>
        <w:t xml:space="preserve"> </w:t>
      </w:r>
      <w:r w:rsidR="005B0C02" w:rsidRPr="0092670C">
        <w:rPr>
          <w:rFonts w:ascii="Arial" w:eastAsiaTheme="majorEastAsia" w:hAnsi="Arial" w:cs="Arial"/>
          <w:szCs w:val="26"/>
        </w:rPr>
        <w:t xml:space="preserve">degrade </w:t>
      </w:r>
      <w:r w:rsidR="00BD3BD8" w:rsidRPr="0092670C">
        <w:rPr>
          <w:rFonts w:ascii="Arial" w:eastAsiaTheme="majorEastAsia" w:hAnsi="Arial" w:cs="Arial"/>
          <w:szCs w:val="26"/>
        </w:rPr>
        <w:t xml:space="preserve">at the anode due to the </w:t>
      </w:r>
      <w:r w:rsidR="00822B14">
        <w:rPr>
          <w:rFonts w:ascii="Arial" w:eastAsiaTheme="majorEastAsia" w:hAnsi="Arial" w:cs="Arial"/>
          <w:szCs w:val="26"/>
        </w:rPr>
        <w:t>low</w:t>
      </w:r>
      <w:r w:rsidR="00BD3BD8" w:rsidRPr="0092670C">
        <w:rPr>
          <w:rFonts w:ascii="Arial" w:eastAsiaTheme="majorEastAsia" w:hAnsi="Arial" w:cs="Arial"/>
          <w:szCs w:val="26"/>
        </w:rPr>
        <w:t xml:space="preserve"> </w:t>
      </w:r>
      <w:r w:rsidR="00120A78" w:rsidRPr="0092670C">
        <w:rPr>
          <w:rFonts w:ascii="Arial" w:eastAsiaTheme="majorEastAsia" w:hAnsi="Arial" w:cs="Arial"/>
          <w:szCs w:val="26"/>
        </w:rPr>
        <w:t>voltages</w:t>
      </w:r>
      <w:r w:rsidR="00F87798" w:rsidRPr="0092670C">
        <w:rPr>
          <w:rFonts w:ascii="Arial" w:eastAsiaTheme="majorEastAsia" w:hAnsi="Arial" w:cs="Arial"/>
          <w:szCs w:val="26"/>
        </w:rPr>
        <w:t xml:space="preserve"> encountered</w:t>
      </w:r>
      <w:r w:rsidR="00D30BBB">
        <w:rPr>
          <w:rFonts w:ascii="Arial" w:eastAsiaTheme="majorEastAsia" w:hAnsi="Arial" w:cs="Arial"/>
          <w:szCs w:val="26"/>
        </w:rPr>
        <w:t>, forming a solid electrolyte interphase</w:t>
      </w:r>
      <w:r w:rsidR="00FD1FAE">
        <w:rPr>
          <w:rFonts w:ascii="Arial" w:eastAsiaTheme="majorEastAsia" w:hAnsi="Arial" w:cs="Arial"/>
          <w:szCs w:val="26"/>
        </w:rPr>
        <w:t xml:space="preserve"> (SEI)</w:t>
      </w:r>
      <w:r w:rsidR="00F87798" w:rsidRPr="0092670C">
        <w:rPr>
          <w:rFonts w:ascii="Arial" w:eastAsiaTheme="majorEastAsia" w:hAnsi="Arial" w:cs="Arial"/>
          <w:szCs w:val="26"/>
        </w:rPr>
        <w:t xml:space="preserve">. This </w:t>
      </w:r>
      <w:r w:rsidR="00DC1605" w:rsidRPr="0092670C">
        <w:rPr>
          <w:rFonts w:ascii="Arial" w:eastAsiaTheme="majorEastAsia" w:hAnsi="Arial" w:cs="Arial"/>
          <w:szCs w:val="26"/>
        </w:rPr>
        <w:t xml:space="preserve">layer </w:t>
      </w:r>
      <w:r w:rsidR="00171BDD" w:rsidRPr="0092670C">
        <w:rPr>
          <w:rFonts w:ascii="Arial" w:eastAsiaTheme="majorEastAsia" w:hAnsi="Arial" w:cs="Arial"/>
          <w:szCs w:val="26"/>
        </w:rPr>
        <w:t xml:space="preserve">uses Li that would otherwise be used </w:t>
      </w:r>
      <w:r w:rsidR="003217DB" w:rsidRPr="0092670C">
        <w:rPr>
          <w:rFonts w:ascii="Arial" w:eastAsiaTheme="majorEastAsia" w:hAnsi="Arial" w:cs="Arial"/>
          <w:szCs w:val="26"/>
        </w:rPr>
        <w:t xml:space="preserve">for cycling, reducing the capacity of the cell. </w:t>
      </w:r>
      <w:r w:rsidR="00E1196D" w:rsidRPr="0092670C">
        <w:rPr>
          <w:rFonts w:ascii="Arial" w:eastAsiaTheme="majorEastAsia" w:hAnsi="Arial" w:cs="Arial"/>
          <w:szCs w:val="26"/>
        </w:rPr>
        <w:t xml:space="preserve">It should be noted that full cells have their </w:t>
      </w:r>
      <w:r w:rsidR="00985722" w:rsidRPr="0092670C">
        <w:rPr>
          <w:rFonts w:ascii="Arial" w:eastAsiaTheme="majorEastAsia" w:hAnsi="Arial" w:cs="Arial"/>
          <w:szCs w:val="26"/>
        </w:rPr>
        <w:t>electrode</w:t>
      </w:r>
      <w:r w:rsidR="00F66E15" w:rsidRPr="0092670C">
        <w:rPr>
          <w:rFonts w:ascii="Arial" w:eastAsiaTheme="majorEastAsia" w:hAnsi="Arial" w:cs="Arial"/>
          <w:szCs w:val="26"/>
        </w:rPr>
        <w:t>’</w:t>
      </w:r>
      <w:r w:rsidR="00985722" w:rsidRPr="0092670C">
        <w:rPr>
          <w:rFonts w:ascii="Arial" w:eastAsiaTheme="majorEastAsia" w:hAnsi="Arial" w:cs="Arial"/>
          <w:szCs w:val="26"/>
        </w:rPr>
        <w:t>s capacities</w:t>
      </w:r>
      <w:r w:rsidR="00F66E15" w:rsidRPr="0092670C">
        <w:rPr>
          <w:rFonts w:ascii="Arial" w:eastAsiaTheme="majorEastAsia" w:hAnsi="Arial" w:cs="Arial"/>
          <w:szCs w:val="26"/>
        </w:rPr>
        <w:t xml:space="preserve"> </w:t>
      </w:r>
      <w:r w:rsidR="005877F1" w:rsidRPr="0092670C">
        <w:rPr>
          <w:rFonts w:ascii="Arial" w:eastAsiaTheme="majorEastAsia" w:hAnsi="Arial" w:cs="Arial"/>
          <w:szCs w:val="26"/>
        </w:rPr>
        <w:t>carefully</w:t>
      </w:r>
      <w:r w:rsidR="00F66E15" w:rsidRPr="0092670C">
        <w:rPr>
          <w:rFonts w:ascii="Arial" w:eastAsiaTheme="majorEastAsia" w:hAnsi="Arial" w:cs="Arial"/>
          <w:szCs w:val="26"/>
        </w:rPr>
        <w:t xml:space="preserve"> balanced to reduce the </w:t>
      </w:r>
      <w:r w:rsidR="005877F1" w:rsidRPr="0092670C">
        <w:rPr>
          <w:rFonts w:ascii="Arial" w:eastAsiaTheme="majorEastAsia" w:hAnsi="Arial" w:cs="Arial"/>
          <w:szCs w:val="26"/>
        </w:rPr>
        <w:t>weight</w:t>
      </w:r>
      <w:r w:rsidR="00F66E15" w:rsidRPr="0092670C">
        <w:rPr>
          <w:rFonts w:ascii="Arial" w:eastAsiaTheme="majorEastAsia" w:hAnsi="Arial" w:cs="Arial"/>
          <w:szCs w:val="26"/>
        </w:rPr>
        <w:t xml:space="preserve"> of</w:t>
      </w:r>
      <w:r w:rsidR="005877F1" w:rsidRPr="0092670C">
        <w:rPr>
          <w:rFonts w:ascii="Arial" w:eastAsiaTheme="majorEastAsia" w:hAnsi="Arial" w:cs="Arial"/>
          <w:szCs w:val="26"/>
        </w:rPr>
        <w:t xml:space="preserve"> the cells and increase </w:t>
      </w:r>
      <w:r w:rsidR="00B97A7C" w:rsidRPr="0092670C">
        <w:rPr>
          <w:rFonts w:ascii="Arial" w:eastAsiaTheme="majorEastAsia" w:hAnsi="Arial" w:cs="Arial"/>
          <w:szCs w:val="26"/>
        </w:rPr>
        <w:t>its</w:t>
      </w:r>
      <w:r w:rsidR="005877F1" w:rsidRPr="0092670C">
        <w:rPr>
          <w:rFonts w:ascii="Arial" w:eastAsiaTheme="majorEastAsia" w:hAnsi="Arial" w:cs="Arial"/>
          <w:szCs w:val="26"/>
        </w:rPr>
        <w:t xml:space="preserve"> energy density. The </w:t>
      </w:r>
      <w:r w:rsidR="00232483" w:rsidRPr="0092670C">
        <w:rPr>
          <w:rFonts w:ascii="Arial" w:eastAsiaTheme="majorEastAsia" w:hAnsi="Arial" w:cs="Arial"/>
          <w:szCs w:val="26"/>
        </w:rPr>
        <w:t xml:space="preserve">balancing results in </w:t>
      </w:r>
      <w:r w:rsidR="00953190" w:rsidRPr="0092670C">
        <w:rPr>
          <w:rFonts w:ascii="Arial" w:eastAsiaTheme="majorEastAsia" w:hAnsi="Arial" w:cs="Arial"/>
          <w:szCs w:val="26"/>
        </w:rPr>
        <w:t>limited quantity of Li in the cell</w:t>
      </w:r>
      <w:r w:rsidR="00E91806" w:rsidRPr="0092670C">
        <w:rPr>
          <w:rFonts w:ascii="Arial" w:eastAsiaTheme="majorEastAsia" w:hAnsi="Arial" w:cs="Arial"/>
          <w:szCs w:val="26"/>
        </w:rPr>
        <w:t xml:space="preserve"> which</w:t>
      </w:r>
      <w:r w:rsidR="00953190" w:rsidRPr="0092670C">
        <w:rPr>
          <w:rFonts w:ascii="Arial" w:eastAsiaTheme="majorEastAsia" w:hAnsi="Arial" w:cs="Arial"/>
          <w:szCs w:val="26"/>
        </w:rPr>
        <w:t xml:space="preserve"> is known as the </w:t>
      </w:r>
      <w:r w:rsidR="00E91806" w:rsidRPr="0092670C">
        <w:rPr>
          <w:rFonts w:ascii="Arial" w:eastAsiaTheme="majorEastAsia" w:hAnsi="Arial" w:cs="Arial"/>
          <w:szCs w:val="26"/>
        </w:rPr>
        <w:t>lithium</w:t>
      </w:r>
      <w:r w:rsidR="00953190" w:rsidRPr="0092670C">
        <w:rPr>
          <w:rFonts w:ascii="Arial" w:eastAsiaTheme="majorEastAsia" w:hAnsi="Arial" w:cs="Arial"/>
          <w:szCs w:val="26"/>
        </w:rPr>
        <w:t xml:space="preserve"> inventory</w:t>
      </w:r>
      <w:r w:rsidR="00B34515" w:rsidRPr="0092670C">
        <w:rPr>
          <w:rFonts w:ascii="Arial" w:eastAsiaTheme="majorEastAsia" w:hAnsi="Arial" w:cs="Arial"/>
          <w:szCs w:val="26"/>
        </w:rPr>
        <w:t>.</w:t>
      </w:r>
      <w:r w:rsidR="0058055C" w:rsidRPr="0092670C">
        <w:rPr>
          <w:rFonts w:ascii="Arial" w:eastAsiaTheme="majorEastAsia" w:hAnsi="Arial" w:cs="Arial"/>
          <w:szCs w:val="26"/>
        </w:rPr>
        <w:t xml:space="preserve"> </w:t>
      </w:r>
      <w:r w:rsidR="003217DB" w:rsidRPr="0092670C">
        <w:rPr>
          <w:rFonts w:ascii="Arial" w:eastAsiaTheme="majorEastAsia" w:hAnsi="Arial" w:cs="Arial"/>
          <w:szCs w:val="26"/>
        </w:rPr>
        <w:t xml:space="preserve">For </w:t>
      </w:r>
      <w:r w:rsidR="007E1D96" w:rsidRPr="0092670C">
        <w:rPr>
          <w:rFonts w:ascii="Arial" w:eastAsiaTheme="majorEastAsia" w:hAnsi="Arial" w:cs="Arial"/>
          <w:szCs w:val="26"/>
        </w:rPr>
        <w:t>further</w:t>
      </w:r>
      <w:r w:rsidR="003217DB" w:rsidRPr="0092670C">
        <w:rPr>
          <w:rFonts w:ascii="Arial" w:eastAsiaTheme="majorEastAsia" w:hAnsi="Arial" w:cs="Arial"/>
          <w:szCs w:val="26"/>
        </w:rPr>
        <w:t xml:space="preserve"> information </w:t>
      </w:r>
      <w:r w:rsidR="00751615" w:rsidRPr="0092670C">
        <w:rPr>
          <w:rFonts w:ascii="Arial" w:eastAsiaTheme="majorEastAsia" w:hAnsi="Arial" w:cs="Arial"/>
          <w:szCs w:val="26"/>
        </w:rPr>
        <w:t>about</w:t>
      </w:r>
      <w:r w:rsidR="002E571B" w:rsidRPr="0092670C">
        <w:rPr>
          <w:rFonts w:ascii="Arial" w:eastAsiaTheme="majorEastAsia" w:hAnsi="Arial" w:cs="Arial"/>
          <w:szCs w:val="26"/>
        </w:rPr>
        <w:t xml:space="preserve"> the SEI see section </w:t>
      </w:r>
      <w:r w:rsidR="002E571B" w:rsidRPr="0092670C">
        <w:rPr>
          <w:rFonts w:ascii="Arial" w:eastAsiaTheme="majorEastAsia" w:hAnsi="Arial" w:cs="Arial"/>
          <w:szCs w:val="26"/>
        </w:rPr>
        <w:fldChar w:fldCharType="begin"/>
      </w:r>
      <w:r w:rsidR="002E571B" w:rsidRPr="0092670C">
        <w:rPr>
          <w:rFonts w:ascii="Arial" w:eastAsiaTheme="majorEastAsia" w:hAnsi="Arial" w:cs="Arial"/>
          <w:szCs w:val="26"/>
        </w:rPr>
        <w:instrText xml:space="preserve"> REF _Ref26909597 \r \h </w:instrText>
      </w:r>
      <w:r w:rsidR="002E571B" w:rsidRPr="0092670C">
        <w:rPr>
          <w:rFonts w:ascii="Arial" w:eastAsiaTheme="majorEastAsia" w:hAnsi="Arial" w:cs="Arial"/>
          <w:szCs w:val="26"/>
        </w:rPr>
      </w:r>
      <w:r w:rsidR="002E571B" w:rsidRPr="0092670C">
        <w:rPr>
          <w:rFonts w:ascii="Arial" w:eastAsiaTheme="majorEastAsia" w:hAnsi="Arial" w:cs="Arial"/>
          <w:szCs w:val="26"/>
        </w:rPr>
        <w:fldChar w:fldCharType="separate"/>
      </w:r>
      <w:r w:rsidR="007342C8">
        <w:rPr>
          <w:rFonts w:ascii="Arial" w:eastAsiaTheme="majorEastAsia" w:hAnsi="Arial" w:cs="Arial"/>
          <w:szCs w:val="26"/>
        </w:rPr>
        <w:t>1.3</w:t>
      </w:r>
      <w:r w:rsidR="002E571B" w:rsidRPr="0092670C">
        <w:rPr>
          <w:rFonts w:ascii="Arial" w:eastAsiaTheme="majorEastAsia" w:hAnsi="Arial" w:cs="Arial"/>
          <w:szCs w:val="26"/>
        </w:rPr>
        <w:fldChar w:fldCharType="end"/>
      </w:r>
      <w:r w:rsidR="002E571B" w:rsidRPr="0092670C">
        <w:rPr>
          <w:rFonts w:ascii="Arial" w:eastAsiaTheme="majorEastAsia" w:hAnsi="Arial" w:cs="Arial"/>
          <w:szCs w:val="26"/>
        </w:rPr>
        <w:t xml:space="preserve"> </w:t>
      </w:r>
      <w:r w:rsidR="002E571B" w:rsidRPr="0092670C">
        <w:rPr>
          <w:rFonts w:ascii="Arial" w:eastAsiaTheme="majorEastAsia" w:hAnsi="Arial" w:cs="Arial"/>
          <w:szCs w:val="26"/>
        </w:rPr>
        <w:fldChar w:fldCharType="begin"/>
      </w:r>
      <w:r w:rsidR="002E571B" w:rsidRPr="0092670C">
        <w:rPr>
          <w:rFonts w:ascii="Arial" w:eastAsiaTheme="majorEastAsia" w:hAnsi="Arial" w:cs="Arial"/>
          <w:szCs w:val="26"/>
        </w:rPr>
        <w:instrText xml:space="preserve"> REF _Ref26909601 \h </w:instrText>
      </w:r>
      <w:r w:rsidR="002E571B" w:rsidRPr="0092670C">
        <w:rPr>
          <w:rFonts w:ascii="Arial" w:eastAsiaTheme="majorEastAsia" w:hAnsi="Arial" w:cs="Arial"/>
          <w:szCs w:val="26"/>
        </w:rPr>
      </w:r>
      <w:r w:rsidR="002E571B" w:rsidRPr="0092670C">
        <w:rPr>
          <w:rFonts w:ascii="Arial" w:eastAsiaTheme="majorEastAsia" w:hAnsi="Arial" w:cs="Arial"/>
          <w:szCs w:val="26"/>
        </w:rPr>
        <w:fldChar w:fldCharType="separate"/>
      </w:r>
      <w:r w:rsidR="007342C8" w:rsidRPr="0092670C">
        <w:rPr>
          <w:rFonts w:ascii="Arial" w:hAnsi="Arial" w:cs="Arial"/>
        </w:rPr>
        <w:t>The use of the SEI in Li-ion batteries</w:t>
      </w:r>
      <w:r w:rsidR="002E571B" w:rsidRPr="0092670C">
        <w:rPr>
          <w:rFonts w:ascii="Arial" w:eastAsiaTheme="majorEastAsia" w:hAnsi="Arial" w:cs="Arial"/>
          <w:szCs w:val="26"/>
        </w:rPr>
        <w:fldChar w:fldCharType="end"/>
      </w:r>
      <w:r w:rsidR="002E571B" w:rsidRPr="0092670C">
        <w:rPr>
          <w:rFonts w:ascii="Arial" w:eastAsiaTheme="majorEastAsia" w:hAnsi="Arial" w:cs="Arial"/>
          <w:szCs w:val="26"/>
        </w:rPr>
        <w:t xml:space="preserve">. </w:t>
      </w:r>
    </w:p>
    <w:p w14:paraId="44DF93AA" w14:textId="448A376D" w:rsidR="00E91806" w:rsidRPr="0092670C" w:rsidRDefault="002D0B7D"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To reduce the lost capacity </w:t>
      </w:r>
      <w:r w:rsidR="00053DCB" w:rsidRPr="0092670C">
        <w:rPr>
          <w:rFonts w:ascii="Arial" w:eastAsiaTheme="majorEastAsia" w:hAnsi="Arial" w:cs="Arial"/>
          <w:szCs w:val="26"/>
        </w:rPr>
        <w:t>from cells additives are normally added to the electrolyte.</w:t>
      </w:r>
      <w:r w:rsidR="005B0C02" w:rsidRPr="0092670C">
        <w:rPr>
          <w:rFonts w:ascii="Arial" w:eastAsiaTheme="majorEastAsia" w:hAnsi="Arial" w:cs="Arial"/>
          <w:szCs w:val="26"/>
        </w:rPr>
        <w:t xml:space="preserve"> They can help to form </w:t>
      </w:r>
      <w:r w:rsidR="00A514A9" w:rsidRPr="0092670C">
        <w:rPr>
          <w:rFonts w:ascii="Arial" w:eastAsiaTheme="majorEastAsia" w:hAnsi="Arial" w:cs="Arial"/>
          <w:szCs w:val="26"/>
        </w:rPr>
        <w:t xml:space="preserve">a stable SEI </w:t>
      </w:r>
      <w:r w:rsidR="002F5126" w:rsidRPr="0092670C">
        <w:rPr>
          <w:rFonts w:ascii="Arial" w:eastAsiaTheme="majorEastAsia" w:hAnsi="Arial" w:cs="Arial"/>
          <w:szCs w:val="26"/>
        </w:rPr>
        <w:t>that retards</w:t>
      </w:r>
      <w:r w:rsidR="007C349A" w:rsidRPr="0092670C">
        <w:rPr>
          <w:rFonts w:ascii="Arial" w:eastAsiaTheme="majorEastAsia" w:hAnsi="Arial" w:cs="Arial"/>
          <w:szCs w:val="26"/>
        </w:rPr>
        <w:t xml:space="preserve"> the electrolyte degradation</w:t>
      </w:r>
      <w:r w:rsidR="002F5126" w:rsidRPr="0092670C">
        <w:rPr>
          <w:rFonts w:ascii="Arial" w:eastAsiaTheme="majorEastAsia" w:hAnsi="Arial" w:cs="Arial"/>
          <w:szCs w:val="26"/>
        </w:rPr>
        <w:t xml:space="preserve"> process</w:t>
      </w:r>
      <w:r w:rsidR="004414A7" w:rsidRPr="0092670C">
        <w:rPr>
          <w:rFonts w:ascii="Arial" w:eastAsiaTheme="majorEastAsia" w:hAnsi="Arial" w:cs="Arial"/>
          <w:szCs w:val="26"/>
        </w:rPr>
        <w:t>.</w:t>
      </w:r>
      <w:r w:rsidR="00053DCB" w:rsidRPr="0092670C">
        <w:rPr>
          <w:rFonts w:ascii="Arial" w:eastAsiaTheme="majorEastAsia" w:hAnsi="Arial" w:cs="Arial"/>
          <w:szCs w:val="26"/>
        </w:rPr>
        <w:t xml:space="preserve"> The</w:t>
      </w:r>
      <w:r w:rsidR="004414A7" w:rsidRPr="0092670C">
        <w:rPr>
          <w:rFonts w:ascii="Arial" w:eastAsiaTheme="majorEastAsia" w:hAnsi="Arial" w:cs="Arial"/>
          <w:szCs w:val="26"/>
        </w:rPr>
        <w:t xml:space="preserve"> different additives available</w:t>
      </w:r>
      <w:r w:rsidR="00053DCB" w:rsidRPr="0092670C">
        <w:rPr>
          <w:rFonts w:ascii="Arial" w:eastAsiaTheme="majorEastAsia" w:hAnsi="Arial" w:cs="Arial"/>
          <w:szCs w:val="26"/>
        </w:rPr>
        <w:t xml:space="preserve"> </w:t>
      </w:r>
      <w:r w:rsidR="00EE5550" w:rsidRPr="0092670C">
        <w:rPr>
          <w:rFonts w:ascii="Arial" w:eastAsiaTheme="majorEastAsia" w:hAnsi="Arial" w:cs="Arial"/>
          <w:szCs w:val="26"/>
        </w:rPr>
        <w:t xml:space="preserve">are discussed in </w:t>
      </w:r>
      <w:r w:rsidR="00084325" w:rsidRPr="0092670C">
        <w:rPr>
          <w:rFonts w:ascii="Arial" w:eastAsiaTheme="majorEastAsia" w:hAnsi="Arial" w:cs="Arial"/>
          <w:szCs w:val="26"/>
        </w:rPr>
        <w:t xml:space="preserve">more detail in </w:t>
      </w:r>
      <w:r w:rsidR="0029470E" w:rsidRPr="0092670C">
        <w:rPr>
          <w:rFonts w:ascii="Arial" w:eastAsiaTheme="majorEastAsia" w:hAnsi="Arial" w:cs="Arial"/>
          <w:szCs w:val="26"/>
        </w:rPr>
        <w:t xml:space="preserve">section </w:t>
      </w:r>
      <w:r w:rsidR="00FC5F4F" w:rsidRPr="0092670C">
        <w:rPr>
          <w:rFonts w:ascii="Arial" w:eastAsiaTheme="majorEastAsia" w:hAnsi="Arial" w:cs="Arial"/>
          <w:szCs w:val="26"/>
        </w:rPr>
        <w:fldChar w:fldCharType="begin"/>
      </w:r>
      <w:r w:rsidR="00FC5F4F" w:rsidRPr="0092670C">
        <w:rPr>
          <w:rFonts w:ascii="Arial" w:eastAsiaTheme="majorEastAsia" w:hAnsi="Arial" w:cs="Arial"/>
          <w:szCs w:val="26"/>
        </w:rPr>
        <w:instrText xml:space="preserve"> REF _Ref26907585 \r \h </w:instrText>
      </w:r>
      <w:r w:rsidR="00FC5F4F" w:rsidRPr="0092670C">
        <w:rPr>
          <w:rFonts w:ascii="Arial" w:eastAsiaTheme="majorEastAsia" w:hAnsi="Arial" w:cs="Arial"/>
          <w:szCs w:val="26"/>
        </w:rPr>
      </w:r>
      <w:r w:rsidR="00FC5F4F" w:rsidRPr="0092670C">
        <w:rPr>
          <w:rFonts w:ascii="Arial" w:eastAsiaTheme="majorEastAsia" w:hAnsi="Arial" w:cs="Arial"/>
          <w:szCs w:val="26"/>
        </w:rPr>
        <w:fldChar w:fldCharType="separate"/>
      </w:r>
      <w:r w:rsidR="007342C8">
        <w:rPr>
          <w:rFonts w:ascii="Arial" w:eastAsiaTheme="majorEastAsia" w:hAnsi="Arial" w:cs="Arial"/>
          <w:szCs w:val="26"/>
        </w:rPr>
        <w:t>1.8</w:t>
      </w:r>
      <w:r w:rsidR="00FC5F4F" w:rsidRPr="0092670C">
        <w:rPr>
          <w:rFonts w:ascii="Arial" w:eastAsiaTheme="majorEastAsia" w:hAnsi="Arial" w:cs="Arial"/>
          <w:szCs w:val="26"/>
        </w:rPr>
        <w:fldChar w:fldCharType="end"/>
      </w:r>
      <w:r w:rsidR="00FC5F4F" w:rsidRPr="0092670C">
        <w:rPr>
          <w:rFonts w:ascii="Arial" w:eastAsiaTheme="majorEastAsia" w:hAnsi="Arial" w:cs="Arial"/>
          <w:szCs w:val="26"/>
        </w:rPr>
        <w:t xml:space="preserve"> </w:t>
      </w:r>
      <w:r w:rsidR="00FC5F4F" w:rsidRPr="0092670C">
        <w:rPr>
          <w:rFonts w:ascii="Arial" w:eastAsiaTheme="majorEastAsia" w:hAnsi="Arial" w:cs="Arial"/>
          <w:szCs w:val="26"/>
        </w:rPr>
        <w:fldChar w:fldCharType="begin"/>
      </w:r>
      <w:r w:rsidR="00FC5F4F" w:rsidRPr="0092670C">
        <w:rPr>
          <w:rFonts w:ascii="Arial" w:eastAsiaTheme="majorEastAsia" w:hAnsi="Arial" w:cs="Arial"/>
          <w:szCs w:val="26"/>
        </w:rPr>
        <w:instrText xml:space="preserve"> REF _Ref26907589 \h </w:instrText>
      </w:r>
      <w:r w:rsidR="00FC5F4F" w:rsidRPr="0092670C">
        <w:rPr>
          <w:rFonts w:ascii="Arial" w:eastAsiaTheme="majorEastAsia" w:hAnsi="Arial" w:cs="Arial"/>
          <w:szCs w:val="26"/>
        </w:rPr>
      </w:r>
      <w:r w:rsidR="00FC5F4F" w:rsidRPr="0092670C">
        <w:rPr>
          <w:rFonts w:ascii="Arial" w:eastAsiaTheme="majorEastAsia" w:hAnsi="Arial" w:cs="Arial"/>
          <w:szCs w:val="26"/>
        </w:rPr>
        <w:fldChar w:fldCharType="separate"/>
      </w:r>
      <w:r w:rsidR="007342C8" w:rsidRPr="0092670C">
        <w:rPr>
          <w:rFonts w:ascii="Arial" w:hAnsi="Arial" w:cs="Arial"/>
        </w:rPr>
        <w:t>Electrolyte additives and their influence on the SEI</w:t>
      </w:r>
      <w:r w:rsidR="00FC5F4F" w:rsidRPr="0092670C">
        <w:rPr>
          <w:rFonts w:ascii="Arial" w:eastAsiaTheme="majorEastAsia" w:hAnsi="Arial" w:cs="Arial"/>
          <w:szCs w:val="26"/>
        </w:rPr>
        <w:fldChar w:fldCharType="end"/>
      </w:r>
      <w:r w:rsidR="00FC5F4F" w:rsidRPr="0092670C">
        <w:rPr>
          <w:rFonts w:ascii="Arial" w:eastAsiaTheme="majorEastAsia" w:hAnsi="Arial" w:cs="Arial"/>
          <w:szCs w:val="26"/>
        </w:rPr>
        <w:t>.</w:t>
      </w:r>
    </w:p>
    <w:p w14:paraId="59CD0B8E" w14:textId="2DF85D62" w:rsidR="00111AB9" w:rsidRPr="0092670C" w:rsidRDefault="00111AB9"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To </w:t>
      </w:r>
      <w:r w:rsidR="00605003" w:rsidRPr="0092670C">
        <w:rPr>
          <w:rFonts w:ascii="Arial" w:eastAsiaTheme="majorEastAsia" w:hAnsi="Arial" w:cs="Arial"/>
          <w:szCs w:val="26"/>
        </w:rPr>
        <w:t>try to</w:t>
      </w:r>
      <w:r w:rsidR="00B32425" w:rsidRPr="0092670C">
        <w:rPr>
          <w:rFonts w:ascii="Arial" w:eastAsiaTheme="majorEastAsia" w:hAnsi="Arial" w:cs="Arial"/>
          <w:szCs w:val="26"/>
        </w:rPr>
        <w:t xml:space="preserve"> </w:t>
      </w:r>
      <w:r w:rsidRPr="0092670C">
        <w:rPr>
          <w:rFonts w:ascii="Arial" w:eastAsiaTheme="majorEastAsia" w:hAnsi="Arial" w:cs="Arial"/>
          <w:szCs w:val="26"/>
        </w:rPr>
        <w:t>overcome</w:t>
      </w:r>
      <w:r w:rsidR="00605003" w:rsidRPr="0092670C">
        <w:rPr>
          <w:rFonts w:ascii="Arial" w:eastAsiaTheme="majorEastAsia" w:hAnsi="Arial" w:cs="Arial"/>
          <w:szCs w:val="26"/>
        </w:rPr>
        <w:t xml:space="preserve"> the issues</w:t>
      </w:r>
      <w:r w:rsidR="00620F78" w:rsidRPr="0092670C">
        <w:rPr>
          <w:rFonts w:ascii="Arial" w:eastAsiaTheme="majorEastAsia" w:hAnsi="Arial" w:cs="Arial"/>
          <w:szCs w:val="26"/>
        </w:rPr>
        <w:t xml:space="preserve"> seen with SEI formation</w:t>
      </w:r>
      <w:r w:rsidRPr="0092670C">
        <w:rPr>
          <w:rFonts w:ascii="Arial" w:eastAsiaTheme="majorEastAsia" w:hAnsi="Arial" w:cs="Arial"/>
          <w:szCs w:val="26"/>
        </w:rPr>
        <w:t xml:space="preserve"> extensive research has been conducted into solid state electrolytes</w:t>
      </w:r>
      <w:r w:rsidR="0078587D" w:rsidRPr="0092670C">
        <w:rPr>
          <w:rFonts w:ascii="Arial" w:eastAsiaTheme="majorEastAsia" w:hAnsi="Arial" w:cs="Arial"/>
          <w:szCs w:val="26"/>
        </w:rPr>
        <w:t xml:space="preserve"> </w:t>
      </w:r>
      <w:r w:rsidR="00FA4D81"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&lt;EndNote&gt;&lt;Cite&gt;&lt;Author&gt;Zheng&lt;/Author&gt;&lt;Year&gt;2018&lt;/Year&gt;&lt;RecNum&gt;753&lt;/RecNum&gt;&lt;DisplayText&gt;[25]&lt;/DisplayText&gt;&lt;record&gt;&lt;rec-number&gt;753&lt;/rec-number&gt;&lt;foreign-keys&gt;&lt;key app="EN" db-id="5sa9s0e0r0d9fnexra7pr5xdwd5ztevx95s2" timestamp="1593904158" guid="dcc4caf0-1e7a-49bc-8445-1d499abc8487"&gt;753&lt;/key&gt;&lt;/foreign-keys&gt;&lt;ref-type name="Journal Article"&gt;17&lt;/ref-type&gt;&lt;contributors&gt;&lt;authors&gt;&lt;author&gt;Zheng, Feng&lt;/author&gt;&lt;author&gt;Kotobuki, Masashi&lt;/author&gt;&lt;author&gt;Song, Shufeng&lt;/author&gt;&lt;author&gt;Lai, Man On&lt;/author&gt;&lt;author&gt;Lu, Li&lt;/author&gt;&lt;/authors&gt;&lt;/contributors&gt;&lt;titles&gt;&lt;title&gt;Review on solid electrolytes for all-solid-state lithium-ion batteries&lt;/title&gt;&lt;secondary-title&gt;Journal of Power Sources&lt;/secondary-title&gt;&lt;/titles&gt;&lt;periodical&gt;&lt;full-title&gt;Journal of Power Sources&lt;/full-title&gt;&lt;/periodical&gt;&lt;pages&gt;198-213&lt;/pages&gt;&lt;volume&gt;389&lt;/volume&gt;&lt;keywords&gt;&lt;keyword&gt;Lithium-ion battery&lt;/keyword&gt;&lt;keyword&gt;Solid electrolyte&lt;/keyword&gt;&lt;keyword&gt;Electrochemical property&lt;/keyword&gt;&lt;/keywords&gt;&lt;dates&gt;&lt;year&gt;2018&lt;/year&gt;&lt;pub-dates&gt;&lt;date&gt;2018/06/15/&lt;/date&gt;&lt;/pub-dates&gt;&lt;/dates&gt;&lt;isbn&gt;0378-7753&lt;/isbn&gt;&lt;urls&gt;&lt;related-urls&gt;&lt;url&gt;http://www.sciencedirect.com/science/article/pii/S0378775318303653&lt;/url&gt;&lt;/related-urls&gt;&lt;/urls&gt;&lt;electronic-resource-num&gt;https://doi.org/10.1016/j.jpowsour.2018.04.022&lt;/electronic-resource-num&gt;&lt;/record&gt;&lt;/Cite&gt;&lt;/EndNote&gt;</w:instrText>
      </w:r>
      <w:r w:rsidR="00FA4D81" w:rsidRPr="0092670C">
        <w:rPr>
          <w:rFonts w:ascii="Arial" w:eastAsiaTheme="majorEastAsia" w:hAnsi="Arial" w:cs="Arial"/>
          <w:szCs w:val="26"/>
        </w:rPr>
        <w:fldChar w:fldCharType="separate"/>
      </w:r>
      <w:r w:rsidR="004F0EC3">
        <w:rPr>
          <w:rFonts w:ascii="Arial" w:eastAsiaTheme="majorEastAsia" w:hAnsi="Arial" w:cs="Arial"/>
          <w:noProof/>
          <w:szCs w:val="26"/>
        </w:rPr>
        <w:t>[25]</w:t>
      </w:r>
      <w:r w:rsidR="00FA4D81" w:rsidRPr="0092670C">
        <w:rPr>
          <w:rFonts w:ascii="Arial" w:eastAsiaTheme="majorEastAsia" w:hAnsi="Arial" w:cs="Arial"/>
          <w:szCs w:val="26"/>
        </w:rPr>
        <w:fldChar w:fldCharType="end"/>
      </w:r>
      <w:r w:rsidRPr="0092670C">
        <w:rPr>
          <w:rFonts w:ascii="Arial" w:eastAsiaTheme="majorEastAsia" w:hAnsi="Arial" w:cs="Arial"/>
          <w:szCs w:val="26"/>
        </w:rPr>
        <w:t xml:space="preserve">. </w:t>
      </w:r>
      <w:r w:rsidR="001E54A5" w:rsidRPr="0092670C">
        <w:rPr>
          <w:rFonts w:ascii="Arial" w:eastAsiaTheme="majorEastAsia" w:hAnsi="Arial" w:cs="Arial"/>
          <w:szCs w:val="26"/>
        </w:rPr>
        <w:t>S</w:t>
      </w:r>
      <w:r w:rsidR="00FD1BF7" w:rsidRPr="0092670C">
        <w:rPr>
          <w:rFonts w:ascii="Arial" w:eastAsiaTheme="majorEastAsia" w:hAnsi="Arial" w:cs="Arial"/>
          <w:szCs w:val="26"/>
        </w:rPr>
        <w:t xml:space="preserve">olid state electrolytes </w:t>
      </w:r>
      <w:r w:rsidR="00C7732E" w:rsidRPr="0092670C">
        <w:rPr>
          <w:rFonts w:ascii="Arial" w:eastAsiaTheme="majorEastAsia" w:hAnsi="Arial" w:cs="Arial"/>
          <w:szCs w:val="26"/>
        </w:rPr>
        <w:t xml:space="preserve">are </w:t>
      </w:r>
      <w:r w:rsidR="004C483E" w:rsidRPr="0092670C">
        <w:rPr>
          <w:rFonts w:ascii="Arial" w:eastAsiaTheme="majorEastAsia" w:hAnsi="Arial" w:cs="Arial"/>
          <w:szCs w:val="26"/>
        </w:rPr>
        <w:t xml:space="preserve">solids that </w:t>
      </w:r>
      <w:r w:rsidR="00B4686F" w:rsidRPr="0092670C">
        <w:rPr>
          <w:rFonts w:ascii="Arial" w:eastAsiaTheme="majorEastAsia" w:hAnsi="Arial" w:cs="Arial"/>
          <w:szCs w:val="26"/>
        </w:rPr>
        <w:t xml:space="preserve">can </w:t>
      </w:r>
      <w:r w:rsidR="004C483E" w:rsidRPr="0092670C">
        <w:rPr>
          <w:rFonts w:ascii="Arial" w:eastAsiaTheme="majorEastAsia" w:hAnsi="Arial" w:cs="Arial"/>
          <w:szCs w:val="26"/>
        </w:rPr>
        <w:t>conduct Li-ions.</w:t>
      </w:r>
      <w:r w:rsidR="00B4686F" w:rsidRPr="0092670C">
        <w:rPr>
          <w:rFonts w:ascii="Arial" w:eastAsiaTheme="majorEastAsia" w:hAnsi="Arial" w:cs="Arial"/>
          <w:szCs w:val="26"/>
        </w:rPr>
        <w:t xml:space="preserve"> </w:t>
      </w:r>
      <w:r w:rsidR="00B32425" w:rsidRPr="0092670C">
        <w:rPr>
          <w:rFonts w:ascii="Arial" w:eastAsiaTheme="majorEastAsia" w:hAnsi="Arial" w:cs="Arial"/>
          <w:szCs w:val="26"/>
        </w:rPr>
        <w:t>Solid state electrolytes</w:t>
      </w:r>
      <w:r w:rsidR="00B4686F" w:rsidRPr="0092670C">
        <w:rPr>
          <w:rFonts w:ascii="Arial" w:eastAsiaTheme="majorEastAsia" w:hAnsi="Arial" w:cs="Arial"/>
          <w:szCs w:val="26"/>
        </w:rPr>
        <w:t xml:space="preserve"> </w:t>
      </w:r>
      <w:r w:rsidR="00C469B0" w:rsidRPr="0092670C">
        <w:rPr>
          <w:rFonts w:ascii="Arial" w:eastAsiaTheme="majorEastAsia" w:hAnsi="Arial" w:cs="Arial"/>
          <w:szCs w:val="26"/>
        </w:rPr>
        <w:t xml:space="preserve">mitigate the need for a separator in a cell as </w:t>
      </w:r>
      <w:r w:rsidR="00D1543D" w:rsidRPr="0092670C">
        <w:rPr>
          <w:rFonts w:ascii="Arial" w:eastAsiaTheme="majorEastAsia" w:hAnsi="Arial" w:cs="Arial"/>
          <w:szCs w:val="26"/>
        </w:rPr>
        <w:t>it is itself a</w:t>
      </w:r>
      <w:r w:rsidR="00B72822" w:rsidRPr="0092670C">
        <w:rPr>
          <w:rFonts w:ascii="Arial" w:eastAsiaTheme="majorEastAsia" w:hAnsi="Arial" w:cs="Arial"/>
          <w:szCs w:val="26"/>
        </w:rPr>
        <w:t>n electrical insulator</w:t>
      </w:r>
      <w:r w:rsidR="001C3494" w:rsidRPr="0092670C">
        <w:rPr>
          <w:rFonts w:ascii="Arial" w:eastAsiaTheme="majorEastAsia" w:hAnsi="Arial" w:cs="Arial"/>
          <w:szCs w:val="26"/>
        </w:rPr>
        <w:t xml:space="preserve"> which reduces </w:t>
      </w:r>
      <w:r w:rsidR="003F109B" w:rsidRPr="0092670C">
        <w:rPr>
          <w:rFonts w:ascii="Arial" w:eastAsiaTheme="majorEastAsia" w:hAnsi="Arial" w:cs="Arial"/>
          <w:szCs w:val="26"/>
        </w:rPr>
        <w:t>the</w:t>
      </w:r>
      <w:r w:rsidR="00507B38" w:rsidRPr="0092670C">
        <w:rPr>
          <w:rFonts w:ascii="Arial" w:eastAsiaTheme="majorEastAsia" w:hAnsi="Arial" w:cs="Arial"/>
          <w:szCs w:val="26"/>
        </w:rPr>
        <w:t xml:space="preserve"> space </w:t>
      </w:r>
      <w:r w:rsidR="00450112" w:rsidRPr="0092670C">
        <w:rPr>
          <w:rFonts w:ascii="Arial" w:eastAsiaTheme="majorEastAsia" w:hAnsi="Arial" w:cs="Arial"/>
          <w:szCs w:val="26"/>
        </w:rPr>
        <w:t>taken up by the cell</w:t>
      </w:r>
      <w:r w:rsidR="00D1543D" w:rsidRPr="0092670C">
        <w:rPr>
          <w:rFonts w:ascii="Arial" w:eastAsiaTheme="majorEastAsia" w:hAnsi="Arial" w:cs="Arial"/>
          <w:szCs w:val="26"/>
        </w:rPr>
        <w:t xml:space="preserve">. </w:t>
      </w:r>
      <w:r w:rsidR="006D5820" w:rsidRPr="0092670C">
        <w:rPr>
          <w:rFonts w:ascii="Arial" w:eastAsiaTheme="majorEastAsia" w:hAnsi="Arial" w:cs="Arial"/>
          <w:szCs w:val="26"/>
        </w:rPr>
        <w:t>Despite the positive benefits</w:t>
      </w:r>
      <w:r w:rsidR="00631CCC" w:rsidRPr="0092670C">
        <w:rPr>
          <w:rFonts w:ascii="Arial" w:eastAsiaTheme="majorEastAsia" w:hAnsi="Arial" w:cs="Arial"/>
          <w:szCs w:val="26"/>
        </w:rPr>
        <w:t xml:space="preserve"> they still suffer from a few issues that prevent their use commercially. The first is their poor conductivity which even for the best </w:t>
      </w:r>
      <w:r w:rsidR="00406344" w:rsidRPr="0092670C">
        <w:rPr>
          <w:rFonts w:ascii="Arial" w:eastAsiaTheme="majorEastAsia" w:hAnsi="Arial" w:cs="Arial"/>
          <w:szCs w:val="26"/>
        </w:rPr>
        <w:t>solid state</w:t>
      </w:r>
      <w:r w:rsidR="003A6189" w:rsidRPr="0092670C">
        <w:rPr>
          <w:rFonts w:ascii="Arial" w:eastAsiaTheme="majorEastAsia" w:hAnsi="Arial" w:cs="Arial"/>
          <w:szCs w:val="26"/>
        </w:rPr>
        <w:t xml:space="preserve"> electrolyte is </w:t>
      </w:r>
      <w:r w:rsidR="00265D01">
        <w:rPr>
          <w:rFonts w:ascii="Arial" w:eastAsiaTheme="majorEastAsia" w:hAnsi="Arial" w:cs="Arial"/>
          <w:szCs w:val="26"/>
        </w:rPr>
        <w:t>lower than</w:t>
      </w:r>
      <w:r w:rsidR="00406344" w:rsidRPr="0092670C">
        <w:rPr>
          <w:rFonts w:ascii="Arial" w:eastAsiaTheme="majorEastAsia" w:hAnsi="Arial" w:cs="Arial"/>
          <w:szCs w:val="26"/>
        </w:rPr>
        <w:t xml:space="preserve"> carbonate-based electrolytes</w:t>
      </w:r>
      <w:r w:rsidR="00D97334" w:rsidRPr="0092670C">
        <w:rPr>
          <w:rFonts w:ascii="Arial" w:eastAsiaTheme="majorEastAsia" w:hAnsi="Arial" w:cs="Arial"/>
          <w:szCs w:val="26"/>
        </w:rPr>
        <w:t xml:space="preserve"> and th</w:t>
      </w:r>
      <w:r w:rsidR="00FA56C9" w:rsidRPr="0092670C">
        <w:rPr>
          <w:rFonts w:ascii="Arial" w:eastAsiaTheme="majorEastAsia" w:hAnsi="Arial" w:cs="Arial"/>
          <w:szCs w:val="26"/>
        </w:rPr>
        <w:t xml:space="preserve">e </w:t>
      </w:r>
      <w:r w:rsidR="00F16E77" w:rsidRPr="0092670C">
        <w:rPr>
          <w:rFonts w:ascii="Arial" w:eastAsiaTheme="majorEastAsia" w:hAnsi="Arial" w:cs="Arial"/>
          <w:szCs w:val="26"/>
        </w:rPr>
        <w:t xml:space="preserve">values for common </w:t>
      </w:r>
      <w:r w:rsidR="005D7C45" w:rsidRPr="0092670C">
        <w:rPr>
          <w:rFonts w:ascii="Arial" w:eastAsiaTheme="majorEastAsia" w:hAnsi="Arial" w:cs="Arial"/>
          <w:szCs w:val="26"/>
        </w:rPr>
        <w:t xml:space="preserve">solid </w:t>
      </w:r>
      <w:r w:rsidR="00F16E77" w:rsidRPr="0092670C">
        <w:rPr>
          <w:rFonts w:ascii="Arial" w:eastAsiaTheme="majorEastAsia" w:hAnsi="Arial" w:cs="Arial"/>
          <w:szCs w:val="26"/>
        </w:rPr>
        <w:t>conductive materials</w:t>
      </w:r>
      <w:r w:rsidR="00D97334" w:rsidRPr="0092670C">
        <w:rPr>
          <w:rFonts w:ascii="Arial" w:eastAsiaTheme="majorEastAsia" w:hAnsi="Arial" w:cs="Arial"/>
          <w:szCs w:val="26"/>
        </w:rPr>
        <w:t xml:space="preserve"> can be seen in </w:t>
      </w:r>
      <w:r w:rsidR="00C915CC" w:rsidRPr="0092670C">
        <w:rPr>
          <w:rFonts w:ascii="Arial" w:eastAsiaTheme="majorEastAsia" w:hAnsi="Arial" w:cs="Arial"/>
        </w:rPr>
        <w:fldChar w:fldCharType="begin"/>
      </w:r>
      <w:r w:rsidR="00C915CC" w:rsidRPr="0092670C">
        <w:rPr>
          <w:rFonts w:ascii="Arial" w:eastAsiaTheme="majorEastAsia" w:hAnsi="Arial" w:cs="Arial"/>
        </w:rPr>
        <w:instrText xml:space="preserve"> REF _Ref27566819 \h </w:instrText>
      </w:r>
      <w:r w:rsidR="000112E4" w:rsidRPr="0092670C">
        <w:rPr>
          <w:rFonts w:ascii="Arial" w:eastAsiaTheme="majorEastAsia" w:hAnsi="Arial" w:cs="Arial"/>
        </w:rPr>
        <w:instrText xml:space="preserve"> \* MERGEFORMAT </w:instrText>
      </w:r>
      <w:r w:rsidR="00C915CC" w:rsidRPr="0092670C">
        <w:rPr>
          <w:rFonts w:ascii="Arial" w:eastAsiaTheme="majorEastAsia" w:hAnsi="Arial" w:cs="Arial"/>
        </w:rPr>
      </w:r>
      <w:r w:rsidR="00C915CC" w:rsidRPr="0092670C">
        <w:rPr>
          <w:rFonts w:ascii="Arial" w:eastAsiaTheme="majorEastAsia"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7</w:t>
      </w:r>
      <w:r w:rsidR="00C915CC" w:rsidRPr="0092670C">
        <w:rPr>
          <w:rFonts w:ascii="Arial" w:eastAsiaTheme="majorEastAsia" w:hAnsi="Arial" w:cs="Arial"/>
        </w:rPr>
        <w:fldChar w:fldCharType="end"/>
      </w:r>
      <w:r w:rsidR="00406344" w:rsidRPr="0092670C">
        <w:rPr>
          <w:rFonts w:ascii="Arial" w:eastAsiaTheme="majorEastAsia" w:hAnsi="Arial" w:cs="Arial"/>
          <w:szCs w:val="26"/>
        </w:rPr>
        <w:t>.</w:t>
      </w:r>
      <w:r w:rsidR="000112E4" w:rsidRPr="0092670C">
        <w:rPr>
          <w:rFonts w:ascii="Arial" w:eastAsiaTheme="majorEastAsia" w:hAnsi="Arial" w:cs="Arial"/>
          <w:szCs w:val="26"/>
        </w:rPr>
        <w:t xml:space="preserve"> </w:t>
      </w:r>
      <w:r w:rsidR="00EC7918" w:rsidRPr="0092670C">
        <w:rPr>
          <w:rFonts w:ascii="Arial" w:eastAsiaTheme="majorEastAsia" w:hAnsi="Arial" w:cs="Arial"/>
          <w:szCs w:val="26"/>
        </w:rPr>
        <w:t xml:space="preserve">In comparison </w:t>
      </w:r>
      <w:r w:rsidR="000F6140" w:rsidRPr="0092670C">
        <w:rPr>
          <w:rFonts w:ascii="Arial" w:eastAsiaTheme="majorEastAsia" w:hAnsi="Arial" w:cs="Arial"/>
          <w:szCs w:val="26"/>
        </w:rPr>
        <w:t>liquid electrolytes have a conductiv</w:t>
      </w:r>
      <w:r w:rsidR="003C2FA6" w:rsidRPr="0092670C">
        <w:rPr>
          <w:rFonts w:ascii="Arial" w:eastAsiaTheme="majorEastAsia" w:hAnsi="Arial" w:cs="Arial"/>
          <w:szCs w:val="26"/>
        </w:rPr>
        <w:t xml:space="preserve">ity </w:t>
      </w:r>
      <w:r w:rsidR="00713C1D" w:rsidRPr="0092670C">
        <w:rPr>
          <w:rFonts w:ascii="Arial" w:eastAsiaTheme="majorEastAsia" w:hAnsi="Arial" w:cs="Arial"/>
          <w:szCs w:val="26"/>
        </w:rPr>
        <w:t>around 100</w:t>
      </w:r>
      <w:r w:rsidR="00454BC4">
        <w:rPr>
          <w:rFonts w:ascii="Arial" w:eastAsiaTheme="majorEastAsia" w:hAnsi="Arial" w:cs="Arial"/>
          <w:szCs w:val="26"/>
        </w:rPr>
        <w:t xml:space="preserve"> </w:t>
      </w:r>
      <w:r w:rsidR="00890E3F" w:rsidRPr="0092670C">
        <w:rPr>
          <w:rFonts w:ascii="Arial" w:eastAsiaTheme="majorEastAsia" w:hAnsi="Arial" w:cs="Arial"/>
          <w:szCs w:val="26"/>
        </w:rPr>
        <w:t>mS</w:t>
      </w:r>
      <w:r w:rsidR="00454BC4">
        <w:rPr>
          <w:rFonts w:ascii="Arial" w:eastAsiaTheme="majorEastAsia" w:hAnsi="Arial" w:cs="Arial"/>
          <w:szCs w:val="26"/>
        </w:rPr>
        <w:t xml:space="preserve"> </w:t>
      </w:r>
      <w:r w:rsidR="00890E3F" w:rsidRPr="0092670C">
        <w:rPr>
          <w:rFonts w:ascii="Arial" w:eastAsiaTheme="majorEastAsia" w:hAnsi="Arial" w:cs="Arial"/>
          <w:szCs w:val="26"/>
        </w:rPr>
        <w:t>cm</w:t>
      </w:r>
      <w:r w:rsidR="00EC2554" w:rsidRPr="0092670C">
        <w:rPr>
          <w:rFonts w:ascii="Arial" w:eastAsiaTheme="majorEastAsia" w:hAnsi="Arial" w:cs="Arial"/>
          <w:szCs w:val="26"/>
          <w:vertAlign w:val="superscript"/>
        </w:rPr>
        <w:t>-1</w:t>
      </w:r>
      <w:r w:rsidR="00890E3F" w:rsidRPr="0092670C">
        <w:rPr>
          <w:rFonts w:ascii="Arial" w:eastAsiaTheme="majorEastAsia" w:hAnsi="Arial" w:cs="Arial"/>
          <w:szCs w:val="26"/>
        </w:rPr>
        <w:t xml:space="preserve"> </w:t>
      </w:r>
      <w:r w:rsidR="00507D3A"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&lt;EndNote&gt;&lt;Cite&gt;&lt;Author&gt;Yuqin&lt;/Author&gt;&lt;Year&gt;1997&lt;/Year&gt;&lt;RecNum&gt;127&lt;/RecNum&gt;&lt;DisplayText&gt;[26]&lt;/DisplayText&gt;&lt;record&gt;&lt;rec-number&gt;127&lt;/rec-number&gt;&lt;foreign-keys&gt;&lt;key app="EN" db-id="5sa9s0e0r0d9fnexra7pr5xdwd5ztevx95s2" timestamp="1518620521"&gt;127&lt;/key&gt;&lt;/foreign-keys&gt;&lt;ref-type name="Journal Article"&gt;17&lt;/ref-type&gt;&lt;contributors&gt;&lt;authors&gt;&lt;author&gt;Yuqin, Chang&lt;/author&gt;&lt;author&gt;Hong, Li&lt;/author&gt;&lt;author&gt;Lie, Wu&lt;/author&gt;&lt;author&gt;Tianhong, Lu&lt;/author&gt;&lt;/authors&gt;&lt;/contributors&gt;&lt;titles&gt;&lt;title&gt;Irreversible capacity loss of graphite electrode in lithium-ion batteries&lt;/title&gt;&lt;secondary-title&gt;Journal of Power Sources&lt;/secondary-title&gt;&lt;/titles&gt;&lt;periodical&gt;&lt;full-title&gt;Journal of Power Sources&lt;/full-title&gt;&lt;/periodical&gt;&lt;pages&gt;187-190&lt;/pages&gt;&lt;volume&gt;68&lt;/volume&gt;&lt;number&gt;2&lt;/number&gt;&lt;keywords&gt;&lt;keyword&gt;Lithium-ion batteries&lt;/keyword&gt;&lt;keyword&gt;Lithium/carbon cell&lt;/keyword&gt;&lt;keyword&gt;Carbon negative electrodes&lt;/keyword&gt;&lt;keyword&gt;Capacity loss&lt;/keyword&gt;&lt;keyword&gt;Irreversible capacity loss&lt;/keyword&gt;&lt;keyword&gt;Cycling behavior&lt;/keyword&gt;&lt;/keywords&gt;&lt;dates&gt;&lt;year&gt;1997&lt;/year&gt;&lt;pub-dates&gt;&lt;date&gt;1997/10/01/&lt;/date&gt;&lt;/pub-dates&gt;&lt;/dates&gt;&lt;isbn&gt;0378-7753&lt;/isbn&gt;&lt;urls&gt;&lt;related-urls&gt;&lt;url&gt;http://www.sciencedirect.com/science/article/pii/S0378775396025499&lt;/url&gt;&lt;/related-urls&gt;&lt;/urls&gt;&lt;electronic-resource-num&gt;https://doi.org/10.1016/S0378-7753(96)02549-9&lt;/electronic-resource-num&gt;&lt;/record&gt;&lt;/Cite&gt;&lt;/EndNote&gt;</w:instrText>
      </w:r>
      <w:r w:rsidR="00507D3A" w:rsidRPr="0092670C">
        <w:rPr>
          <w:rFonts w:ascii="Arial" w:eastAsiaTheme="majorEastAsia" w:hAnsi="Arial" w:cs="Arial"/>
          <w:szCs w:val="26"/>
        </w:rPr>
        <w:fldChar w:fldCharType="separate"/>
      </w:r>
      <w:r w:rsidR="004F0EC3">
        <w:rPr>
          <w:rFonts w:ascii="Arial" w:eastAsiaTheme="majorEastAsia" w:hAnsi="Arial" w:cs="Arial"/>
          <w:noProof/>
          <w:szCs w:val="26"/>
        </w:rPr>
        <w:t>[26]</w:t>
      </w:r>
      <w:r w:rsidR="00507D3A" w:rsidRPr="0092670C">
        <w:rPr>
          <w:rFonts w:ascii="Arial" w:eastAsiaTheme="majorEastAsia" w:hAnsi="Arial" w:cs="Arial"/>
          <w:szCs w:val="26"/>
        </w:rPr>
        <w:fldChar w:fldCharType="end"/>
      </w:r>
      <w:r w:rsidR="00E1322B" w:rsidRPr="0092670C">
        <w:rPr>
          <w:rFonts w:ascii="Arial" w:eastAsiaTheme="majorEastAsia" w:hAnsi="Arial" w:cs="Arial"/>
          <w:szCs w:val="26"/>
        </w:rPr>
        <w:t xml:space="preserve">. </w:t>
      </w:r>
      <w:r w:rsidR="00737A29" w:rsidRPr="0092670C">
        <w:rPr>
          <w:rFonts w:ascii="Arial" w:eastAsiaTheme="majorEastAsia" w:hAnsi="Arial" w:cs="Arial"/>
          <w:szCs w:val="26"/>
        </w:rPr>
        <w:t xml:space="preserve">This </w:t>
      </w:r>
      <w:r w:rsidR="00433668" w:rsidRPr="0092670C">
        <w:rPr>
          <w:rFonts w:ascii="Arial" w:eastAsiaTheme="majorEastAsia" w:hAnsi="Arial" w:cs="Arial"/>
          <w:szCs w:val="26"/>
        </w:rPr>
        <w:t>poor conductivity</w:t>
      </w:r>
      <w:r w:rsidR="00B80F81" w:rsidRPr="0092670C">
        <w:rPr>
          <w:rFonts w:ascii="Arial" w:eastAsiaTheme="majorEastAsia" w:hAnsi="Arial" w:cs="Arial"/>
          <w:szCs w:val="26"/>
        </w:rPr>
        <w:t xml:space="preserve"> hampers the rate capability of </w:t>
      </w:r>
      <w:r w:rsidR="002A110E" w:rsidRPr="0092670C">
        <w:rPr>
          <w:rFonts w:ascii="Arial" w:eastAsiaTheme="majorEastAsia" w:hAnsi="Arial" w:cs="Arial"/>
          <w:szCs w:val="26"/>
        </w:rPr>
        <w:t>solid state batteries</w:t>
      </w:r>
      <w:r w:rsidR="005C4577" w:rsidRPr="0092670C">
        <w:rPr>
          <w:rFonts w:ascii="Arial" w:eastAsiaTheme="majorEastAsia" w:hAnsi="Arial" w:cs="Arial"/>
          <w:szCs w:val="26"/>
        </w:rPr>
        <w:t xml:space="preserve"> </w:t>
      </w:r>
      <w:r w:rsidR="002A110E"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&lt;EndNote&gt;&lt;Cite&gt;&lt;Author&gt;Ohta&lt;/Author&gt;&lt;Year&gt;2006&lt;/Year&gt;&lt;RecNum&gt;756&lt;/RecNum&gt;&lt;DisplayText&gt;[27]&lt;/DisplayText&gt;&lt;record&gt;&lt;rec-number&gt;756&lt;/rec-number&gt;&lt;foreign-keys&gt;&lt;key app="EN" db-id="5sa9s0e0r0d9fnexra7pr5xdwd5ztevx95s2" timestamp="1593904158" guid="b15feaf5-3b95-4286-8af0-43d0595bb6a5"&gt;756&lt;/key&gt;&lt;/foreign-keys&gt;&lt;ref-type name="Journal Article"&gt;17&lt;/ref-type&gt;&lt;contributors&gt;&lt;authors&gt;&lt;author&gt;Ohta, N.&lt;/author&gt;&lt;author&gt;Takada, K.&lt;/author&gt;&lt;author&gt;Zhang, L.&lt;/author&gt;&lt;author&gt;Ma, R.&lt;/author&gt;&lt;author&gt;Osada, M.&lt;/author&gt;&lt;author&gt;Sasaki, T.&lt;/author&gt;&lt;/authors&gt;&lt;/contributors&gt;&lt;titles&gt;&lt;title&gt;Enhancement of the High-Rate Capability of Solid-State Lithium Batteries by Nanoscale Interfacial Modification&lt;/title&gt;&lt;secondary-title&gt;Advanced Materials&lt;/secondary-title&gt;&lt;/titles&gt;&lt;periodical&gt;&lt;full-title&gt;Advanced Materials&lt;/full-title&gt;&lt;abbr-1&gt;Adv. Mater.&lt;/abbr-1&gt;&lt;/periodical&gt;&lt;pages&gt;2226-2229&lt;/pages&gt;&lt;volume&gt;18&lt;/volume&gt;&lt;number&gt;17&lt;/number&gt;&lt;dates&gt;&lt;year&gt;2006&lt;/year&gt;&lt;/dates&gt;&lt;isbn&gt;0935-9648&lt;/isbn&gt;&lt;urls&gt;&lt;related-urls&gt;&lt;url&gt;https://onlinelibrary.wiley.com/doi/abs/10.1002/adma.200502604&lt;/url&gt;&lt;/related-urls&gt;&lt;/urls&gt;&lt;electronic-resource-num&gt;10.1002/adma.200502604&lt;/electronic-resource-num&gt;&lt;/record&gt;&lt;/Cite&gt;&lt;/EndNote&gt;</w:instrText>
      </w:r>
      <w:r w:rsidR="002A110E" w:rsidRPr="0092670C">
        <w:rPr>
          <w:rFonts w:ascii="Arial" w:eastAsiaTheme="majorEastAsia" w:hAnsi="Arial" w:cs="Arial"/>
          <w:szCs w:val="26"/>
        </w:rPr>
        <w:fldChar w:fldCharType="separate"/>
      </w:r>
      <w:r w:rsidR="004F0EC3">
        <w:rPr>
          <w:rFonts w:ascii="Arial" w:eastAsiaTheme="majorEastAsia" w:hAnsi="Arial" w:cs="Arial"/>
          <w:noProof/>
          <w:szCs w:val="26"/>
        </w:rPr>
        <w:t>[27]</w:t>
      </w:r>
      <w:r w:rsidR="002A110E" w:rsidRPr="0092670C">
        <w:rPr>
          <w:rFonts w:ascii="Arial" w:eastAsiaTheme="majorEastAsia" w:hAnsi="Arial" w:cs="Arial"/>
          <w:szCs w:val="26"/>
        </w:rPr>
        <w:fldChar w:fldCharType="end"/>
      </w:r>
      <w:r w:rsidR="001E420E" w:rsidRPr="0092670C">
        <w:rPr>
          <w:rFonts w:ascii="Arial" w:eastAsiaTheme="majorEastAsia" w:hAnsi="Arial" w:cs="Arial"/>
          <w:szCs w:val="26"/>
        </w:rPr>
        <w:t>.</w:t>
      </w:r>
      <w:r w:rsidR="00406344" w:rsidRPr="0092670C">
        <w:rPr>
          <w:rFonts w:ascii="Arial" w:eastAsiaTheme="majorEastAsia" w:hAnsi="Arial" w:cs="Arial"/>
          <w:szCs w:val="26"/>
        </w:rPr>
        <w:t xml:space="preserve"> The second </w:t>
      </w:r>
      <w:r w:rsidR="00565A80">
        <w:rPr>
          <w:rFonts w:ascii="Arial" w:eastAsiaTheme="majorEastAsia" w:hAnsi="Arial" w:cs="Arial"/>
          <w:szCs w:val="26"/>
        </w:rPr>
        <w:t>significant is</w:t>
      </w:r>
      <w:r w:rsidR="004A7115">
        <w:rPr>
          <w:rFonts w:ascii="Arial" w:eastAsiaTheme="majorEastAsia" w:hAnsi="Arial" w:cs="Arial"/>
          <w:szCs w:val="26"/>
        </w:rPr>
        <w:t xml:space="preserve">sue is translating the successes seen in small lab scale trials to </w:t>
      </w:r>
      <w:r w:rsidR="007A1B0D">
        <w:rPr>
          <w:rFonts w:ascii="Arial" w:eastAsiaTheme="majorEastAsia" w:hAnsi="Arial" w:cs="Arial"/>
          <w:szCs w:val="26"/>
        </w:rPr>
        <w:t>the large scale manufacture of batteries</w:t>
      </w:r>
      <w:r w:rsidR="00AF0877">
        <w:rPr>
          <w:rFonts w:ascii="Arial" w:eastAsiaTheme="majorEastAsia" w:hAnsi="Arial" w:cs="Arial"/>
          <w:szCs w:val="26"/>
        </w:rPr>
        <w:t xml:space="preserve"> </w:t>
      </w:r>
      <w:r w:rsidR="00AF0877">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&lt;EndNote&gt;&lt;Cite&gt;&lt;Author&gt;Hatzell&lt;/Author&gt;&lt;Year&gt;2021&lt;/Year&gt;&lt;RecNum&gt;374&lt;/RecNum&gt;&lt;DisplayText&gt;[28]&lt;/DisplayText&gt;&lt;record&gt;&lt;rec-number&gt;374&lt;/rec-number&gt;&lt;foreign-keys&gt;&lt;key app="EN" db-id="5sa9s0e0r0d9fnexra7pr5xdwd5ztevx95s2" timestamp="1631795021"&gt;374&lt;/key&gt;&lt;/foreign-keys&gt;&lt;ref-type name="Journal Article"&gt;17&lt;/ref-type&gt;&lt;contributors&gt;&lt;authors&gt;&lt;author&gt;Hatzell, Kelsey B.&lt;/author&gt;&lt;author&gt;Zheng, Yanjie&lt;/author&gt;&lt;/authors&gt;&lt;/contributors&gt;&lt;titles&gt;&lt;title&gt;Prospects on large-scale manufacturing of solid state batteries&lt;/title&gt;&lt;secondary-title&gt;MRS Energy &amp;amp; Sustainability&lt;/secondary-title&gt;&lt;/titles&gt;&lt;periodical&gt;&lt;full-title&gt;MRS Energy &amp;amp; Sustainability&lt;/full-title&gt;&lt;/periodical&gt;&lt;pages&gt;33-39&lt;/pages&gt;&lt;volume&gt;8&lt;/volume&gt;&lt;number&gt;1&lt;/number&gt;&lt;dates&gt;&lt;year&gt;2021&lt;/year&gt;&lt;pub-dates&gt;&lt;date&gt;2021/03/01&lt;/date&gt;&lt;/pub-dates&gt;&lt;/dates&gt;&lt;isbn&gt;2329-2237&lt;/isbn&gt;&lt;urls&gt;&lt;related-urls&gt;&lt;url&gt;https://doi.org/10.1557/s43581-021-00004-w&lt;/url&gt;&lt;/related-urls&gt;&lt;/urls&gt;&lt;electronic-resource-num&gt;10.1557/s43581-021-00004-w&lt;/electronic-resource-num&gt;&lt;/record&gt;&lt;/Cite&gt;&lt;/EndNote&gt;</w:instrText>
      </w:r>
      <w:r w:rsidR="00AF0877">
        <w:rPr>
          <w:rFonts w:ascii="Arial" w:eastAsiaTheme="majorEastAsia" w:hAnsi="Arial" w:cs="Arial"/>
          <w:szCs w:val="26"/>
        </w:rPr>
        <w:fldChar w:fldCharType="separate"/>
      </w:r>
      <w:r w:rsidR="004F0EC3">
        <w:rPr>
          <w:rFonts w:ascii="Arial" w:eastAsiaTheme="majorEastAsia" w:hAnsi="Arial" w:cs="Arial"/>
          <w:noProof/>
          <w:szCs w:val="26"/>
        </w:rPr>
        <w:t>[28]</w:t>
      </w:r>
      <w:r w:rsidR="00AF0877">
        <w:rPr>
          <w:rFonts w:ascii="Arial" w:eastAsiaTheme="majorEastAsia" w:hAnsi="Arial" w:cs="Arial"/>
          <w:szCs w:val="26"/>
        </w:rPr>
        <w:fldChar w:fldCharType="end"/>
      </w:r>
      <w:r w:rsidR="007A1B0D">
        <w:rPr>
          <w:rFonts w:ascii="Arial" w:eastAsiaTheme="majorEastAsia" w:hAnsi="Arial" w:cs="Arial"/>
          <w:szCs w:val="26"/>
        </w:rPr>
        <w:t>.</w:t>
      </w:r>
      <w:r w:rsidR="00E7536E" w:rsidRPr="0092670C">
        <w:rPr>
          <w:rFonts w:ascii="Arial" w:eastAsiaTheme="majorEastAsia" w:hAnsi="Arial" w:cs="Arial"/>
          <w:szCs w:val="26"/>
        </w:rPr>
        <w:t xml:space="preserve"> </w:t>
      </w:r>
      <w:r w:rsidR="00AD5A33" w:rsidRPr="0092670C">
        <w:rPr>
          <w:rFonts w:ascii="Arial" w:eastAsiaTheme="majorEastAsia" w:hAnsi="Arial" w:cs="Arial"/>
          <w:szCs w:val="26"/>
        </w:rPr>
        <w:t xml:space="preserve">Until these issues are rectified </w:t>
      </w:r>
      <w:r w:rsidR="000112E4" w:rsidRPr="0092670C">
        <w:rPr>
          <w:rFonts w:ascii="Arial" w:eastAsiaTheme="majorEastAsia" w:hAnsi="Arial" w:cs="Arial"/>
          <w:szCs w:val="26"/>
        </w:rPr>
        <w:t>carbonate-based</w:t>
      </w:r>
      <w:r w:rsidR="00AD5A33" w:rsidRPr="0092670C">
        <w:rPr>
          <w:rFonts w:ascii="Arial" w:eastAsiaTheme="majorEastAsia" w:hAnsi="Arial" w:cs="Arial"/>
          <w:szCs w:val="26"/>
        </w:rPr>
        <w:t xml:space="preserve"> electrolyte will be the </w:t>
      </w:r>
      <w:r w:rsidR="00620F78" w:rsidRPr="0092670C">
        <w:rPr>
          <w:rFonts w:ascii="Arial" w:eastAsiaTheme="majorEastAsia" w:hAnsi="Arial" w:cs="Arial"/>
          <w:szCs w:val="26"/>
        </w:rPr>
        <w:t xml:space="preserve">first choice. </w:t>
      </w:r>
    </w:p>
    <w:p w14:paraId="08945DEE" w14:textId="77777777" w:rsidR="00F46312" w:rsidRPr="0092670C" w:rsidRDefault="00F46312" w:rsidP="00F46312">
      <w:pPr>
        <w:keepNext/>
        <w:spacing w:line="360" w:lineRule="auto"/>
        <w:jc w:val="center"/>
        <w:rPr>
          <w:rFonts w:ascii="Arial" w:hAnsi="Arial" w:cs="Arial"/>
        </w:rPr>
      </w:pPr>
      <w:r w:rsidRPr="0092670C">
        <w:rPr>
          <w:rFonts w:ascii="Arial" w:hAnsi="Arial" w:cs="Arial"/>
          <w:noProof/>
        </w:rPr>
        <w:drawing>
          <wp:inline distT="0" distB="0" distL="0" distR="0" wp14:anchorId="51159E1A" wp14:editId="455F256F">
            <wp:extent cx="4562475" cy="2811487"/>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17" cy="2817367"/>
                    </a:xfrm>
                    <a:prstGeom prst="rect">
                      <a:avLst/>
                    </a:prstGeom>
                  </pic:spPr>
                </pic:pic>
              </a:graphicData>
            </a:graphic>
          </wp:inline>
        </w:drawing>
      </w:r>
    </w:p>
    <w:p w14:paraId="7EB49868" w14:textId="3C09EABE" w:rsidR="00F46312" w:rsidRPr="00B97230" w:rsidRDefault="00F46312" w:rsidP="00F46312">
      <w:pPr>
        <w:pStyle w:val="Caption"/>
        <w:jc w:val="center"/>
        <w:rPr>
          <w:rFonts w:ascii="Arial" w:eastAsiaTheme="majorEastAsia" w:hAnsi="Arial" w:cs="Arial"/>
          <w:sz w:val="20"/>
          <w:szCs w:val="28"/>
        </w:rPr>
      </w:pPr>
      <w:bookmarkStart w:id="17" w:name="_Ref27566819"/>
      <w:r w:rsidRPr="00B97230">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7</w:t>
      </w:r>
      <w:r w:rsidR="00356A26">
        <w:rPr>
          <w:rFonts w:ascii="Arial" w:hAnsi="Arial" w:cs="Arial"/>
          <w:sz w:val="20"/>
          <w:szCs w:val="20"/>
        </w:rPr>
        <w:fldChar w:fldCharType="end"/>
      </w:r>
      <w:bookmarkEnd w:id="17"/>
      <w:r w:rsidRPr="00B97230">
        <w:rPr>
          <w:rFonts w:ascii="Arial" w:hAnsi="Arial" w:cs="Arial"/>
          <w:sz w:val="20"/>
          <w:szCs w:val="20"/>
        </w:rPr>
        <w:t>: Conductivities of common solid state electrolytes as a function of temperature</w:t>
      </w:r>
      <w:r w:rsidR="007570A9" w:rsidRPr="00B97230">
        <w:rPr>
          <w:rFonts w:ascii="Arial" w:hAnsi="Arial" w:cs="Arial"/>
          <w:sz w:val="20"/>
          <w:szCs w:val="20"/>
        </w:rPr>
        <w:t xml:space="preserve"> </w:t>
      </w:r>
      <w:r w:rsidRPr="00B97230">
        <w:rPr>
          <w:rFonts w:ascii="Arial" w:hAnsi="Arial" w:cs="Arial"/>
          <w:sz w:val="20"/>
          <w:szCs w:val="20"/>
        </w:rPr>
        <w:fldChar w:fldCharType="begin"/>
      </w:r>
      <w:r w:rsidR="004F0EC3">
        <w:rPr>
          <w:rFonts w:ascii="Arial" w:hAnsi="Arial" w:cs="Arial"/>
          <w:sz w:val="20"/>
          <w:szCs w:val="20"/>
        </w:rPr>
        <w:instrText xml:space="preserve"> ADDIN EN.CITE &lt;EndNote&gt;&lt;Cite&gt;&lt;Author&gt;Gao&lt;/Author&gt;&lt;Year&gt;2016&lt;/Year&gt;&lt;RecNum&gt;731&lt;/RecNum&gt;&lt;DisplayText&gt;[29]&lt;/DisplayText&gt;&lt;record&gt;&lt;rec-number&gt;731&lt;/rec-number&gt;&lt;foreign-keys&gt;&lt;key app="EN" db-id="5sa9s0e0r0d9fnexra7pr5xdwd5ztevx95s2" timestamp="1593904150" guid="519e7b78-9550-431a-acc6-239a2470a7c5"&gt;731&lt;/key&gt;&lt;/foreign-keys&gt;&lt;ref-type name="Journal Article"&gt;17&lt;/ref-type&gt;&lt;contributors&gt;&lt;authors&gt;&lt;author&gt;Gao, Jian&lt;/author&gt;&lt;author&gt;Zhao, Yu-Sheng&lt;/author&gt;&lt;author&gt;Shi, Si-Qi&lt;/author&gt;&lt;author&gt;Li, Hong&lt;/author&gt;&lt;/authors&gt;&lt;/contributors&gt;&lt;titles&gt;&lt;title&gt;Lithium-ion transport in inorganic solid state electrolyte&lt;/title&gt;&lt;secondary-title&gt;Chinese Physics B&lt;/secondary-title&gt;&lt;/titles&gt;&lt;periodical&gt;&lt;full-title&gt;Chinese Physics B&lt;/full-title&gt;&lt;/periodical&gt;&lt;pages&gt;018211&lt;/pages&gt;&lt;volume&gt;25&lt;/volume&gt;&lt;number&gt;1&lt;/number&gt;&lt;dates&gt;&lt;year&gt;2016&lt;/year&gt;&lt;/dates&gt;&lt;publisher&gt;IOP Publishing&lt;/publisher&gt;&lt;isbn&gt;1674-1056&lt;/isbn&gt;&lt;urls&gt;&lt;related-urls&gt;&lt;url&gt;https://dx.doi.org/10.1088/1674-1056/25/1/018211&lt;/url&gt;&lt;/related-urls&gt;&lt;/urls&gt;&lt;electronic-resource-num&gt;10.1088/1674-1056/25/1/018211&lt;/electronic-resource-num&gt;&lt;/record&gt;&lt;/Cite&gt;&lt;/EndNote&gt;</w:instrText>
      </w:r>
      <w:r w:rsidRPr="00B97230">
        <w:rPr>
          <w:rFonts w:ascii="Arial" w:hAnsi="Arial" w:cs="Arial"/>
          <w:sz w:val="20"/>
          <w:szCs w:val="20"/>
        </w:rPr>
        <w:fldChar w:fldCharType="separate"/>
      </w:r>
      <w:r w:rsidR="004F0EC3">
        <w:rPr>
          <w:rFonts w:ascii="Arial" w:hAnsi="Arial" w:cs="Arial"/>
          <w:noProof/>
          <w:sz w:val="20"/>
          <w:szCs w:val="20"/>
        </w:rPr>
        <w:t>[29]</w:t>
      </w:r>
      <w:r w:rsidRPr="00B97230">
        <w:rPr>
          <w:rFonts w:ascii="Arial" w:hAnsi="Arial" w:cs="Arial"/>
          <w:sz w:val="20"/>
          <w:szCs w:val="20"/>
        </w:rPr>
        <w:fldChar w:fldCharType="end"/>
      </w:r>
      <w:r w:rsidR="003B57A3" w:rsidRPr="00B97230">
        <w:rPr>
          <w:rFonts w:ascii="Arial" w:hAnsi="Arial" w:cs="Arial"/>
          <w:sz w:val="20"/>
          <w:szCs w:val="20"/>
        </w:rPr>
        <w:t>.</w:t>
      </w:r>
    </w:p>
    <w:p w14:paraId="232D897E" w14:textId="797F56C7" w:rsidR="002A6CE4" w:rsidRPr="0092670C" w:rsidRDefault="00F469C9" w:rsidP="00EC5323">
      <w:pPr>
        <w:pStyle w:val="Heading3"/>
        <w:rPr>
          <w:rFonts w:ascii="Arial" w:hAnsi="Arial" w:cs="Arial"/>
          <w:szCs w:val="26"/>
        </w:rPr>
      </w:pPr>
      <w:bookmarkStart w:id="18" w:name="_Toc82538715"/>
      <w:r w:rsidRPr="0092670C">
        <w:rPr>
          <w:rFonts w:ascii="Arial" w:hAnsi="Arial" w:cs="Arial"/>
          <w:szCs w:val="26"/>
        </w:rPr>
        <w:t xml:space="preserve">The </w:t>
      </w:r>
      <w:r w:rsidR="00A12FAE" w:rsidRPr="0092670C">
        <w:rPr>
          <w:rFonts w:ascii="Arial" w:hAnsi="Arial" w:cs="Arial"/>
          <w:szCs w:val="26"/>
        </w:rPr>
        <w:t>S</w:t>
      </w:r>
      <w:r w:rsidR="004574D9" w:rsidRPr="0092670C">
        <w:rPr>
          <w:rFonts w:ascii="Arial" w:hAnsi="Arial" w:cs="Arial"/>
          <w:szCs w:val="26"/>
        </w:rPr>
        <w:t>eparator</w:t>
      </w:r>
      <w:bookmarkEnd w:id="18"/>
    </w:p>
    <w:p w14:paraId="579A7916" w14:textId="27B0BCD6" w:rsidR="00F4596A" w:rsidRPr="0092670C" w:rsidRDefault="006D68B8" w:rsidP="00EC7057">
      <w:pPr>
        <w:spacing w:line="360" w:lineRule="auto"/>
        <w:jc w:val="both"/>
        <w:rPr>
          <w:rFonts w:ascii="Arial" w:eastAsiaTheme="majorEastAsia" w:hAnsi="Arial" w:cs="Arial"/>
          <w:szCs w:val="26"/>
        </w:rPr>
      </w:pPr>
      <w:r w:rsidRPr="0092670C">
        <w:rPr>
          <w:rFonts w:ascii="Arial" w:eastAsiaTheme="majorEastAsia" w:hAnsi="Arial" w:cs="Arial"/>
          <w:szCs w:val="26"/>
        </w:rPr>
        <w:t>The Separator</w:t>
      </w:r>
      <w:r w:rsidR="001F3C41" w:rsidRPr="0092670C">
        <w:rPr>
          <w:rFonts w:ascii="Arial" w:eastAsiaTheme="majorEastAsia" w:hAnsi="Arial" w:cs="Arial"/>
          <w:szCs w:val="26"/>
        </w:rPr>
        <w:t xml:space="preserve"> is an electrical insulator </w:t>
      </w:r>
      <w:r w:rsidR="007D2224" w:rsidRPr="0092670C">
        <w:rPr>
          <w:rFonts w:ascii="Arial" w:eastAsiaTheme="majorEastAsia" w:hAnsi="Arial" w:cs="Arial"/>
          <w:szCs w:val="26"/>
        </w:rPr>
        <w:t>that ensures that the anode and cathode aren’t in</w:t>
      </w:r>
      <w:r w:rsidR="00971BE0" w:rsidRPr="0092670C">
        <w:rPr>
          <w:rFonts w:ascii="Arial" w:eastAsiaTheme="majorEastAsia" w:hAnsi="Arial" w:cs="Arial"/>
          <w:szCs w:val="26"/>
        </w:rPr>
        <w:t xml:space="preserve"> </w:t>
      </w:r>
      <w:r w:rsidR="00524A3E" w:rsidRPr="0092670C">
        <w:rPr>
          <w:rFonts w:ascii="Arial" w:eastAsiaTheme="majorEastAsia" w:hAnsi="Arial" w:cs="Arial"/>
          <w:szCs w:val="26"/>
        </w:rPr>
        <w:t>electrical</w:t>
      </w:r>
      <w:r w:rsidR="007D2224" w:rsidRPr="0092670C">
        <w:rPr>
          <w:rFonts w:ascii="Arial" w:eastAsiaTheme="majorEastAsia" w:hAnsi="Arial" w:cs="Arial"/>
          <w:szCs w:val="26"/>
        </w:rPr>
        <w:t xml:space="preserve"> contact.</w:t>
      </w:r>
      <w:r w:rsidR="00EC7057" w:rsidRPr="0092670C">
        <w:rPr>
          <w:rFonts w:ascii="Arial" w:eastAsiaTheme="majorEastAsia" w:hAnsi="Arial" w:cs="Arial"/>
          <w:szCs w:val="26"/>
        </w:rPr>
        <w:t xml:space="preserve"> This forces the electrons to </w:t>
      </w:r>
      <w:r w:rsidR="007241DA" w:rsidRPr="0092670C">
        <w:rPr>
          <w:rFonts w:ascii="Arial" w:eastAsiaTheme="majorEastAsia" w:hAnsi="Arial" w:cs="Arial"/>
          <w:szCs w:val="26"/>
        </w:rPr>
        <w:t>flow through the external circuit</w:t>
      </w:r>
      <w:r w:rsidR="00F45126" w:rsidRPr="0092670C">
        <w:rPr>
          <w:rFonts w:ascii="Arial" w:eastAsiaTheme="majorEastAsia" w:hAnsi="Arial" w:cs="Arial"/>
          <w:szCs w:val="26"/>
        </w:rPr>
        <w:t xml:space="preserve">, generating </w:t>
      </w:r>
      <w:r w:rsidR="00317551" w:rsidRPr="0092670C">
        <w:rPr>
          <w:rFonts w:ascii="Arial" w:eastAsiaTheme="majorEastAsia" w:hAnsi="Arial" w:cs="Arial"/>
          <w:szCs w:val="26"/>
        </w:rPr>
        <w:t>electric</w:t>
      </w:r>
      <w:r w:rsidR="00147B62" w:rsidRPr="0092670C">
        <w:rPr>
          <w:rFonts w:ascii="Arial" w:eastAsiaTheme="majorEastAsia" w:hAnsi="Arial" w:cs="Arial"/>
          <w:szCs w:val="26"/>
        </w:rPr>
        <w:t xml:space="preserve"> current</w:t>
      </w:r>
      <w:r w:rsidR="00AD048F" w:rsidRPr="0092670C">
        <w:rPr>
          <w:rFonts w:ascii="Arial" w:eastAsiaTheme="majorEastAsia" w:hAnsi="Arial" w:cs="Arial"/>
          <w:szCs w:val="26"/>
        </w:rPr>
        <w:t xml:space="preserve">. </w:t>
      </w:r>
      <w:r w:rsidR="002B38C6" w:rsidRPr="0092670C">
        <w:rPr>
          <w:rFonts w:ascii="Arial" w:eastAsiaTheme="majorEastAsia" w:hAnsi="Arial" w:cs="Arial"/>
          <w:szCs w:val="26"/>
        </w:rPr>
        <w:t xml:space="preserve">This makes the separator </w:t>
      </w:r>
      <w:r w:rsidR="00292B9D" w:rsidRPr="0092670C">
        <w:rPr>
          <w:rFonts w:ascii="Arial" w:eastAsiaTheme="majorEastAsia" w:hAnsi="Arial" w:cs="Arial"/>
          <w:szCs w:val="26"/>
        </w:rPr>
        <w:t xml:space="preserve">vital for the cell as a non-functioning </w:t>
      </w:r>
      <w:r w:rsidR="00C94269" w:rsidRPr="0092670C">
        <w:rPr>
          <w:rFonts w:ascii="Arial" w:eastAsiaTheme="majorEastAsia" w:hAnsi="Arial" w:cs="Arial"/>
          <w:szCs w:val="26"/>
        </w:rPr>
        <w:t xml:space="preserve">separator could result in a short circuit. </w:t>
      </w:r>
      <w:r w:rsidR="00C06568" w:rsidRPr="0092670C">
        <w:rPr>
          <w:rFonts w:ascii="Arial" w:eastAsiaTheme="majorEastAsia" w:hAnsi="Arial" w:cs="Arial"/>
          <w:szCs w:val="26"/>
        </w:rPr>
        <w:t xml:space="preserve">Short circuits in </w:t>
      </w:r>
      <w:r w:rsidR="000737C8" w:rsidRPr="0092670C">
        <w:rPr>
          <w:rFonts w:ascii="Arial" w:eastAsiaTheme="majorEastAsia" w:hAnsi="Arial" w:cs="Arial"/>
          <w:szCs w:val="26"/>
        </w:rPr>
        <w:t>Li</w:t>
      </w:r>
      <w:r w:rsidR="005D7BA8" w:rsidRPr="0092670C">
        <w:rPr>
          <w:rFonts w:ascii="Arial" w:eastAsiaTheme="majorEastAsia" w:hAnsi="Arial" w:cs="Arial"/>
          <w:szCs w:val="26"/>
        </w:rPr>
        <w:t xml:space="preserve">-ion batteries </w:t>
      </w:r>
      <w:r w:rsidR="00536D99" w:rsidRPr="0092670C">
        <w:rPr>
          <w:rFonts w:ascii="Arial" w:eastAsiaTheme="majorEastAsia" w:hAnsi="Arial" w:cs="Arial"/>
          <w:szCs w:val="26"/>
        </w:rPr>
        <w:t xml:space="preserve">are a serious safety issue </w:t>
      </w:r>
      <w:r w:rsidR="009276DD">
        <w:rPr>
          <w:rFonts w:ascii="Arial" w:eastAsiaTheme="majorEastAsia" w:hAnsi="Arial" w:cs="Arial"/>
          <w:szCs w:val="26"/>
        </w:rPr>
        <w:t>and can start</w:t>
      </w:r>
      <w:r w:rsidR="00536D99" w:rsidRPr="0092670C">
        <w:rPr>
          <w:rFonts w:ascii="Arial" w:eastAsiaTheme="majorEastAsia" w:hAnsi="Arial" w:cs="Arial"/>
          <w:szCs w:val="26"/>
        </w:rPr>
        <w:t xml:space="preserve"> </w:t>
      </w:r>
      <w:r w:rsidR="006A3D67" w:rsidRPr="0092670C">
        <w:rPr>
          <w:rFonts w:ascii="Arial" w:eastAsiaTheme="majorEastAsia" w:hAnsi="Arial" w:cs="Arial"/>
          <w:szCs w:val="26"/>
        </w:rPr>
        <w:t>a</w:t>
      </w:r>
      <w:r w:rsidR="00536D99" w:rsidRPr="0092670C">
        <w:rPr>
          <w:rFonts w:ascii="Arial" w:eastAsiaTheme="majorEastAsia" w:hAnsi="Arial" w:cs="Arial"/>
          <w:szCs w:val="26"/>
        </w:rPr>
        <w:t xml:space="preserve"> </w:t>
      </w:r>
      <w:r w:rsidR="00E85E21" w:rsidRPr="0092670C">
        <w:rPr>
          <w:rFonts w:ascii="Arial" w:eastAsiaTheme="majorEastAsia" w:hAnsi="Arial" w:cs="Arial"/>
          <w:szCs w:val="26"/>
        </w:rPr>
        <w:t xml:space="preserve">process known as thermal </w:t>
      </w:r>
      <w:r w:rsidR="0077308A">
        <w:rPr>
          <w:rFonts w:ascii="Arial" w:eastAsiaTheme="majorEastAsia" w:hAnsi="Arial" w:cs="Arial"/>
          <w:szCs w:val="26"/>
        </w:rPr>
        <w:t>runaway</w:t>
      </w:r>
      <w:r w:rsidR="006A3D67" w:rsidRPr="0092670C">
        <w:rPr>
          <w:rFonts w:ascii="Arial" w:eastAsiaTheme="majorEastAsia" w:hAnsi="Arial" w:cs="Arial"/>
          <w:szCs w:val="26"/>
        </w:rPr>
        <w:t>.</w:t>
      </w:r>
      <w:r w:rsidR="003506D9">
        <w:rPr>
          <w:rFonts w:ascii="Arial" w:eastAsiaTheme="majorEastAsia" w:hAnsi="Arial" w:cs="Arial"/>
          <w:szCs w:val="26"/>
        </w:rPr>
        <w:t xml:space="preserve"> </w:t>
      </w:r>
      <w:bookmarkStart w:id="19" w:name="_Hlk83228089"/>
      <w:r w:rsidR="00817894">
        <w:rPr>
          <w:rFonts w:ascii="Arial" w:eastAsiaTheme="majorEastAsia" w:hAnsi="Arial" w:cs="Arial"/>
          <w:szCs w:val="26"/>
        </w:rPr>
        <w:t>Thermal runaway is where exothermic reactions in a cell lead to an increase in cell temperature, this then causes more exothermic reactions to occur causing the temperature to rise further still. This often cause a fire which can spread to other cells if nearby.</w:t>
      </w:r>
      <w:bookmarkEnd w:id="19"/>
    </w:p>
    <w:p w14:paraId="7C42BA1F" w14:textId="75ABC04A" w:rsidR="00B76375" w:rsidRPr="0092670C" w:rsidRDefault="00CD2B4F" w:rsidP="00EC7057">
      <w:pPr>
        <w:spacing w:line="360" w:lineRule="auto"/>
        <w:jc w:val="both"/>
        <w:rPr>
          <w:rFonts w:ascii="Arial" w:eastAsiaTheme="majorEastAsia" w:hAnsi="Arial" w:cs="Arial"/>
          <w:szCs w:val="26"/>
        </w:rPr>
      </w:pPr>
      <w:r>
        <w:rPr>
          <w:rFonts w:ascii="Arial" w:eastAsiaTheme="majorEastAsia" w:hAnsi="Arial" w:cs="Arial"/>
          <w:szCs w:val="26"/>
        </w:rPr>
        <w:t xml:space="preserve">The separator </w:t>
      </w:r>
      <w:r w:rsidR="00AE0954">
        <w:rPr>
          <w:rFonts w:ascii="Arial" w:eastAsiaTheme="majorEastAsia" w:hAnsi="Arial" w:cs="Arial"/>
          <w:szCs w:val="26"/>
        </w:rPr>
        <w:t>still needs to have pores that the electrolyte can</w:t>
      </w:r>
      <w:r>
        <w:rPr>
          <w:rFonts w:ascii="Arial" w:eastAsiaTheme="majorEastAsia" w:hAnsi="Arial" w:cs="Arial"/>
          <w:szCs w:val="26"/>
        </w:rPr>
        <w:t xml:space="preserve"> </w:t>
      </w:r>
      <w:r w:rsidR="00FA18BB">
        <w:rPr>
          <w:rFonts w:ascii="Arial" w:eastAsiaTheme="majorEastAsia" w:hAnsi="Arial" w:cs="Arial"/>
          <w:szCs w:val="26"/>
        </w:rPr>
        <w:t xml:space="preserve">pass through and exchange Li ions between the anode and cathode. It also needs to have some mechanical strength to </w:t>
      </w:r>
      <w:r w:rsidR="00B76375">
        <w:rPr>
          <w:rFonts w:ascii="Arial" w:eastAsiaTheme="majorEastAsia" w:hAnsi="Arial" w:cs="Arial"/>
          <w:szCs w:val="26"/>
        </w:rPr>
        <w:t xml:space="preserve">not be pierced by dendrites on first contact. </w:t>
      </w:r>
    </w:p>
    <w:p w14:paraId="22D12B74" w14:textId="78FA62C7" w:rsidR="00E9230A" w:rsidRPr="0092670C" w:rsidRDefault="002106DF" w:rsidP="00EC7057">
      <w:pPr>
        <w:spacing w:line="360" w:lineRule="auto"/>
        <w:jc w:val="both"/>
        <w:rPr>
          <w:rFonts w:ascii="Arial" w:eastAsiaTheme="majorEastAsia" w:hAnsi="Arial" w:cs="Arial"/>
          <w:szCs w:val="26"/>
        </w:rPr>
      </w:pPr>
      <w:r w:rsidRPr="0092670C">
        <w:rPr>
          <w:rFonts w:ascii="Arial" w:eastAsiaTheme="majorEastAsia" w:hAnsi="Arial" w:cs="Arial"/>
          <w:szCs w:val="26"/>
        </w:rPr>
        <w:t>I</w:t>
      </w:r>
      <w:r w:rsidR="002F76D2" w:rsidRPr="0092670C">
        <w:rPr>
          <w:rFonts w:ascii="Arial" w:eastAsiaTheme="majorEastAsia" w:hAnsi="Arial" w:cs="Arial"/>
          <w:szCs w:val="26"/>
        </w:rPr>
        <w:t xml:space="preserve">n commercial </w:t>
      </w:r>
      <w:r w:rsidRPr="0092670C">
        <w:rPr>
          <w:rFonts w:ascii="Arial" w:eastAsiaTheme="majorEastAsia" w:hAnsi="Arial" w:cs="Arial"/>
          <w:szCs w:val="26"/>
        </w:rPr>
        <w:t xml:space="preserve">batteries </w:t>
      </w:r>
      <w:r w:rsidR="00EA2C02" w:rsidRPr="0092670C">
        <w:rPr>
          <w:rFonts w:ascii="Arial" w:eastAsiaTheme="majorEastAsia" w:hAnsi="Arial" w:cs="Arial"/>
          <w:szCs w:val="26"/>
        </w:rPr>
        <w:t>microp</w:t>
      </w:r>
      <w:r w:rsidR="00D60268" w:rsidRPr="0092670C">
        <w:rPr>
          <w:rFonts w:ascii="Arial" w:eastAsiaTheme="majorEastAsia" w:hAnsi="Arial" w:cs="Arial"/>
          <w:szCs w:val="26"/>
        </w:rPr>
        <w:t xml:space="preserve">orous polymer membranes </w:t>
      </w:r>
      <w:r w:rsidR="00147BC5" w:rsidRPr="0092670C">
        <w:rPr>
          <w:rFonts w:ascii="Arial" w:eastAsiaTheme="majorEastAsia" w:hAnsi="Arial" w:cs="Arial"/>
          <w:szCs w:val="26"/>
        </w:rPr>
        <w:t>are th</w:t>
      </w:r>
      <w:r w:rsidR="004F0E0C" w:rsidRPr="0092670C">
        <w:rPr>
          <w:rFonts w:ascii="Arial" w:eastAsiaTheme="majorEastAsia" w:hAnsi="Arial" w:cs="Arial"/>
          <w:szCs w:val="26"/>
        </w:rPr>
        <w:t>e</w:t>
      </w:r>
      <w:r w:rsidR="008B352F" w:rsidRPr="0092670C">
        <w:rPr>
          <w:rFonts w:ascii="Arial" w:eastAsiaTheme="majorEastAsia" w:hAnsi="Arial" w:cs="Arial"/>
          <w:szCs w:val="26"/>
        </w:rPr>
        <w:t xml:space="preserve"> most commonly used </w:t>
      </w:r>
      <w:r w:rsidR="00AA5BBD" w:rsidRPr="0092670C">
        <w:rPr>
          <w:rFonts w:ascii="Arial" w:eastAsiaTheme="majorEastAsia" w:hAnsi="Arial" w:cs="Arial"/>
          <w:szCs w:val="26"/>
        </w:rPr>
        <w:t>material family for separators</w:t>
      </w:r>
      <w:r w:rsidR="00607488">
        <w:rPr>
          <w:rFonts w:ascii="Arial" w:eastAsiaTheme="majorEastAsia" w:hAnsi="Arial" w:cs="Arial"/>
          <w:szCs w:val="26"/>
        </w:rPr>
        <w:t xml:space="preserve"> </w:t>
      </w:r>
      <w:r w:rsidR="00E961B4"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&lt;EndNote&gt;&lt;Cite&gt;&lt;Author&gt;Zhang&lt;/Author&gt;&lt;Year&gt;2007&lt;/Year&gt;&lt;RecNum&gt;730&lt;/RecNum&gt;&lt;DisplayText&gt;[30]&lt;/DisplayText&gt;&lt;record&gt;&lt;rec-number&gt;730&lt;/rec-number&gt;&lt;foreign-keys&gt;&lt;key app="EN" db-id="5sa9s0e0r0d9fnexra7pr5xdwd5ztevx95s2" timestamp="1593904149" guid="6eeea01e-5ece-4060-a8f0-e00cf75c5613"&gt;730&lt;/key&gt;&lt;/foreign-keys&gt;&lt;ref-type name="Journal Article"&gt;17&lt;/ref-type&gt;&lt;contributors&gt;&lt;authors&gt;&lt;author&gt;Zhang, Sheng Shui&lt;/author&gt;&lt;/authors&gt;&lt;/contributors&gt;&lt;titles&gt;&lt;title&gt;A review on the separators of liquid electrolyte Li-ion batteries&lt;/title&gt;&lt;secondary-title&gt;Journal of Power Sources&lt;/secondary-title&gt;&lt;/titles&gt;&lt;periodical&gt;&lt;full-title&gt;Journal of Power Sources&lt;/full-title&gt;&lt;/periodical&gt;&lt;pages&gt;351-364&lt;/pages&gt;&lt;volume&gt;164&lt;/volume&gt;&lt;number&gt;1&lt;/number&gt;&lt;keywords&gt;&lt;keyword&gt;Separator&lt;/keyword&gt;&lt;keyword&gt;Microporous membrane&lt;/keyword&gt;&lt;keyword&gt;Polyolefin&lt;/keyword&gt;&lt;keyword&gt;Non-woven&lt;/keyword&gt;&lt;keyword&gt;Thermal shutdown&lt;/keyword&gt;&lt;keyword&gt;Safety&lt;/keyword&gt;&lt;/keywords&gt;&lt;dates&gt;&lt;year&gt;2007&lt;/year&gt;&lt;pub-dates&gt;&lt;date&gt;2007/01/10/&lt;/date&gt;&lt;/pub-dates&gt;&lt;/dates&gt;&lt;isbn&gt;0378-7753&lt;/isbn&gt;&lt;urls&gt;&lt;related-urls&gt;&lt;url&gt;http://www.sciencedirect.com/science/article/pii/S0378775306022452&lt;/url&gt;&lt;/related-urls&gt;&lt;/urls&gt;&lt;electronic-resource-num&gt;https://doi.org/10.1016/j.jpowsour.2006.10.065&lt;/electronic-resource-num&gt;&lt;/record&gt;&lt;/Cite&gt;&lt;/EndNote&gt;</w:instrText>
      </w:r>
      <w:r w:rsidR="00E961B4" w:rsidRPr="0092670C">
        <w:rPr>
          <w:rFonts w:ascii="Arial" w:eastAsiaTheme="majorEastAsia" w:hAnsi="Arial" w:cs="Arial"/>
          <w:szCs w:val="26"/>
        </w:rPr>
        <w:fldChar w:fldCharType="separate"/>
      </w:r>
      <w:r w:rsidR="004F0EC3">
        <w:rPr>
          <w:rFonts w:ascii="Arial" w:eastAsiaTheme="majorEastAsia" w:hAnsi="Arial" w:cs="Arial"/>
          <w:noProof/>
          <w:szCs w:val="26"/>
        </w:rPr>
        <w:t>[30]</w:t>
      </w:r>
      <w:r w:rsidR="00E961B4" w:rsidRPr="0092670C">
        <w:rPr>
          <w:rFonts w:ascii="Arial" w:eastAsiaTheme="majorEastAsia" w:hAnsi="Arial" w:cs="Arial"/>
          <w:szCs w:val="26"/>
        </w:rPr>
        <w:fldChar w:fldCharType="end"/>
      </w:r>
      <w:r w:rsidR="00AA5BBD" w:rsidRPr="0092670C">
        <w:rPr>
          <w:rFonts w:ascii="Arial" w:eastAsiaTheme="majorEastAsia" w:hAnsi="Arial" w:cs="Arial"/>
          <w:szCs w:val="26"/>
        </w:rPr>
        <w:t xml:space="preserve">. </w:t>
      </w:r>
      <w:r w:rsidR="006263A4" w:rsidRPr="0092670C">
        <w:rPr>
          <w:rFonts w:ascii="Arial" w:eastAsiaTheme="majorEastAsia" w:hAnsi="Arial" w:cs="Arial"/>
          <w:szCs w:val="26"/>
        </w:rPr>
        <w:t xml:space="preserve">These </w:t>
      </w:r>
      <w:r w:rsidR="0048409D" w:rsidRPr="0092670C">
        <w:rPr>
          <w:rFonts w:ascii="Arial" w:eastAsiaTheme="majorEastAsia" w:hAnsi="Arial" w:cs="Arial"/>
          <w:szCs w:val="26"/>
        </w:rPr>
        <w:t xml:space="preserve">polymers are usually either </w:t>
      </w:r>
      <w:r w:rsidR="00634ABF" w:rsidRPr="0092670C">
        <w:rPr>
          <w:rFonts w:ascii="Arial" w:eastAsiaTheme="majorEastAsia" w:hAnsi="Arial" w:cs="Arial"/>
          <w:szCs w:val="26"/>
        </w:rPr>
        <w:t xml:space="preserve">polyethylene, polypropylene or a </w:t>
      </w:r>
      <w:r w:rsidR="000F50BE">
        <w:rPr>
          <w:rFonts w:ascii="Arial" w:eastAsiaTheme="majorEastAsia" w:hAnsi="Arial" w:cs="Arial"/>
          <w:szCs w:val="26"/>
        </w:rPr>
        <w:t xml:space="preserve">trilayer with </w:t>
      </w:r>
      <w:r w:rsidR="00281F7A">
        <w:rPr>
          <w:rFonts w:ascii="Arial" w:eastAsiaTheme="majorEastAsia" w:hAnsi="Arial" w:cs="Arial"/>
          <w:szCs w:val="26"/>
        </w:rPr>
        <w:t>polypropylene either side of polyethylene</w:t>
      </w:r>
      <w:r w:rsidR="00F35AE8" w:rsidRPr="0092670C">
        <w:rPr>
          <w:rFonts w:ascii="Arial" w:eastAsiaTheme="majorEastAsia" w:hAnsi="Arial" w:cs="Arial"/>
          <w:szCs w:val="26"/>
        </w:rPr>
        <w:t xml:space="preserve">. </w:t>
      </w:r>
      <w:r w:rsidR="0037697F" w:rsidRPr="0092670C">
        <w:rPr>
          <w:rFonts w:ascii="Arial" w:eastAsiaTheme="majorEastAsia" w:hAnsi="Arial" w:cs="Arial"/>
          <w:szCs w:val="26"/>
        </w:rPr>
        <w:t>This is due to their low cos</w:t>
      </w:r>
      <w:r w:rsidR="00DD28C0" w:rsidRPr="0092670C">
        <w:rPr>
          <w:rFonts w:ascii="Arial" w:eastAsiaTheme="majorEastAsia" w:hAnsi="Arial" w:cs="Arial"/>
          <w:szCs w:val="26"/>
        </w:rPr>
        <w:t>t and strong performance</w:t>
      </w:r>
      <w:r w:rsidR="003C3CB7" w:rsidRPr="0092670C">
        <w:rPr>
          <w:rFonts w:ascii="Arial" w:eastAsiaTheme="majorEastAsia" w:hAnsi="Arial" w:cs="Arial"/>
          <w:szCs w:val="26"/>
        </w:rPr>
        <w:t>.</w:t>
      </w:r>
    </w:p>
    <w:p w14:paraId="0DF078F0" w14:textId="17F7C007" w:rsidR="00784FF3" w:rsidRPr="0092670C" w:rsidRDefault="00784FF3" w:rsidP="00EC7057">
      <w:pPr>
        <w:spacing w:line="360" w:lineRule="auto"/>
        <w:jc w:val="both"/>
        <w:rPr>
          <w:rFonts w:ascii="Arial" w:eastAsiaTheme="majorEastAsia" w:hAnsi="Arial" w:cs="Arial"/>
          <w:szCs w:val="26"/>
        </w:rPr>
      </w:pPr>
      <w:r w:rsidRPr="0092670C">
        <w:rPr>
          <w:rFonts w:ascii="Arial" w:eastAsiaTheme="majorEastAsia" w:hAnsi="Arial" w:cs="Arial"/>
          <w:szCs w:val="26"/>
        </w:rPr>
        <w:t>I</w:t>
      </w:r>
      <w:r w:rsidR="002B1D35" w:rsidRPr="0092670C">
        <w:rPr>
          <w:rFonts w:ascii="Arial" w:eastAsiaTheme="majorEastAsia" w:hAnsi="Arial" w:cs="Arial"/>
          <w:szCs w:val="26"/>
        </w:rPr>
        <w:t xml:space="preserve">n most </w:t>
      </w:r>
      <w:r w:rsidR="001032E7" w:rsidRPr="0092670C">
        <w:rPr>
          <w:rFonts w:ascii="Arial" w:eastAsiaTheme="majorEastAsia" w:hAnsi="Arial" w:cs="Arial"/>
          <w:szCs w:val="26"/>
        </w:rPr>
        <w:t xml:space="preserve">research </w:t>
      </w:r>
      <w:r w:rsidR="00B76E84" w:rsidRPr="0092670C">
        <w:rPr>
          <w:rFonts w:ascii="Arial" w:eastAsiaTheme="majorEastAsia" w:hAnsi="Arial" w:cs="Arial"/>
          <w:szCs w:val="26"/>
        </w:rPr>
        <w:t>environments</w:t>
      </w:r>
      <w:r w:rsidR="002B1D35" w:rsidRPr="0092670C">
        <w:rPr>
          <w:rFonts w:ascii="Arial" w:eastAsiaTheme="majorEastAsia" w:hAnsi="Arial" w:cs="Arial"/>
          <w:szCs w:val="26"/>
        </w:rPr>
        <w:t xml:space="preserve"> </w:t>
      </w:r>
      <w:r w:rsidR="00714A2F" w:rsidRPr="0092670C">
        <w:rPr>
          <w:rFonts w:ascii="Arial" w:eastAsiaTheme="majorEastAsia" w:hAnsi="Arial" w:cs="Arial"/>
          <w:szCs w:val="26"/>
        </w:rPr>
        <w:t>g</w:t>
      </w:r>
      <w:r w:rsidR="001032E7" w:rsidRPr="0092670C">
        <w:rPr>
          <w:rFonts w:ascii="Arial" w:eastAsiaTheme="majorEastAsia" w:hAnsi="Arial" w:cs="Arial"/>
          <w:szCs w:val="26"/>
        </w:rPr>
        <w:t>lass fibre separators are used</w:t>
      </w:r>
      <w:r w:rsidR="002B1D35" w:rsidRPr="0092670C">
        <w:rPr>
          <w:rFonts w:ascii="Arial" w:eastAsiaTheme="majorEastAsia" w:hAnsi="Arial" w:cs="Arial"/>
          <w:szCs w:val="26"/>
        </w:rPr>
        <w:t xml:space="preserve"> </w:t>
      </w:r>
      <w:r w:rsidR="00B76E84" w:rsidRPr="0092670C">
        <w:rPr>
          <w:rFonts w:ascii="Arial" w:eastAsiaTheme="majorEastAsia" w:hAnsi="Arial" w:cs="Arial"/>
          <w:szCs w:val="26"/>
        </w:rPr>
        <w:t>as the provide easy wettability</w:t>
      </w:r>
      <w:r w:rsidR="000F3C0F" w:rsidRPr="0092670C">
        <w:rPr>
          <w:rFonts w:ascii="Arial" w:eastAsiaTheme="majorEastAsia" w:hAnsi="Arial" w:cs="Arial"/>
          <w:szCs w:val="26"/>
        </w:rPr>
        <w:t>,</w:t>
      </w:r>
      <w:r w:rsidR="0088456A" w:rsidRPr="0092670C">
        <w:rPr>
          <w:rFonts w:ascii="Arial" w:eastAsiaTheme="majorEastAsia" w:hAnsi="Arial" w:cs="Arial"/>
          <w:szCs w:val="26"/>
        </w:rPr>
        <w:t xml:space="preserve"> good ionic conductivity</w:t>
      </w:r>
      <w:r w:rsidR="00B76E84" w:rsidRPr="0092670C">
        <w:rPr>
          <w:rFonts w:ascii="Arial" w:eastAsiaTheme="majorEastAsia" w:hAnsi="Arial" w:cs="Arial"/>
          <w:szCs w:val="26"/>
        </w:rPr>
        <w:t xml:space="preserve"> </w:t>
      </w:r>
      <w:r w:rsidR="00130FB4" w:rsidRPr="0092670C">
        <w:rPr>
          <w:rFonts w:ascii="Arial" w:eastAsiaTheme="majorEastAsia" w:hAnsi="Arial" w:cs="Arial"/>
          <w:szCs w:val="26"/>
        </w:rPr>
        <w:t xml:space="preserve">and </w:t>
      </w:r>
      <w:r w:rsidR="0043475A" w:rsidRPr="0092670C">
        <w:rPr>
          <w:rFonts w:ascii="Arial" w:eastAsiaTheme="majorEastAsia" w:hAnsi="Arial" w:cs="Arial"/>
          <w:szCs w:val="26"/>
        </w:rPr>
        <w:t xml:space="preserve">there isn’t a space constraint unlike </w:t>
      </w:r>
      <w:r w:rsidR="00E920AB" w:rsidRPr="0092670C">
        <w:rPr>
          <w:rFonts w:ascii="Arial" w:eastAsiaTheme="majorEastAsia" w:hAnsi="Arial" w:cs="Arial"/>
          <w:szCs w:val="26"/>
        </w:rPr>
        <w:t xml:space="preserve">commercial cells. </w:t>
      </w:r>
      <w:r w:rsidR="002D5F67" w:rsidRPr="0092670C">
        <w:rPr>
          <w:rFonts w:ascii="Arial" w:eastAsiaTheme="majorEastAsia" w:hAnsi="Arial" w:cs="Arial"/>
          <w:szCs w:val="26"/>
        </w:rPr>
        <w:t xml:space="preserve">Due to these reasons they have been used in all of the cells produced for </w:t>
      </w:r>
      <w:r w:rsidR="008B608E" w:rsidRPr="0092670C">
        <w:rPr>
          <w:rFonts w:ascii="Arial" w:eastAsiaTheme="majorEastAsia" w:hAnsi="Arial" w:cs="Arial"/>
          <w:szCs w:val="26"/>
        </w:rPr>
        <w:t>t</w:t>
      </w:r>
      <w:r w:rsidR="002D5F67" w:rsidRPr="0092670C">
        <w:rPr>
          <w:rFonts w:ascii="Arial" w:eastAsiaTheme="majorEastAsia" w:hAnsi="Arial" w:cs="Arial"/>
          <w:szCs w:val="26"/>
        </w:rPr>
        <w:t>his thesis.</w:t>
      </w:r>
      <w:r w:rsidR="00B76E84" w:rsidRPr="0092670C">
        <w:rPr>
          <w:rFonts w:ascii="Arial" w:eastAsiaTheme="majorEastAsia" w:hAnsi="Arial" w:cs="Arial"/>
          <w:szCs w:val="26"/>
        </w:rPr>
        <w:t xml:space="preserve"> </w:t>
      </w:r>
    </w:p>
    <w:p w14:paraId="168E8DCF" w14:textId="63D7668A" w:rsidR="00DA4797" w:rsidRPr="0092670C" w:rsidRDefault="00DA4797" w:rsidP="00A43422">
      <w:pPr>
        <w:pStyle w:val="Heading3"/>
        <w:rPr>
          <w:rFonts w:ascii="Arial" w:hAnsi="Arial" w:cs="Arial"/>
          <w:szCs w:val="26"/>
        </w:rPr>
      </w:pPr>
      <w:bookmarkStart w:id="20" w:name="_Toc82538716"/>
      <w:r w:rsidRPr="0092670C">
        <w:rPr>
          <w:rFonts w:ascii="Arial" w:hAnsi="Arial" w:cs="Arial"/>
          <w:szCs w:val="26"/>
        </w:rPr>
        <w:t xml:space="preserve">Current </w:t>
      </w:r>
      <w:r w:rsidR="00A12FAE" w:rsidRPr="0092670C">
        <w:rPr>
          <w:rFonts w:ascii="Arial" w:hAnsi="Arial" w:cs="Arial"/>
          <w:szCs w:val="26"/>
        </w:rPr>
        <w:t>C</w:t>
      </w:r>
      <w:r w:rsidRPr="0092670C">
        <w:rPr>
          <w:rFonts w:ascii="Arial" w:hAnsi="Arial" w:cs="Arial"/>
          <w:szCs w:val="26"/>
        </w:rPr>
        <w:t>ollectors</w:t>
      </w:r>
      <w:bookmarkEnd w:id="20"/>
    </w:p>
    <w:p w14:paraId="7D29D580" w14:textId="63DD35C0" w:rsidR="00DA4797" w:rsidRPr="0092670C" w:rsidRDefault="00DD7C63" w:rsidP="00EC7057">
      <w:pPr>
        <w:spacing w:line="360" w:lineRule="auto"/>
        <w:jc w:val="both"/>
        <w:rPr>
          <w:rFonts w:ascii="Arial" w:eastAsiaTheme="majorEastAsia" w:hAnsi="Arial" w:cs="Arial"/>
          <w:szCs w:val="26"/>
        </w:rPr>
      </w:pPr>
      <w:r w:rsidRPr="0092670C">
        <w:rPr>
          <w:rFonts w:ascii="Arial" w:eastAsiaTheme="majorEastAsia" w:hAnsi="Arial" w:cs="Arial"/>
          <w:szCs w:val="26"/>
        </w:rPr>
        <w:t>T</w:t>
      </w:r>
      <w:r w:rsidR="00E43FAE" w:rsidRPr="0092670C">
        <w:rPr>
          <w:rFonts w:ascii="Arial" w:eastAsiaTheme="majorEastAsia" w:hAnsi="Arial" w:cs="Arial"/>
          <w:szCs w:val="26"/>
        </w:rPr>
        <w:t xml:space="preserve">he </w:t>
      </w:r>
      <w:r w:rsidR="00063F8E" w:rsidRPr="0092670C">
        <w:rPr>
          <w:rFonts w:ascii="Arial" w:eastAsiaTheme="majorEastAsia" w:hAnsi="Arial" w:cs="Arial"/>
          <w:szCs w:val="26"/>
        </w:rPr>
        <w:t xml:space="preserve">current </w:t>
      </w:r>
      <w:r w:rsidR="005E0F13" w:rsidRPr="0092670C">
        <w:rPr>
          <w:rFonts w:ascii="Arial" w:eastAsiaTheme="majorEastAsia" w:hAnsi="Arial" w:cs="Arial"/>
          <w:szCs w:val="26"/>
        </w:rPr>
        <w:t xml:space="preserve">collectors are </w:t>
      </w:r>
      <w:r w:rsidR="0019240D" w:rsidRPr="0092670C">
        <w:rPr>
          <w:rFonts w:ascii="Arial" w:eastAsiaTheme="majorEastAsia" w:hAnsi="Arial" w:cs="Arial"/>
          <w:szCs w:val="26"/>
        </w:rPr>
        <w:t xml:space="preserve">a conducting material that </w:t>
      </w:r>
      <w:r w:rsidR="007F0906" w:rsidRPr="0092670C">
        <w:rPr>
          <w:rFonts w:ascii="Arial" w:eastAsiaTheme="majorEastAsia" w:hAnsi="Arial" w:cs="Arial"/>
          <w:szCs w:val="26"/>
        </w:rPr>
        <w:t>take the electrons outside of the cell to p</w:t>
      </w:r>
      <w:r w:rsidR="00CD2BE7" w:rsidRPr="0092670C">
        <w:rPr>
          <w:rFonts w:ascii="Arial" w:eastAsiaTheme="majorEastAsia" w:hAnsi="Arial" w:cs="Arial"/>
          <w:szCs w:val="26"/>
        </w:rPr>
        <w:t xml:space="preserve">erform useful work. </w:t>
      </w:r>
      <w:r w:rsidR="007939CD" w:rsidRPr="0092670C">
        <w:rPr>
          <w:rFonts w:ascii="Arial" w:eastAsiaTheme="majorEastAsia" w:hAnsi="Arial" w:cs="Arial"/>
          <w:szCs w:val="26"/>
        </w:rPr>
        <w:t>In a Li ion cell</w:t>
      </w:r>
      <w:r w:rsidR="001B33A0" w:rsidRPr="0092670C">
        <w:rPr>
          <w:rFonts w:ascii="Arial" w:eastAsiaTheme="majorEastAsia" w:hAnsi="Arial" w:cs="Arial"/>
          <w:szCs w:val="26"/>
        </w:rPr>
        <w:t>,</w:t>
      </w:r>
      <w:r w:rsidR="007939CD" w:rsidRPr="0092670C">
        <w:rPr>
          <w:rFonts w:ascii="Arial" w:eastAsiaTheme="majorEastAsia" w:hAnsi="Arial" w:cs="Arial"/>
          <w:szCs w:val="26"/>
        </w:rPr>
        <w:t xml:space="preserve"> copper is used as the current collector for the anode and </w:t>
      </w:r>
      <w:r w:rsidR="00C05428" w:rsidRPr="0092670C">
        <w:rPr>
          <w:rFonts w:ascii="Arial" w:eastAsiaTheme="majorEastAsia" w:hAnsi="Arial" w:cs="Arial"/>
          <w:szCs w:val="26"/>
        </w:rPr>
        <w:t xml:space="preserve">aluminium </w:t>
      </w:r>
      <w:r w:rsidR="005B0AC8" w:rsidRPr="0092670C">
        <w:rPr>
          <w:rFonts w:ascii="Arial" w:eastAsiaTheme="majorEastAsia" w:hAnsi="Arial" w:cs="Arial"/>
          <w:szCs w:val="26"/>
        </w:rPr>
        <w:t xml:space="preserve">is used as the current collector for the cathode. </w:t>
      </w:r>
      <w:r w:rsidR="0020185F" w:rsidRPr="0092670C">
        <w:rPr>
          <w:rFonts w:ascii="Arial" w:eastAsiaTheme="majorEastAsia" w:hAnsi="Arial" w:cs="Arial"/>
          <w:szCs w:val="26"/>
        </w:rPr>
        <w:t>Both electrodes use different curre</w:t>
      </w:r>
      <w:r w:rsidR="00B20F48" w:rsidRPr="0092670C">
        <w:rPr>
          <w:rFonts w:ascii="Arial" w:eastAsiaTheme="majorEastAsia" w:hAnsi="Arial" w:cs="Arial"/>
          <w:szCs w:val="26"/>
        </w:rPr>
        <w:t>nt collect</w:t>
      </w:r>
      <w:r w:rsidR="00F954F2" w:rsidRPr="0092670C">
        <w:rPr>
          <w:rFonts w:ascii="Arial" w:eastAsiaTheme="majorEastAsia" w:hAnsi="Arial" w:cs="Arial"/>
          <w:szCs w:val="26"/>
        </w:rPr>
        <w:t>ing material</w:t>
      </w:r>
      <w:r w:rsidR="00B20F48" w:rsidRPr="0092670C">
        <w:rPr>
          <w:rFonts w:ascii="Arial" w:eastAsiaTheme="majorEastAsia" w:hAnsi="Arial" w:cs="Arial"/>
          <w:szCs w:val="26"/>
        </w:rPr>
        <w:t xml:space="preserve"> because aluminium is a more affordable </w:t>
      </w:r>
      <w:r w:rsidR="00FC13BE" w:rsidRPr="0092670C">
        <w:rPr>
          <w:rFonts w:ascii="Arial" w:eastAsiaTheme="majorEastAsia" w:hAnsi="Arial" w:cs="Arial"/>
          <w:szCs w:val="26"/>
        </w:rPr>
        <w:t>material,</w:t>
      </w:r>
      <w:r w:rsidR="00B20F48" w:rsidRPr="0092670C">
        <w:rPr>
          <w:rFonts w:ascii="Arial" w:eastAsiaTheme="majorEastAsia" w:hAnsi="Arial" w:cs="Arial"/>
          <w:szCs w:val="26"/>
        </w:rPr>
        <w:t xml:space="preserve"> </w:t>
      </w:r>
      <w:r w:rsidR="002F0447" w:rsidRPr="0092670C">
        <w:rPr>
          <w:rFonts w:ascii="Arial" w:eastAsiaTheme="majorEastAsia" w:hAnsi="Arial" w:cs="Arial"/>
          <w:szCs w:val="26"/>
        </w:rPr>
        <w:t xml:space="preserve">but it can </w:t>
      </w:r>
      <w:r w:rsidR="00E21849">
        <w:rPr>
          <w:rFonts w:ascii="Arial" w:eastAsiaTheme="majorEastAsia" w:hAnsi="Arial" w:cs="Arial"/>
          <w:szCs w:val="26"/>
        </w:rPr>
        <w:t>alloy with Li</w:t>
      </w:r>
      <w:r w:rsidR="00FA1252">
        <w:rPr>
          <w:rFonts w:ascii="Arial" w:eastAsiaTheme="majorEastAsia" w:hAnsi="Arial" w:cs="Arial"/>
          <w:szCs w:val="26"/>
        </w:rPr>
        <w:t xml:space="preserve"> at</w:t>
      </w:r>
      <w:r w:rsidR="002F0447" w:rsidRPr="0092670C">
        <w:rPr>
          <w:rFonts w:ascii="Arial" w:eastAsiaTheme="majorEastAsia" w:hAnsi="Arial" w:cs="Arial"/>
          <w:szCs w:val="26"/>
        </w:rPr>
        <w:t xml:space="preserve"> </w:t>
      </w:r>
      <w:r w:rsidR="00AD5CA0">
        <w:rPr>
          <w:rFonts w:ascii="Arial" w:eastAsiaTheme="majorEastAsia" w:hAnsi="Arial" w:cs="Arial"/>
          <w:szCs w:val="26"/>
        </w:rPr>
        <w:t>low</w:t>
      </w:r>
      <w:r w:rsidR="002F0447" w:rsidRPr="0092670C">
        <w:rPr>
          <w:rFonts w:ascii="Arial" w:eastAsiaTheme="majorEastAsia" w:hAnsi="Arial" w:cs="Arial"/>
          <w:szCs w:val="26"/>
        </w:rPr>
        <w:t xml:space="preserve"> </w:t>
      </w:r>
      <w:r w:rsidR="00FC13BE" w:rsidRPr="0092670C">
        <w:rPr>
          <w:rFonts w:ascii="Arial" w:eastAsiaTheme="majorEastAsia" w:hAnsi="Arial" w:cs="Arial"/>
          <w:szCs w:val="26"/>
        </w:rPr>
        <w:t xml:space="preserve">voltage seen at the </w:t>
      </w:r>
      <w:r w:rsidR="003153B1" w:rsidRPr="0092670C">
        <w:rPr>
          <w:rFonts w:ascii="Arial" w:eastAsiaTheme="majorEastAsia" w:hAnsi="Arial" w:cs="Arial"/>
          <w:szCs w:val="26"/>
        </w:rPr>
        <w:t>anode and so copper is used instead.</w:t>
      </w:r>
      <w:r w:rsidR="00985B74">
        <w:rPr>
          <w:rFonts w:ascii="Arial" w:eastAsiaTheme="majorEastAsia" w:hAnsi="Arial" w:cs="Arial"/>
          <w:szCs w:val="26"/>
        </w:rPr>
        <w:t xml:space="preserve"> Copper </w:t>
      </w:r>
      <w:r w:rsidR="00582FE9">
        <w:rPr>
          <w:rFonts w:ascii="Arial" w:eastAsiaTheme="majorEastAsia" w:hAnsi="Arial" w:cs="Arial"/>
          <w:szCs w:val="26"/>
        </w:rPr>
        <w:t>can’t</w:t>
      </w:r>
      <w:r w:rsidR="00985B74">
        <w:rPr>
          <w:rFonts w:ascii="Arial" w:eastAsiaTheme="majorEastAsia" w:hAnsi="Arial" w:cs="Arial"/>
          <w:szCs w:val="26"/>
        </w:rPr>
        <w:t xml:space="preserve"> be used at </w:t>
      </w:r>
      <w:r w:rsidR="00582FE9">
        <w:rPr>
          <w:rFonts w:ascii="Arial" w:eastAsiaTheme="majorEastAsia" w:hAnsi="Arial" w:cs="Arial"/>
          <w:szCs w:val="26"/>
        </w:rPr>
        <w:t xml:space="preserve">the cathode </w:t>
      </w:r>
      <w:r w:rsidR="00087AC9">
        <w:rPr>
          <w:rFonts w:ascii="Arial" w:eastAsiaTheme="majorEastAsia" w:hAnsi="Arial" w:cs="Arial"/>
          <w:szCs w:val="26"/>
        </w:rPr>
        <w:t xml:space="preserve">because it </w:t>
      </w:r>
      <w:r w:rsidR="00370C3D">
        <w:rPr>
          <w:rFonts w:ascii="Arial" w:eastAsiaTheme="majorEastAsia" w:hAnsi="Arial" w:cs="Arial"/>
          <w:szCs w:val="26"/>
        </w:rPr>
        <w:t>Is prone to oxidation</w:t>
      </w:r>
      <w:r w:rsidR="00FA1252">
        <w:rPr>
          <w:rFonts w:ascii="Arial" w:eastAsiaTheme="majorEastAsia" w:hAnsi="Arial" w:cs="Arial"/>
          <w:szCs w:val="26"/>
        </w:rPr>
        <w:t xml:space="preserve"> at the high voltage of the c</w:t>
      </w:r>
      <w:r w:rsidR="00A43692">
        <w:rPr>
          <w:rFonts w:ascii="Arial" w:eastAsiaTheme="majorEastAsia" w:hAnsi="Arial" w:cs="Arial"/>
          <w:szCs w:val="26"/>
        </w:rPr>
        <w:t>athode material</w:t>
      </w:r>
      <w:r w:rsidR="00370C3D">
        <w:rPr>
          <w:rFonts w:ascii="Arial" w:eastAsiaTheme="majorEastAsia" w:hAnsi="Arial" w:cs="Arial"/>
          <w:szCs w:val="26"/>
        </w:rPr>
        <w:t xml:space="preserve">. </w:t>
      </w:r>
    </w:p>
    <w:p w14:paraId="589E09FC" w14:textId="08904B67" w:rsidR="004574D9" w:rsidRPr="0092670C" w:rsidRDefault="004574D9" w:rsidP="00EC5323">
      <w:pPr>
        <w:pStyle w:val="Heading2"/>
        <w:rPr>
          <w:rFonts w:ascii="Arial" w:hAnsi="Arial" w:cs="Arial"/>
        </w:rPr>
      </w:pPr>
      <w:bookmarkStart w:id="21" w:name="_Toc82538717"/>
      <w:r w:rsidRPr="0092670C">
        <w:rPr>
          <w:rFonts w:ascii="Arial" w:hAnsi="Arial" w:cs="Arial"/>
        </w:rPr>
        <w:t xml:space="preserve">Introduction </w:t>
      </w:r>
      <w:r w:rsidR="001D4927" w:rsidRPr="0092670C">
        <w:rPr>
          <w:rFonts w:ascii="Arial" w:hAnsi="Arial" w:cs="Arial"/>
        </w:rPr>
        <w:t>T</w:t>
      </w:r>
      <w:r w:rsidRPr="0092670C">
        <w:rPr>
          <w:rFonts w:ascii="Arial" w:hAnsi="Arial" w:cs="Arial"/>
        </w:rPr>
        <w:t xml:space="preserve">o </w:t>
      </w:r>
      <w:r w:rsidR="001D4927" w:rsidRPr="0092670C">
        <w:rPr>
          <w:rFonts w:ascii="Arial" w:hAnsi="Arial" w:cs="Arial"/>
        </w:rPr>
        <w:t>E</w:t>
      </w:r>
      <w:r w:rsidRPr="0092670C">
        <w:rPr>
          <w:rFonts w:ascii="Arial" w:hAnsi="Arial" w:cs="Arial"/>
        </w:rPr>
        <w:t>lectrochemistry</w:t>
      </w:r>
      <w:bookmarkEnd w:id="21"/>
    </w:p>
    <w:p w14:paraId="04DEC4B7" w14:textId="36222331" w:rsidR="00695457" w:rsidRPr="0092670C" w:rsidRDefault="00D116E5"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Several electrochemical terms are used throughout this thesis </w:t>
      </w:r>
      <w:r w:rsidR="007755B6" w:rsidRPr="0092670C">
        <w:rPr>
          <w:rFonts w:ascii="Arial" w:eastAsiaTheme="majorEastAsia" w:hAnsi="Arial" w:cs="Arial"/>
          <w:szCs w:val="26"/>
        </w:rPr>
        <w:t>and</w:t>
      </w:r>
      <w:r w:rsidR="00BD7E0B" w:rsidRPr="0092670C">
        <w:rPr>
          <w:rFonts w:ascii="Arial" w:eastAsiaTheme="majorEastAsia" w:hAnsi="Arial" w:cs="Arial"/>
          <w:szCs w:val="26"/>
        </w:rPr>
        <w:t xml:space="preserve"> it is important to </w:t>
      </w:r>
      <w:r w:rsidR="00F740BB" w:rsidRPr="0092670C">
        <w:rPr>
          <w:rFonts w:ascii="Arial" w:eastAsiaTheme="majorEastAsia" w:hAnsi="Arial" w:cs="Arial"/>
          <w:szCs w:val="26"/>
        </w:rPr>
        <w:t>discuss</w:t>
      </w:r>
      <w:r w:rsidR="00BD7E0B" w:rsidRPr="0092670C">
        <w:rPr>
          <w:rFonts w:ascii="Arial" w:eastAsiaTheme="majorEastAsia" w:hAnsi="Arial" w:cs="Arial"/>
          <w:szCs w:val="26"/>
        </w:rPr>
        <w:t xml:space="preserve"> t</w:t>
      </w:r>
      <w:r w:rsidR="007755B6" w:rsidRPr="0092670C">
        <w:rPr>
          <w:rFonts w:ascii="Arial" w:eastAsiaTheme="majorEastAsia" w:hAnsi="Arial" w:cs="Arial"/>
          <w:szCs w:val="26"/>
        </w:rPr>
        <w:t xml:space="preserve">hese terms </w:t>
      </w:r>
      <w:r w:rsidR="00F740BB" w:rsidRPr="0092670C">
        <w:rPr>
          <w:rFonts w:ascii="Arial" w:eastAsiaTheme="majorEastAsia" w:hAnsi="Arial" w:cs="Arial"/>
          <w:szCs w:val="26"/>
        </w:rPr>
        <w:t xml:space="preserve">to fully appreciate </w:t>
      </w:r>
      <w:r w:rsidR="009C3E18" w:rsidRPr="0092670C">
        <w:rPr>
          <w:rFonts w:ascii="Arial" w:eastAsiaTheme="majorEastAsia" w:hAnsi="Arial" w:cs="Arial"/>
          <w:szCs w:val="26"/>
        </w:rPr>
        <w:t>its findings</w:t>
      </w:r>
      <w:r w:rsidR="002B47E3" w:rsidRPr="0092670C">
        <w:rPr>
          <w:rFonts w:ascii="Arial" w:eastAsiaTheme="majorEastAsia" w:hAnsi="Arial" w:cs="Arial"/>
          <w:szCs w:val="26"/>
        </w:rPr>
        <w:t>.</w:t>
      </w:r>
      <w:r w:rsidR="00356F72" w:rsidRPr="0092670C">
        <w:rPr>
          <w:rFonts w:ascii="Arial" w:eastAsiaTheme="majorEastAsia" w:hAnsi="Arial" w:cs="Arial"/>
          <w:szCs w:val="26"/>
        </w:rPr>
        <w:t xml:space="preserve"> The </w:t>
      </w:r>
      <w:r w:rsidR="00A26A85" w:rsidRPr="0092670C">
        <w:rPr>
          <w:rFonts w:ascii="Arial" w:eastAsiaTheme="majorEastAsia" w:hAnsi="Arial" w:cs="Arial"/>
          <w:szCs w:val="26"/>
        </w:rPr>
        <w:t xml:space="preserve">first one </w:t>
      </w:r>
      <w:r w:rsidR="001F4855" w:rsidRPr="0092670C">
        <w:rPr>
          <w:rFonts w:ascii="Arial" w:eastAsiaTheme="majorEastAsia" w:hAnsi="Arial" w:cs="Arial"/>
          <w:szCs w:val="26"/>
        </w:rPr>
        <w:t>to mention is</w:t>
      </w:r>
      <w:r w:rsidR="00C648BC" w:rsidRPr="0092670C">
        <w:rPr>
          <w:rFonts w:ascii="Arial" w:eastAsiaTheme="majorEastAsia" w:hAnsi="Arial" w:cs="Arial"/>
          <w:szCs w:val="26"/>
        </w:rPr>
        <w:t xml:space="preserve"> the voltage scale used. </w:t>
      </w:r>
      <w:r w:rsidR="00243F9C" w:rsidRPr="0092670C">
        <w:rPr>
          <w:rFonts w:ascii="Arial" w:eastAsiaTheme="majorEastAsia" w:hAnsi="Arial" w:cs="Arial"/>
          <w:szCs w:val="26"/>
        </w:rPr>
        <w:t xml:space="preserve">When considering Li-ion batteries it is convenient to set the </w:t>
      </w:r>
      <w:r w:rsidR="00B776BA" w:rsidRPr="0092670C">
        <w:rPr>
          <w:rFonts w:ascii="Arial" w:eastAsiaTheme="majorEastAsia" w:hAnsi="Arial" w:cs="Arial"/>
          <w:szCs w:val="26"/>
        </w:rPr>
        <w:t xml:space="preserve">ionisation </w:t>
      </w:r>
      <w:r w:rsidR="00C216E9" w:rsidRPr="0092670C">
        <w:rPr>
          <w:rFonts w:ascii="Arial" w:eastAsiaTheme="majorEastAsia" w:hAnsi="Arial" w:cs="Arial"/>
          <w:szCs w:val="26"/>
        </w:rPr>
        <w:t>of Li as 0V</w:t>
      </w:r>
      <w:r w:rsidR="000D6E7B" w:rsidRPr="0092670C">
        <w:rPr>
          <w:rFonts w:ascii="Arial" w:eastAsiaTheme="majorEastAsia" w:hAnsi="Arial" w:cs="Arial"/>
          <w:szCs w:val="26"/>
        </w:rPr>
        <w:t xml:space="preserve"> (</w:t>
      </w:r>
      <w:r w:rsidR="00FE39FE">
        <w:rPr>
          <w:rFonts w:ascii="Arial" w:eastAsiaTheme="majorEastAsia" w:hAnsi="Arial" w:cs="Arial"/>
          <w:szCs w:val="26"/>
        </w:rPr>
        <w:t>-</w:t>
      </w:r>
      <w:r w:rsidR="005452C2" w:rsidRPr="0092670C">
        <w:rPr>
          <w:rFonts w:ascii="Arial" w:eastAsiaTheme="majorEastAsia" w:hAnsi="Arial" w:cs="Arial"/>
          <w:szCs w:val="26"/>
        </w:rPr>
        <w:t>3.04</w:t>
      </w:r>
      <w:r w:rsidR="00CD59A6">
        <w:rPr>
          <w:rFonts w:ascii="Arial" w:eastAsiaTheme="majorEastAsia" w:hAnsi="Arial" w:cs="Arial"/>
          <w:szCs w:val="26"/>
        </w:rPr>
        <w:t xml:space="preserve"> </w:t>
      </w:r>
      <w:r w:rsidR="005452C2" w:rsidRPr="0092670C">
        <w:rPr>
          <w:rFonts w:ascii="Arial" w:eastAsiaTheme="majorEastAsia" w:hAnsi="Arial" w:cs="Arial"/>
          <w:szCs w:val="26"/>
        </w:rPr>
        <w:t xml:space="preserve">V </w:t>
      </w:r>
      <w:r w:rsidR="009C1164">
        <w:rPr>
          <w:rFonts w:ascii="Arial" w:eastAsiaTheme="majorEastAsia" w:hAnsi="Arial" w:cs="Arial"/>
          <w:szCs w:val="26"/>
        </w:rPr>
        <w:t>vs</w:t>
      </w:r>
      <w:r w:rsidR="005452C2" w:rsidRPr="0092670C">
        <w:rPr>
          <w:rFonts w:ascii="Arial" w:eastAsiaTheme="majorEastAsia" w:hAnsi="Arial" w:cs="Arial"/>
          <w:szCs w:val="26"/>
        </w:rPr>
        <w:t xml:space="preserve"> SHE</w:t>
      </w:r>
      <w:r w:rsidR="009251E2" w:rsidRPr="0092670C">
        <w:rPr>
          <w:rFonts w:ascii="Arial" w:eastAsiaTheme="majorEastAsia" w:hAnsi="Arial" w:cs="Arial"/>
          <w:szCs w:val="26"/>
        </w:rPr>
        <w:t xml:space="preserve">, </w:t>
      </w:r>
      <w:r w:rsidR="009251E2" w:rsidRPr="0092670C">
        <w:rPr>
          <w:rFonts w:ascii="Arial" w:eastAsiaTheme="majorEastAsia" w:hAnsi="Arial" w:cs="Arial"/>
          <w:szCs w:val="26"/>
        </w:rPr>
        <w:fldChar w:fldCharType="begin"/>
      </w:r>
      <w:r w:rsidR="009251E2" w:rsidRPr="0092670C">
        <w:rPr>
          <w:rFonts w:ascii="Arial" w:eastAsiaTheme="majorEastAsia" w:hAnsi="Arial" w:cs="Arial"/>
          <w:szCs w:val="26"/>
        </w:rPr>
        <w:instrText xml:space="preserve"> REF _Ref30022021 \h </w:instrText>
      </w:r>
      <w:r w:rsidR="009251E2" w:rsidRPr="0092670C">
        <w:rPr>
          <w:rFonts w:ascii="Arial" w:eastAsiaTheme="majorEastAsia" w:hAnsi="Arial" w:cs="Arial"/>
          <w:szCs w:val="26"/>
        </w:rPr>
      </w:r>
      <w:r w:rsidR="009251E2" w:rsidRPr="0092670C">
        <w:rPr>
          <w:rFonts w:ascii="Arial" w:eastAsiaTheme="majorEastAsia" w:hAnsi="Arial" w:cs="Arial"/>
          <w:szCs w:val="26"/>
        </w:rPr>
        <w:fldChar w:fldCharType="separate"/>
      </w:r>
      <w:r w:rsidR="007342C8" w:rsidRPr="00B97230">
        <w:rPr>
          <w:rFonts w:ascii="Arial" w:hAnsi="Arial" w:cs="Arial"/>
          <w:sz w:val="20"/>
          <w:szCs w:val="20"/>
        </w:rPr>
        <w:t xml:space="preserve">Equation </w:t>
      </w:r>
      <w:r w:rsidR="007342C8">
        <w:rPr>
          <w:rFonts w:ascii="Arial" w:hAnsi="Arial" w:cs="Arial"/>
          <w:noProof/>
          <w:sz w:val="20"/>
          <w:szCs w:val="20"/>
        </w:rPr>
        <w:t>1</w:t>
      </w:r>
      <w:r w:rsidR="007342C8" w:rsidRPr="00B97230">
        <w:rPr>
          <w:rFonts w:ascii="Arial" w:hAnsi="Arial" w:cs="Arial"/>
          <w:sz w:val="20"/>
          <w:szCs w:val="20"/>
        </w:rPr>
        <w:noBreakHyphen/>
      </w:r>
      <w:r w:rsidR="007342C8">
        <w:rPr>
          <w:rFonts w:ascii="Arial" w:hAnsi="Arial" w:cs="Arial"/>
          <w:noProof/>
          <w:sz w:val="20"/>
          <w:szCs w:val="20"/>
        </w:rPr>
        <w:t>1</w:t>
      </w:r>
      <w:r w:rsidR="009251E2" w:rsidRPr="0092670C">
        <w:rPr>
          <w:rFonts w:ascii="Arial" w:eastAsiaTheme="majorEastAsia" w:hAnsi="Arial" w:cs="Arial"/>
          <w:szCs w:val="26"/>
        </w:rPr>
        <w:fldChar w:fldCharType="end"/>
      </w:r>
      <w:r w:rsidR="005452C2" w:rsidRPr="0092670C">
        <w:rPr>
          <w:rFonts w:ascii="Arial" w:eastAsiaTheme="majorEastAsia" w:hAnsi="Arial" w:cs="Arial"/>
          <w:szCs w:val="26"/>
        </w:rPr>
        <w:t>)</w:t>
      </w:r>
      <w:r w:rsidR="00C216E9" w:rsidRPr="0092670C">
        <w:rPr>
          <w:rFonts w:ascii="Arial" w:eastAsiaTheme="majorEastAsia" w:hAnsi="Arial" w:cs="Arial"/>
          <w:szCs w:val="26"/>
        </w:rPr>
        <w:t>.</w:t>
      </w:r>
      <w:r w:rsidR="001D411A" w:rsidRPr="0092670C">
        <w:rPr>
          <w:rFonts w:ascii="Arial" w:eastAsiaTheme="majorEastAsia" w:hAnsi="Arial" w:cs="Arial"/>
          <w:szCs w:val="26"/>
        </w:rPr>
        <w:t xml:space="preserve"> For consistency </w:t>
      </w:r>
      <w:r w:rsidR="00E06B5C" w:rsidRPr="0092670C">
        <w:rPr>
          <w:rFonts w:ascii="Arial" w:eastAsiaTheme="majorEastAsia" w:hAnsi="Arial" w:cs="Arial"/>
          <w:szCs w:val="26"/>
        </w:rPr>
        <w:t xml:space="preserve">in this thesis when voltage is shown for </w:t>
      </w:r>
      <w:r w:rsidR="00A44635" w:rsidRPr="0092670C">
        <w:rPr>
          <w:rFonts w:ascii="Arial" w:eastAsiaTheme="majorEastAsia" w:hAnsi="Arial" w:cs="Arial"/>
          <w:szCs w:val="26"/>
        </w:rPr>
        <w:t xml:space="preserve">Li cells the </w:t>
      </w:r>
      <w:r w:rsidR="00F66D4D" w:rsidRPr="0092670C">
        <w:rPr>
          <w:rFonts w:ascii="Arial" w:eastAsiaTheme="majorEastAsia" w:hAnsi="Arial" w:cs="Arial"/>
          <w:szCs w:val="26"/>
        </w:rPr>
        <w:t>scale is set against Li/Li</w:t>
      </w:r>
      <w:r w:rsidR="00F66D4D" w:rsidRPr="0092670C">
        <w:rPr>
          <w:rFonts w:ascii="Arial" w:eastAsiaTheme="majorEastAsia" w:hAnsi="Arial" w:cs="Arial"/>
          <w:szCs w:val="26"/>
          <w:vertAlign w:val="superscript"/>
        </w:rPr>
        <w:t>+</w:t>
      </w:r>
      <w:r w:rsidR="00F66D4D" w:rsidRPr="0092670C">
        <w:rPr>
          <w:rFonts w:ascii="Arial" w:eastAsiaTheme="majorEastAsia" w:hAnsi="Arial" w:cs="Arial"/>
          <w:szCs w:val="26"/>
        </w:rPr>
        <w:t xml:space="preserve">. </w:t>
      </w:r>
      <w:r w:rsidR="002A5AEE" w:rsidRPr="0092670C">
        <w:rPr>
          <w:rFonts w:ascii="Arial" w:eastAsiaTheme="majorEastAsia" w:hAnsi="Arial" w:cs="Arial"/>
          <w:szCs w:val="26"/>
        </w:rPr>
        <w:t>Similarly,</w:t>
      </w:r>
      <w:r w:rsidR="00F66D4D" w:rsidRPr="0092670C">
        <w:rPr>
          <w:rFonts w:ascii="Arial" w:eastAsiaTheme="majorEastAsia" w:hAnsi="Arial" w:cs="Arial"/>
          <w:szCs w:val="26"/>
        </w:rPr>
        <w:t xml:space="preserve"> for Na cells the scale is set against Na/Na</w:t>
      </w:r>
      <w:r w:rsidR="00F66D4D" w:rsidRPr="0092670C">
        <w:rPr>
          <w:rFonts w:ascii="Arial" w:eastAsiaTheme="majorEastAsia" w:hAnsi="Arial" w:cs="Arial"/>
          <w:szCs w:val="26"/>
          <w:vertAlign w:val="superscript"/>
        </w:rPr>
        <w:t>+</w:t>
      </w:r>
      <w:r w:rsidR="00F66D4D" w:rsidRPr="0092670C">
        <w:rPr>
          <w:rFonts w:ascii="Arial" w:eastAsiaTheme="majorEastAsia" w:hAnsi="Arial" w:cs="Arial"/>
          <w:szCs w:val="26"/>
        </w:rPr>
        <w:t xml:space="preserve"> </w:t>
      </w:r>
      <w:r w:rsidR="009C1164">
        <w:rPr>
          <w:rFonts w:ascii="Arial" w:eastAsiaTheme="majorEastAsia" w:hAnsi="Arial" w:cs="Arial"/>
          <w:szCs w:val="26"/>
        </w:rPr>
        <w:t xml:space="preserve">(-2.71V vs SHE) </w:t>
      </w:r>
      <w:r w:rsidR="00F66D4D" w:rsidRPr="0092670C">
        <w:rPr>
          <w:rFonts w:ascii="Arial" w:eastAsiaTheme="majorEastAsia" w:hAnsi="Arial" w:cs="Arial"/>
          <w:szCs w:val="26"/>
        </w:rPr>
        <w:t xml:space="preserve">unless stated otherwise. </w:t>
      </w:r>
    </w:p>
    <w:p w14:paraId="2CEE6F1C" w14:textId="0E31F6DF" w:rsidR="00D845E3" w:rsidRPr="0092670C" w:rsidRDefault="00C216E9" w:rsidP="005569B7">
      <w:pPr>
        <w:keepNext/>
        <w:spacing w:before="400" w:line="360" w:lineRule="auto"/>
        <w:jc w:val="center"/>
        <w:rPr>
          <w:rFonts w:ascii="Arial" w:hAnsi="Arial" w:cs="Arial"/>
        </w:rPr>
      </w:pPr>
      <m:oMath>
        <m:r>
          <w:rPr>
            <w:rFonts w:ascii="Cambria Math" w:eastAsiaTheme="majorEastAsia" w:hAnsi="Cambria Math" w:cs="Arial"/>
            <w:szCs w:val="26"/>
          </w:rPr>
          <m:t>Li⇌</m:t>
        </m:r>
        <m:sSup>
          <m:sSupPr>
            <m:ctrlPr>
              <w:rPr>
                <w:rFonts w:ascii="Cambria Math" w:eastAsiaTheme="majorEastAsia" w:hAnsi="Cambria Math" w:cs="Arial"/>
                <w:i/>
                <w:szCs w:val="26"/>
              </w:rPr>
            </m:ctrlPr>
          </m:sSupPr>
          <m:e>
            <m:r>
              <w:rPr>
                <w:rFonts w:ascii="Cambria Math" w:eastAsiaTheme="majorEastAsia" w:hAnsi="Cambria Math" w:cs="Arial"/>
                <w:szCs w:val="26"/>
              </w:rPr>
              <m:t>Li</m:t>
            </m:r>
          </m:e>
          <m:sup>
            <m:r>
              <w:rPr>
                <w:rFonts w:ascii="Cambria Math" w:eastAsiaTheme="majorEastAsia" w:hAnsi="Cambria Math" w:cs="Arial"/>
                <w:szCs w:val="26"/>
              </w:rPr>
              <m:t>+</m:t>
            </m:r>
          </m:sup>
        </m:sSup>
        <m:r>
          <w:rPr>
            <w:rFonts w:ascii="Cambria Math" w:eastAsiaTheme="majorEastAsia" w:hAnsi="Cambria Math" w:cs="Arial"/>
            <w:szCs w:val="26"/>
          </w:rPr>
          <m:t>+</m:t>
        </m:r>
        <m:sSup>
          <m:sSupPr>
            <m:ctrlPr>
              <w:rPr>
                <w:rFonts w:ascii="Cambria Math" w:eastAsiaTheme="majorEastAsia" w:hAnsi="Cambria Math" w:cs="Arial"/>
                <w:i/>
                <w:szCs w:val="26"/>
              </w:rPr>
            </m:ctrlPr>
          </m:sSupPr>
          <m:e>
            <m:r>
              <w:rPr>
                <w:rFonts w:ascii="Cambria Math" w:eastAsiaTheme="majorEastAsia" w:hAnsi="Cambria Math" w:cs="Arial"/>
                <w:szCs w:val="26"/>
              </w:rPr>
              <m:t>e</m:t>
            </m:r>
          </m:e>
          <m:sup>
            <m:r>
              <w:rPr>
                <w:rFonts w:ascii="Cambria Math" w:eastAsiaTheme="majorEastAsia" w:hAnsi="Cambria Math" w:cs="Arial"/>
                <w:szCs w:val="26"/>
              </w:rPr>
              <m:t>-</m:t>
            </m:r>
          </m:sup>
        </m:sSup>
      </m:oMath>
      <w:r w:rsidR="00EE5935" w:rsidRPr="0092670C">
        <w:rPr>
          <w:rFonts w:ascii="Arial" w:eastAsiaTheme="minorEastAsia" w:hAnsi="Arial" w:cs="Arial"/>
          <w:szCs w:val="26"/>
        </w:rPr>
        <w:t xml:space="preserve">         E</w:t>
      </w:r>
      <w:r w:rsidR="005E6FD3" w:rsidRPr="0092670C">
        <w:rPr>
          <w:rFonts w:ascii="Arial" w:eastAsiaTheme="minorEastAsia" w:hAnsi="Arial" w:cs="Arial"/>
          <w:szCs w:val="26"/>
        </w:rPr>
        <w:t xml:space="preserve"> </w:t>
      </w:r>
      <w:r w:rsidR="00EE5935" w:rsidRPr="0092670C">
        <w:rPr>
          <w:rFonts w:ascii="Arial" w:eastAsiaTheme="minorEastAsia" w:hAnsi="Arial" w:cs="Arial"/>
          <w:szCs w:val="26"/>
        </w:rPr>
        <w:t>=</w:t>
      </w:r>
      <w:r w:rsidR="005E6FD3" w:rsidRPr="0092670C">
        <w:rPr>
          <w:rFonts w:ascii="Arial" w:eastAsiaTheme="minorEastAsia" w:hAnsi="Arial" w:cs="Arial"/>
          <w:szCs w:val="26"/>
        </w:rPr>
        <w:t xml:space="preserve"> </w:t>
      </w:r>
      <w:r w:rsidR="005A5ABB" w:rsidRPr="0092670C">
        <w:rPr>
          <w:rFonts w:ascii="Arial" w:eastAsiaTheme="minorEastAsia" w:hAnsi="Arial" w:cs="Arial"/>
          <w:szCs w:val="26"/>
        </w:rPr>
        <w:t>0</w:t>
      </w:r>
      <w:r w:rsidR="00CD59A6">
        <w:rPr>
          <w:rFonts w:ascii="Arial" w:eastAsiaTheme="minorEastAsia" w:hAnsi="Arial" w:cs="Arial"/>
          <w:szCs w:val="26"/>
        </w:rPr>
        <w:t xml:space="preserve"> </w:t>
      </w:r>
      <w:r w:rsidR="005A5ABB" w:rsidRPr="0092670C">
        <w:rPr>
          <w:rFonts w:ascii="Arial" w:eastAsiaTheme="minorEastAsia" w:hAnsi="Arial" w:cs="Arial"/>
          <w:szCs w:val="26"/>
        </w:rPr>
        <w:t>V</w:t>
      </w:r>
    </w:p>
    <w:p w14:paraId="42B17EF8" w14:textId="2DE3D28D" w:rsidR="00C216E9" w:rsidRPr="00B97230" w:rsidRDefault="00D845E3" w:rsidP="005569B7">
      <w:pPr>
        <w:pStyle w:val="Caption"/>
        <w:spacing w:after="400"/>
        <w:jc w:val="center"/>
        <w:rPr>
          <w:rFonts w:ascii="Arial" w:eastAsiaTheme="majorEastAsia" w:hAnsi="Arial" w:cs="Arial"/>
          <w:sz w:val="20"/>
          <w:szCs w:val="28"/>
        </w:rPr>
      </w:pPr>
      <w:bookmarkStart w:id="22" w:name="_Ref30022021"/>
      <w:r w:rsidRPr="00B97230">
        <w:rPr>
          <w:rFonts w:ascii="Arial" w:hAnsi="Arial" w:cs="Arial"/>
          <w:sz w:val="20"/>
          <w:szCs w:val="20"/>
        </w:rPr>
        <w:t xml:space="preserve">Equation </w:t>
      </w:r>
      <w:r w:rsidR="0059014F">
        <w:rPr>
          <w:rFonts w:ascii="Arial" w:hAnsi="Arial" w:cs="Arial"/>
          <w:sz w:val="20"/>
          <w:szCs w:val="20"/>
        </w:rPr>
        <w:fldChar w:fldCharType="begin"/>
      </w:r>
      <w:r w:rsidR="0059014F">
        <w:rPr>
          <w:rFonts w:ascii="Arial" w:hAnsi="Arial" w:cs="Arial"/>
          <w:sz w:val="20"/>
          <w:szCs w:val="20"/>
        </w:rPr>
        <w:instrText xml:space="preserve"> SEQ Equation \* ARABIC </w:instrText>
      </w:r>
      <w:r w:rsidR="0059014F">
        <w:rPr>
          <w:rFonts w:ascii="Arial" w:hAnsi="Arial" w:cs="Arial"/>
          <w:sz w:val="20"/>
          <w:szCs w:val="20"/>
        </w:rPr>
        <w:fldChar w:fldCharType="separate"/>
      </w:r>
      <w:r w:rsidR="0059014F">
        <w:rPr>
          <w:rFonts w:ascii="Arial" w:hAnsi="Arial" w:cs="Arial"/>
          <w:noProof/>
          <w:sz w:val="20"/>
          <w:szCs w:val="20"/>
        </w:rPr>
        <w:t>1</w:t>
      </w:r>
      <w:r w:rsidR="0059014F">
        <w:rPr>
          <w:rFonts w:ascii="Arial" w:hAnsi="Arial" w:cs="Arial"/>
          <w:sz w:val="20"/>
          <w:szCs w:val="20"/>
        </w:rPr>
        <w:fldChar w:fldCharType="end"/>
      </w:r>
      <w:bookmarkEnd w:id="22"/>
      <w:r w:rsidRPr="00B97230">
        <w:rPr>
          <w:rFonts w:ascii="Arial" w:hAnsi="Arial" w:cs="Arial"/>
          <w:sz w:val="20"/>
          <w:szCs w:val="20"/>
        </w:rPr>
        <w:t>: Half equation for Li ion ionisation</w:t>
      </w:r>
      <w:r w:rsidR="003B57A3" w:rsidRPr="00B97230">
        <w:rPr>
          <w:rFonts w:ascii="Arial" w:hAnsi="Arial" w:cs="Arial"/>
          <w:sz w:val="20"/>
          <w:szCs w:val="20"/>
        </w:rPr>
        <w:t>.</w:t>
      </w:r>
    </w:p>
    <w:p w14:paraId="1D801EC9" w14:textId="20358746" w:rsidR="000A7E40" w:rsidRPr="0092670C" w:rsidRDefault="001F4855"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 </w:t>
      </w:r>
      <w:r w:rsidR="003E2B63" w:rsidRPr="0092670C">
        <w:rPr>
          <w:rFonts w:ascii="Arial" w:eastAsiaTheme="majorEastAsia" w:hAnsi="Arial" w:cs="Arial"/>
          <w:szCs w:val="26"/>
        </w:rPr>
        <w:t>T</w:t>
      </w:r>
      <w:r w:rsidRPr="0092670C">
        <w:rPr>
          <w:rFonts w:ascii="Arial" w:eastAsiaTheme="majorEastAsia" w:hAnsi="Arial" w:cs="Arial"/>
          <w:szCs w:val="26"/>
        </w:rPr>
        <w:t xml:space="preserve">he </w:t>
      </w:r>
      <w:r w:rsidR="00E00013" w:rsidRPr="0092670C">
        <w:rPr>
          <w:rFonts w:ascii="Arial" w:eastAsiaTheme="majorEastAsia" w:hAnsi="Arial" w:cs="Arial"/>
          <w:szCs w:val="26"/>
        </w:rPr>
        <w:t>“</w:t>
      </w:r>
      <w:r w:rsidRPr="0092670C">
        <w:rPr>
          <w:rFonts w:ascii="Arial" w:eastAsiaTheme="majorEastAsia" w:hAnsi="Arial" w:cs="Arial"/>
          <w:szCs w:val="26"/>
        </w:rPr>
        <w:t>capacity</w:t>
      </w:r>
      <w:r w:rsidR="00E00013" w:rsidRPr="0092670C">
        <w:rPr>
          <w:rFonts w:ascii="Arial" w:eastAsiaTheme="majorEastAsia" w:hAnsi="Arial" w:cs="Arial"/>
          <w:szCs w:val="26"/>
        </w:rPr>
        <w:t>”</w:t>
      </w:r>
      <w:r w:rsidRPr="0092670C">
        <w:rPr>
          <w:rFonts w:ascii="Arial" w:eastAsiaTheme="majorEastAsia" w:hAnsi="Arial" w:cs="Arial"/>
          <w:szCs w:val="26"/>
        </w:rPr>
        <w:t xml:space="preserve"> of the cell</w:t>
      </w:r>
      <w:r w:rsidR="003E2B63" w:rsidRPr="0092670C">
        <w:rPr>
          <w:rFonts w:ascii="Arial" w:eastAsiaTheme="majorEastAsia" w:hAnsi="Arial" w:cs="Arial"/>
          <w:szCs w:val="26"/>
        </w:rPr>
        <w:t xml:space="preserve"> </w:t>
      </w:r>
      <w:r w:rsidR="00E00013" w:rsidRPr="0092670C">
        <w:rPr>
          <w:rFonts w:ascii="Arial" w:eastAsiaTheme="majorEastAsia" w:hAnsi="Arial" w:cs="Arial"/>
          <w:szCs w:val="26"/>
        </w:rPr>
        <w:t xml:space="preserve">can be </w:t>
      </w:r>
      <w:r w:rsidR="00EC41F9" w:rsidRPr="0092670C">
        <w:rPr>
          <w:rFonts w:ascii="Arial" w:eastAsiaTheme="majorEastAsia" w:hAnsi="Arial" w:cs="Arial"/>
          <w:szCs w:val="26"/>
        </w:rPr>
        <w:t>assessed using several different</w:t>
      </w:r>
      <w:r w:rsidR="000A48EB" w:rsidRPr="0092670C">
        <w:rPr>
          <w:rFonts w:ascii="Arial" w:eastAsiaTheme="majorEastAsia" w:hAnsi="Arial" w:cs="Arial"/>
          <w:szCs w:val="26"/>
        </w:rPr>
        <w:t xml:space="preserve"> </w:t>
      </w:r>
      <w:r w:rsidR="00E52734" w:rsidRPr="0092670C">
        <w:rPr>
          <w:rFonts w:ascii="Arial" w:eastAsiaTheme="majorEastAsia" w:hAnsi="Arial" w:cs="Arial"/>
          <w:szCs w:val="26"/>
        </w:rPr>
        <w:t>standards</w:t>
      </w:r>
      <w:r w:rsidRPr="0092670C">
        <w:rPr>
          <w:rFonts w:ascii="Arial" w:eastAsiaTheme="majorEastAsia" w:hAnsi="Arial" w:cs="Arial"/>
          <w:szCs w:val="26"/>
        </w:rPr>
        <w:t>. Th</w:t>
      </w:r>
      <w:r w:rsidR="0035208A" w:rsidRPr="0092670C">
        <w:rPr>
          <w:rFonts w:ascii="Arial" w:eastAsiaTheme="majorEastAsia" w:hAnsi="Arial" w:cs="Arial"/>
          <w:szCs w:val="26"/>
        </w:rPr>
        <w:t xml:space="preserve">e </w:t>
      </w:r>
      <w:r w:rsidR="00F612C3" w:rsidRPr="0092670C">
        <w:rPr>
          <w:rFonts w:ascii="Arial" w:eastAsiaTheme="majorEastAsia" w:hAnsi="Arial" w:cs="Arial"/>
          <w:szCs w:val="26"/>
        </w:rPr>
        <w:t>specific</w:t>
      </w:r>
      <w:r w:rsidRPr="0092670C">
        <w:rPr>
          <w:rFonts w:ascii="Arial" w:eastAsiaTheme="majorEastAsia" w:hAnsi="Arial" w:cs="Arial"/>
          <w:szCs w:val="26"/>
        </w:rPr>
        <w:t xml:space="preserve"> capacity is the amount of charge </w:t>
      </w:r>
      <w:r w:rsidR="00EB7BBA" w:rsidRPr="0092670C">
        <w:rPr>
          <w:rFonts w:ascii="Arial" w:eastAsiaTheme="majorEastAsia" w:hAnsi="Arial" w:cs="Arial"/>
          <w:szCs w:val="26"/>
        </w:rPr>
        <w:t>that a cell/ electrode can store/release</w:t>
      </w:r>
      <w:r w:rsidR="003B0002" w:rsidRPr="0092670C">
        <w:rPr>
          <w:rFonts w:ascii="Arial" w:eastAsiaTheme="majorEastAsia" w:hAnsi="Arial" w:cs="Arial"/>
          <w:szCs w:val="26"/>
        </w:rPr>
        <w:t xml:space="preserve"> and is measured in </w:t>
      </w:r>
      <w:r w:rsidR="00E84EFA" w:rsidRPr="0092670C">
        <w:rPr>
          <w:rFonts w:ascii="Arial" w:eastAsiaTheme="majorEastAsia" w:hAnsi="Arial" w:cs="Arial"/>
          <w:szCs w:val="26"/>
        </w:rPr>
        <w:t>mAhg</w:t>
      </w:r>
      <w:r w:rsidR="00E84EFA" w:rsidRPr="0092670C">
        <w:rPr>
          <w:rFonts w:ascii="Arial" w:eastAsiaTheme="majorEastAsia" w:hAnsi="Arial" w:cs="Arial"/>
          <w:szCs w:val="26"/>
          <w:vertAlign w:val="superscript"/>
        </w:rPr>
        <w:t>-1</w:t>
      </w:r>
      <w:r w:rsidR="00EB7BBA" w:rsidRPr="0092670C">
        <w:rPr>
          <w:rFonts w:ascii="Arial" w:eastAsiaTheme="majorEastAsia" w:hAnsi="Arial" w:cs="Arial"/>
          <w:szCs w:val="26"/>
        </w:rPr>
        <w:t>.</w:t>
      </w:r>
      <w:r w:rsidR="00E84EFA" w:rsidRPr="0092670C">
        <w:rPr>
          <w:rFonts w:ascii="Arial" w:eastAsiaTheme="majorEastAsia" w:hAnsi="Arial" w:cs="Arial"/>
          <w:szCs w:val="26"/>
        </w:rPr>
        <w:t xml:space="preserve"> This</w:t>
      </w:r>
      <w:r w:rsidR="00BC5BB5" w:rsidRPr="0092670C">
        <w:rPr>
          <w:rFonts w:ascii="Arial" w:eastAsiaTheme="majorEastAsia" w:hAnsi="Arial" w:cs="Arial"/>
          <w:szCs w:val="26"/>
        </w:rPr>
        <w:t xml:space="preserve"> is a useful measurement </w:t>
      </w:r>
      <w:r w:rsidR="008D6014" w:rsidRPr="0092670C">
        <w:rPr>
          <w:rFonts w:ascii="Arial" w:eastAsiaTheme="majorEastAsia" w:hAnsi="Arial" w:cs="Arial"/>
          <w:szCs w:val="26"/>
        </w:rPr>
        <w:t>as this value can be used to balance cells</w:t>
      </w:r>
      <w:r w:rsidR="004F0555" w:rsidRPr="0092670C">
        <w:rPr>
          <w:rFonts w:ascii="Arial" w:eastAsiaTheme="majorEastAsia" w:hAnsi="Arial" w:cs="Arial"/>
          <w:szCs w:val="26"/>
        </w:rPr>
        <w:t xml:space="preserve"> and </w:t>
      </w:r>
      <w:r w:rsidR="00DC7AD9">
        <w:rPr>
          <w:rFonts w:ascii="Arial" w:eastAsiaTheme="majorEastAsia" w:hAnsi="Arial" w:cs="Arial"/>
          <w:szCs w:val="26"/>
        </w:rPr>
        <w:t xml:space="preserve">is voltage </w:t>
      </w:r>
      <w:r w:rsidR="00C62D6C">
        <w:rPr>
          <w:rFonts w:ascii="Arial" w:eastAsiaTheme="majorEastAsia" w:hAnsi="Arial" w:cs="Arial"/>
          <w:szCs w:val="26"/>
        </w:rPr>
        <w:t>independent.</w:t>
      </w:r>
      <w:r w:rsidR="00EB7BBA" w:rsidRPr="0092670C">
        <w:rPr>
          <w:rFonts w:ascii="Arial" w:eastAsiaTheme="majorEastAsia" w:hAnsi="Arial" w:cs="Arial"/>
          <w:szCs w:val="26"/>
        </w:rPr>
        <w:t xml:space="preserve"> </w:t>
      </w:r>
      <w:r w:rsidR="007D1C68" w:rsidRPr="0092670C">
        <w:rPr>
          <w:rFonts w:ascii="Arial" w:eastAsiaTheme="majorEastAsia" w:hAnsi="Arial" w:cs="Arial"/>
          <w:szCs w:val="26"/>
        </w:rPr>
        <w:t xml:space="preserve">As the value is </w:t>
      </w:r>
      <w:r w:rsidR="00C75C5C" w:rsidRPr="0092670C">
        <w:rPr>
          <w:rFonts w:ascii="Arial" w:eastAsiaTheme="majorEastAsia" w:hAnsi="Arial" w:cs="Arial"/>
          <w:szCs w:val="26"/>
        </w:rPr>
        <w:t>dependent</w:t>
      </w:r>
      <w:r w:rsidR="007D1C68" w:rsidRPr="0092670C">
        <w:rPr>
          <w:rFonts w:ascii="Arial" w:eastAsiaTheme="majorEastAsia" w:hAnsi="Arial" w:cs="Arial"/>
          <w:szCs w:val="26"/>
        </w:rPr>
        <w:t xml:space="preserve"> upon the </w:t>
      </w:r>
      <w:r w:rsidR="003A0448" w:rsidRPr="0092670C">
        <w:rPr>
          <w:rFonts w:ascii="Arial" w:eastAsiaTheme="majorEastAsia" w:hAnsi="Arial" w:cs="Arial"/>
          <w:szCs w:val="26"/>
        </w:rPr>
        <w:t>dir</w:t>
      </w:r>
      <w:r w:rsidR="00D81EBA" w:rsidRPr="0092670C">
        <w:rPr>
          <w:rFonts w:ascii="Arial" w:eastAsiaTheme="majorEastAsia" w:hAnsi="Arial" w:cs="Arial"/>
          <w:szCs w:val="26"/>
        </w:rPr>
        <w:t>ection of the flow of ions</w:t>
      </w:r>
      <w:r w:rsidR="008F018D" w:rsidRPr="0092670C">
        <w:rPr>
          <w:rFonts w:ascii="Arial" w:eastAsiaTheme="majorEastAsia" w:hAnsi="Arial" w:cs="Arial"/>
          <w:szCs w:val="26"/>
        </w:rPr>
        <w:t xml:space="preserve"> this is subdivided into 2</w:t>
      </w:r>
      <w:r w:rsidR="00CA678D" w:rsidRPr="0092670C">
        <w:rPr>
          <w:rFonts w:ascii="Arial" w:eastAsiaTheme="majorEastAsia" w:hAnsi="Arial" w:cs="Arial"/>
          <w:szCs w:val="26"/>
        </w:rPr>
        <w:t xml:space="preserve">: the charge capacity and the discharge capacity. </w:t>
      </w:r>
      <w:r w:rsidR="004228E2" w:rsidRPr="0092670C">
        <w:rPr>
          <w:rFonts w:ascii="Arial" w:eastAsiaTheme="majorEastAsia" w:hAnsi="Arial" w:cs="Arial"/>
          <w:szCs w:val="26"/>
        </w:rPr>
        <w:t xml:space="preserve">As the </w:t>
      </w:r>
      <w:r w:rsidR="00AA2709" w:rsidRPr="0092670C">
        <w:rPr>
          <w:rFonts w:ascii="Arial" w:eastAsiaTheme="majorEastAsia" w:hAnsi="Arial" w:cs="Arial"/>
          <w:szCs w:val="26"/>
        </w:rPr>
        <w:t xml:space="preserve">focus of this thesis is on the capacity of anodes then the charge capacity </w:t>
      </w:r>
      <w:r w:rsidR="001841B9" w:rsidRPr="0092670C">
        <w:rPr>
          <w:rFonts w:ascii="Arial" w:eastAsiaTheme="majorEastAsia" w:hAnsi="Arial" w:cs="Arial"/>
          <w:szCs w:val="26"/>
        </w:rPr>
        <w:t xml:space="preserve">is the best </w:t>
      </w:r>
      <w:r w:rsidR="00C45AD4" w:rsidRPr="0092670C">
        <w:rPr>
          <w:rFonts w:ascii="Arial" w:eastAsiaTheme="majorEastAsia" w:hAnsi="Arial" w:cs="Arial"/>
          <w:szCs w:val="26"/>
        </w:rPr>
        <w:t xml:space="preserve">parameter for </w:t>
      </w:r>
      <w:r w:rsidR="002669B7" w:rsidRPr="0092670C">
        <w:rPr>
          <w:rFonts w:ascii="Arial" w:eastAsiaTheme="majorEastAsia" w:hAnsi="Arial" w:cs="Arial"/>
          <w:szCs w:val="26"/>
        </w:rPr>
        <w:t xml:space="preserve">measuring capacity </w:t>
      </w:r>
      <w:r w:rsidR="00530A46" w:rsidRPr="0092670C">
        <w:rPr>
          <w:rFonts w:ascii="Arial" w:eastAsiaTheme="majorEastAsia" w:hAnsi="Arial" w:cs="Arial"/>
          <w:szCs w:val="26"/>
        </w:rPr>
        <w:t xml:space="preserve">in half cells </w:t>
      </w:r>
      <w:r w:rsidR="002669B7" w:rsidRPr="0092670C">
        <w:rPr>
          <w:rFonts w:ascii="Arial" w:eastAsiaTheme="majorEastAsia" w:hAnsi="Arial" w:cs="Arial"/>
          <w:szCs w:val="26"/>
        </w:rPr>
        <w:t xml:space="preserve">as it demonstrates the </w:t>
      </w:r>
      <w:r w:rsidR="00A67A77" w:rsidRPr="0092670C">
        <w:rPr>
          <w:rFonts w:ascii="Arial" w:eastAsiaTheme="majorEastAsia" w:hAnsi="Arial" w:cs="Arial"/>
          <w:szCs w:val="26"/>
        </w:rPr>
        <w:t xml:space="preserve">amount of charge that the anode can release. </w:t>
      </w:r>
      <w:r w:rsidR="0008458E" w:rsidRPr="0092670C">
        <w:rPr>
          <w:rFonts w:ascii="Arial" w:eastAsiaTheme="majorEastAsia" w:hAnsi="Arial" w:cs="Arial"/>
          <w:szCs w:val="26"/>
        </w:rPr>
        <w:t>It should be</w:t>
      </w:r>
      <w:r w:rsidR="00073DF0" w:rsidRPr="0092670C">
        <w:rPr>
          <w:rFonts w:ascii="Arial" w:eastAsiaTheme="majorEastAsia" w:hAnsi="Arial" w:cs="Arial"/>
          <w:szCs w:val="26"/>
        </w:rPr>
        <w:t xml:space="preserve"> noted that this</w:t>
      </w:r>
      <w:r w:rsidR="00A67A77" w:rsidRPr="0092670C">
        <w:rPr>
          <w:rFonts w:ascii="Arial" w:eastAsiaTheme="majorEastAsia" w:hAnsi="Arial" w:cs="Arial"/>
          <w:szCs w:val="26"/>
        </w:rPr>
        <w:t xml:space="preserve"> </w:t>
      </w:r>
      <w:r w:rsidR="000A7E40" w:rsidRPr="0092670C">
        <w:rPr>
          <w:rFonts w:ascii="Arial" w:eastAsiaTheme="majorEastAsia" w:hAnsi="Arial" w:cs="Arial"/>
          <w:szCs w:val="26"/>
        </w:rPr>
        <w:t>would be reversed in full cells</w:t>
      </w:r>
      <w:r w:rsidR="00C75C5C" w:rsidRPr="0092670C">
        <w:rPr>
          <w:rFonts w:ascii="Arial" w:eastAsiaTheme="majorEastAsia" w:hAnsi="Arial" w:cs="Arial"/>
          <w:szCs w:val="26"/>
        </w:rPr>
        <w:t xml:space="preserve"> where </w:t>
      </w:r>
      <w:r w:rsidR="003E5315" w:rsidRPr="0092670C">
        <w:rPr>
          <w:rFonts w:ascii="Arial" w:eastAsiaTheme="majorEastAsia" w:hAnsi="Arial" w:cs="Arial"/>
          <w:szCs w:val="26"/>
        </w:rPr>
        <w:t xml:space="preserve">the discharge capacity would </w:t>
      </w:r>
      <w:r w:rsidR="001D2622" w:rsidRPr="0092670C">
        <w:rPr>
          <w:rFonts w:ascii="Arial" w:eastAsiaTheme="majorEastAsia" w:hAnsi="Arial" w:cs="Arial"/>
          <w:szCs w:val="26"/>
        </w:rPr>
        <w:t>give information about the anode. The reason for this reversal is that Li metal is the anode in a half cell</w:t>
      </w:r>
      <w:r w:rsidR="00075571">
        <w:rPr>
          <w:rFonts w:ascii="Arial" w:eastAsiaTheme="majorEastAsia" w:hAnsi="Arial" w:cs="Arial"/>
          <w:szCs w:val="26"/>
        </w:rPr>
        <w:t xml:space="preserve">, </w:t>
      </w:r>
      <w:bookmarkStart w:id="23" w:name="_Hlk83228758"/>
      <w:r w:rsidR="00075571">
        <w:rPr>
          <w:rFonts w:ascii="Arial" w:eastAsiaTheme="majorEastAsia" w:hAnsi="Arial" w:cs="Arial"/>
          <w:szCs w:val="26"/>
        </w:rPr>
        <w:t>with the graphite acting as the cathode</w:t>
      </w:r>
      <w:r w:rsidR="001D2622" w:rsidRPr="0092670C">
        <w:rPr>
          <w:rFonts w:ascii="Arial" w:eastAsiaTheme="majorEastAsia" w:hAnsi="Arial" w:cs="Arial"/>
          <w:szCs w:val="26"/>
        </w:rPr>
        <w:t>.</w:t>
      </w:r>
      <w:bookmarkEnd w:id="23"/>
    </w:p>
    <w:p w14:paraId="3EBA1DF0" w14:textId="770F7A9B" w:rsidR="00C139EC" w:rsidRPr="0092670C" w:rsidRDefault="00C139EC" w:rsidP="00EC7057">
      <w:pPr>
        <w:spacing w:line="360" w:lineRule="auto"/>
        <w:jc w:val="both"/>
        <w:rPr>
          <w:rFonts w:ascii="Arial" w:eastAsiaTheme="majorEastAsia" w:hAnsi="Arial" w:cs="Arial"/>
          <w:szCs w:val="26"/>
        </w:rPr>
      </w:pPr>
      <w:r w:rsidRPr="0092670C">
        <w:rPr>
          <w:rFonts w:ascii="Arial" w:eastAsiaTheme="majorEastAsia" w:hAnsi="Arial" w:cs="Arial"/>
          <w:szCs w:val="26"/>
        </w:rPr>
        <w:t xml:space="preserve">During the first cycle </w:t>
      </w:r>
      <w:r w:rsidR="001253D7" w:rsidRPr="0092670C">
        <w:rPr>
          <w:rFonts w:ascii="Arial" w:eastAsiaTheme="majorEastAsia" w:hAnsi="Arial" w:cs="Arial"/>
          <w:szCs w:val="26"/>
        </w:rPr>
        <w:t xml:space="preserve">of Li-ion batteries </w:t>
      </w:r>
      <w:r w:rsidRPr="0092670C">
        <w:rPr>
          <w:rFonts w:ascii="Arial" w:eastAsiaTheme="majorEastAsia" w:hAnsi="Arial" w:cs="Arial"/>
          <w:szCs w:val="26"/>
        </w:rPr>
        <w:t xml:space="preserve">the capacity of </w:t>
      </w:r>
      <w:r w:rsidR="00FA3AEF" w:rsidRPr="0092670C">
        <w:rPr>
          <w:rFonts w:ascii="Arial" w:eastAsiaTheme="majorEastAsia" w:hAnsi="Arial" w:cs="Arial"/>
          <w:szCs w:val="26"/>
        </w:rPr>
        <w:t>t</w:t>
      </w:r>
      <w:r w:rsidRPr="0092670C">
        <w:rPr>
          <w:rFonts w:ascii="Arial" w:eastAsiaTheme="majorEastAsia" w:hAnsi="Arial" w:cs="Arial"/>
          <w:szCs w:val="26"/>
        </w:rPr>
        <w:t xml:space="preserve">he cell is higher than is seen </w:t>
      </w:r>
      <w:r w:rsidR="002B12C3" w:rsidRPr="0092670C">
        <w:rPr>
          <w:rFonts w:ascii="Arial" w:eastAsiaTheme="majorEastAsia" w:hAnsi="Arial" w:cs="Arial"/>
          <w:szCs w:val="26"/>
        </w:rPr>
        <w:t xml:space="preserve">during subsequent cycles. </w:t>
      </w:r>
      <w:r w:rsidR="00653298" w:rsidRPr="0092670C">
        <w:rPr>
          <w:rFonts w:ascii="Arial" w:eastAsiaTheme="majorEastAsia" w:hAnsi="Arial" w:cs="Arial"/>
          <w:szCs w:val="26"/>
        </w:rPr>
        <w:t>This capacity lost can be divided into two components</w:t>
      </w:r>
      <w:r w:rsidR="00344C06" w:rsidRPr="0092670C">
        <w:rPr>
          <w:rFonts w:ascii="Arial" w:eastAsiaTheme="majorEastAsia" w:hAnsi="Arial" w:cs="Arial"/>
          <w:szCs w:val="26"/>
        </w:rPr>
        <w:t xml:space="preserve">: reversible and irreversible capacity loss. </w:t>
      </w:r>
      <w:r w:rsidR="00F277EF" w:rsidRPr="0092670C">
        <w:rPr>
          <w:rFonts w:ascii="Arial" w:eastAsiaTheme="majorEastAsia" w:hAnsi="Arial" w:cs="Arial"/>
          <w:szCs w:val="26"/>
        </w:rPr>
        <w:t>The reversible capacity loss is the self-discharge of the cell</w:t>
      </w:r>
      <w:r w:rsidR="00392F4D" w:rsidRPr="0092670C">
        <w:rPr>
          <w:rFonts w:ascii="Arial" w:eastAsiaTheme="majorEastAsia" w:hAnsi="Arial" w:cs="Arial"/>
          <w:szCs w:val="26"/>
        </w:rPr>
        <w:t xml:space="preserve"> and as the name implies this </w:t>
      </w:r>
      <w:r w:rsidR="0037586B" w:rsidRPr="0092670C">
        <w:rPr>
          <w:rFonts w:ascii="Arial" w:eastAsiaTheme="majorEastAsia" w:hAnsi="Arial" w:cs="Arial"/>
          <w:szCs w:val="26"/>
        </w:rPr>
        <w:t>isn’t</w:t>
      </w:r>
      <w:r w:rsidR="00A84A61" w:rsidRPr="0092670C">
        <w:rPr>
          <w:rFonts w:ascii="Arial" w:eastAsiaTheme="majorEastAsia" w:hAnsi="Arial" w:cs="Arial"/>
          <w:szCs w:val="26"/>
        </w:rPr>
        <w:t xml:space="preserve"> a permanent loss of capacity</w:t>
      </w:r>
      <w:r w:rsidR="00F277EF" w:rsidRPr="0092670C">
        <w:rPr>
          <w:rFonts w:ascii="Arial" w:eastAsiaTheme="majorEastAsia" w:hAnsi="Arial" w:cs="Arial"/>
          <w:szCs w:val="26"/>
        </w:rPr>
        <w:t>. The irreversible capacity loss (Q</w:t>
      </w:r>
      <w:r w:rsidR="00FE1DBB" w:rsidRPr="0092670C">
        <w:rPr>
          <w:rFonts w:ascii="Arial" w:eastAsiaTheme="majorEastAsia" w:hAnsi="Arial" w:cs="Arial"/>
          <w:szCs w:val="26"/>
          <w:vertAlign w:val="subscript"/>
        </w:rPr>
        <w:t>irr</w:t>
      </w:r>
      <w:r w:rsidR="00F277EF" w:rsidRPr="0092670C">
        <w:rPr>
          <w:rFonts w:ascii="Arial" w:eastAsiaTheme="majorEastAsia" w:hAnsi="Arial" w:cs="Arial"/>
          <w:szCs w:val="26"/>
        </w:rPr>
        <w:t xml:space="preserve">) is due to SEI formation </w:t>
      </w:r>
      <w:r w:rsidR="00B224F6" w:rsidRPr="0092670C">
        <w:rPr>
          <w:rFonts w:ascii="Arial" w:eastAsiaTheme="majorEastAsia" w:hAnsi="Arial" w:cs="Arial"/>
          <w:szCs w:val="26"/>
        </w:rPr>
        <w:t xml:space="preserve">and this </w:t>
      </w:r>
      <w:r w:rsidR="00ED6FCB" w:rsidRPr="0092670C">
        <w:rPr>
          <w:rFonts w:ascii="Arial" w:eastAsiaTheme="majorEastAsia" w:hAnsi="Arial" w:cs="Arial"/>
          <w:szCs w:val="26"/>
        </w:rPr>
        <w:t xml:space="preserve">can’t be recovered in full cells where only a limited amount of lithium is available (Li inventory). </w:t>
      </w:r>
      <w:r w:rsidR="001B2F94" w:rsidRPr="0092670C">
        <w:rPr>
          <w:rFonts w:ascii="Arial" w:eastAsiaTheme="majorEastAsia" w:hAnsi="Arial" w:cs="Arial"/>
          <w:szCs w:val="26"/>
        </w:rPr>
        <w:t>A</w:t>
      </w:r>
      <w:r w:rsidR="003A6E8D" w:rsidRPr="0092670C">
        <w:rPr>
          <w:rFonts w:ascii="Arial" w:eastAsiaTheme="majorEastAsia" w:hAnsi="Arial" w:cs="Arial"/>
          <w:szCs w:val="26"/>
        </w:rPr>
        <w:t xml:space="preserve"> robust S</w:t>
      </w:r>
      <w:r w:rsidR="00947672" w:rsidRPr="0092670C">
        <w:rPr>
          <w:rFonts w:ascii="Arial" w:eastAsiaTheme="majorEastAsia" w:hAnsi="Arial" w:cs="Arial"/>
          <w:szCs w:val="26"/>
        </w:rPr>
        <w:t>EI</w:t>
      </w:r>
      <w:r w:rsidR="003A6E8D" w:rsidRPr="0092670C">
        <w:rPr>
          <w:rFonts w:ascii="Arial" w:eastAsiaTheme="majorEastAsia" w:hAnsi="Arial" w:cs="Arial"/>
          <w:szCs w:val="26"/>
        </w:rPr>
        <w:t xml:space="preserve"> will limit Q</w:t>
      </w:r>
      <w:r w:rsidR="003A6E8D" w:rsidRPr="0092670C">
        <w:rPr>
          <w:rFonts w:ascii="Arial" w:eastAsiaTheme="majorEastAsia" w:hAnsi="Arial" w:cs="Arial"/>
          <w:szCs w:val="26"/>
          <w:vertAlign w:val="subscript"/>
        </w:rPr>
        <w:t>irr</w:t>
      </w:r>
      <w:r w:rsidR="003A6E8D" w:rsidRPr="0092670C">
        <w:rPr>
          <w:rFonts w:ascii="Arial" w:eastAsiaTheme="majorEastAsia" w:hAnsi="Arial" w:cs="Arial"/>
          <w:szCs w:val="26"/>
        </w:rPr>
        <w:t xml:space="preserve"> and its effect on total cell capacity. </w:t>
      </w:r>
      <w:r w:rsidR="00805384" w:rsidRPr="0092670C">
        <w:rPr>
          <w:rFonts w:ascii="Arial" w:eastAsiaTheme="majorEastAsia" w:hAnsi="Arial" w:cs="Arial"/>
          <w:szCs w:val="26"/>
        </w:rPr>
        <w:t xml:space="preserve">  </w:t>
      </w:r>
      <w:r w:rsidR="00914306" w:rsidRPr="0092670C">
        <w:rPr>
          <w:rFonts w:ascii="Arial" w:eastAsiaTheme="majorEastAsia" w:hAnsi="Arial" w:cs="Arial"/>
          <w:szCs w:val="26"/>
        </w:rPr>
        <w:t xml:space="preserve"> </w:t>
      </w:r>
    </w:p>
    <w:p w14:paraId="6A89FF44" w14:textId="16E2C493" w:rsidR="00D42EEC" w:rsidRPr="0092670C" w:rsidRDefault="00075571" w:rsidP="00EC7057">
      <w:pPr>
        <w:spacing w:line="360" w:lineRule="auto"/>
        <w:jc w:val="both"/>
        <w:rPr>
          <w:rFonts w:ascii="Arial" w:eastAsiaTheme="majorEastAsia" w:hAnsi="Arial" w:cs="Arial"/>
          <w:szCs w:val="26"/>
        </w:rPr>
      </w:pPr>
      <w:bookmarkStart w:id="24" w:name="_Hlk83228785"/>
      <w:r>
        <w:rPr>
          <w:rFonts w:ascii="Arial" w:eastAsiaTheme="majorEastAsia" w:hAnsi="Arial" w:cs="Arial"/>
          <w:szCs w:val="26"/>
        </w:rPr>
        <w:t xml:space="preserve">When a cell is cycling the charge and discharge capacities aren’t the same. </w:t>
      </w:r>
      <w:bookmarkEnd w:id="24"/>
      <w:r w:rsidR="000A7E40" w:rsidRPr="0092670C">
        <w:rPr>
          <w:rFonts w:ascii="Arial" w:eastAsiaTheme="majorEastAsia" w:hAnsi="Arial" w:cs="Arial"/>
          <w:szCs w:val="26"/>
        </w:rPr>
        <w:t xml:space="preserve">The differences between the charge and discharge capacity </w:t>
      </w:r>
      <w:r w:rsidR="00EE3C6F" w:rsidRPr="0092670C">
        <w:rPr>
          <w:rFonts w:ascii="Arial" w:eastAsiaTheme="majorEastAsia" w:hAnsi="Arial" w:cs="Arial"/>
          <w:szCs w:val="26"/>
        </w:rPr>
        <w:t>give</w:t>
      </w:r>
      <w:r w:rsidR="00CA591F" w:rsidRPr="0092670C">
        <w:rPr>
          <w:rFonts w:ascii="Arial" w:eastAsiaTheme="majorEastAsia" w:hAnsi="Arial" w:cs="Arial"/>
          <w:szCs w:val="26"/>
        </w:rPr>
        <w:t>s</w:t>
      </w:r>
      <w:r w:rsidR="00EE3C6F" w:rsidRPr="0092670C">
        <w:rPr>
          <w:rFonts w:ascii="Arial" w:eastAsiaTheme="majorEastAsia" w:hAnsi="Arial" w:cs="Arial"/>
          <w:szCs w:val="26"/>
        </w:rPr>
        <w:t xml:space="preserve"> information about the</w:t>
      </w:r>
      <w:r w:rsidR="008B608E" w:rsidRPr="0092670C">
        <w:rPr>
          <w:rFonts w:ascii="Arial" w:eastAsiaTheme="majorEastAsia" w:hAnsi="Arial" w:cs="Arial"/>
          <w:szCs w:val="26"/>
        </w:rPr>
        <w:t xml:space="preserve"> efficiency of the</w:t>
      </w:r>
      <w:r w:rsidR="00EE3C6F" w:rsidRPr="0092670C">
        <w:rPr>
          <w:rFonts w:ascii="Arial" w:eastAsiaTheme="majorEastAsia" w:hAnsi="Arial" w:cs="Arial"/>
          <w:szCs w:val="26"/>
        </w:rPr>
        <w:t xml:space="preserve"> cell</w:t>
      </w:r>
      <w:r w:rsidR="008B608E" w:rsidRPr="0092670C">
        <w:rPr>
          <w:rFonts w:ascii="Arial" w:eastAsiaTheme="majorEastAsia" w:hAnsi="Arial" w:cs="Arial"/>
          <w:szCs w:val="26"/>
        </w:rPr>
        <w:t xml:space="preserve">. The </w:t>
      </w:r>
      <w:r w:rsidR="00BD0D4F" w:rsidRPr="0092670C">
        <w:rPr>
          <w:rFonts w:ascii="Arial" w:eastAsiaTheme="majorEastAsia" w:hAnsi="Arial" w:cs="Arial"/>
          <w:szCs w:val="26"/>
        </w:rPr>
        <w:t>ratio of the charge and discharge capacity gives us the coulombic efficiency</w:t>
      </w:r>
      <w:r w:rsidR="004148B2" w:rsidRPr="0092670C">
        <w:rPr>
          <w:rFonts w:ascii="Arial" w:eastAsiaTheme="majorEastAsia" w:hAnsi="Arial" w:cs="Arial"/>
          <w:szCs w:val="26"/>
        </w:rPr>
        <w:t xml:space="preserve"> (also known as Faraday efficiency</w:t>
      </w:r>
      <w:r w:rsidR="00D85AEA" w:rsidRPr="0092670C">
        <w:rPr>
          <w:rFonts w:ascii="Arial" w:eastAsiaTheme="majorEastAsia" w:hAnsi="Arial" w:cs="Arial"/>
          <w:szCs w:val="26"/>
        </w:rPr>
        <w:t xml:space="preserve">, </w:t>
      </w:r>
      <w:r w:rsidR="00D85AEA" w:rsidRPr="00075571">
        <w:rPr>
          <w:rFonts w:ascii="Arial" w:eastAsiaTheme="majorEastAsia" w:hAnsi="Arial" w:cs="Arial"/>
        </w:rPr>
        <w:fldChar w:fldCharType="begin"/>
      </w:r>
      <w:r w:rsidR="00D85AEA" w:rsidRPr="00075571">
        <w:rPr>
          <w:rFonts w:ascii="Arial" w:eastAsiaTheme="majorEastAsia" w:hAnsi="Arial" w:cs="Arial"/>
        </w:rPr>
        <w:instrText xml:space="preserve"> REF _Ref30022065 \h </w:instrText>
      </w:r>
      <w:r>
        <w:rPr>
          <w:rFonts w:ascii="Arial" w:eastAsiaTheme="majorEastAsia" w:hAnsi="Arial" w:cs="Arial"/>
        </w:rPr>
        <w:instrText xml:space="preserve"> \* MERGEFORMAT </w:instrText>
      </w:r>
      <w:r w:rsidR="00D85AEA" w:rsidRPr="00075571">
        <w:rPr>
          <w:rFonts w:ascii="Arial" w:eastAsiaTheme="majorEastAsia" w:hAnsi="Arial" w:cs="Arial"/>
        </w:rPr>
      </w:r>
      <w:r w:rsidR="00D85AEA" w:rsidRPr="00075571">
        <w:rPr>
          <w:rFonts w:ascii="Arial" w:eastAsiaTheme="majorEastAsia" w:hAnsi="Arial" w:cs="Arial"/>
        </w:rPr>
        <w:fldChar w:fldCharType="separate"/>
      </w:r>
      <w:r w:rsidR="007342C8" w:rsidRPr="00075571">
        <w:rPr>
          <w:rFonts w:ascii="Arial" w:hAnsi="Arial" w:cs="Arial"/>
        </w:rPr>
        <w:t xml:space="preserve">Equation </w:t>
      </w:r>
      <w:r w:rsidR="007342C8" w:rsidRPr="00075571">
        <w:rPr>
          <w:rFonts w:ascii="Arial" w:hAnsi="Arial" w:cs="Arial"/>
          <w:noProof/>
        </w:rPr>
        <w:t>1</w:t>
      </w:r>
      <w:r w:rsidR="007342C8" w:rsidRPr="00075571">
        <w:rPr>
          <w:rFonts w:ascii="Arial" w:hAnsi="Arial" w:cs="Arial"/>
        </w:rPr>
        <w:noBreakHyphen/>
      </w:r>
      <w:r w:rsidR="007342C8" w:rsidRPr="00075571">
        <w:rPr>
          <w:rFonts w:ascii="Arial" w:hAnsi="Arial" w:cs="Arial"/>
          <w:noProof/>
        </w:rPr>
        <w:t>2</w:t>
      </w:r>
      <w:r w:rsidR="00D85AEA" w:rsidRPr="00075571">
        <w:rPr>
          <w:rFonts w:ascii="Arial" w:eastAsiaTheme="majorEastAsia" w:hAnsi="Arial" w:cs="Arial"/>
        </w:rPr>
        <w:fldChar w:fldCharType="end"/>
      </w:r>
      <w:r w:rsidR="004148B2" w:rsidRPr="0092670C">
        <w:rPr>
          <w:rFonts w:ascii="Arial" w:eastAsiaTheme="majorEastAsia" w:hAnsi="Arial" w:cs="Arial"/>
          <w:szCs w:val="26"/>
        </w:rPr>
        <w:t>)</w:t>
      </w:r>
      <w:r w:rsidR="00BD0D4F" w:rsidRPr="0092670C">
        <w:rPr>
          <w:rFonts w:ascii="Arial" w:eastAsiaTheme="majorEastAsia" w:hAnsi="Arial" w:cs="Arial"/>
          <w:szCs w:val="26"/>
        </w:rPr>
        <w:t xml:space="preserve"> of the cell. </w:t>
      </w:r>
      <w:r w:rsidR="00F159A1" w:rsidRPr="0092670C">
        <w:rPr>
          <w:rFonts w:ascii="Arial" w:eastAsiaTheme="majorEastAsia" w:hAnsi="Arial" w:cs="Arial"/>
          <w:szCs w:val="26"/>
        </w:rPr>
        <w:t>A cell’s coulombic efficiency</w:t>
      </w:r>
      <w:r w:rsidR="007A2A74" w:rsidRPr="0092670C">
        <w:rPr>
          <w:rFonts w:ascii="Arial" w:eastAsiaTheme="majorEastAsia" w:hAnsi="Arial" w:cs="Arial"/>
          <w:szCs w:val="26"/>
        </w:rPr>
        <w:t xml:space="preserve"> is</w:t>
      </w:r>
      <w:r w:rsidR="00F159A1" w:rsidRPr="0092670C">
        <w:rPr>
          <w:rFonts w:ascii="Arial" w:eastAsiaTheme="majorEastAsia" w:hAnsi="Arial" w:cs="Arial"/>
          <w:szCs w:val="26"/>
        </w:rPr>
        <w:t xml:space="preserve"> typically </w:t>
      </w:r>
      <w:r w:rsidR="007A2A74" w:rsidRPr="0092670C">
        <w:rPr>
          <w:rFonts w:ascii="Arial" w:eastAsiaTheme="majorEastAsia" w:hAnsi="Arial" w:cs="Arial"/>
          <w:szCs w:val="26"/>
        </w:rPr>
        <w:t>&gt;99</w:t>
      </w:r>
      <w:r w:rsidR="0051185A">
        <w:rPr>
          <w:rFonts w:ascii="Arial" w:eastAsiaTheme="majorEastAsia" w:hAnsi="Arial" w:cs="Arial"/>
          <w:szCs w:val="26"/>
        </w:rPr>
        <w:t>.9</w:t>
      </w:r>
      <w:r w:rsidR="007A2A74" w:rsidRPr="0092670C">
        <w:rPr>
          <w:rFonts w:ascii="Arial" w:eastAsiaTheme="majorEastAsia" w:hAnsi="Arial" w:cs="Arial"/>
          <w:szCs w:val="26"/>
        </w:rPr>
        <w:t>%</w:t>
      </w:r>
      <w:r w:rsidR="0051185A">
        <w:rPr>
          <w:rFonts w:ascii="Arial" w:eastAsiaTheme="majorEastAsia" w:hAnsi="Arial" w:cs="Arial"/>
          <w:szCs w:val="26"/>
        </w:rPr>
        <w:t xml:space="preserve"> after the initial SEI formation</w:t>
      </w:r>
      <w:r w:rsidR="00AE051B" w:rsidRPr="0092670C">
        <w:rPr>
          <w:rFonts w:ascii="Arial" w:eastAsiaTheme="majorEastAsia" w:hAnsi="Arial" w:cs="Arial"/>
          <w:szCs w:val="26"/>
        </w:rPr>
        <w:t xml:space="preserve">. </w:t>
      </w:r>
      <w:r w:rsidR="00DD5A05" w:rsidRPr="0092670C">
        <w:rPr>
          <w:rFonts w:ascii="Arial" w:eastAsiaTheme="majorEastAsia" w:hAnsi="Arial" w:cs="Arial"/>
          <w:szCs w:val="26"/>
        </w:rPr>
        <w:t xml:space="preserve">When it is lower than this it typically means </w:t>
      </w:r>
      <w:r w:rsidR="00170EE6" w:rsidRPr="0092670C">
        <w:rPr>
          <w:rFonts w:ascii="Arial" w:eastAsiaTheme="majorEastAsia" w:hAnsi="Arial" w:cs="Arial"/>
          <w:szCs w:val="26"/>
        </w:rPr>
        <w:t xml:space="preserve">a parasitic reaction </w:t>
      </w:r>
      <w:r w:rsidR="0084583C" w:rsidRPr="0092670C">
        <w:rPr>
          <w:rFonts w:ascii="Arial" w:eastAsiaTheme="majorEastAsia" w:hAnsi="Arial" w:cs="Arial"/>
          <w:szCs w:val="26"/>
        </w:rPr>
        <w:t xml:space="preserve">is occurring in the cell. </w:t>
      </w:r>
      <w:r w:rsidR="00E8554F" w:rsidRPr="0092670C">
        <w:rPr>
          <w:rFonts w:ascii="Arial" w:eastAsiaTheme="majorEastAsia" w:hAnsi="Arial" w:cs="Arial"/>
          <w:szCs w:val="26"/>
        </w:rPr>
        <w:t>The most common</w:t>
      </w:r>
      <w:r w:rsidR="001D2622" w:rsidRPr="0092670C">
        <w:rPr>
          <w:rFonts w:ascii="Arial" w:eastAsiaTheme="majorEastAsia" w:hAnsi="Arial" w:cs="Arial"/>
          <w:szCs w:val="26"/>
        </w:rPr>
        <w:t xml:space="preserve"> of these is SEI formation</w:t>
      </w:r>
      <w:r>
        <w:rPr>
          <w:rFonts w:ascii="Arial" w:eastAsiaTheme="majorEastAsia" w:hAnsi="Arial" w:cs="Arial"/>
          <w:szCs w:val="26"/>
        </w:rPr>
        <w:t xml:space="preserve">, </w:t>
      </w:r>
      <w:bookmarkStart w:id="25" w:name="_Hlk83228799"/>
      <w:r>
        <w:rPr>
          <w:rFonts w:ascii="Arial" w:eastAsiaTheme="majorEastAsia" w:hAnsi="Arial" w:cs="Arial"/>
          <w:szCs w:val="26"/>
        </w:rPr>
        <w:t>although other reactions take place such as co-intercalation and current collector corrosion</w:t>
      </w:r>
      <w:r w:rsidR="001D2622" w:rsidRPr="0092670C">
        <w:rPr>
          <w:rFonts w:ascii="Arial" w:eastAsiaTheme="majorEastAsia" w:hAnsi="Arial" w:cs="Arial"/>
          <w:szCs w:val="26"/>
        </w:rPr>
        <w:t xml:space="preserve">. </w:t>
      </w:r>
      <w:r w:rsidR="00E8554F" w:rsidRPr="0092670C">
        <w:rPr>
          <w:rFonts w:ascii="Arial" w:eastAsiaTheme="majorEastAsia" w:hAnsi="Arial" w:cs="Arial"/>
          <w:szCs w:val="26"/>
        </w:rPr>
        <w:t xml:space="preserve"> </w:t>
      </w:r>
      <w:r w:rsidR="00170EE6" w:rsidRPr="0092670C">
        <w:rPr>
          <w:rFonts w:ascii="Arial" w:eastAsiaTheme="majorEastAsia" w:hAnsi="Arial" w:cs="Arial"/>
          <w:szCs w:val="26"/>
        </w:rPr>
        <w:t xml:space="preserve"> </w:t>
      </w:r>
      <w:bookmarkEnd w:id="25"/>
    </w:p>
    <w:p w14:paraId="4DDDD97B" w14:textId="6EBCC429" w:rsidR="00314B02" w:rsidRPr="0092670C" w:rsidRDefault="00C348CB" w:rsidP="00D702AD">
      <w:pPr>
        <w:keepNext/>
        <w:spacing w:before="400" w:line="360" w:lineRule="auto"/>
        <w:jc w:val="center"/>
        <w:rPr>
          <w:rFonts w:ascii="Arial" w:hAnsi="Arial" w:cs="Arial"/>
        </w:rPr>
      </w:pPr>
      <w:r w:rsidRPr="0092670C">
        <w:rPr>
          <w:rFonts w:ascii="Arial" w:eastAsiaTheme="majorEastAsia" w:hAnsi="Arial" w:cs="Arial"/>
          <w:szCs w:val="26"/>
        </w:rPr>
        <w:t>Coulombic effici</w:t>
      </w:r>
      <w:r w:rsidR="006A1430" w:rsidRPr="0092670C">
        <w:rPr>
          <w:rFonts w:ascii="Arial" w:eastAsiaTheme="majorEastAsia" w:hAnsi="Arial" w:cs="Arial"/>
          <w:szCs w:val="26"/>
        </w:rPr>
        <w:t xml:space="preserve">ency </w:t>
      </w:r>
      <m:oMath>
        <m:r>
          <w:rPr>
            <w:rFonts w:ascii="Cambria Math" w:eastAsiaTheme="majorEastAsia" w:hAnsi="Cambria Math" w:cs="Arial"/>
            <w:szCs w:val="26"/>
          </w:rPr>
          <m:t>=</m:t>
        </m:r>
        <m:f>
          <m:fPr>
            <m:ctrlPr>
              <w:rPr>
                <w:rFonts w:ascii="Cambria Math" w:eastAsiaTheme="majorEastAsia" w:hAnsi="Cambria Math" w:cs="Arial"/>
                <w:i/>
                <w:szCs w:val="26"/>
              </w:rPr>
            </m:ctrlPr>
          </m:fPr>
          <m:num>
            <m:sSub>
              <m:sSubPr>
                <m:ctrlPr>
                  <w:rPr>
                    <w:rFonts w:ascii="Cambria Math" w:eastAsiaTheme="majorEastAsia" w:hAnsi="Cambria Math" w:cs="Arial"/>
                    <w:i/>
                    <w:szCs w:val="26"/>
                  </w:rPr>
                </m:ctrlPr>
              </m:sSubPr>
              <m:e>
                <m:r>
                  <w:rPr>
                    <w:rFonts w:ascii="Cambria Math" w:eastAsiaTheme="majorEastAsia" w:hAnsi="Cambria Math" w:cs="Arial"/>
                    <w:szCs w:val="26"/>
                  </w:rPr>
                  <m:t>Q</m:t>
                </m:r>
              </m:e>
              <m:sub>
                <m:r>
                  <w:rPr>
                    <w:rFonts w:ascii="Cambria Math" w:eastAsiaTheme="majorEastAsia" w:hAnsi="Cambria Math" w:cs="Arial"/>
                    <w:szCs w:val="26"/>
                  </w:rPr>
                  <m:t>out</m:t>
                </m:r>
              </m:sub>
            </m:sSub>
          </m:num>
          <m:den>
            <m:sSub>
              <m:sSubPr>
                <m:ctrlPr>
                  <w:rPr>
                    <w:rFonts w:ascii="Cambria Math" w:eastAsiaTheme="majorEastAsia" w:hAnsi="Cambria Math" w:cs="Arial"/>
                    <w:i/>
                    <w:szCs w:val="26"/>
                  </w:rPr>
                </m:ctrlPr>
              </m:sSubPr>
              <m:e>
                <m:r>
                  <w:rPr>
                    <w:rFonts w:ascii="Cambria Math" w:eastAsiaTheme="majorEastAsia" w:hAnsi="Cambria Math" w:cs="Arial"/>
                    <w:szCs w:val="26"/>
                  </w:rPr>
                  <m:t>Q</m:t>
                </m:r>
              </m:e>
              <m:sub>
                <m:r>
                  <w:rPr>
                    <w:rFonts w:ascii="Cambria Math" w:eastAsiaTheme="majorEastAsia" w:hAnsi="Cambria Math" w:cs="Arial"/>
                    <w:szCs w:val="26"/>
                  </w:rPr>
                  <m:t>in</m:t>
                </m:r>
              </m:sub>
            </m:sSub>
          </m:den>
        </m:f>
        <m:r>
          <w:rPr>
            <w:rFonts w:ascii="Cambria Math" w:eastAsiaTheme="majorEastAsia" w:hAnsi="Cambria Math" w:cs="Arial"/>
            <w:szCs w:val="26"/>
          </w:rPr>
          <m:t>×100%</m:t>
        </m:r>
      </m:oMath>
    </w:p>
    <w:p w14:paraId="01164F97" w14:textId="4D4CA566" w:rsidR="00D116E5" w:rsidRPr="00B97230" w:rsidRDefault="00314B02" w:rsidP="00D702AD">
      <w:pPr>
        <w:pStyle w:val="Caption"/>
        <w:spacing w:after="400"/>
        <w:jc w:val="center"/>
        <w:rPr>
          <w:rFonts w:ascii="Arial" w:eastAsiaTheme="majorEastAsia" w:hAnsi="Arial" w:cs="Arial"/>
          <w:sz w:val="20"/>
          <w:szCs w:val="28"/>
        </w:rPr>
      </w:pPr>
      <w:bookmarkStart w:id="26" w:name="_Ref30022065"/>
      <w:r w:rsidRPr="00B97230">
        <w:rPr>
          <w:rFonts w:ascii="Arial" w:hAnsi="Arial" w:cs="Arial"/>
          <w:sz w:val="20"/>
          <w:szCs w:val="20"/>
        </w:rPr>
        <w:t xml:space="preserve">Equation </w:t>
      </w:r>
      <w:r w:rsidR="0059014F">
        <w:rPr>
          <w:rFonts w:ascii="Arial" w:hAnsi="Arial" w:cs="Arial"/>
          <w:sz w:val="20"/>
          <w:szCs w:val="20"/>
        </w:rPr>
        <w:fldChar w:fldCharType="begin"/>
      </w:r>
      <w:r w:rsidR="0059014F">
        <w:rPr>
          <w:rFonts w:ascii="Arial" w:hAnsi="Arial" w:cs="Arial"/>
          <w:sz w:val="20"/>
          <w:szCs w:val="20"/>
        </w:rPr>
        <w:instrText xml:space="preserve"> SEQ Equation \* ARABIC </w:instrText>
      </w:r>
      <w:r w:rsidR="0059014F">
        <w:rPr>
          <w:rFonts w:ascii="Arial" w:hAnsi="Arial" w:cs="Arial"/>
          <w:sz w:val="20"/>
          <w:szCs w:val="20"/>
        </w:rPr>
        <w:fldChar w:fldCharType="separate"/>
      </w:r>
      <w:r w:rsidR="0059014F">
        <w:rPr>
          <w:rFonts w:ascii="Arial" w:hAnsi="Arial" w:cs="Arial"/>
          <w:noProof/>
          <w:sz w:val="20"/>
          <w:szCs w:val="20"/>
        </w:rPr>
        <w:t>2</w:t>
      </w:r>
      <w:r w:rsidR="0059014F">
        <w:rPr>
          <w:rFonts w:ascii="Arial" w:hAnsi="Arial" w:cs="Arial"/>
          <w:sz w:val="20"/>
          <w:szCs w:val="20"/>
        </w:rPr>
        <w:fldChar w:fldCharType="end"/>
      </w:r>
      <w:bookmarkEnd w:id="26"/>
      <w:r w:rsidR="008B65C5" w:rsidRPr="00B97230">
        <w:rPr>
          <w:rFonts w:ascii="Arial" w:hAnsi="Arial" w:cs="Arial"/>
          <w:sz w:val="20"/>
          <w:szCs w:val="20"/>
        </w:rPr>
        <w:t>:</w:t>
      </w:r>
      <w:r w:rsidRPr="00B97230">
        <w:rPr>
          <w:rFonts w:ascii="Arial" w:hAnsi="Arial" w:cs="Arial"/>
          <w:sz w:val="20"/>
          <w:szCs w:val="20"/>
        </w:rPr>
        <w:t xml:space="preserve"> Coulombic efficiency</w:t>
      </w:r>
      <w:r w:rsidR="003B57A3" w:rsidRPr="00B97230">
        <w:rPr>
          <w:rFonts w:ascii="Arial" w:hAnsi="Arial" w:cs="Arial"/>
          <w:sz w:val="20"/>
          <w:szCs w:val="20"/>
        </w:rPr>
        <w:t>.</w:t>
      </w:r>
    </w:p>
    <w:p w14:paraId="0B061716" w14:textId="78D9D524" w:rsidR="00935C3F" w:rsidRPr="0092670C" w:rsidRDefault="00035FFB" w:rsidP="00FD735F">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The capacity retention </w:t>
      </w:r>
      <w:r w:rsidR="00BB5A6E" w:rsidRPr="0092670C">
        <w:rPr>
          <w:rFonts w:ascii="Arial" w:eastAsiaTheme="majorEastAsia" w:hAnsi="Arial" w:cs="Arial"/>
          <w:szCs w:val="26"/>
        </w:rPr>
        <w:t xml:space="preserve">of the cell </w:t>
      </w:r>
      <w:r w:rsidR="0000088D" w:rsidRPr="0092670C">
        <w:rPr>
          <w:rFonts w:ascii="Arial" w:eastAsiaTheme="majorEastAsia" w:hAnsi="Arial" w:cs="Arial"/>
          <w:szCs w:val="26"/>
        </w:rPr>
        <w:t>is a</w:t>
      </w:r>
      <w:r w:rsidR="001C1427" w:rsidRPr="0092670C">
        <w:rPr>
          <w:rFonts w:ascii="Arial" w:eastAsiaTheme="majorEastAsia" w:hAnsi="Arial" w:cs="Arial"/>
          <w:szCs w:val="26"/>
        </w:rPr>
        <w:t xml:space="preserve">lso important as a cell </w:t>
      </w:r>
      <w:r w:rsidR="001811E0" w:rsidRPr="0092670C">
        <w:rPr>
          <w:rFonts w:ascii="Arial" w:eastAsiaTheme="majorEastAsia" w:hAnsi="Arial" w:cs="Arial"/>
          <w:szCs w:val="26"/>
        </w:rPr>
        <w:t>loses ca</w:t>
      </w:r>
      <w:r w:rsidR="007324AF" w:rsidRPr="0092670C">
        <w:rPr>
          <w:rFonts w:ascii="Arial" w:eastAsiaTheme="majorEastAsia" w:hAnsi="Arial" w:cs="Arial"/>
          <w:szCs w:val="26"/>
        </w:rPr>
        <w:t>pacity over time</w:t>
      </w:r>
      <w:r w:rsidR="007A4497" w:rsidRPr="0092670C">
        <w:rPr>
          <w:rFonts w:ascii="Arial" w:eastAsiaTheme="majorEastAsia" w:hAnsi="Arial" w:cs="Arial"/>
          <w:szCs w:val="26"/>
        </w:rPr>
        <w:t xml:space="preserve"> and is described by</w:t>
      </w:r>
      <w:r w:rsidR="00AE4E8C" w:rsidRPr="0092670C">
        <w:rPr>
          <w:rFonts w:ascii="Arial" w:eastAsiaTheme="majorEastAsia" w:hAnsi="Arial" w:cs="Arial"/>
          <w:szCs w:val="26"/>
        </w:rPr>
        <w:t xml:space="preserve"> </w:t>
      </w:r>
      <w:r w:rsidR="00AE4E8C" w:rsidRPr="00075571">
        <w:rPr>
          <w:rFonts w:ascii="Arial" w:eastAsiaTheme="majorEastAsia" w:hAnsi="Arial" w:cs="Arial"/>
        </w:rPr>
        <w:fldChar w:fldCharType="begin"/>
      </w:r>
      <w:r w:rsidR="00AE4E8C" w:rsidRPr="00075571">
        <w:rPr>
          <w:rFonts w:ascii="Arial" w:eastAsiaTheme="majorEastAsia" w:hAnsi="Arial" w:cs="Arial"/>
        </w:rPr>
        <w:instrText xml:space="preserve"> REF _Ref30022132 \h </w:instrText>
      </w:r>
      <w:r w:rsidR="00075571">
        <w:rPr>
          <w:rFonts w:ascii="Arial" w:eastAsiaTheme="majorEastAsia" w:hAnsi="Arial" w:cs="Arial"/>
        </w:rPr>
        <w:instrText xml:space="preserve"> \* MERGEFORMAT </w:instrText>
      </w:r>
      <w:r w:rsidR="00AE4E8C" w:rsidRPr="00075571">
        <w:rPr>
          <w:rFonts w:ascii="Arial" w:eastAsiaTheme="majorEastAsia" w:hAnsi="Arial" w:cs="Arial"/>
        </w:rPr>
      </w:r>
      <w:r w:rsidR="00AE4E8C" w:rsidRPr="00075571">
        <w:rPr>
          <w:rFonts w:ascii="Arial" w:eastAsiaTheme="majorEastAsia" w:hAnsi="Arial" w:cs="Arial"/>
        </w:rPr>
        <w:fldChar w:fldCharType="separate"/>
      </w:r>
      <w:r w:rsidR="007342C8" w:rsidRPr="00075571">
        <w:rPr>
          <w:rFonts w:ascii="Arial" w:hAnsi="Arial" w:cs="Arial"/>
        </w:rPr>
        <w:t xml:space="preserve">Equation </w:t>
      </w:r>
      <w:r w:rsidR="007342C8" w:rsidRPr="00075571">
        <w:rPr>
          <w:rFonts w:ascii="Arial" w:hAnsi="Arial" w:cs="Arial"/>
          <w:noProof/>
        </w:rPr>
        <w:t>1</w:t>
      </w:r>
      <w:r w:rsidR="007342C8" w:rsidRPr="00075571">
        <w:rPr>
          <w:rFonts w:ascii="Arial" w:hAnsi="Arial" w:cs="Arial"/>
        </w:rPr>
        <w:noBreakHyphen/>
      </w:r>
      <w:r w:rsidR="007342C8" w:rsidRPr="00075571">
        <w:rPr>
          <w:rFonts w:ascii="Arial" w:hAnsi="Arial" w:cs="Arial"/>
          <w:noProof/>
        </w:rPr>
        <w:t>3</w:t>
      </w:r>
      <w:r w:rsidR="00AE4E8C" w:rsidRPr="00075571">
        <w:rPr>
          <w:rFonts w:ascii="Arial" w:eastAsiaTheme="majorEastAsia" w:hAnsi="Arial" w:cs="Arial"/>
        </w:rPr>
        <w:fldChar w:fldCharType="end"/>
      </w:r>
      <w:r w:rsidR="008723E5">
        <w:rPr>
          <w:rFonts w:ascii="Arial" w:eastAsiaTheme="majorEastAsia" w:hAnsi="Arial" w:cs="Arial"/>
          <w:szCs w:val="26"/>
        </w:rPr>
        <w:t xml:space="preserve"> </w:t>
      </w:r>
      <w:r w:rsidR="00B86793">
        <w:rPr>
          <w:rFonts w:ascii="Arial" w:eastAsiaTheme="majorEastAsia" w:hAnsi="Arial" w:cs="Arial"/>
          <w:szCs w:val="26"/>
        </w:rPr>
        <w:t xml:space="preserve">with i being the initial capacity and f being the final capacity </w:t>
      </w:r>
      <w:r w:rsidR="004F14E8" w:rsidRPr="0092670C">
        <w:rPr>
          <w:rFonts w:ascii="Arial" w:eastAsiaTheme="majorEastAsia" w:hAnsi="Arial" w:cs="Arial"/>
          <w:szCs w:val="26"/>
        </w:rPr>
        <w:t xml:space="preserve">. This </w:t>
      </w:r>
      <w:r w:rsidR="00D11D1B" w:rsidRPr="0092670C">
        <w:rPr>
          <w:rFonts w:ascii="Arial" w:eastAsiaTheme="majorEastAsia" w:hAnsi="Arial" w:cs="Arial"/>
          <w:szCs w:val="26"/>
        </w:rPr>
        <w:t xml:space="preserve">loss affects the useable life of the cell and so needs to be kept to a minimum. The </w:t>
      </w:r>
      <w:r w:rsidR="001127D3" w:rsidRPr="0092670C">
        <w:rPr>
          <w:rFonts w:ascii="Arial" w:eastAsiaTheme="majorEastAsia" w:hAnsi="Arial" w:cs="Arial"/>
          <w:szCs w:val="26"/>
        </w:rPr>
        <w:t>capacity re</w:t>
      </w:r>
      <w:r w:rsidR="00B90A7A" w:rsidRPr="0092670C">
        <w:rPr>
          <w:rFonts w:ascii="Arial" w:eastAsiaTheme="majorEastAsia" w:hAnsi="Arial" w:cs="Arial"/>
          <w:szCs w:val="26"/>
        </w:rPr>
        <w:t>tentio</w:t>
      </w:r>
      <w:r w:rsidR="00E86198" w:rsidRPr="0092670C">
        <w:rPr>
          <w:rFonts w:ascii="Arial" w:eastAsiaTheme="majorEastAsia" w:hAnsi="Arial" w:cs="Arial"/>
          <w:szCs w:val="26"/>
        </w:rPr>
        <w:t>n</w:t>
      </w:r>
      <w:r w:rsidR="004F67A8" w:rsidRPr="0092670C">
        <w:rPr>
          <w:rFonts w:ascii="Arial" w:eastAsiaTheme="majorEastAsia" w:hAnsi="Arial" w:cs="Arial"/>
          <w:szCs w:val="26"/>
        </w:rPr>
        <w:t xml:space="preserve"> </w:t>
      </w:r>
      <w:r w:rsidR="008A0D71" w:rsidRPr="0092670C">
        <w:rPr>
          <w:rFonts w:ascii="Arial" w:eastAsiaTheme="majorEastAsia" w:hAnsi="Arial" w:cs="Arial"/>
          <w:szCs w:val="26"/>
        </w:rPr>
        <w:t xml:space="preserve">is expressed as a percentage of the initial capacity of the cell. </w:t>
      </w:r>
      <w:r w:rsidR="00A65053" w:rsidRPr="0092670C">
        <w:rPr>
          <w:rFonts w:ascii="Arial" w:eastAsiaTheme="majorEastAsia" w:hAnsi="Arial" w:cs="Arial"/>
          <w:szCs w:val="26"/>
        </w:rPr>
        <w:t xml:space="preserve">Different applications have different </w:t>
      </w:r>
      <w:r w:rsidR="00E82B53" w:rsidRPr="0092670C">
        <w:rPr>
          <w:rFonts w:ascii="Arial" w:eastAsiaTheme="majorEastAsia" w:hAnsi="Arial" w:cs="Arial"/>
          <w:szCs w:val="26"/>
        </w:rPr>
        <w:t xml:space="preserve">limits </w:t>
      </w:r>
      <w:r w:rsidR="00F76BAF" w:rsidRPr="0092670C">
        <w:rPr>
          <w:rFonts w:ascii="Arial" w:eastAsiaTheme="majorEastAsia" w:hAnsi="Arial" w:cs="Arial"/>
          <w:szCs w:val="26"/>
        </w:rPr>
        <w:t xml:space="preserve">for the amount of capacity fade that a cell can </w:t>
      </w:r>
      <w:r w:rsidR="00A028D1" w:rsidRPr="0092670C">
        <w:rPr>
          <w:rFonts w:ascii="Arial" w:eastAsiaTheme="majorEastAsia" w:hAnsi="Arial" w:cs="Arial"/>
          <w:szCs w:val="26"/>
        </w:rPr>
        <w:t xml:space="preserve">have before it becomes unsuitable for the role. </w:t>
      </w:r>
      <w:r w:rsidR="001252C7" w:rsidRPr="0092670C">
        <w:rPr>
          <w:rFonts w:ascii="Arial" w:eastAsiaTheme="majorEastAsia" w:hAnsi="Arial" w:cs="Arial"/>
          <w:szCs w:val="26"/>
        </w:rPr>
        <w:t>In the a</w:t>
      </w:r>
      <w:r w:rsidR="00400F04" w:rsidRPr="0092670C">
        <w:rPr>
          <w:rFonts w:ascii="Arial" w:eastAsiaTheme="majorEastAsia" w:hAnsi="Arial" w:cs="Arial"/>
          <w:szCs w:val="26"/>
        </w:rPr>
        <w:t xml:space="preserve">utomotive </w:t>
      </w:r>
      <w:r w:rsidR="00E71551" w:rsidRPr="0092670C">
        <w:rPr>
          <w:rFonts w:ascii="Arial" w:eastAsiaTheme="majorEastAsia" w:hAnsi="Arial" w:cs="Arial"/>
          <w:szCs w:val="26"/>
        </w:rPr>
        <w:t>industry</w:t>
      </w:r>
      <w:r w:rsidR="004558B1" w:rsidRPr="0092670C">
        <w:rPr>
          <w:rFonts w:ascii="Arial" w:eastAsiaTheme="majorEastAsia" w:hAnsi="Arial" w:cs="Arial"/>
          <w:szCs w:val="26"/>
        </w:rPr>
        <w:t xml:space="preserve"> this value is typical 80% of the </w:t>
      </w:r>
      <w:r w:rsidR="00935C3F" w:rsidRPr="0092670C">
        <w:rPr>
          <w:rFonts w:ascii="Arial" w:eastAsiaTheme="majorEastAsia" w:hAnsi="Arial" w:cs="Arial"/>
          <w:szCs w:val="26"/>
        </w:rPr>
        <w:t>cell’s</w:t>
      </w:r>
      <w:r w:rsidR="004558B1" w:rsidRPr="0092670C">
        <w:rPr>
          <w:rFonts w:ascii="Arial" w:eastAsiaTheme="majorEastAsia" w:hAnsi="Arial" w:cs="Arial"/>
          <w:szCs w:val="26"/>
        </w:rPr>
        <w:t xml:space="preserve"> initial capacity</w:t>
      </w:r>
      <w:r w:rsidR="00DE0A16" w:rsidRPr="0092670C">
        <w:rPr>
          <w:rFonts w:ascii="Arial" w:eastAsiaTheme="majorEastAsia" w:hAnsi="Arial" w:cs="Arial"/>
          <w:szCs w:val="26"/>
        </w:rPr>
        <w:t xml:space="preserve"> </w:t>
      </w:r>
      <w:r w:rsidR="006756CE"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&lt;EndNote&gt;&lt;Cite&gt;&lt;Author&gt;Arcus&lt;/Author&gt;&lt;Year&gt;2016&lt;/Year&gt;&lt;RecNum&gt;732&lt;/RecNum&gt;&lt;DisplayText&gt;[31]&lt;/DisplayText&gt;&lt;record&gt;&lt;rec-number&gt;732&lt;/rec-number&gt;&lt;foreign-keys&gt;&lt;key app="EN" db-id="5sa9s0e0r0d9fnexra7pr5xdwd5ztevx95s2" timestamp="1593904152" guid="e6e763ff-c77d-4f66-addf-c0b847a90695"&gt;732&lt;/key&gt;&lt;/foreign-keys&gt;&lt;ref-type name="Web Page"&gt;12&lt;/ref-type&gt;&lt;contributors&gt;&lt;authors&gt;&lt;author&gt;Christopher Arcus &lt;/author&gt;&lt;/authors&gt;&lt;/contributors&gt;&lt;titles&gt;&lt;title&gt;Battery Lifetime: How Long Can Electric Vehicle Batteries Last?&lt;/title&gt;&lt;/titles&gt;&lt;volume&gt;2020&lt;/volume&gt;&lt;number&gt;21/01/20&lt;/number&gt;&lt;dates&gt;&lt;year&gt;2016&lt;/year&gt;&lt;/dates&gt;&lt;publisher&gt;CleanTechnica&lt;/publisher&gt;&lt;urls&gt;&lt;related-urls&gt;&lt;url&gt;https://cleantechnica.com/2016/05/31/battery-lifetime-long-can-electric-vehicle-batteries-last/&lt;/url&gt;&lt;/related-urls&gt;&lt;/urls&gt;&lt;/record&gt;&lt;/Cite&gt;&lt;/EndNote&gt;</w:instrText>
      </w:r>
      <w:r w:rsidR="006756CE" w:rsidRPr="0092670C">
        <w:rPr>
          <w:rFonts w:ascii="Arial" w:eastAsiaTheme="majorEastAsia" w:hAnsi="Arial" w:cs="Arial"/>
          <w:szCs w:val="26"/>
        </w:rPr>
        <w:fldChar w:fldCharType="separate"/>
      </w:r>
      <w:r w:rsidR="004F0EC3">
        <w:rPr>
          <w:rFonts w:ascii="Arial" w:eastAsiaTheme="majorEastAsia" w:hAnsi="Arial" w:cs="Arial"/>
          <w:noProof/>
          <w:szCs w:val="26"/>
        </w:rPr>
        <w:t>[31]</w:t>
      </w:r>
      <w:r w:rsidR="006756CE" w:rsidRPr="0092670C">
        <w:rPr>
          <w:rFonts w:ascii="Arial" w:eastAsiaTheme="majorEastAsia" w:hAnsi="Arial" w:cs="Arial"/>
          <w:szCs w:val="26"/>
        </w:rPr>
        <w:fldChar w:fldCharType="end"/>
      </w:r>
      <w:r w:rsidR="00C92F37" w:rsidRPr="0092670C">
        <w:rPr>
          <w:rFonts w:ascii="Arial" w:eastAsiaTheme="majorEastAsia" w:hAnsi="Arial" w:cs="Arial"/>
          <w:szCs w:val="26"/>
        </w:rPr>
        <w:t>.</w:t>
      </w:r>
      <w:r w:rsidR="00513644" w:rsidRPr="0092670C">
        <w:rPr>
          <w:rFonts w:ascii="Arial" w:eastAsiaTheme="majorEastAsia" w:hAnsi="Arial" w:cs="Arial"/>
          <w:szCs w:val="26"/>
        </w:rPr>
        <w:t xml:space="preserve"> </w:t>
      </w:r>
      <w:r w:rsidR="00A16A42" w:rsidRPr="0092670C">
        <w:rPr>
          <w:rFonts w:ascii="Arial" w:eastAsiaTheme="majorEastAsia" w:hAnsi="Arial" w:cs="Arial"/>
          <w:szCs w:val="26"/>
        </w:rPr>
        <w:t xml:space="preserve">The capacity retention can be plotted </w:t>
      </w:r>
      <w:r w:rsidR="00065FF4" w:rsidRPr="0092670C">
        <w:rPr>
          <w:rFonts w:ascii="Arial" w:eastAsiaTheme="majorEastAsia" w:hAnsi="Arial" w:cs="Arial"/>
          <w:szCs w:val="26"/>
        </w:rPr>
        <w:t>a</w:t>
      </w:r>
      <w:r w:rsidR="00E558AC" w:rsidRPr="0092670C">
        <w:rPr>
          <w:rFonts w:ascii="Arial" w:eastAsiaTheme="majorEastAsia" w:hAnsi="Arial" w:cs="Arial"/>
          <w:szCs w:val="26"/>
        </w:rPr>
        <w:t>gainst cycle number</w:t>
      </w:r>
      <w:r w:rsidR="00126438" w:rsidRPr="0092670C">
        <w:rPr>
          <w:rFonts w:ascii="Arial" w:eastAsiaTheme="majorEastAsia" w:hAnsi="Arial" w:cs="Arial"/>
          <w:szCs w:val="26"/>
        </w:rPr>
        <w:t xml:space="preserve"> </w:t>
      </w:r>
      <w:r w:rsidR="0069446C" w:rsidRPr="0092670C">
        <w:rPr>
          <w:rFonts w:ascii="Arial" w:eastAsiaTheme="majorEastAsia" w:hAnsi="Arial" w:cs="Arial"/>
          <w:szCs w:val="26"/>
        </w:rPr>
        <w:t>and th</w:t>
      </w:r>
      <w:r w:rsidR="007D7C33" w:rsidRPr="0092670C">
        <w:rPr>
          <w:rFonts w:ascii="Arial" w:eastAsiaTheme="majorEastAsia" w:hAnsi="Arial" w:cs="Arial"/>
          <w:szCs w:val="26"/>
        </w:rPr>
        <w:t>is is useful when comparing different cell chemistries</w:t>
      </w:r>
      <w:r w:rsidR="00FE5B27" w:rsidRPr="0092670C">
        <w:rPr>
          <w:rFonts w:ascii="Arial" w:eastAsiaTheme="majorEastAsia" w:hAnsi="Arial" w:cs="Arial"/>
          <w:szCs w:val="26"/>
        </w:rPr>
        <w:t xml:space="preserve"> </w:t>
      </w:r>
      <w:r w:rsidR="00B73C27" w:rsidRPr="0092670C">
        <w:rPr>
          <w:rFonts w:ascii="Arial" w:eastAsiaTheme="majorEastAsia" w:hAnsi="Arial" w:cs="Arial"/>
          <w:szCs w:val="26"/>
        </w:rPr>
        <w:fldChar w:fldCharType="begin"/>
      </w:r>
      <w:r w:rsidR="004F0EC3">
        <w:rPr>
          <w:rFonts w:ascii="Arial" w:eastAsiaTheme="majorEastAsia" w:hAnsi="Arial" w:cs="Arial"/>
          <w:szCs w:val="26"/>
        </w:rPr>
        <w:instrText xml:space="preserve"> ADDIN EN.CITE &lt;EndNote&gt;&lt;Cite&gt;&lt;Author&gt;Wu&lt;/Author&gt;&lt;Year&gt;2017&lt;/Year&gt;&lt;RecNum&gt;733&lt;/RecNum&gt;&lt;DisplayText&gt;[32]&lt;/DisplayText&gt;&lt;record&gt;&lt;rec-number&gt;733&lt;/rec-number&gt;&lt;foreign-keys&gt;&lt;key app="EN" db-id="5sa9s0e0r0d9fnexra7pr5xdwd5ztevx95s2" timestamp="1593904152" guid="021880cf-0fe1-4121-b13b-fda110aac6d3"&gt;733&lt;/key&gt;&lt;/foreign-keys&gt;&lt;ref-type name="Journal Article"&gt;17&lt;/ref-type&gt;&lt;contributors&gt;&lt;authors&gt;&lt;author&gt;Wu, Feng&lt;/author&gt;&lt;author&gt;Xue, Qing&lt;/author&gt;&lt;author&gt;Li, Li&lt;/author&gt;&lt;author&gt;Zhang, Xiaoxiao&lt;/author&gt;&lt;author&gt;Huang, Yongxin&lt;/author&gt;&lt;author&gt;Fan, Ersha&lt;/author&gt;&lt;author&gt;Chen, Renjie&lt;/author&gt;&lt;/authors&gt;&lt;/contributors&gt;&lt;titles&gt;&lt;title&gt;The positive role of (NH4)3AlF6 coating on Li[Li0.2Ni0.2Mn0.6]O2 oxide as the cathode material for lithium-ion batteries&lt;/title&gt;&lt;secondary-title&gt;RSC Advances&lt;/secondary-title&gt;&lt;/titles&gt;&lt;periodical&gt;&lt;full-title&gt;RSC Advances&lt;/full-title&gt;&lt;/periodical&gt;&lt;pages&gt;1191-1199&lt;/pages&gt;&lt;volume&gt;7&lt;/volume&gt;&lt;number&gt;2&lt;/number&gt;&lt;dates&gt;&lt;year&gt;2017&lt;/year&gt;&lt;/dates&gt;&lt;publisher&gt;Royal Society of Chemistry (RSC)&lt;/publisher&gt;&lt;isbn&gt;2046-2069&lt;/isbn&gt;&lt;urls&gt;&lt;related-urls&gt;&lt;url&gt;https://dx.doi.org/10.1039/C6RA24947G&lt;/url&gt;&lt;/related-urls&gt;&lt;/urls&gt;&lt;electronic-resource-num&gt;10.1039/c6ra24947g&lt;/electronic-resource-num&gt;&lt;/record&gt;&lt;/Cite&gt;&lt;/EndNote&gt;</w:instrText>
      </w:r>
      <w:r w:rsidR="00B73C27" w:rsidRPr="0092670C">
        <w:rPr>
          <w:rFonts w:ascii="Arial" w:eastAsiaTheme="majorEastAsia" w:hAnsi="Arial" w:cs="Arial"/>
          <w:szCs w:val="26"/>
        </w:rPr>
        <w:fldChar w:fldCharType="separate"/>
      </w:r>
      <w:r w:rsidR="004F0EC3">
        <w:rPr>
          <w:rFonts w:ascii="Arial" w:eastAsiaTheme="majorEastAsia" w:hAnsi="Arial" w:cs="Arial"/>
          <w:noProof/>
          <w:szCs w:val="26"/>
        </w:rPr>
        <w:t>[32]</w:t>
      </w:r>
      <w:r w:rsidR="00B73C27" w:rsidRPr="0092670C">
        <w:rPr>
          <w:rFonts w:ascii="Arial" w:eastAsiaTheme="majorEastAsia" w:hAnsi="Arial" w:cs="Arial"/>
          <w:szCs w:val="26"/>
        </w:rPr>
        <w:fldChar w:fldCharType="end"/>
      </w:r>
      <w:r w:rsidR="007D7C33" w:rsidRPr="0092670C">
        <w:rPr>
          <w:rFonts w:ascii="Arial" w:eastAsiaTheme="majorEastAsia" w:hAnsi="Arial" w:cs="Arial"/>
          <w:szCs w:val="26"/>
        </w:rPr>
        <w:t>.</w:t>
      </w:r>
      <w:r w:rsidR="00C82873" w:rsidRPr="0092670C">
        <w:rPr>
          <w:rFonts w:ascii="Arial" w:eastAsiaTheme="majorEastAsia" w:hAnsi="Arial" w:cs="Arial"/>
          <w:szCs w:val="26"/>
        </w:rPr>
        <w:t xml:space="preserve"> </w:t>
      </w:r>
    </w:p>
    <w:p w14:paraId="5BD7A00D" w14:textId="46526C2C" w:rsidR="00562466" w:rsidRPr="0092670C" w:rsidRDefault="00935C3F" w:rsidP="00D702AD">
      <w:pPr>
        <w:keepNext/>
        <w:spacing w:before="400" w:line="360" w:lineRule="auto"/>
        <w:jc w:val="center"/>
        <w:rPr>
          <w:rFonts w:ascii="Arial" w:hAnsi="Arial" w:cs="Arial"/>
        </w:rPr>
      </w:pPr>
      <m:oMathPara>
        <m:oMath>
          <m:r>
            <w:rPr>
              <w:rFonts w:ascii="Cambria Math" w:eastAsiaTheme="majorEastAsia" w:hAnsi="Cambria Math" w:cs="Arial"/>
              <w:szCs w:val="26"/>
            </w:rPr>
            <m:t>Capacity retention=</m:t>
          </m:r>
          <m:f>
            <m:fPr>
              <m:ctrlPr>
                <w:rPr>
                  <w:rFonts w:ascii="Cambria Math" w:eastAsiaTheme="majorEastAsia" w:hAnsi="Cambria Math" w:cs="Arial"/>
                  <w:i/>
                  <w:szCs w:val="26"/>
                </w:rPr>
              </m:ctrlPr>
            </m:fPr>
            <m:num>
              <m:sSub>
                <m:sSubPr>
                  <m:ctrlPr>
                    <w:rPr>
                      <w:rFonts w:ascii="Cambria Math" w:eastAsiaTheme="majorEastAsia" w:hAnsi="Cambria Math" w:cs="Arial"/>
                      <w:i/>
                      <w:szCs w:val="26"/>
                    </w:rPr>
                  </m:ctrlPr>
                </m:sSubPr>
                <m:e>
                  <m:r>
                    <w:rPr>
                      <w:rFonts w:ascii="Cambria Math" w:eastAsiaTheme="majorEastAsia" w:hAnsi="Cambria Math" w:cs="Arial"/>
                      <w:szCs w:val="26"/>
                    </w:rPr>
                    <m:t>capacity</m:t>
                  </m:r>
                </m:e>
                <m:sub>
                  <m:r>
                    <w:rPr>
                      <w:rFonts w:ascii="Cambria Math" w:eastAsiaTheme="majorEastAsia" w:hAnsi="Cambria Math" w:cs="Arial"/>
                      <w:szCs w:val="26"/>
                    </w:rPr>
                    <m:t>f</m:t>
                  </m:r>
                </m:sub>
              </m:sSub>
              <m:r>
                <w:rPr>
                  <w:rFonts w:ascii="Cambria Math" w:eastAsiaTheme="majorEastAsia" w:hAnsi="Cambria Math" w:cs="Arial"/>
                  <w:szCs w:val="26"/>
                </w:rPr>
                <m:t>-</m:t>
              </m:r>
              <m:sSub>
                <m:sSubPr>
                  <m:ctrlPr>
                    <w:rPr>
                      <w:rFonts w:ascii="Cambria Math" w:eastAsiaTheme="majorEastAsia" w:hAnsi="Cambria Math" w:cs="Arial"/>
                      <w:i/>
                      <w:szCs w:val="26"/>
                    </w:rPr>
                  </m:ctrlPr>
                </m:sSubPr>
                <m:e>
                  <m:r>
                    <w:rPr>
                      <w:rFonts w:ascii="Cambria Math" w:eastAsiaTheme="majorEastAsia" w:hAnsi="Cambria Math" w:cs="Arial"/>
                      <w:szCs w:val="26"/>
                    </w:rPr>
                    <m:t>capacity</m:t>
                  </m:r>
                </m:e>
                <m:sub>
                  <m:r>
                    <w:rPr>
                      <w:rFonts w:ascii="Cambria Math" w:eastAsiaTheme="majorEastAsia" w:hAnsi="Cambria Math" w:cs="Arial"/>
                      <w:szCs w:val="26"/>
                    </w:rPr>
                    <m:t>i</m:t>
                  </m:r>
                </m:sub>
              </m:sSub>
            </m:num>
            <m:den>
              <m:sSub>
                <m:sSubPr>
                  <m:ctrlPr>
                    <w:rPr>
                      <w:rFonts w:ascii="Cambria Math" w:eastAsiaTheme="majorEastAsia" w:hAnsi="Cambria Math" w:cs="Arial"/>
                      <w:i/>
                      <w:szCs w:val="26"/>
                    </w:rPr>
                  </m:ctrlPr>
                </m:sSubPr>
                <m:e>
                  <m:r>
                    <w:rPr>
                      <w:rFonts w:ascii="Cambria Math" w:eastAsiaTheme="majorEastAsia" w:hAnsi="Cambria Math" w:cs="Arial"/>
                      <w:szCs w:val="26"/>
                    </w:rPr>
                    <m:t>capacity</m:t>
                  </m:r>
                </m:e>
                <m:sub>
                  <m:r>
                    <w:rPr>
                      <w:rFonts w:ascii="Cambria Math" w:eastAsiaTheme="majorEastAsia" w:hAnsi="Cambria Math" w:cs="Arial"/>
                      <w:szCs w:val="26"/>
                    </w:rPr>
                    <m:t>i</m:t>
                  </m:r>
                </m:sub>
              </m:sSub>
            </m:den>
          </m:f>
          <m:r>
            <w:rPr>
              <w:rFonts w:ascii="Cambria Math" w:eastAsiaTheme="majorEastAsia" w:hAnsi="Cambria Math" w:cs="Arial"/>
              <w:szCs w:val="26"/>
            </w:rPr>
            <m:t>×100%</m:t>
          </m:r>
        </m:oMath>
      </m:oMathPara>
    </w:p>
    <w:p w14:paraId="7572A47F" w14:textId="0265A5F6" w:rsidR="00FD735F" w:rsidRPr="00035C06" w:rsidRDefault="00562466" w:rsidP="00D702AD">
      <w:pPr>
        <w:pStyle w:val="Caption"/>
        <w:spacing w:after="400"/>
        <w:jc w:val="center"/>
        <w:rPr>
          <w:rFonts w:ascii="Arial" w:eastAsiaTheme="majorEastAsia" w:hAnsi="Arial" w:cs="Arial"/>
          <w:sz w:val="20"/>
          <w:szCs w:val="28"/>
        </w:rPr>
      </w:pPr>
      <w:bookmarkStart w:id="27" w:name="_Ref30022132"/>
      <w:r w:rsidRPr="00B97230">
        <w:rPr>
          <w:rFonts w:ascii="Arial" w:hAnsi="Arial" w:cs="Arial"/>
          <w:sz w:val="20"/>
          <w:szCs w:val="20"/>
        </w:rPr>
        <w:t xml:space="preserve">Equation </w:t>
      </w:r>
      <w:r w:rsidR="0059014F">
        <w:rPr>
          <w:rFonts w:ascii="Arial" w:hAnsi="Arial" w:cs="Arial"/>
          <w:sz w:val="20"/>
          <w:szCs w:val="20"/>
        </w:rPr>
        <w:fldChar w:fldCharType="begin"/>
      </w:r>
      <w:r w:rsidR="0059014F">
        <w:rPr>
          <w:rFonts w:ascii="Arial" w:hAnsi="Arial" w:cs="Arial"/>
          <w:sz w:val="20"/>
          <w:szCs w:val="20"/>
        </w:rPr>
        <w:instrText xml:space="preserve"> SEQ Equation \* ARABIC </w:instrText>
      </w:r>
      <w:r w:rsidR="0059014F">
        <w:rPr>
          <w:rFonts w:ascii="Arial" w:hAnsi="Arial" w:cs="Arial"/>
          <w:sz w:val="20"/>
          <w:szCs w:val="20"/>
        </w:rPr>
        <w:fldChar w:fldCharType="separate"/>
      </w:r>
      <w:r w:rsidR="0059014F">
        <w:rPr>
          <w:rFonts w:ascii="Arial" w:hAnsi="Arial" w:cs="Arial"/>
          <w:noProof/>
          <w:sz w:val="20"/>
          <w:szCs w:val="20"/>
        </w:rPr>
        <w:t>3</w:t>
      </w:r>
      <w:r w:rsidR="0059014F">
        <w:rPr>
          <w:rFonts w:ascii="Arial" w:hAnsi="Arial" w:cs="Arial"/>
          <w:sz w:val="20"/>
          <w:szCs w:val="20"/>
        </w:rPr>
        <w:fldChar w:fldCharType="end"/>
      </w:r>
      <w:bookmarkEnd w:id="27"/>
      <w:r w:rsidRPr="00B97230">
        <w:rPr>
          <w:rFonts w:ascii="Arial" w:hAnsi="Arial" w:cs="Arial"/>
          <w:sz w:val="20"/>
          <w:szCs w:val="20"/>
        </w:rPr>
        <w:t>: Calculation for capacity retention of a cell</w:t>
      </w:r>
      <w:r w:rsidR="003B57A3" w:rsidRPr="00B97230">
        <w:rPr>
          <w:rFonts w:ascii="Arial" w:hAnsi="Arial" w:cs="Arial"/>
          <w:sz w:val="20"/>
          <w:szCs w:val="20"/>
        </w:rPr>
        <w:t>.</w:t>
      </w:r>
      <w:r w:rsidR="00035C06">
        <w:rPr>
          <w:rFonts w:ascii="Arial" w:hAnsi="Arial" w:cs="Arial"/>
          <w:sz w:val="20"/>
          <w:szCs w:val="20"/>
        </w:rPr>
        <w:t xml:space="preserve"> Capacity</w:t>
      </w:r>
      <w:r w:rsidR="00035C06">
        <w:rPr>
          <w:rFonts w:ascii="Arial" w:hAnsi="Arial" w:cs="Arial"/>
          <w:sz w:val="20"/>
          <w:szCs w:val="20"/>
          <w:vertAlign w:val="subscript"/>
        </w:rPr>
        <w:t xml:space="preserve">f </w:t>
      </w:r>
      <w:r w:rsidR="00035C06">
        <w:rPr>
          <w:rFonts w:ascii="Arial" w:hAnsi="Arial" w:cs="Arial"/>
          <w:sz w:val="20"/>
          <w:szCs w:val="20"/>
        </w:rPr>
        <w:t>is the final capacity and capacity</w:t>
      </w:r>
      <w:r w:rsidR="00035C06">
        <w:rPr>
          <w:rFonts w:ascii="Arial" w:hAnsi="Arial" w:cs="Arial"/>
          <w:sz w:val="20"/>
          <w:szCs w:val="20"/>
          <w:vertAlign w:val="subscript"/>
        </w:rPr>
        <w:t>i</w:t>
      </w:r>
      <w:r w:rsidR="00035C06">
        <w:rPr>
          <w:rFonts w:ascii="Arial" w:hAnsi="Arial" w:cs="Arial"/>
          <w:sz w:val="20"/>
          <w:szCs w:val="20"/>
        </w:rPr>
        <w:t xml:space="preserve"> is the initial capacity</w:t>
      </w:r>
    </w:p>
    <w:p w14:paraId="3B646EF9" w14:textId="66691757" w:rsidR="007E4761" w:rsidRPr="0092670C" w:rsidRDefault="007E4761" w:rsidP="007E4761">
      <w:pPr>
        <w:spacing w:line="360" w:lineRule="auto"/>
        <w:jc w:val="both"/>
        <w:rPr>
          <w:rFonts w:ascii="Arial" w:eastAsiaTheme="majorEastAsia" w:hAnsi="Arial" w:cs="Arial"/>
          <w:szCs w:val="26"/>
        </w:rPr>
      </w:pPr>
      <w:r w:rsidRPr="0092670C">
        <w:rPr>
          <w:rFonts w:ascii="Arial" w:eastAsiaTheme="majorEastAsia" w:hAnsi="Arial" w:cs="Arial"/>
          <w:szCs w:val="26"/>
        </w:rPr>
        <w:t xml:space="preserve">To </w:t>
      </w:r>
      <w:r w:rsidR="00547BC4" w:rsidRPr="0092670C">
        <w:rPr>
          <w:rFonts w:ascii="Arial" w:eastAsiaTheme="majorEastAsia" w:hAnsi="Arial" w:cs="Arial"/>
          <w:szCs w:val="26"/>
        </w:rPr>
        <w:t>understand</w:t>
      </w:r>
      <w:r w:rsidR="00FA1068" w:rsidRPr="0092670C">
        <w:rPr>
          <w:rFonts w:ascii="Arial" w:eastAsiaTheme="majorEastAsia" w:hAnsi="Arial" w:cs="Arial"/>
          <w:szCs w:val="26"/>
        </w:rPr>
        <w:t xml:space="preserve"> cell </w:t>
      </w:r>
      <w:r w:rsidR="00547BC4" w:rsidRPr="0092670C">
        <w:rPr>
          <w:rFonts w:ascii="Arial" w:eastAsiaTheme="majorEastAsia" w:hAnsi="Arial" w:cs="Arial"/>
          <w:szCs w:val="26"/>
        </w:rPr>
        <w:t>cycling and the associated terminology please refer to</w:t>
      </w:r>
      <w:r w:rsidR="00223B9C" w:rsidRPr="0092670C">
        <w:rPr>
          <w:rFonts w:ascii="Arial" w:eastAsiaTheme="majorEastAsia" w:hAnsi="Arial" w:cs="Arial"/>
          <w:szCs w:val="26"/>
        </w:rPr>
        <w:t xml:space="preserve"> </w:t>
      </w:r>
      <w:r w:rsidR="00FE332F" w:rsidRPr="0092670C">
        <w:rPr>
          <w:rFonts w:ascii="Arial" w:eastAsiaTheme="majorEastAsia" w:hAnsi="Arial" w:cs="Arial"/>
          <w:szCs w:val="26"/>
        </w:rPr>
        <w:t>S</w:t>
      </w:r>
      <w:r w:rsidR="00223B9C" w:rsidRPr="0092670C">
        <w:rPr>
          <w:rFonts w:ascii="Arial" w:eastAsiaTheme="majorEastAsia" w:hAnsi="Arial" w:cs="Arial"/>
          <w:szCs w:val="26"/>
        </w:rPr>
        <w:t>ection</w:t>
      </w:r>
      <w:r w:rsidR="00547BC4" w:rsidRPr="0092670C">
        <w:rPr>
          <w:rFonts w:ascii="Arial" w:eastAsiaTheme="majorEastAsia" w:hAnsi="Arial" w:cs="Arial"/>
          <w:szCs w:val="26"/>
        </w:rPr>
        <w:t xml:space="preserve"> </w:t>
      </w:r>
      <w:r w:rsidR="00223B9C" w:rsidRPr="0092670C">
        <w:rPr>
          <w:rFonts w:ascii="Arial" w:eastAsiaTheme="majorEastAsia" w:hAnsi="Arial" w:cs="Arial"/>
          <w:szCs w:val="26"/>
        </w:rPr>
        <w:fldChar w:fldCharType="begin"/>
      </w:r>
      <w:r w:rsidR="00223B9C" w:rsidRPr="0092670C">
        <w:rPr>
          <w:rFonts w:ascii="Arial" w:eastAsiaTheme="majorEastAsia" w:hAnsi="Arial" w:cs="Arial"/>
          <w:szCs w:val="26"/>
        </w:rPr>
        <w:instrText xml:space="preserve"> REF _Ref26822183 \w \h </w:instrText>
      </w:r>
      <w:r w:rsidR="00223B9C" w:rsidRPr="0092670C">
        <w:rPr>
          <w:rFonts w:ascii="Arial" w:eastAsiaTheme="majorEastAsia" w:hAnsi="Arial" w:cs="Arial"/>
          <w:szCs w:val="26"/>
        </w:rPr>
      </w:r>
      <w:r w:rsidR="00223B9C" w:rsidRPr="0092670C">
        <w:rPr>
          <w:rFonts w:ascii="Arial" w:eastAsiaTheme="majorEastAsia" w:hAnsi="Arial" w:cs="Arial"/>
          <w:szCs w:val="26"/>
        </w:rPr>
        <w:fldChar w:fldCharType="separate"/>
      </w:r>
      <w:r w:rsidR="007342C8">
        <w:rPr>
          <w:rFonts w:ascii="Arial" w:eastAsiaTheme="majorEastAsia" w:hAnsi="Arial" w:cs="Arial"/>
          <w:szCs w:val="26"/>
        </w:rPr>
        <w:t>2.3</w:t>
      </w:r>
      <w:r w:rsidR="00223B9C" w:rsidRPr="0092670C">
        <w:rPr>
          <w:rFonts w:ascii="Arial" w:eastAsiaTheme="majorEastAsia" w:hAnsi="Arial" w:cs="Arial"/>
          <w:szCs w:val="26"/>
        </w:rPr>
        <w:fldChar w:fldCharType="end"/>
      </w:r>
      <w:r w:rsidR="00223B9C" w:rsidRPr="0092670C">
        <w:rPr>
          <w:rFonts w:ascii="Arial" w:eastAsiaTheme="majorEastAsia" w:hAnsi="Arial" w:cs="Arial"/>
          <w:szCs w:val="26"/>
        </w:rPr>
        <w:t xml:space="preserve"> </w:t>
      </w:r>
      <w:r w:rsidR="00223B9C" w:rsidRPr="0092670C">
        <w:rPr>
          <w:rFonts w:ascii="Arial" w:eastAsiaTheme="majorEastAsia" w:hAnsi="Arial" w:cs="Arial"/>
          <w:szCs w:val="26"/>
        </w:rPr>
        <w:fldChar w:fldCharType="begin"/>
      </w:r>
      <w:r w:rsidR="00223B9C" w:rsidRPr="0092670C">
        <w:rPr>
          <w:rFonts w:ascii="Arial" w:eastAsiaTheme="majorEastAsia" w:hAnsi="Arial" w:cs="Arial"/>
          <w:szCs w:val="26"/>
        </w:rPr>
        <w:instrText xml:space="preserve"> REF _Ref26822191 \h </w:instrText>
      </w:r>
      <w:r w:rsidR="00223B9C" w:rsidRPr="0092670C">
        <w:rPr>
          <w:rFonts w:ascii="Arial" w:eastAsiaTheme="majorEastAsia" w:hAnsi="Arial" w:cs="Arial"/>
          <w:szCs w:val="26"/>
        </w:rPr>
      </w:r>
      <w:r w:rsidR="00223B9C" w:rsidRPr="0092670C">
        <w:rPr>
          <w:rFonts w:ascii="Arial" w:eastAsiaTheme="majorEastAsia" w:hAnsi="Arial" w:cs="Arial"/>
          <w:szCs w:val="26"/>
        </w:rPr>
        <w:fldChar w:fldCharType="separate"/>
      </w:r>
      <w:r w:rsidR="007342C8" w:rsidRPr="0092670C">
        <w:rPr>
          <w:rFonts w:ascii="Arial" w:eastAsia="Calibri" w:hAnsi="Arial" w:cs="Arial"/>
        </w:rPr>
        <w:t>Cell Cycling (Chronopotentiometry)</w:t>
      </w:r>
      <w:r w:rsidR="00223B9C" w:rsidRPr="0092670C">
        <w:rPr>
          <w:rFonts w:ascii="Arial" w:eastAsiaTheme="majorEastAsia" w:hAnsi="Arial" w:cs="Arial"/>
          <w:szCs w:val="26"/>
        </w:rPr>
        <w:fldChar w:fldCharType="end"/>
      </w:r>
      <w:r w:rsidR="00223B9C" w:rsidRPr="0092670C">
        <w:rPr>
          <w:rFonts w:ascii="Arial" w:eastAsiaTheme="majorEastAsia" w:hAnsi="Arial" w:cs="Arial"/>
          <w:szCs w:val="26"/>
        </w:rPr>
        <w:t>.</w:t>
      </w:r>
      <w:r w:rsidR="00C04259" w:rsidRPr="0092670C">
        <w:rPr>
          <w:rFonts w:ascii="Arial" w:eastAsiaTheme="majorEastAsia" w:hAnsi="Arial" w:cs="Arial"/>
          <w:szCs w:val="26"/>
        </w:rPr>
        <w:t xml:space="preserve"> This should give a</w:t>
      </w:r>
      <w:r w:rsidR="003C370A" w:rsidRPr="0092670C">
        <w:rPr>
          <w:rFonts w:ascii="Arial" w:eastAsiaTheme="majorEastAsia" w:hAnsi="Arial" w:cs="Arial"/>
          <w:szCs w:val="26"/>
        </w:rPr>
        <w:t>n o</w:t>
      </w:r>
      <w:r w:rsidR="004A65BD" w:rsidRPr="0092670C">
        <w:rPr>
          <w:rFonts w:ascii="Arial" w:eastAsiaTheme="majorEastAsia" w:hAnsi="Arial" w:cs="Arial"/>
          <w:szCs w:val="26"/>
        </w:rPr>
        <w:t>verview of the</w:t>
      </w:r>
      <w:r w:rsidR="0033573E" w:rsidRPr="0092670C">
        <w:rPr>
          <w:rFonts w:ascii="Arial" w:eastAsiaTheme="majorEastAsia" w:hAnsi="Arial" w:cs="Arial"/>
          <w:szCs w:val="26"/>
        </w:rPr>
        <w:t xml:space="preserve"> electrochemical</w:t>
      </w:r>
      <w:r w:rsidR="004A65BD" w:rsidRPr="0092670C">
        <w:rPr>
          <w:rFonts w:ascii="Arial" w:eastAsiaTheme="majorEastAsia" w:hAnsi="Arial" w:cs="Arial"/>
          <w:szCs w:val="26"/>
        </w:rPr>
        <w:t xml:space="preserve"> </w:t>
      </w:r>
      <w:r w:rsidR="00DB68B4" w:rsidRPr="0092670C">
        <w:rPr>
          <w:rFonts w:ascii="Arial" w:eastAsiaTheme="majorEastAsia" w:hAnsi="Arial" w:cs="Arial"/>
          <w:szCs w:val="26"/>
        </w:rPr>
        <w:t xml:space="preserve">terms used throughout this thesis. </w:t>
      </w:r>
    </w:p>
    <w:p w14:paraId="3319514E" w14:textId="0CAEB74E" w:rsidR="003E14AA" w:rsidRPr="0092670C" w:rsidRDefault="000D1EDD" w:rsidP="00EC5323">
      <w:pPr>
        <w:pStyle w:val="Heading2"/>
        <w:rPr>
          <w:rFonts w:ascii="Arial" w:hAnsi="Arial" w:cs="Arial"/>
        </w:rPr>
      </w:pPr>
      <w:bookmarkStart w:id="28" w:name="_Ref26909597"/>
      <w:bookmarkStart w:id="29" w:name="_Ref26909601"/>
      <w:bookmarkStart w:id="30" w:name="_Toc82538718"/>
      <w:r w:rsidRPr="0092670C">
        <w:rPr>
          <w:rFonts w:ascii="Arial" w:hAnsi="Arial" w:cs="Arial"/>
        </w:rPr>
        <w:t>The use of the SEI in Li-ion batteries</w:t>
      </w:r>
      <w:bookmarkEnd w:id="28"/>
      <w:bookmarkEnd w:id="29"/>
      <w:bookmarkEnd w:id="30"/>
    </w:p>
    <w:p w14:paraId="6D50FCA4" w14:textId="194E2713"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The Solid </w:t>
      </w:r>
      <w:r w:rsidR="0071618C" w:rsidRPr="0092670C">
        <w:rPr>
          <w:rFonts w:ascii="Arial" w:eastAsia="Calibri" w:hAnsi="Arial" w:cs="Arial"/>
        </w:rPr>
        <w:t>E</w:t>
      </w:r>
      <w:r w:rsidRPr="0092670C">
        <w:rPr>
          <w:rFonts w:ascii="Arial" w:eastAsia="Calibri" w:hAnsi="Arial" w:cs="Arial"/>
        </w:rPr>
        <w:t xml:space="preserve">lectrolyte </w:t>
      </w:r>
      <w:r w:rsidR="0071618C" w:rsidRPr="0092670C">
        <w:rPr>
          <w:rFonts w:ascii="Arial" w:eastAsia="Calibri" w:hAnsi="Arial" w:cs="Arial"/>
        </w:rPr>
        <w:t>I</w:t>
      </w:r>
      <w:r w:rsidRPr="0092670C">
        <w:rPr>
          <w:rFonts w:ascii="Arial" w:eastAsia="Calibri" w:hAnsi="Arial" w:cs="Arial"/>
        </w:rPr>
        <w:t>nterphase (SEI) is a vital component of batteries and its presence has allowed  the</w:t>
      </w:r>
      <w:r w:rsidR="004F432C" w:rsidRPr="0092670C">
        <w:rPr>
          <w:rFonts w:ascii="Arial" w:eastAsia="Calibri" w:hAnsi="Arial" w:cs="Arial"/>
        </w:rPr>
        <w:t xml:space="preserve"> use of</w:t>
      </w:r>
      <w:r w:rsidRPr="0092670C">
        <w:rPr>
          <w:rFonts w:ascii="Arial" w:eastAsia="Calibri" w:hAnsi="Arial" w:cs="Arial"/>
        </w:rPr>
        <w:t xml:space="preserve"> high capacity Li-ion cells safely and reliably</w:t>
      </w:r>
      <w:r w:rsidR="00FE5B27" w:rsidRPr="0092670C">
        <w:rPr>
          <w:rFonts w:ascii="Arial" w:eastAsia="Calibri" w:hAnsi="Arial" w:cs="Arial"/>
        </w:rPr>
        <w:t xml:space="preserve"> </w:t>
      </w:r>
      <w:r w:rsidRPr="0092670C">
        <w:rPr>
          <w:rFonts w:ascii="Arial" w:eastAsia="Calibri" w:hAnsi="Arial" w:cs="Arial"/>
        </w:rPr>
        <w:fldChar w:fldCharType="begin"/>
      </w:r>
      <w:r w:rsidR="004F0EC3">
        <w:rPr>
          <w:rFonts w:ascii="Arial" w:eastAsia="Calibri" w:hAnsi="Arial" w:cs="Arial"/>
        </w:rPr>
        <w:instrText xml:space="preserve"> ADDIN EN.CITE &lt;EndNote&gt;&lt;Cite&gt;&lt;Author&gt;Peled&lt;/Author&gt;&lt;Year&gt;1979&lt;/Year&gt;&lt;RecNum&gt;131&lt;/RecNum&gt;&lt;DisplayText&gt;[1]&lt;/DisplayText&gt;&lt;record&gt;&lt;rec-number&gt;131&lt;/rec-number&gt;&lt;foreign-keys&gt;&lt;key app="EN" db-id="5sa9s0e0r0d9fnexra7pr5xdwd5ztevx95s2" timestamp="1518796821"&gt;131&lt;/key&gt;&lt;/foreign-keys&gt;&lt;ref-type name="Journal Article"&gt;17&lt;/ref-type&gt;&lt;contributors&gt;&lt;authors&gt;&lt;author&gt;Peled, E.&lt;/author&gt;&lt;/authors&gt;&lt;/contributors&gt;&lt;titles&gt;&lt;title&gt;The Electrochemical Behavior of Alkali and Alkaline Earth Metals in Nonaqueous Battery Systems—The Solid Electrolyte Interphase Model&lt;/title&gt;&lt;secondary-title&gt;Journal of The Electrochemical Society&lt;/secondary-title&gt;&lt;/titles&gt;&lt;periodical&gt;&lt;full-title&gt;Journal of the Electrochemical Society&lt;/full-title&gt;&lt;abbr-1&gt;J. Electrochem. Soc.&lt;/abbr-1&gt;&lt;/periodical&gt;&lt;pages&gt;2047-2051&lt;/pages&gt;&lt;volume&gt;126&lt;/volume&gt;&lt;number&gt;12&lt;/number&gt;&lt;dates&gt;&lt;year&gt;1979&lt;/year&gt;&lt;pub-dates&gt;&lt;date&gt;December 1, 1979&lt;/date&gt;&lt;/pub-dates&gt;&lt;/dates&gt;&lt;urls&gt;&lt;related-urls&gt;&lt;url&gt;http://jes.ecsdl.org/content/126/12/2047.abstract&lt;/url&gt;&lt;/related-urls&gt;&lt;/urls&gt;&lt;electronic-resource-num&gt;10.1149/1.2128859&lt;/electronic-resource-num&gt;&lt;/record&gt;&lt;/Cite&gt;&lt;/EndNote&gt;</w:instrText>
      </w:r>
      <w:r w:rsidRPr="0092670C">
        <w:rPr>
          <w:rFonts w:ascii="Arial" w:eastAsia="Calibri" w:hAnsi="Arial" w:cs="Arial"/>
        </w:rPr>
        <w:fldChar w:fldCharType="separate"/>
      </w:r>
      <w:r w:rsidR="004F0EC3">
        <w:rPr>
          <w:rFonts w:ascii="Arial" w:eastAsia="Calibri" w:hAnsi="Arial" w:cs="Arial"/>
          <w:noProof/>
        </w:rPr>
        <w:t>[1]</w:t>
      </w:r>
      <w:r w:rsidRPr="0092670C">
        <w:rPr>
          <w:rFonts w:ascii="Arial" w:eastAsia="Calibri" w:hAnsi="Arial" w:cs="Arial"/>
        </w:rPr>
        <w:fldChar w:fldCharType="end"/>
      </w:r>
      <w:r w:rsidRPr="0092670C">
        <w:rPr>
          <w:rFonts w:ascii="Arial" w:eastAsia="Calibri" w:hAnsi="Arial" w:cs="Arial"/>
        </w:rPr>
        <w:t>. Without the SEI</w:t>
      </w:r>
      <w:r w:rsidR="00FE332F" w:rsidRPr="0092670C">
        <w:rPr>
          <w:rFonts w:ascii="Arial" w:eastAsia="Calibri" w:hAnsi="Arial" w:cs="Arial"/>
        </w:rPr>
        <w:t>,</w:t>
      </w:r>
      <w:r w:rsidRPr="0092670C">
        <w:rPr>
          <w:rFonts w:ascii="Arial" w:eastAsia="Calibri" w:hAnsi="Arial" w:cs="Arial"/>
        </w:rPr>
        <w:t xml:space="preserve"> Li-ion batteries would</w:t>
      </w:r>
      <w:r w:rsidR="004730D9">
        <w:rPr>
          <w:rFonts w:ascii="Arial" w:eastAsia="Calibri" w:hAnsi="Arial" w:cs="Arial"/>
        </w:rPr>
        <w:t xml:space="preserve">n’t work </w:t>
      </w:r>
      <w:r w:rsidRPr="0092670C">
        <w:rPr>
          <w:rFonts w:ascii="Arial" w:eastAsia="Calibri" w:hAnsi="Arial" w:cs="Arial"/>
        </w:rPr>
        <w:t xml:space="preserve">with a very real risk of it a fire or even exploding. The SEI is able to do this by forming a physical barrier between the anode and the electrolyte, hence the name. This barrier is formed from breakdown products of the electrolyte and it is electrically insulating and ionically conducting. This allows Li ions to flow through and react with the graphite whilst stopping further breakdown of the electrolyte. </w:t>
      </w:r>
    </w:p>
    <w:p w14:paraId="56F92194" w14:textId="5B628405"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The SEI has also been described as the least understood and most important part of the battery</w:t>
      </w:r>
      <w:r w:rsidR="00FE5B27" w:rsidRPr="0092670C">
        <w:rPr>
          <w:rFonts w:ascii="Arial" w:eastAsia="Calibri" w:hAnsi="Arial" w:cs="Arial"/>
        </w:rPr>
        <w:t xml:space="preserve"> </w:t>
      </w:r>
      <w:r w:rsidRPr="0092670C">
        <w:rPr>
          <w:rFonts w:ascii="Arial" w:eastAsia="Calibri" w:hAnsi="Arial" w:cs="Arial"/>
        </w:rPr>
        <w:fldChar w:fldCharType="begin"/>
      </w:r>
      <w:r w:rsidR="00C10A8D">
        <w:rPr>
          <w:rFonts w:ascii="Arial" w:eastAsia="Calibri" w:hAnsi="Arial" w:cs="Arial"/>
        </w:rPr>
        <w:instrText xml:space="preserve"> ADDIN EN.CITE &lt;EndNote&gt;&lt;Cite&gt;&lt;Author&gt;Winter&lt;/Author&gt;&lt;Year&gt;2009&lt;/Year&gt;&lt;RecNum&gt;164&lt;/RecNum&gt;&lt;DisplayText&gt;[33]&lt;/DisplayText&gt;&lt;record&gt;&lt;rec-number&gt;164&lt;/rec-number&gt;&lt;foreign-keys&gt;&lt;key app="EN" db-id="5sa9s0e0r0d9fnexra7pr5xdwd5ztevx95s2" timestamp="1549985141"&gt;164&lt;/key&gt;&lt;/foreign-keys&gt;&lt;ref-type name="Generic"&gt;13&lt;/ref-type&gt;&lt;contributors&gt;&lt;authors&gt;&lt;author&gt;Winter, Martin&lt;/author&gt;&lt;/authors&gt;&lt;/contributors&gt;&lt;titles&gt;&lt;title&gt;The Solid Electrolyte Interphase – The Most Important and the Least Understood Solid Electrolyte in Rechargeable Li Batteries&lt;/title&gt;&lt;secondary-title&gt;Zeitschrift für Physikalische Chemie&lt;/secondary-title&gt;&lt;alt-title&gt;zpch&lt;/alt-title&gt;&lt;/titles&gt;&lt;pages&gt;1395&lt;/pages&gt;&lt;volume&gt;223&lt;/volume&gt;&lt;number&gt;10-11&lt;/number&gt;&lt;dates&gt;&lt;year&gt;2009&lt;/year&gt;&lt;/dates&gt;&lt;isbn&gt;09429352&lt;/isbn&gt;&lt;urls&gt;&lt;related-urls&gt;&lt;url&gt;https://www.degruyter.com/view/j/zpch.2009.223.issue-10-11/zpch.2009.6086/zpch.2009.6086.xml&lt;/url&gt;&lt;/related-urls&gt;&lt;/urls&gt;&lt;electronic-resource-num&gt;10.1524/zpch.2009.6086&lt;/electronic-resource-num&gt;&lt;access-date&gt;2019-02-12t16:25:35.542+01:00&lt;/access-date&gt;&lt;/record&gt;&lt;/Cite&gt;&lt;/EndNote&gt;</w:instrText>
      </w:r>
      <w:r w:rsidRPr="0092670C">
        <w:rPr>
          <w:rFonts w:ascii="Arial" w:eastAsia="Calibri" w:hAnsi="Arial" w:cs="Arial"/>
        </w:rPr>
        <w:fldChar w:fldCharType="separate"/>
      </w:r>
      <w:r w:rsidR="00C10A8D">
        <w:rPr>
          <w:rFonts w:ascii="Arial" w:eastAsia="Calibri" w:hAnsi="Arial" w:cs="Arial"/>
          <w:noProof/>
        </w:rPr>
        <w:t>[33]</w:t>
      </w:r>
      <w:r w:rsidRPr="0092670C">
        <w:rPr>
          <w:rFonts w:ascii="Arial" w:eastAsia="Calibri" w:hAnsi="Arial" w:cs="Arial"/>
        </w:rPr>
        <w:fldChar w:fldCharType="end"/>
      </w:r>
      <w:r w:rsidRPr="0092670C">
        <w:rPr>
          <w:rFonts w:ascii="Arial" w:eastAsia="Calibri" w:hAnsi="Arial" w:cs="Arial"/>
        </w:rPr>
        <w:t xml:space="preserve">. It is therefore vitally important to understand the </w:t>
      </w:r>
      <w:r w:rsidR="00317D68" w:rsidRPr="0092670C">
        <w:rPr>
          <w:rFonts w:ascii="Arial" w:eastAsia="Calibri" w:hAnsi="Arial" w:cs="Arial"/>
        </w:rPr>
        <w:t>SEI</w:t>
      </w:r>
      <w:r w:rsidRPr="0092670C">
        <w:rPr>
          <w:rFonts w:ascii="Arial" w:eastAsia="Calibri" w:hAnsi="Arial" w:cs="Arial"/>
        </w:rPr>
        <w:t xml:space="preserve"> considering how integral it is to the cell. </w:t>
      </w:r>
    </w:p>
    <w:p w14:paraId="22CEBA08" w14:textId="065D9702" w:rsidR="00E4361E" w:rsidRPr="0092670C" w:rsidRDefault="003B676E" w:rsidP="003E14AA">
      <w:pPr>
        <w:spacing w:line="360" w:lineRule="auto"/>
        <w:jc w:val="both"/>
        <w:rPr>
          <w:rFonts w:ascii="Arial" w:eastAsia="Calibri" w:hAnsi="Arial" w:cs="Arial"/>
        </w:rPr>
      </w:pPr>
      <w:r w:rsidRPr="0092670C">
        <w:rPr>
          <w:rFonts w:ascii="Arial" w:eastAsia="Calibri" w:hAnsi="Arial" w:cs="Arial"/>
        </w:rPr>
        <w:t>Further u</w:t>
      </w:r>
      <w:r w:rsidR="003E14AA" w:rsidRPr="0092670C">
        <w:rPr>
          <w:rFonts w:ascii="Arial" w:eastAsia="Calibri" w:hAnsi="Arial" w:cs="Arial"/>
        </w:rPr>
        <w:t xml:space="preserve">nderstanding the SEI could potentially lead to </w:t>
      </w:r>
      <w:r w:rsidR="00697F85" w:rsidRPr="0092670C">
        <w:rPr>
          <w:rFonts w:ascii="Arial" w:eastAsia="Calibri" w:hAnsi="Arial" w:cs="Arial"/>
        </w:rPr>
        <w:t xml:space="preserve">the </w:t>
      </w:r>
      <w:r w:rsidR="003E14AA" w:rsidRPr="0092670C">
        <w:rPr>
          <w:rFonts w:ascii="Arial" w:eastAsia="Calibri" w:hAnsi="Arial" w:cs="Arial"/>
        </w:rPr>
        <w:t>develop</w:t>
      </w:r>
      <w:r w:rsidR="00697F85" w:rsidRPr="0092670C">
        <w:rPr>
          <w:rFonts w:ascii="Arial" w:eastAsia="Calibri" w:hAnsi="Arial" w:cs="Arial"/>
        </w:rPr>
        <w:t>ment of</w:t>
      </w:r>
      <w:r w:rsidR="003E14AA" w:rsidRPr="0092670C">
        <w:rPr>
          <w:rFonts w:ascii="Arial" w:eastAsia="Calibri" w:hAnsi="Arial" w:cs="Arial"/>
        </w:rPr>
        <w:t xml:space="preserve"> batteries that are safer</w:t>
      </w:r>
      <w:r w:rsidRPr="0092670C">
        <w:rPr>
          <w:rFonts w:ascii="Arial" w:eastAsia="Calibri" w:hAnsi="Arial" w:cs="Arial"/>
        </w:rPr>
        <w:t xml:space="preserve"> through SEI</w:t>
      </w:r>
      <w:r w:rsidR="0011045A" w:rsidRPr="0092670C">
        <w:rPr>
          <w:rFonts w:ascii="Arial" w:eastAsia="Calibri" w:hAnsi="Arial" w:cs="Arial"/>
        </w:rPr>
        <w:t>s that can supress dendrite growth more effectively and eliminate the need for f</w:t>
      </w:r>
      <w:r w:rsidR="00AD05BE" w:rsidRPr="0092670C">
        <w:rPr>
          <w:rFonts w:ascii="Arial" w:eastAsia="Calibri" w:hAnsi="Arial" w:cs="Arial"/>
        </w:rPr>
        <w:t>lammable solvents</w:t>
      </w:r>
      <w:r w:rsidR="003E14AA" w:rsidRPr="0092670C">
        <w:rPr>
          <w:rFonts w:ascii="Arial" w:eastAsia="Calibri" w:hAnsi="Arial" w:cs="Arial"/>
        </w:rPr>
        <w:t xml:space="preserve">, </w:t>
      </w:r>
      <w:r w:rsidR="00046684" w:rsidRPr="0092670C">
        <w:rPr>
          <w:rFonts w:ascii="Arial" w:eastAsia="Calibri" w:hAnsi="Arial" w:cs="Arial"/>
        </w:rPr>
        <w:t>with cells able to have a</w:t>
      </w:r>
      <w:r w:rsidR="003E14AA" w:rsidRPr="0092670C">
        <w:rPr>
          <w:rFonts w:ascii="Arial" w:eastAsia="Calibri" w:hAnsi="Arial" w:cs="Arial"/>
        </w:rPr>
        <w:t xml:space="preserve"> higher capacity </w:t>
      </w:r>
      <w:r w:rsidR="00630DA6" w:rsidRPr="0092670C">
        <w:rPr>
          <w:rFonts w:ascii="Arial" w:eastAsia="Calibri" w:hAnsi="Arial" w:cs="Arial"/>
        </w:rPr>
        <w:t xml:space="preserve">though either the replacement of graphite </w:t>
      </w:r>
      <w:r w:rsidR="007D7A0E" w:rsidRPr="0092670C">
        <w:rPr>
          <w:rFonts w:ascii="Arial" w:eastAsia="Calibri" w:hAnsi="Arial" w:cs="Arial"/>
        </w:rPr>
        <w:t xml:space="preserve">with lithium metal or </w:t>
      </w:r>
      <w:r w:rsidR="00F43ACE" w:rsidRPr="0092670C">
        <w:rPr>
          <w:rFonts w:ascii="Arial" w:eastAsia="Calibri" w:hAnsi="Arial" w:cs="Arial"/>
        </w:rPr>
        <w:t>a smaller cathode loading</w:t>
      </w:r>
      <w:r w:rsidR="00534267" w:rsidRPr="0092670C">
        <w:rPr>
          <w:rFonts w:ascii="Arial" w:eastAsia="Calibri" w:hAnsi="Arial" w:cs="Arial"/>
        </w:rPr>
        <w:t xml:space="preserve"> with a smaller inventory required</w:t>
      </w:r>
      <w:r w:rsidR="00A100F8" w:rsidRPr="0092670C">
        <w:rPr>
          <w:rFonts w:ascii="Arial" w:eastAsia="Calibri" w:hAnsi="Arial" w:cs="Arial"/>
        </w:rPr>
        <w:t xml:space="preserve"> </w:t>
      </w:r>
      <w:r w:rsidR="003E14AA" w:rsidRPr="0092670C">
        <w:rPr>
          <w:rFonts w:ascii="Arial" w:eastAsia="Calibri"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eastAsia="Calibri" w:hAnsi="Arial" w:cs="Arial"/>
        </w:rPr>
        <w:instrText xml:space="preserve"> ADDIN EN.CITE </w:instrText>
      </w:r>
      <w:r w:rsidR="00C10A8D">
        <w:rPr>
          <w:rFonts w:ascii="Arial" w:eastAsia="Calibri"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eastAsia="Calibri" w:hAnsi="Arial" w:cs="Arial"/>
        </w:rPr>
        <w:instrText xml:space="preserve"> ADDIN EN.CITE.DATA </w:instrText>
      </w:r>
      <w:r w:rsidR="00C10A8D">
        <w:rPr>
          <w:rFonts w:ascii="Arial" w:eastAsia="Calibri" w:hAnsi="Arial" w:cs="Arial"/>
        </w:rPr>
      </w:r>
      <w:r w:rsidR="00C10A8D">
        <w:rPr>
          <w:rFonts w:ascii="Arial" w:eastAsia="Calibri" w:hAnsi="Arial" w:cs="Arial"/>
        </w:rPr>
        <w:fldChar w:fldCharType="end"/>
      </w:r>
      <w:r w:rsidR="003E14AA" w:rsidRPr="0092670C">
        <w:rPr>
          <w:rFonts w:ascii="Arial" w:eastAsia="Calibri" w:hAnsi="Arial" w:cs="Arial"/>
        </w:rPr>
      </w:r>
      <w:r w:rsidR="003E14AA" w:rsidRPr="0092670C">
        <w:rPr>
          <w:rFonts w:ascii="Arial" w:eastAsia="Calibri" w:hAnsi="Arial" w:cs="Arial"/>
        </w:rPr>
        <w:fldChar w:fldCharType="separate"/>
      </w:r>
      <w:r w:rsidR="00C10A8D">
        <w:rPr>
          <w:rFonts w:ascii="Arial" w:eastAsia="Calibri" w:hAnsi="Arial" w:cs="Arial"/>
          <w:noProof/>
        </w:rPr>
        <w:t>[34]</w:t>
      </w:r>
      <w:r w:rsidR="003E14AA" w:rsidRPr="0092670C">
        <w:rPr>
          <w:rFonts w:ascii="Arial" w:eastAsia="Calibri" w:hAnsi="Arial" w:cs="Arial"/>
        </w:rPr>
        <w:fldChar w:fldCharType="end"/>
      </w:r>
      <w:r w:rsidR="003E14AA" w:rsidRPr="0092670C">
        <w:rPr>
          <w:rFonts w:ascii="Arial" w:eastAsia="Calibri" w:hAnsi="Arial" w:cs="Arial"/>
        </w:rPr>
        <w:t xml:space="preserve">. </w:t>
      </w:r>
    </w:p>
    <w:p w14:paraId="2E8A0A4D" w14:textId="583FCE00"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All of these factors could impact the growth of Li-ion batteries into nascent fields such as transport and grid energy storage. </w:t>
      </w:r>
    </w:p>
    <w:p w14:paraId="00B9F628" w14:textId="77777777" w:rsidR="003E14AA" w:rsidRPr="0092670C" w:rsidRDefault="003E14AA" w:rsidP="00F80BDA">
      <w:pPr>
        <w:pStyle w:val="Heading2"/>
        <w:rPr>
          <w:rFonts w:ascii="Arial" w:hAnsi="Arial" w:cs="Arial"/>
        </w:rPr>
      </w:pPr>
      <w:bookmarkStart w:id="31" w:name="_Toc82538719"/>
      <w:r w:rsidRPr="0092670C">
        <w:rPr>
          <w:rFonts w:ascii="Arial" w:hAnsi="Arial" w:cs="Arial"/>
        </w:rPr>
        <w:t>How the SEI is formed</w:t>
      </w:r>
      <w:bookmarkEnd w:id="31"/>
    </w:p>
    <w:p w14:paraId="79250943" w14:textId="2FAF62DB" w:rsidR="003E14AA" w:rsidRPr="0092670C" w:rsidRDefault="003E14AA" w:rsidP="003E14AA">
      <w:pPr>
        <w:spacing w:line="360" w:lineRule="auto"/>
        <w:jc w:val="both"/>
        <w:rPr>
          <w:rFonts w:ascii="Arial" w:hAnsi="Arial" w:cs="Arial"/>
        </w:rPr>
      </w:pPr>
      <w:r w:rsidRPr="0092670C">
        <w:rPr>
          <w:rFonts w:ascii="Arial" w:hAnsi="Arial" w:cs="Arial"/>
        </w:rPr>
        <w:t>SEI formation starts as soon as the electrolyte begins to breakdown</w:t>
      </w:r>
      <w:r w:rsidR="00EC5FB0" w:rsidRPr="0092670C">
        <w:rPr>
          <w:rFonts w:ascii="Arial" w:hAnsi="Arial" w:cs="Arial"/>
        </w:rPr>
        <w:t xml:space="preserve"> and a range of the breakdown pathways can be seen in </w:t>
      </w:r>
      <w:r w:rsidR="00EC5FB0" w:rsidRPr="0092670C">
        <w:rPr>
          <w:rFonts w:ascii="Arial" w:hAnsi="Arial" w:cs="Arial"/>
        </w:rPr>
        <w:fldChar w:fldCharType="begin"/>
      </w:r>
      <w:r w:rsidR="00EC5FB0" w:rsidRPr="0092670C">
        <w:rPr>
          <w:rFonts w:ascii="Arial" w:hAnsi="Arial" w:cs="Arial"/>
        </w:rPr>
        <w:instrText xml:space="preserve"> REF _Ref30022342 \h </w:instrText>
      </w:r>
      <w:r w:rsidR="00352EE5" w:rsidRPr="0092670C">
        <w:rPr>
          <w:rFonts w:ascii="Arial" w:hAnsi="Arial" w:cs="Arial"/>
        </w:rPr>
        <w:instrText xml:space="preserve"> \* MERGEFORMAT </w:instrText>
      </w:r>
      <w:r w:rsidR="00EC5FB0" w:rsidRPr="0092670C">
        <w:rPr>
          <w:rFonts w:ascii="Arial" w:hAnsi="Arial" w:cs="Arial"/>
        </w:rPr>
      </w:r>
      <w:r w:rsidR="00EC5FB0"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8</w:t>
      </w:r>
      <w:r w:rsidR="007342C8" w:rsidRPr="007342C8">
        <w:rPr>
          <w:rFonts w:ascii="Arial" w:hAnsi="Arial" w:cs="Arial"/>
        </w:rPr>
        <w:t>: Proposed mechanistic pathways for SEI formation</w:t>
      </w:r>
      <w:r w:rsidR="00EC5FB0" w:rsidRPr="0092670C">
        <w:rPr>
          <w:rFonts w:ascii="Arial" w:hAnsi="Arial" w:cs="Arial"/>
        </w:rPr>
        <w:fldChar w:fldCharType="end"/>
      </w:r>
      <w:r w:rsidR="001B1128" w:rsidRPr="0092670C">
        <w:rPr>
          <w:rFonts w:ascii="Arial" w:hAnsi="Arial" w:cs="Arial"/>
        </w:rPr>
        <w:t xml:space="preserve"> </w:t>
      </w:r>
      <w:r w:rsidR="00837651" w:rsidRPr="0092670C">
        <w:rPr>
          <w:rFonts w:ascii="Arial" w:hAnsi="Arial" w:cs="Arial"/>
        </w:rPr>
        <w:fldChar w:fldCharType="begin"/>
      </w:r>
      <w:r w:rsidR="00C10A8D">
        <w:rPr>
          <w:rFonts w:ascii="Arial" w:hAnsi="Arial" w:cs="Arial"/>
        </w:rPr>
        <w:instrText xml:space="preserve"> ADDIN EN.CITE &lt;EndNote&gt;&lt;Cite&gt;&lt;Author&gt;Yan&lt;/Author&gt;&lt;Year&gt;2010&lt;/Year&gt;&lt;RecNum&gt;734&lt;/RecNum&gt;&lt;DisplayText&gt;[35]&lt;/DisplayText&gt;&lt;record&gt;&lt;rec-number&gt;734&lt;/rec-number&gt;&lt;foreign-keys&gt;&lt;key app="EN" db-id="5sa9s0e0r0d9fnexra7pr5xdwd5ztevx95s2" timestamp="1593904153" guid="5b64e95a-1edf-46e2-88af-f86dc324bf98"&gt;734&lt;/key&gt;&lt;/foreign-keys&gt;&lt;ref-type name="Journal Article"&gt;17&lt;/ref-type&gt;&lt;contributors&gt;&lt;authors&gt;&lt;author&gt;Yan, Jian&lt;/author&gt;&lt;author&gt;Zhang, Jian&lt;/author&gt;&lt;author&gt;Su, Yu-Chang&lt;/author&gt;&lt;author&gt;Zhang, Xi-Gui&lt;/author&gt;&lt;author&gt;Xia, Bao-Jia&lt;/author&gt;&lt;/authors&gt;&lt;/contributors&gt;&lt;titles&gt;&lt;title&gt;A novel perspective on the formation of the solid electrolyte interphase on the graphite electrode for lithium-ion batteries&lt;/title&gt;&lt;/titles&gt;&lt;pages&gt;1785-1794&lt;/pages&gt;&lt;volume&gt;55&lt;/volume&gt;&lt;number&gt;5&lt;/number&gt;&lt;dates&gt;&lt;year&gt;2010&lt;/year&gt;&lt;/dates&gt;&lt;publisher&gt;Elsevier BV&lt;/publisher&gt;&lt;isbn&gt;0013-4686&lt;/isbn&gt;&lt;urls&gt;&lt;related-urls&gt;&lt;url&gt;https://dx.doi.org/10.1016/j.electacta.2009.10.068&lt;/url&gt;&lt;/related-urls&gt;&lt;/urls&gt;&lt;electronic-resource-num&gt;10.1016/j.electacta.2009.10.068&lt;/electronic-resource-num&gt;&lt;/record&gt;&lt;/Cite&gt;&lt;/EndNote&gt;</w:instrText>
      </w:r>
      <w:r w:rsidR="00837651" w:rsidRPr="0092670C">
        <w:rPr>
          <w:rFonts w:ascii="Arial" w:hAnsi="Arial" w:cs="Arial"/>
        </w:rPr>
        <w:fldChar w:fldCharType="separate"/>
      </w:r>
      <w:r w:rsidR="00C10A8D">
        <w:rPr>
          <w:rFonts w:ascii="Arial" w:hAnsi="Arial" w:cs="Arial"/>
          <w:noProof/>
        </w:rPr>
        <w:t>[35]</w:t>
      </w:r>
      <w:r w:rsidR="00837651" w:rsidRPr="0092670C">
        <w:rPr>
          <w:rFonts w:ascii="Arial" w:hAnsi="Arial" w:cs="Arial"/>
        </w:rPr>
        <w:fldChar w:fldCharType="end"/>
      </w:r>
      <w:r w:rsidRPr="0092670C">
        <w:rPr>
          <w:rFonts w:ascii="Arial" w:hAnsi="Arial" w:cs="Arial"/>
        </w:rPr>
        <w:t>. This breakdown is due to the chemical potential of the anode surface being higher than the lowest unoccupied molecular orbital (LUMO) of the electrolyte. This leads to the LUMO becoming partially filled, creating radicals such as EC</w:t>
      </w:r>
      <w:r w:rsidRPr="0092670C">
        <w:rPr>
          <w:rFonts w:ascii="Arial" w:hAnsi="Arial" w:cs="Arial"/>
          <w:vertAlign w:val="superscript"/>
        </w:rPr>
        <w:t>-</w:t>
      </w:r>
      <w:r w:rsidRPr="0092670C">
        <w:rPr>
          <w:rFonts w:ascii="Arial" w:hAnsi="Arial" w:cs="Arial"/>
        </w:rPr>
        <w:t xml:space="preserve"> which has been observed experimentally</w:t>
      </w:r>
      <w:r w:rsidR="00BE20D1"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&lt;EndNote&gt;&lt;Cite&gt;&lt;Author&gt;Hammer&lt;/Author&gt;&lt;Year&gt;2004&lt;/Year&gt;&lt;RecNum&gt;267&lt;/RecNum&gt;&lt;DisplayText&gt;[36]&lt;/DisplayText&gt;&lt;record&gt;&lt;rec-number&gt;267&lt;/rec-number&gt;&lt;foreign-keys&gt;&lt;key app="EN" db-id="5sa9s0e0r0d9fnexra7pr5xdwd5ztevx95s2" timestamp="1559136297"&gt;267&lt;/key&gt;&lt;/foreign-keys&gt;&lt;ref-type name="Journal Article"&gt;17&lt;/ref-type&gt;&lt;contributors&gt;&lt;authors&gt;&lt;author&gt;Nathan I. Hammer&lt;/author&gt;&lt;author&gt;Robert J. Hinde&lt;/author&gt;&lt;author&gt;Robert N. Compton&lt;/author&gt;&lt;author&gt;Kadir Diri&lt;/author&gt;&lt;author&gt;Kenneth D. Jordan&lt;/author&gt;&lt;author&gt;Dunja Radisic&lt;/author&gt;&lt;author&gt;Sarah T. Stokes&lt;/author&gt;&lt;author&gt;Kit H. Bowen&lt;/author&gt;&lt;/authors&gt;&lt;/contributors&gt;&lt;titles&gt;&lt;title&gt;Dipole-bound anions of highly polar molecules: Ethylene carbonate and vinylene carbonate&lt;/title&gt;&lt;secondary-title&gt;The Journal of Chemical Physics&lt;/secondary-title&gt;&lt;/titles&gt;&lt;periodical&gt;&lt;full-title&gt;The Journal of Chemical Physics&lt;/full-title&gt;&lt;/periodical&gt;&lt;pages&gt;685-690&lt;/pages&gt;&lt;volume&gt;120&lt;/volume&gt;&lt;number&gt;2&lt;/number&gt;&lt;dates&gt;&lt;year&gt;2004&lt;/year&gt;&lt;/dates&gt;&lt;urls&gt;&lt;related-urls&gt;&lt;url&gt;https://aip.scitation.org/doi/abs/10.1063/1.1629669&lt;/url&gt;&lt;/related-urls&gt;&lt;/urls&gt;&lt;electronic-resource-num&gt;10.1063/1.1629669&lt;/electronic-resource-num&gt;&lt;/record&gt;&lt;/Cite&gt;&lt;/EndNote&gt;</w:instrText>
      </w:r>
      <w:r w:rsidRPr="0092670C">
        <w:rPr>
          <w:rFonts w:ascii="Arial" w:hAnsi="Arial" w:cs="Arial"/>
        </w:rPr>
        <w:fldChar w:fldCharType="separate"/>
      </w:r>
      <w:r w:rsidR="00C10A8D">
        <w:rPr>
          <w:rFonts w:ascii="Arial" w:hAnsi="Arial" w:cs="Arial"/>
          <w:noProof/>
        </w:rPr>
        <w:t>[36]</w:t>
      </w:r>
      <w:r w:rsidRPr="0092670C">
        <w:rPr>
          <w:rFonts w:ascii="Arial" w:hAnsi="Arial" w:cs="Arial"/>
        </w:rPr>
        <w:fldChar w:fldCharType="end"/>
      </w:r>
      <w:r w:rsidRPr="0092670C">
        <w:rPr>
          <w:rFonts w:ascii="Arial" w:hAnsi="Arial" w:cs="Arial"/>
        </w:rPr>
        <w:t>. The partially filled LUMO is unstable and starts a chain of radical reactions.</w:t>
      </w:r>
      <w:r w:rsidR="00D015F5" w:rsidRPr="0092670C">
        <w:rPr>
          <w:rFonts w:ascii="Arial" w:hAnsi="Arial" w:cs="Arial"/>
        </w:rPr>
        <w:t xml:space="preserve"> These reactions lead to the stable products that are found in the SEI</w:t>
      </w:r>
      <w:r w:rsidR="00224AE1" w:rsidRPr="0092670C">
        <w:rPr>
          <w:rFonts w:ascii="Arial" w:hAnsi="Arial" w:cs="Arial"/>
        </w:rPr>
        <w:t>.</w:t>
      </w:r>
      <w:r w:rsidRPr="0092670C">
        <w:rPr>
          <w:rFonts w:ascii="Arial" w:hAnsi="Arial" w:cs="Arial"/>
        </w:rPr>
        <w:t xml:space="preserve"> </w:t>
      </w:r>
      <w:r w:rsidR="007E14BD" w:rsidRPr="0092670C">
        <w:rPr>
          <w:rFonts w:ascii="Arial" w:hAnsi="Arial" w:cs="Arial"/>
        </w:rPr>
        <w:t>It should be noted</w:t>
      </w:r>
      <w:r w:rsidRPr="0092670C">
        <w:rPr>
          <w:rFonts w:ascii="Arial" w:hAnsi="Arial" w:cs="Arial"/>
        </w:rPr>
        <w:t xml:space="preserve"> that the LUMO of the species involved is calculated in the gas phase. In real life the electrolyte is a liquid and the LUMO is affected by factors such as salt concentration, total solvent polarity and ion-solvent interactions</w:t>
      </w:r>
      <w:r w:rsidR="00BE20D1" w:rsidRPr="0092670C">
        <w:rPr>
          <w:rFonts w:ascii="Arial" w:hAnsi="Arial" w:cs="Arial"/>
        </w:rPr>
        <w:t xml:space="preserve"> </w:t>
      </w:r>
      <w:r w:rsidRPr="0092670C">
        <w:rPr>
          <w:rFonts w:ascii="Arial" w:hAnsi="Arial" w:cs="Arial"/>
        </w:rPr>
        <w:fldChar w:fldCharType="begin">
          <w:fldData xml:space="preserve">PEVuZE5vdGU+PENpdGU+PEF1dGhvcj5DYW1hY2hvLUZvcmVybzwvQXV0aG9yPjxZZWFyPjIwMTc8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==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PEVuZE5vdGU+PENpdGU+PEF1dGhvcj5DYW1hY2hvLUZvcmVybzwvQXV0aG9yPjxZZWFyPjIwMTc8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==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[37, 38]</w:t>
      </w:r>
      <w:r w:rsidRPr="0092670C">
        <w:rPr>
          <w:rFonts w:ascii="Arial" w:hAnsi="Arial" w:cs="Arial"/>
        </w:rPr>
        <w:fldChar w:fldCharType="end"/>
      </w:r>
      <w:r w:rsidRPr="0092670C">
        <w:rPr>
          <w:rFonts w:ascii="Arial" w:hAnsi="Arial" w:cs="Arial"/>
        </w:rPr>
        <w:t>.</w:t>
      </w:r>
      <w:r w:rsidR="009141D6" w:rsidRPr="0092670C">
        <w:rPr>
          <w:rFonts w:ascii="Arial" w:hAnsi="Arial" w:cs="Arial"/>
        </w:rPr>
        <w:t xml:space="preserve"> The difference</w:t>
      </w:r>
      <w:r w:rsidR="00A9103E" w:rsidRPr="0092670C">
        <w:rPr>
          <w:rFonts w:ascii="Arial" w:hAnsi="Arial" w:cs="Arial"/>
        </w:rPr>
        <w:t>s</w:t>
      </w:r>
      <w:r w:rsidR="009141D6" w:rsidRPr="0092670C">
        <w:rPr>
          <w:rFonts w:ascii="Arial" w:hAnsi="Arial" w:cs="Arial"/>
        </w:rPr>
        <w:t xml:space="preserve"> </w:t>
      </w:r>
      <w:r w:rsidR="000D0CA5" w:rsidRPr="0092670C">
        <w:rPr>
          <w:rFonts w:ascii="Arial" w:hAnsi="Arial" w:cs="Arial"/>
        </w:rPr>
        <w:t xml:space="preserve">mean that </w:t>
      </w:r>
      <w:r w:rsidR="00E10D25" w:rsidRPr="0092670C">
        <w:rPr>
          <w:rFonts w:ascii="Arial" w:hAnsi="Arial" w:cs="Arial"/>
        </w:rPr>
        <w:t>computational methods may give an approximation of the process</w:t>
      </w:r>
      <w:r w:rsidR="007D4B86" w:rsidRPr="0092670C">
        <w:rPr>
          <w:rFonts w:ascii="Arial" w:hAnsi="Arial" w:cs="Arial"/>
        </w:rPr>
        <w:t xml:space="preserve">es occurring during </w:t>
      </w:r>
      <w:r w:rsidR="00A9103E" w:rsidRPr="0092670C">
        <w:rPr>
          <w:rFonts w:ascii="Arial" w:hAnsi="Arial" w:cs="Arial"/>
        </w:rPr>
        <w:t xml:space="preserve">SEI formation but </w:t>
      </w:r>
      <w:r w:rsidR="002D2675" w:rsidRPr="0092670C">
        <w:rPr>
          <w:rFonts w:ascii="Arial" w:hAnsi="Arial" w:cs="Arial"/>
        </w:rPr>
        <w:t>they</w:t>
      </w:r>
      <w:r w:rsidR="00A9103E" w:rsidRPr="0092670C">
        <w:rPr>
          <w:rFonts w:ascii="Arial" w:hAnsi="Arial" w:cs="Arial"/>
        </w:rPr>
        <w:t xml:space="preserve"> are not a perfect model </w:t>
      </w:r>
      <w:r w:rsidR="00381B42" w:rsidRPr="0092670C">
        <w:rPr>
          <w:rFonts w:ascii="Arial" w:hAnsi="Arial" w:cs="Arial"/>
        </w:rPr>
        <w:t>of the system</w:t>
      </w:r>
      <w:r w:rsidR="007F50D5" w:rsidRPr="0092670C">
        <w:rPr>
          <w:rFonts w:ascii="Arial" w:hAnsi="Arial" w:cs="Arial"/>
        </w:rPr>
        <w:t>.</w:t>
      </w:r>
      <w:r w:rsidR="006F1367">
        <w:rPr>
          <w:rFonts w:ascii="Arial" w:hAnsi="Arial" w:cs="Arial"/>
        </w:rPr>
        <w:t xml:space="preserve"> </w:t>
      </w:r>
      <w:bookmarkStart w:id="32" w:name="_Hlk83229738"/>
      <w:r w:rsidR="006F1367">
        <w:rPr>
          <w:rFonts w:ascii="Arial" w:hAnsi="Arial" w:cs="Arial"/>
        </w:rPr>
        <w:t>The complexity of the SEI means that LUMO values have only been calculated for a small portion of SEI components and further work is required for a complete set.</w:t>
      </w:r>
      <w:r w:rsidR="007F50D5" w:rsidRPr="0092670C">
        <w:rPr>
          <w:rFonts w:ascii="Arial" w:hAnsi="Arial" w:cs="Arial"/>
        </w:rPr>
        <w:t xml:space="preserve"> </w:t>
      </w:r>
      <w:bookmarkEnd w:id="32"/>
    </w:p>
    <w:p w14:paraId="7A728F03" w14:textId="51746F12" w:rsidR="006E7C0A" w:rsidRPr="0092670C" w:rsidRDefault="00F72E88" w:rsidP="006E7C0A">
      <w:pPr>
        <w:keepNext/>
        <w:spacing w:line="360" w:lineRule="auto"/>
        <w:jc w:val="center"/>
        <w:rPr>
          <w:rFonts w:ascii="Arial" w:hAnsi="Arial" w:cs="Arial"/>
        </w:rPr>
      </w:pPr>
      <w:r>
        <w:rPr>
          <w:noProof/>
        </w:rPr>
        <w:drawing>
          <wp:inline distT="0" distB="0" distL="0" distR="0" wp14:anchorId="39CD320E" wp14:editId="363EB25F">
            <wp:extent cx="5400040" cy="38633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863340"/>
                    </a:xfrm>
                    <a:prstGeom prst="rect">
                      <a:avLst/>
                    </a:prstGeom>
                    <a:noFill/>
                    <a:ln>
                      <a:noFill/>
                    </a:ln>
                  </pic:spPr>
                </pic:pic>
              </a:graphicData>
            </a:graphic>
          </wp:inline>
        </w:drawing>
      </w:r>
    </w:p>
    <w:p w14:paraId="16A03EFB" w14:textId="6E676436" w:rsidR="005567A5" w:rsidRPr="00B97230" w:rsidRDefault="006E7C0A" w:rsidP="006E7C0A">
      <w:pPr>
        <w:pStyle w:val="Caption"/>
        <w:jc w:val="center"/>
        <w:rPr>
          <w:rFonts w:ascii="Arial" w:hAnsi="Arial" w:cs="Arial"/>
          <w:sz w:val="20"/>
          <w:szCs w:val="20"/>
        </w:rPr>
      </w:pPr>
      <w:bookmarkStart w:id="33" w:name="_Ref30022342"/>
      <w:r w:rsidRPr="00B97230">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8</w:t>
      </w:r>
      <w:r w:rsidR="00356A26">
        <w:rPr>
          <w:rFonts w:ascii="Arial" w:hAnsi="Arial" w:cs="Arial"/>
          <w:sz w:val="20"/>
          <w:szCs w:val="20"/>
        </w:rPr>
        <w:fldChar w:fldCharType="end"/>
      </w:r>
      <w:r w:rsidRPr="00B97230">
        <w:rPr>
          <w:rFonts w:ascii="Arial" w:hAnsi="Arial" w:cs="Arial"/>
          <w:sz w:val="20"/>
          <w:szCs w:val="20"/>
        </w:rPr>
        <w:t>: Proposed mechanistic pathways for SEI formation</w:t>
      </w:r>
      <w:bookmarkEnd w:id="33"/>
      <w:r w:rsidR="00767089" w:rsidRPr="00B97230">
        <w:rPr>
          <w:rFonts w:ascii="Arial" w:hAnsi="Arial" w:cs="Arial"/>
          <w:sz w:val="20"/>
          <w:szCs w:val="20"/>
        </w:rPr>
        <w:t xml:space="preserve"> </w:t>
      </w:r>
      <w:r w:rsidR="00352EE5" w:rsidRPr="00B97230">
        <w:rPr>
          <w:rFonts w:ascii="Arial" w:hAnsi="Arial" w:cs="Arial"/>
          <w:sz w:val="20"/>
          <w:szCs w:val="20"/>
        </w:rPr>
        <w:fldChar w:fldCharType="begin"/>
      </w:r>
      <w:r w:rsidR="00C10A8D">
        <w:rPr>
          <w:rFonts w:ascii="Arial" w:hAnsi="Arial" w:cs="Arial"/>
          <w:sz w:val="20"/>
          <w:szCs w:val="20"/>
        </w:rPr>
        <w:instrText xml:space="preserve"> ADDIN EN.CITE &lt;EndNote&gt;&lt;Cite&gt;&lt;Author&gt;Yan&lt;/Author&gt;&lt;Year&gt;2010&lt;/Year&gt;&lt;RecNum&gt;734&lt;/RecNum&gt;&lt;DisplayText&gt;[35]&lt;/DisplayText&gt;&lt;record&gt;&lt;rec-number&gt;734&lt;/rec-number&gt;&lt;foreign-keys&gt;&lt;key app="EN" db-id="5sa9s0e0r0d9fnexra7pr5xdwd5ztevx95s2" timestamp="1593904153" guid="5b64e95a-1edf-46e2-88af-f86dc324bf98"&gt;734&lt;/key&gt;&lt;/foreign-keys&gt;&lt;ref-type name="Journal Article"&gt;17&lt;/ref-type&gt;&lt;contributors&gt;&lt;authors&gt;&lt;author&gt;Yan, Jian&lt;/author&gt;&lt;author&gt;Zhang, Jian&lt;/author&gt;&lt;author&gt;Su, Yu-Chang&lt;/author&gt;&lt;author&gt;Zhang, Xi-Gui&lt;/author&gt;&lt;author&gt;Xia, Bao-Jia&lt;/author&gt;&lt;/authors&gt;&lt;/contributors&gt;&lt;titles&gt;&lt;title&gt;A novel perspective on the formation of the solid electrolyte interphase on the graphite electrode for lithium-ion batteries&lt;/title&gt;&lt;/titles&gt;&lt;pages&gt;1785-1794&lt;/pages&gt;&lt;volume&gt;55&lt;/volume&gt;&lt;number&gt;5&lt;/number&gt;&lt;dates&gt;&lt;year&gt;2010&lt;/year&gt;&lt;/dates&gt;&lt;publisher&gt;Elsevier BV&lt;/publisher&gt;&lt;isbn&gt;0013-4686&lt;/isbn&gt;&lt;urls&gt;&lt;related-urls&gt;&lt;url&gt;https://dx.doi.org/10.1016/j.electacta.2009.10.068&lt;/url&gt;&lt;/related-urls&gt;&lt;/urls&gt;&lt;electronic-resource-num&gt;10.1016/j.electacta.2009.10.068&lt;/electronic-resource-num&gt;&lt;/record&gt;&lt;/Cite&gt;&lt;/EndNote&gt;</w:instrText>
      </w:r>
      <w:r w:rsidR="00352EE5" w:rsidRPr="00B97230">
        <w:rPr>
          <w:rFonts w:ascii="Arial" w:hAnsi="Arial" w:cs="Arial"/>
          <w:sz w:val="20"/>
          <w:szCs w:val="20"/>
        </w:rPr>
        <w:fldChar w:fldCharType="separate"/>
      </w:r>
      <w:r w:rsidR="00C10A8D">
        <w:rPr>
          <w:rFonts w:ascii="Arial" w:hAnsi="Arial" w:cs="Arial"/>
          <w:noProof/>
          <w:sz w:val="20"/>
          <w:szCs w:val="20"/>
        </w:rPr>
        <w:t>[35]</w:t>
      </w:r>
      <w:r w:rsidR="00352EE5" w:rsidRPr="00B97230">
        <w:rPr>
          <w:rFonts w:ascii="Arial" w:hAnsi="Arial" w:cs="Arial"/>
          <w:sz w:val="20"/>
          <w:szCs w:val="20"/>
        </w:rPr>
        <w:fldChar w:fldCharType="end"/>
      </w:r>
      <w:r w:rsidR="00F33FCE" w:rsidRPr="00B97230">
        <w:rPr>
          <w:rFonts w:ascii="Arial" w:hAnsi="Arial" w:cs="Arial"/>
          <w:sz w:val="20"/>
          <w:szCs w:val="20"/>
        </w:rPr>
        <w:t>.</w:t>
      </w:r>
    </w:p>
    <w:p w14:paraId="1CE13A0B" w14:textId="18286025" w:rsidR="003E14AA" w:rsidRPr="0092670C" w:rsidRDefault="00AF3761" w:rsidP="003E14AA">
      <w:pPr>
        <w:spacing w:line="360" w:lineRule="auto"/>
        <w:jc w:val="both"/>
        <w:rPr>
          <w:rFonts w:ascii="Arial" w:hAnsi="Arial" w:cs="Arial"/>
        </w:rPr>
      </w:pPr>
      <w:r w:rsidRPr="0092670C">
        <w:rPr>
          <w:rFonts w:ascii="Arial" w:hAnsi="Arial" w:cs="Arial"/>
        </w:rPr>
        <w:t>The</w:t>
      </w:r>
      <w:r w:rsidR="00D63F8B" w:rsidRPr="0092670C">
        <w:rPr>
          <w:rFonts w:ascii="Arial" w:hAnsi="Arial" w:cs="Arial"/>
        </w:rPr>
        <w:t xml:space="preserve"> SEI is </w:t>
      </w:r>
      <w:r w:rsidR="007C4B0F" w:rsidRPr="0092670C">
        <w:rPr>
          <w:rFonts w:ascii="Arial" w:hAnsi="Arial" w:cs="Arial"/>
        </w:rPr>
        <w:t xml:space="preserve">what is known as </w:t>
      </w:r>
      <w:r w:rsidR="00D63F8B" w:rsidRPr="0092670C">
        <w:rPr>
          <w:rFonts w:ascii="Arial" w:hAnsi="Arial" w:cs="Arial"/>
        </w:rPr>
        <w:t>a buried interface</w:t>
      </w:r>
      <w:r w:rsidR="00155116" w:rsidRPr="0092670C">
        <w:rPr>
          <w:rFonts w:ascii="Arial" w:hAnsi="Arial" w:cs="Arial"/>
        </w:rPr>
        <w:t xml:space="preserve"> due to its location within the cell. </w:t>
      </w:r>
      <w:r w:rsidR="00E9739A" w:rsidRPr="0092670C">
        <w:rPr>
          <w:rFonts w:ascii="Arial" w:hAnsi="Arial" w:cs="Arial"/>
        </w:rPr>
        <w:t xml:space="preserve">This makes it difficult to monitor </w:t>
      </w:r>
      <w:r w:rsidR="00E9739A" w:rsidRPr="0092670C">
        <w:rPr>
          <w:rFonts w:ascii="Arial" w:hAnsi="Arial" w:cs="Arial"/>
          <w:i/>
        </w:rPr>
        <w:t>in-</w:t>
      </w:r>
      <w:r w:rsidR="00091165">
        <w:rPr>
          <w:rFonts w:ascii="Arial" w:hAnsi="Arial" w:cs="Arial"/>
          <w:i/>
        </w:rPr>
        <w:t>situ</w:t>
      </w:r>
      <w:r w:rsidR="00E9739A" w:rsidRPr="0092670C">
        <w:rPr>
          <w:rFonts w:ascii="Arial" w:hAnsi="Arial" w:cs="Arial"/>
        </w:rPr>
        <w:t xml:space="preserve"> during formation</w:t>
      </w:r>
      <w:r w:rsidR="00D63F8B" w:rsidRPr="0092670C">
        <w:rPr>
          <w:rFonts w:ascii="Arial" w:hAnsi="Arial" w:cs="Arial"/>
        </w:rPr>
        <w:t xml:space="preserve"> </w:t>
      </w:r>
      <w:r w:rsidR="00D919A3" w:rsidRPr="0092670C">
        <w:rPr>
          <w:rFonts w:ascii="Arial" w:hAnsi="Arial" w:cs="Arial"/>
        </w:rPr>
        <w:t>and as a result most of the understand</w:t>
      </w:r>
      <w:r w:rsidR="004A6380" w:rsidRPr="0092670C">
        <w:rPr>
          <w:rFonts w:ascii="Arial" w:hAnsi="Arial" w:cs="Arial"/>
        </w:rPr>
        <w:t>ing</w:t>
      </w:r>
      <w:r w:rsidR="00D919A3" w:rsidRPr="0092670C">
        <w:rPr>
          <w:rFonts w:ascii="Arial" w:hAnsi="Arial" w:cs="Arial"/>
        </w:rPr>
        <w:t xml:space="preserve"> of SEI forma</w:t>
      </w:r>
      <w:r w:rsidR="00DC0AFF" w:rsidRPr="0092670C">
        <w:rPr>
          <w:rFonts w:ascii="Arial" w:hAnsi="Arial" w:cs="Arial"/>
        </w:rPr>
        <w:t xml:space="preserve">tion </w:t>
      </w:r>
      <w:r w:rsidR="004A6380" w:rsidRPr="0092670C">
        <w:rPr>
          <w:rFonts w:ascii="Arial" w:hAnsi="Arial" w:cs="Arial"/>
        </w:rPr>
        <w:t>is derived</w:t>
      </w:r>
      <w:r w:rsidR="00DC0AFF" w:rsidRPr="0092670C">
        <w:rPr>
          <w:rFonts w:ascii="Arial" w:hAnsi="Arial" w:cs="Arial"/>
        </w:rPr>
        <w:t xml:space="preserve"> from computational studies. </w:t>
      </w:r>
      <w:r w:rsidR="003E14AA" w:rsidRPr="0092670C">
        <w:rPr>
          <w:rFonts w:ascii="Arial" w:hAnsi="Arial" w:cs="Arial"/>
        </w:rPr>
        <w:t>There have been many computational studies of the mechanisms that underpin these reactions</w:t>
      </w:r>
      <w:r w:rsidR="00767089" w:rsidRPr="0092670C">
        <w:rPr>
          <w:rFonts w:ascii="Arial" w:hAnsi="Arial" w:cs="Arial"/>
        </w:rPr>
        <w:t xml:space="preserve"> </w:t>
      </w:r>
      <w:r w:rsidR="003E14AA" w:rsidRPr="0092670C">
        <w:rPr>
          <w:rFonts w:ascii="Arial" w:hAnsi="Arial" w:cs="Arial"/>
        </w:rPr>
        <w:fldChar w:fldCharType="begin"/>
      </w:r>
      <w:r w:rsidR="00C10A8D">
        <w:rPr>
          <w:rFonts w:ascii="Arial" w:hAnsi="Arial" w:cs="Arial"/>
        </w:rPr>
        <w:instrText xml:space="preserve"> ADDIN EN.CITE &lt;EndNote&gt;&lt;Cite&gt;&lt;Author&gt;Wang&lt;/Author&gt;&lt;Year&gt;2018&lt;/Year&gt;&lt;RecNum&gt;263&lt;/RecNum&gt;&lt;DisplayText&gt;[39]&lt;/DisplayText&gt;&lt;record&gt;&lt;rec-number&gt;263&lt;/rec-number&gt;&lt;foreign-keys&gt;&lt;key app="EN" db-id="5sa9s0e0r0d9fnexra7pr5xdwd5ztevx95s2" timestamp="1559049823"&gt;263&lt;/key&gt;&lt;/foreign-keys&gt;&lt;ref-type name="Journal Article"&gt;17&lt;/ref-type&gt;&lt;contributors&gt;&lt;authors&gt;&lt;author&gt;Wang, Aiping&lt;/author&gt;&lt;author&gt;Kadam, Sanket&lt;/author&gt;&lt;author&gt;Li, Hong&lt;/author&gt;&lt;author&gt;Shi, Siqi&lt;/author&gt;&lt;author&gt;Qi, Yue&lt;/author&gt;&lt;/authors&gt;&lt;/contributors&gt;&lt;titles&gt;&lt;title&gt;Review on modeling of the anode solid electrolyte interphase (SEI) for lithium-ion batteries&lt;/title&gt;&lt;secondary-title&gt;npj Computational Materials&lt;/secondary-title&gt;&lt;/titles&gt;&lt;periodical&gt;&lt;full-title&gt;npj Computational Materials&lt;/full-title&gt;&lt;/periodical&gt;&lt;pages&gt;15&lt;/pages&gt;&lt;volume&gt;4&lt;/volume&gt;&lt;number&gt;1&lt;/number&gt;&lt;dates&gt;&lt;year&gt;2018&lt;/year&gt;&lt;pub-dates&gt;&lt;date&gt;2018/03/26&lt;/date&gt;&lt;/pub-dates&gt;&lt;/dates&gt;&lt;isbn&gt;2057-3960&lt;/isbn&gt;&lt;urls&gt;&lt;related-urls&gt;&lt;url&gt;https://doi.org/10.1038/s41524-018-0064-0&lt;/url&gt;&lt;/related-urls&gt;&lt;/urls&gt;&lt;electronic-resource-num&gt;10.1038/s41524-018-0064-0&lt;/electronic-resource-num&gt;&lt;/record&gt;&lt;/Cite&gt;&lt;/EndNote&gt;</w:instrText>
      </w:r>
      <w:r w:rsidR="003E14AA" w:rsidRPr="0092670C">
        <w:rPr>
          <w:rFonts w:ascii="Arial" w:hAnsi="Arial" w:cs="Arial"/>
        </w:rPr>
        <w:fldChar w:fldCharType="separate"/>
      </w:r>
      <w:r w:rsidR="00C10A8D">
        <w:rPr>
          <w:rFonts w:ascii="Arial" w:hAnsi="Arial" w:cs="Arial"/>
          <w:noProof/>
        </w:rPr>
        <w:t>[39]</w:t>
      </w:r>
      <w:r w:rsidR="003E14AA" w:rsidRPr="0092670C">
        <w:rPr>
          <w:rFonts w:ascii="Arial" w:hAnsi="Arial" w:cs="Arial"/>
        </w:rPr>
        <w:fldChar w:fldCharType="end"/>
      </w:r>
      <w:r w:rsidR="003E14AA" w:rsidRPr="0092670C">
        <w:rPr>
          <w:rFonts w:ascii="Arial" w:hAnsi="Arial" w:cs="Arial"/>
        </w:rPr>
        <w:t xml:space="preserve">. There are several different types of computational techniques that all have different benefits and constraints. The main 4 for probing the SEI are: molecular dynamics, Monte Carlo simulations, density functional theory and </w:t>
      </w:r>
      <w:r w:rsidR="003E14AA" w:rsidRPr="0092670C">
        <w:rPr>
          <w:rFonts w:ascii="Arial" w:hAnsi="Arial" w:cs="Arial"/>
          <w:i/>
        </w:rPr>
        <w:t>ab initio</w:t>
      </w:r>
      <w:r w:rsidR="003E14AA" w:rsidRPr="0092670C">
        <w:rPr>
          <w:rFonts w:ascii="Arial" w:hAnsi="Arial" w:cs="Arial"/>
        </w:rPr>
        <w:t xml:space="preserve"> methods. </w:t>
      </w:r>
      <w:r w:rsidR="00CF6449">
        <w:rPr>
          <w:rFonts w:ascii="Arial" w:hAnsi="Arial" w:cs="Arial"/>
        </w:rPr>
        <w:t xml:space="preserve">Here is </w:t>
      </w:r>
      <w:r w:rsidR="003E14AA" w:rsidRPr="0092670C">
        <w:rPr>
          <w:rFonts w:ascii="Arial" w:hAnsi="Arial" w:cs="Arial"/>
        </w:rPr>
        <w:t>a brief background will help to justify their use to model different aspects of the SEI formation process. Monte Carlo simulations uses a random (there are constraints on this to save time) approach where the system tests multiple scenarios to find the scenario with the lowest energy. Monte Carlo simulations are relatively quick and this makes them appealing for large systems</w:t>
      </w:r>
      <w:r w:rsidR="00297D4A" w:rsidRPr="0092670C">
        <w:rPr>
          <w:rFonts w:ascii="Arial" w:hAnsi="Arial" w:cs="Arial"/>
        </w:rPr>
        <w:t xml:space="preserve"> </w:t>
      </w:r>
      <w:r w:rsidR="003E14AA" w:rsidRPr="0092670C">
        <w:rPr>
          <w:rFonts w:ascii="Arial" w:hAnsi="Arial" w:cs="Arial"/>
        </w:rPr>
        <w:fldChar w:fldCharType="begin"/>
      </w:r>
      <w:r w:rsidR="00C10A8D">
        <w:rPr>
          <w:rFonts w:ascii="Arial" w:hAnsi="Arial" w:cs="Arial"/>
        </w:rPr>
        <w:instrText xml:space="preserve"> ADDIN EN.CITE &lt;EndNote&gt;&lt;Cite&gt;&lt;Author&gt;Soto&lt;/Author&gt;&lt;Year&gt;2016&lt;/Year&gt;&lt;RecNum&gt;282&lt;/RecNum&gt;&lt;DisplayText&gt;[40]&lt;/DisplayText&gt;&lt;record&gt;&lt;rec-number&gt;282&lt;/rec-number&gt;&lt;foreign-keys&gt;&lt;key app="EN" db-id="5sa9s0e0r0d9fnexra7pr5xdwd5ztevx95s2" timestamp="1559315628"&gt;282&lt;/key&gt;&lt;/foreign-keys&gt;&lt;ref-type name="Journal Article"&gt;17&lt;/ref-type&gt;&lt;contributors&gt;&lt;authors&gt;&lt;author&gt;Soto, Fernando A.&lt;/author&gt;&lt;author&gt;Balbuena, Perla B.&lt;/author&gt;&lt;/authors&gt;&lt;/contributors&gt;&lt;titles&gt;&lt;title&gt;Elucidating Oligomer-Surface and Oligomer-Oligomer Interactions at a Lithiated Silicon Surface&lt;/title&gt;&lt;secondary-title&gt;Electrochimica Acta&lt;/secondary-title&gt;&lt;/titles&gt;&lt;periodical&gt;&lt;full-title&gt;Electrochimica Acta&lt;/full-title&gt;&lt;/periodical&gt;&lt;pages&gt;312-321&lt;/pages&gt;&lt;volume&gt;220&lt;/volume&gt;&lt;keywords&gt;&lt;keyword&gt;Density functional theory&lt;/keyword&gt;&lt;keyword&gt;Ab initio molecular dynamics&lt;/keyword&gt;&lt;keyword&gt;Solid electrolyte interphase&lt;/keyword&gt;&lt;keyword&gt;Silicon anodes&lt;/keyword&gt;&lt;keyword&gt;Li-ion batteries&lt;/keyword&gt;&lt;/keywords&gt;&lt;dates&gt;&lt;year&gt;2016&lt;/year&gt;&lt;pub-dates&gt;&lt;date&gt;2016/12/01/&lt;/date&gt;&lt;/pub-dates&gt;&lt;/dates&gt;&lt;isbn&gt;0013-4686&lt;/isbn&gt;&lt;urls&gt;&lt;related-urls&gt;&lt;url&gt;http://www.sciencedirect.com/science/article/pii/S0013468616321697&lt;/url&gt;&lt;/related-urls&gt;&lt;/urls&gt;&lt;electronic-resource-num&gt;https://doi.org/10.1016/j.electacta.2016.10.082&lt;/electronic-resource-num&gt;&lt;/record&gt;&lt;/Cite&gt;&lt;/EndNote&gt;</w:instrText>
      </w:r>
      <w:r w:rsidR="003E14AA" w:rsidRPr="0092670C">
        <w:rPr>
          <w:rFonts w:ascii="Arial" w:hAnsi="Arial" w:cs="Arial"/>
        </w:rPr>
        <w:fldChar w:fldCharType="separate"/>
      </w:r>
      <w:r w:rsidR="00C10A8D">
        <w:rPr>
          <w:rFonts w:ascii="Arial" w:hAnsi="Arial" w:cs="Arial"/>
          <w:noProof/>
        </w:rPr>
        <w:t>[40]</w:t>
      </w:r>
      <w:r w:rsidR="003E14AA" w:rsidRPr="0092670C">
        <w:rPr>
          <w:rFonts w:ascii="Arial" w:hAnsi="Arial" w:cs="Arial"/>
        </w:rPr>
        <w:fldChar w:fldCharType="end"/>
      </w:r>
      <w:r w:rsidR="003E14AA" w:rsidRPr="0092670C">
        <w:rPr>
          <w:rFonts w:ascii="Arial" w:hAnsi="Arial" w:cs="Arial"/>
        </w:rPr>
        <w:t xml:space="preserve">. </w:t>
      </w:r>
      <w:r w:rsidR="003E14AA" w:rsidRPr="0092670C">
        <w:rPr>
          <w:rFonts w:ascii="Arial" w:hAnsi="Arial" w:cs="Arial"/>
          <w:i/>
        </w:rPr>
        <w:t>Ab initio</w:t>
      </w:r>
      <w:r w:rsidR="003E14AA" w:rsidRPr="0092670C">
        <w:rPr>
          <w:rFonts w:ascii="Arial" w:hAnsi="Arial" w:cs="Arial"/>
        </w:rPr>
        <w:t xml:space="preserve"> methods use quantum mechanics to find the energy of systems by solving the Schrödinger equation. Due to the complex nature of the Schrödinger equation </w:t>
      </w:r>
      <w:r w:rsidR="003E14AA" w:rsidRPr="0092670C">
        <w:rPr>
          <w:rFonts w:ascii="Arial" w:hAnsi="Arial" w:cs="Arial"/>
          <w:i/>
        </w:rPr>
        <w:t>ab initio</w:t>
      </w:r>
      <w:r w:rsidR="003E14AA" w:rsidRPr="0092670C">
        <w:rPr>
          <w:rFonts w:ascii="Arial" w:hAnsi="Arial" w:cs="Arial"/>
        </w:rPr>
        <w:t xml:space="preserve"> methods are very time consuming and are often only performed on systems with small length scales. Density functional theory is based on the simple idea that the energy of the system is derived from its electron density. This allows for calculations that are less intensive than </w:t>
      </w:r>
      <w:r w:rsidR="003E14AA" w:rsidRPr="0092670C">
        <w:rPr>
          <w:rFonts w:ascii="Arial" w:hAnsi="Arial" w:cs="Arial"/>
          <w:i/>
        </w:rPr>
        <w:t>ab initio</w:t>
      </w:r>
      <w:r w:rsidR="003E14AA" w:rsidRPr="0092670C">
        <w:rPr>
          <w:rFonts w:ascii="Arial" w:hAnsi="Arial" w:cs="Arial"/>
        </w:rPr>
        <w:t xml:space="preserve"> methods. In some cases, its accuracy can become questionable, when compared with </w:t>
      </w:r>
      <w:r w:rsidR="003E14AA" w:rsidRPr="0092670C">
        <w:rPr>
          <w:rFonts w:ascii="Arial" w:hAnsi="Arial" w:cs="Arial"/>
          <w:i/>
        </w:rPr>
        <w:t>ab initio</w:t>
      </w:r>
      <w:r w:rsidR="003E14AA" w:rsidRPr="0092670C">
        <w:rPr>
          <w:rFonts w:ascii="Arial" w:hAnsi="Arial" w:cs="Arial"/>
        </w:rPr>
        <w:t xml:space="preserve"> methods. Molecular dynamics (MD) uses classical</w:t>
      </w:r>
      <w:r w:rsidR="003E0930">
        <w:rPr>
          <w:rFonts w:ascii="Arial" w:hAnsi="Arial" w:cs="Arial"/>
        </w:rPr>
        <w:t xml:space="preserve"> mechanics</w:t>
      </w:r>
      <w:r w:rsidR="003E14AA" w:rsidRPr="0092670C">
        <w:rPr>
          <w:rFonts w:ascii="Arial" w:hAnsi="Arial" w:cs="Arial"/>
        </w:rPr>
        <w:t>, as opposed to quantum calculations to determine the thermodynamic properties of the system. Molecular dynamic algorithms are easier for com</w:t>
      </w:r>
      <w:r w:rsidR="00297D4A" w:rsidRPr="0092670C">
        <w:rPr>
          <w:rFonts w:ascii="Arial" w:hAnsi="Arial" w:cs="Arial"/>
        </w:rPr>
        <w:t>p</w:t>
      </w:r>
      <w:r w:rsidR="003E14AA" w:rsidRPr="0092670C">
        <w:rPr>
          <w:rFonts w:ascii="Arial" w:hAnsi="Arial" w:cs="Arial"/>
        </w:rPr>
        <w:t xml:space="preserve">uters to solve and so this means that the systems tested can be larger and observed over a longer period of time. </w:t>
      </w:r>
    </w:p>
    <w:p w14:paraId="077C69D4" w14:textId="0803BAA1" w:rsidR="003E14AA" w:rsidRPr="0092670C" w:rsidRDefault="003E14AA" w:rsidP="003E14AA">
      <w:pPr>
        <w:spacing w:line="360" w:lineRule="auto"/>
        <w:jc w:val="both"/>
        <w:rPr>
          <w:rFonts w:ascii="Arial" w:hAnsi="Arial" w:cs="Arial"/>
        </w:rPr>
      </w:pPr>
      <w:r w:rsidRPr="0092670C">
        <w:rPr>
          <w:rFonts w:ascii="Arial" w:hAnsi="Arial" w:cs="Arial"/>
        </w:rPr>
        <w:t>Both 1 and 2 electron reduction mechanism</w:t>
      </w:r>
      <w:r w:rsidR="00971ED2" w:rsidRPr="0092670C">
        <w:rPr>
          <w:rFonts w:ascii="Arial" w:hAnsi="Arial" w:cs="Arial"/>
        </w:rPr>
        <w:t>s</w:t>
      </w:r>
      <w:r w:rsidRPr="0092670C">
        <w:rPr>
          <w:rFonts w:ascii="Arial" w:hAnsi="Arial" w:cs="Arial"/>
        </w:rPr>
        <w:t xml:space="preserve"> have been proposed for </w:t>
      </w:r>
      <w:r w:rsidR="00747668" w:rsidRPr="0092670C">
        <w:rPr>
          <w:rFonts w:ascii="Arial" w:hAnsi="Arial" w:cs="Arial"/>
        </w:rPr>
        <w:t>carbonate-based</w:t>
      </w:r>
      <w:r w:rsidRPr="0092670C">
        <w:rPr>
          <w:rFonts w:ascii="Arial" w:hAnsi="Arial" w:cs="Arial"/>
        </w:rPr>
        <w:t xml:space="preserve"> electrolyte reduction process</w:t>
      </w:r>
      <w:r w:rsidR="00747668"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&lt;EndNote&gt;&lt;Cite&gt;&lt;Author&gt;Aurbach&lt;/Author&gt;&lt;Year&gt;1987&lt;/Year&gt;&lt;RecNum&gt;264&lt;/RecNum&gt;&lt;DisplayText&gt;[41]&lt;/DisplayText&gt;&lt;record&gt;&lt;rec-number&gt;264&lt;/rec-number&gt;&lt;foreign-keys&gt;&lt;key app="EN" db-id="5sa9s0e0r0d9fnexra7pr5xdwd5ztevx95s2" timestamp="1559055871"&gt;264&lt;/key&gt;&lt;/foreign-keys&gt;&lt;ref-type name="Journal Article"&gt;17&lt;/ref-type&gt;&lt;contributors&gt;&lt;authors&gt;&lt;author&gt;Aurbach, D.&lt;/author&gt;&lt;author&gt;Daroux, M. L.&lt;/author&gt;&lt;author&gt;Faguy, P. W.&lt;/author&gt;&lt;author&gt;Yeager, E.&lt;/author&gt;&lt;/authors&gt;&lt;/contributors&gt;&lt;titles&gt;&lt;title&gt;Identification of Surface Films Formed on Lithium in Propylene Carbonate Solutions&lt;/title&gt;&lt;secondary-title&gt;Journal of The Electrochemical Society&lt;/secondary-title&gt;&lt;/titles&gt;&lt;periodical&gt;&lt;full-title&gt;Journal of the Electrochemical Society&lt;/full-title&gt;&lt;abbr-1&gt;J. Electrochem. Soc.&lt;/abbr-1&gt;&lt;/periodical&gt;&lt;pages&gt;1611-1620&lt;/pages&gt;&lt;volume&gt;134&lt;/volume&gt;&lt;number&gt;7&lt;/number&gt;&lt;dates&gt;&lt;year&gt;1987&lt;/year&gt;&lt;pub-dates&gt;&lt;date&gt;July 1, 1987&lt;/date&gt;&lt;/pub-dates&gt;&lt;/dates&gt;&lt;urls&gt;&lt;related-urls&gt;&lt;url&gt;http://jes.ecsdl.org/content/134/7/1611.abstract&lt;/url&gt;&lt;/related-urls&gt;&lt;/urls&gt;&lt;electronic-resource-num&gt;10.1149/1.2100722&lt;/electronic-resource-num&gt;&lt;/record&gt;&lt;/Cite&gt;&lt;/EndNote&gt;</w:instrText>
      </w:r>
      <w:r w:rsidRPr="0092670C">
        <w:rPr>
          <w:rFonts w:ascii="Arial" w:hAnsi="Arial" w:cs="Arial"/>
        </w:rPr>
        <w:fldChar w:fldCharType="separate"/>
      </w:r>
      <w:r w:rsidR="00C10A8D">
        <w:rPr>
          <w:rFonts w:ascii="Arial" w:hAnsi="Arial" w:cs="Arial"/>
          <w:noProof/>
        </w:rPr>
        <w:t>[41]</w:t>
      </w:r>
      <w:r w:rsidRPr="0092670C">
        <w:rPr>
          <w:rFonts w:ascii="Arial" w:hAnsi="Arial" w:cs="Arial"/>
        </w:rPr>
        <w:fldChar w:fldCharType="end"/>
      </w:r>
      <w:r w:rsidRPr="0092670C">
        <w:rPr>
          <w:rFonts w:ascii="Arial" w:hAnsi="Arial" w:cs="Arial"/>
        </w:rPr>
        <w:t xml:space="preserve">. Li </w:t>
      </w:r>
      <w:r w:rsidR="00D26C51" w:rsidRPr="0092670C">
        <w:rPr>
          <w:rFonts w:ascii="Arial" w:hAnsi="Arial" w:cs="Arial"/>
        </w:rPr>
        <w:t>an</w:t>
      </w:r>
      <w:r w:rsidR="002460B9" w:rsidRPr="0092670C">
        <w:rPr>
          <w:rFonts w:ascii="Arial" w:hAnsi="Arial" w:cs="Arial"/>
        </w:rPr>
        <w:t>d</w:t>
      </w:r>
      <w:r w:rsidRPr="0092670C">
        <w:rPr>
          <w:rFonts w:ascii="Arial" w:hAnsi="Arial" w:cs="Arial"/>
        </w:rPr>
        <w:t xml:space="preserve"> Balbuena found that the 1 electron transfer is the rate limiting step with the 2 electron transfer being approximately 10 times faster</w:t>
      </w:r>
      <w:r w:rsidR="000E4440"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&lt;EndNote&gt;&lt;Cite&gt;&lt;Author&gt;Li&lt;/Author&gt;&lt;Year&gt;2000&lt;/Year&gt;&lt;RecNum&gt;274&lt;/RecNum&gt;&lt;DisplayText&gt;[42]&lt;/DisplayText&gt;&lt;record&gt;&lt;rec-number&gt;274&lt;/rec-number&gt;&lt;foreign-keys&gt;&lt;key app="EN" db-id="5sa9s0e0r0d9fnexra7pr5xdwd5ztevx95s2" timestamp="1559226687"&gt;274&lt;/key&gt;&lt;/foreign-keys&gt;&lt;ref-type name="Journal Article"&gt;17&lt;/ref-type&gt;&lt;contributors&gt;&lt;authors&gt;&lt;author&gt;Li, Tao&lt;/author&gt;&lt;author&gt;Balbuena, Perla B.&lt;/author&gt;&lt;/authors&gt;&lt;/contributors&gt;&lt;titles&gt;&lt;title&gt;Theoretical studies of the reduction of ethylene carbonate&lt;/title&gt;&lt;secondary-title&gt;Chemical Physics Letters&lt;/secondary-title&gt;&lt;/titles&gt;&lt;periodical&gt;&lt;full-title&gt;Chemical Physics Letters&lt;/full-title&gt;&lt;/periodical&gt;&lt;pages&gt;421-429&lt;/pages&gt;&lt;volume&gt;317&lt;/volume&gt;&lt;number&gt;3&lt;/number&gt;&lt;dates&gt;&lt;year&gt;2000&lt;/year&gt;&lt;pub-dates&gt;&lt;date&gt;2000/02/04/&lt;/date&gt;&lt;/pub-dates&gt;&lt;/dates&gt;&lt;isbn&gt;0009-2614&lt;/isbn&gt;&lt;urls&gt;&lt;related-urls&gt;&lt;url&gt;http://www.sciencedirect.com/science/article/pii/S0009261499013743&lt;/url&gt;&lt;/related-urls&gt;&lt;/urls&gt;&lt;electronic-resource-num&gt;https://doi.org/10.1016/S0009-2614(99)01374-3&lt;/electronic-resource-num&gt;&lt;/record&gt;&lt;/Cite&gt;&lt;/EndNote&gt;</w:instrText>
      </w:r>
      <w:r w:rsidRPr="0092670C">
        <w:rPr>
          <w:rFonts w:ascii="Arial" w:hAnsi="Arial" w:cs="Arial"/>
        </w:rPr>
        <w:fldChar w:fldCharType="separate"/>
      </w:r>
      <w:r w:rsidR="00C10A8D">
        <w:rPr>
          <w:rFonts w:ascii="Arial" w:hAnsi="Arial" w:cs="Arial"/>
          <w:noProof/>
        </w:rPr>
        <w:t>[42]</w:t>
      </w:r>
      <w:r w:rsidRPr="0092670C">
        <w:rPr>
          <w:rFonts w:ascii="Arial" w:hAnsi="Arial" w:cs="Arial"/>
        </w:rPr>
        <w:fldChar w:fldCharType="end"/>
      </w:r>
      <w:r w:rsidRPr="0092670C">
        <w:rPr>
          <w:rFonts w:ascii="Arial" w:hAnsi="Arial" w:cs="Arial"/>
        </w:rPr>
        <w:t xml:space="preserve">. Also of note is the fact that SEI reactions are both thermodynamically and kinetically limited. Several species are found in the SEI that have the potential to be reduced further, showing that the SEI can be formed before all reactions go to completion due to the kinetic barriers. The most researched element of SEI formation is the reduction pathway of EC. Wang </w:t>
      </w:r>
      <w:r w:rsidRPr="0092670C">
        <w:rPr>
          <w:rFonts w:ascii="Arial" w:hAnsi="Arial" w:cs="Arial"/>
          <w:i/>
        </w:rPr>
        <w:t xml:space="preserve">et al. </w:t>
      </w:r>
      <w:r w:rsidRPr="0092670C">
        <w:rPr>
          <w:rFonts w:ascii="Arial" w:hAnsi="Arial" w:cs="Arial"/>
        </w:rPr>
        <w:t>found that EC was unlikely to be reduced by itself due to the negative electron affinity of EC under adiabatic conditions</w:t>
      </w:r>
      <w:r w:rsidR="000E4440"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&lt;EndNote&gt;&lt;Cite&gt;&lt;Author&gt;Wang&lt;/Author&gt;&lt;Year&gt;2001&lt;/Year&gt;&lt;RecNum&gt;268&lt;/RecNum&gt;&lt;DisplayText&gt;[43]&lt;/DisplayText&gt;&lt;record&gt;&lt;rec-number&gt;268&lt;/rec-number&gt;&lt;foreign-keys&gt;&lt;key app="EN" db-id="5sa9s0e0r0d9fnexra7pr5xdwd5ztevx95s2" timestamp="1559147453"&gt;268&lt;/key&gt;&lt;/foreign-keys&gt;&lt;ref-type name="Journal Article"&gt;17&lt;/ref-type&gt;&lt;contributors&gt;&lt;authors&gt;&lt;author&gt;Wang, Yixuan&lt;/author&gt;&lt;author&gt;Nakamura, Shinichiro&lt;/author&gt;&lt;author&gt;Ue, Makoto&lt;/author&gt;&lt;author&gt;Balbuena, Perla B.&lt;/author&gt;&lt;/authors&gt;&lt;/contributors&gt;&lt;titles&gt;&lt;title&gt;Theoretical Studies To Understand Surface Chemistry on Carbon Anodes for Lithium-Ion Batteries:  Reduction Mechanisms of Ethylene Carbonate&lt;/title&gt;&lt;secondary-title&gt;Journal of the American Chemical Society&lt;/secondary-title&gt;&lt;/titles&gt;&lt;periodical&gt;&lt;full-title&gt;Journal of the American Chemical Society&lt;/full-title&gt;&lt;/periodical&gt;&lt;pages&gt;11708-11718&lt;/pages&gt;&lt;volume&gt;123&lt;/volume&gt;&lt;number&gt;47&lt;/number&gt;&lt;dates&gt;&lt;year&gt;2001&lt;/year&gt;&lt;pub-dates&gt;&lt;date&gt;2001/11/01&lt;/date&gt;&lt;/pub-dates&gt;&lt;/dates&gt;&lt;publisher&gt;American Chemical Society&lt;/publisher&gt;&lt;isbn&gt;0002-7863&lt;/isbn&gt;&lt;urls&gt;&lt;related-urls&gt;&lt;url&gt;https://doi.org/10.1021/ja0164529&lt;/url&gt;&lt;/related-urls&gt;&lt;/urls&gt;&lt;electronic-resource-num&gt;10.1021/ja0164529&lt;/electronic-resource-num&gt;&lt;/record&gt;&lt;/Cite&gt;&lt;/EndNote&gt;</w:instrText>
      </w:r>
      <w:r w:rsidRPr="0092670C">
        <w:rPr>
          <w:rFonts w:ascii="Arial" w:hAnsi="Arial" w:cs="Arial"/>
        </w:rPr>
        <w:fldChar w:fldCharType="separate"/>
      </w:r>
      <w:r w:rsidR="00C10A8D">
        <w:rPr>
          <w:rFonts w:ascii="Arial" w:hAnsi="Arial" w:cs="Arial"/>
          <w:noProof/>
        </w:rPr>
        <w:t>[43]</w:t>
      </w:r>
      <w:r w:rsidRPr="0092670C">
        <w:rPr>
          <w:rFonts w:ascii="Arial" w:hAnsi="Arial" w:cs="Arial"/>
        </w:rPr>
        <w:fldChar w:fldCharType="end"/>
      </w:r>
      <w:r w:rsidRPr="0092670C">
        <w:rPr>
          <w:rFonts w:ascii="Arial" w:hAnsi="Arial" w:cs="Arial"/>
        </w:rPr>
        <w:t>. This changes when the presence of coordinated Li is considered with Li</w:t>
      </w:r>
      <w:r w:rsidRPr="0092670C">
        <w:rPr>
          <w:rFonts w:ascii="Arial" w:hAnsi="Arial" w:cs="Arial"/>
          <w:vertAlign w:val="superscript"/>
        </w:rPr>
        <w:t>+</w:t>
      </w:r>
      <w:r w:rsidRPr="0092670C">
        <w:rPr>
          <w:rFonts w:ascii="Arial" w:hAnsi="Arial" w:cs="Arial"/>
        </w:rPr>
        <w:t>(EC)</w:t>
      </w:r>
      <w:r w:rsidRPr="0092670C">
        <w:rPr>
          <w:rFonts w:ascii="Arial" w:hAnsi="Arial" w:cs="Arial"/>
          <w:vertAlign w:val="subscript"/>
        </w:rPr>
        <w:t>n</w:t>
      </w:r>
      <w:r w:rsidRPr="0092670C">
        <w:rPr>
          <w:rFonts w:ascii="Arial" w:hAnsi="Arial" w:cs="Arial"/>
        </w:rPr>
        <w:t xml:space="preserve"> (n = 1–5) facilitating Li</w:t>
      </w:r>
      <w:r w:rsidRPr="0092670C">
        <w:rPr>
          <w:rFonts w:ascii="Arial" w:hAnsi="Arial" w:cs="Arial"/>
          <w:vertAlign w:val="superscript"/>
        </w:rPr>
        <w:t>+</w:t>
      </w:r>
      <w:r w:rsidRPr="0092670C">
        <w:rPr>
          <w:rFonts w:ascii="Arial" w:hAnsi="Arial" w:cs="Arial"/>
        </w:rPr>
        <w:t xml:space="preserve"> transport. They found that the reduction process starts with the EC accepting an electron, which causes a C-O bond to undergo homolytic fission. They found that the breakdown </w:t>
      </w:r>
      <w:r w:rsidR="006F1367" w:rsidRPr="0092670C">
        <w:rPr>
          <w:rFonts w:ascii="Arial" w:hAnsi="Arial" w:cs="Arial"/>
        </w:rPr>
        <w:t>led</w:t>
      </w:r>
      <w:r w:rsidRPr="0092670C">
        <w:rPr>
          <w:rFonts w:ascii="Arial" w:hAnsi="Arial" w:cs="Arial"/>
        </w:rPr>
        <w:t xml:space="preserve"> to the formation of many different products. The most thermodynamically favoured was dilithium butylene dicarbonate (Li</w:t>
      </w:r>
      <w:r w:rsidRPr="0092670C">
        <w:rPr>
          <w:rFonts w:ascii="Arial" w:hAnsi="Arial" w:cs="Arial"/>
          <w:vertAlign w:val="subscript"/>
        </w:rPr>
        <w:t>2</w:t>
      </w:r>
      <w:r w:rsidRPr="0092670C">
        <w:rPr>
          <w:rFonts w:ascii="Arial" w:hAnsi="Arial" w:cs="Arial"/>
        </w:rPr>
        <w:t xml:space="preserve">BDC), but this is soluble in the electrolyte and so the SEI is dominated by the other products. </w:t>
      </w:r>
    </w:p>
    <w:p w14:paraId="27BDF881" w14:textId="39ECA6D4" w:rsidR="003E14AA" w:rsidRPr="0092670C" w:rsidRDefault="003E14AA" w:rsidP="003E14AA">
      <w:pPr>
        <w:spacing w:line="360" w:lineRule="auto"/>
        <w:jc w:val="both"/>
        <w:rPr>
          <w:rFonts w:ascii="Arial" w:hAnsi="Arial" w:cs="Arial"/>
        </w:rPr>
      </w:pPr>
      <w:r w:rsidRPr="0092670C">
        <w:rPr>
          <w:rFonts w:ascii="Arial" w:hAnsi="Arial" w:cs="Arial"/>
        </w:rPr>
        <w:t xml:space="preserve">Since Wang </w:t>
      </w:r>
      <w:r w:rsidRPr="0092670C">
        <w:rPr>
          <w:rFonts w:ascii="Arial" w:hAnsi="Arial" w:cs="Arial"/>
          <w:i/>
        </w:rPr>
        <w:t xml:space="preserve">et al.’s </w:t>
      </w:r>
      <w:r w:rsidRPr="0092670C">
        <w:rPr>
          <w:rFonts w:ascii="Arial" w:hAnsi="Arial" w:cs="Arial"/>
        </w:rPr>
        <w:t>work in 2001 computational power has increased massively. This allowed for ab initio molecular dynamics experiments of SEI formation. Budizen and Leung used molecular dynamics to probe how different graphite termination moieties affect EC breakdown</w:t>
      </w:r>
      <w:r w:rsidR="00F5092A"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&lt;EndNote&gt;&lt;Cite&gt;&lt;Author&gt;Leung&lt;/Author&gt;&lt;Year&gt;2010&lt;/Year&gt;&lt;RecNum&gt;269&lt;/RecNum&gt;&lt;DisplayText&gt;[44]&lt;/DisplayText&gt;&lt;record&gt;&lt;rec-number&gt;269&lt;/rec-number&gt;&lt;foreign-keys&gt;&lt;key app="EN" db-id="5sa9s0e0r0d9fnexra7pr5xdwd5ztevx95s2" timestamp="1559208984"&gt;269&lt;/key&gt;&lt;/foreign-keys&gt;&lt;ref-type name="Journal Article"&gt;17&lt;/ref-type&gt;&lt;contributors&gt;&lt;authors&gt;&lt;author&gt;Leung, Kevin&lt;/author&gt;&lt;author&gt;Budzien, Joanne L.&lt;/author&gt;&lt;/authors&gt;&lt;/contributors&gt;&lt;titles&gt;&lt;title&gt;Ab initio molecular dynamics simulations of the initial stages of solid–electrolyte interphase formation on lithium ion battery graphitic anodes&lt;/title&gt;&lt;secondary-title&gt;Physical Chemistry Chemical Physics&lt;/secondary-title&gt;&lt;/titles&gt;&lt;periodical&gt;&lt;full-title&gt;Physical Chemistry Chemical Physics&lt;/full-title&gt;&lt;abbr-1&gt;Phys. Chem. Chem. Phys.&lt;/abbr-1&gt;&lt;/periodical&gt;&lt;pages&gt;6583-6586&lt;/pages&gt;&lt;volume&gt;12&lt;/volume&gt;&lt;number&gt;25&lt;/number&gt;&lt;dates&gt;&lt;year&gt;2010&lt;/year&gt;&lt;/dates&gt;&lt;publisher&gt;The Royal Society of Chemistry&lt;/publisher&gt;&lt;isbn&gt;1463-9076&lt;/isbn&gt;&lt;work-type&gt;10.1039/B925853A&lt;/work-type&gt;&lt;urls&gt;&lt;related-urls&gt;&lt;url&gt;http://dx.doi.org/10.1039/B925853A&lt;/url&gt;&lt;/related-urls&gt;&lt;/urls&gt;&lt;electronic-resource-num&gt;10.1039/B925853A&lt;/electronic-resource-num&gt;&lt;/record&gt;&lt;/Cite&gt;&lt;/EndNote&gt;</w:instrText>
      </w:r>
      <w:r w:rsidRPr="0092670C">
        <w:rPr>
          <w:rFonts w:ascii="Arial" w:hAnsi="Arial" w:cs="Arial"/>
        </w:rPr>
        <w:fldChar w:fldCharType="separate"/>
      </w:r>
      <w:r w:rsidR="00C10A8D">
        <w:rPr>
          <w:rFonts w:ascii="Arial" w:hAnsi="Arial" w:cs="Arial"/>
          <w:noProof/>
        </w:rPr>
        <w:t>[44]</w:t>
      </w:r>
      <w:r w:rsidRPr="0092670C">
        <w:rPr>
          <w:rFonts w:ascii="Arial" w:hAnsi="Arial" w:cs="Arial"/>
        </w:rPr>
        <w:fldChar w:fldCharType="end"/>
      </w:r>
      <w:r w:rsidRPr="0092670C">
        <w:rPr>
          <w:rFonts w:ascii="Arial" w:hAnsi="Arial" w:cs="Arial"/>
        </w:rPr>
        <w:t>. They found that depending upon the C-O bond that is cleaved at the start either CO or C</w:t>
      </w:r>
      <w:r w:rsidRPr="0092670C">
        <w:rPr>
          <w:rFonts w:ascii="Arial" w:hAnsi="Arial" w:cs="Arial"/>
          <w:vertAlign w:val="subscript"/>
        </w:rPr>
        <w:t>2</w:t>
      </w:r>
      <w:r w:rsidRPr="0092670C">
        <w:rPr>
          <w:rFonts w:ascii="Arial" w:hAnsi="Arial" w:cs="Arial"/>
        </w:rPr>
        <w:t>H</w:t>
      </w:r>
      <w:r w:rsidRPr="0092670C">
        <w:rPr>
          <w:rFonts w:ascii="Arial" w:hAnsi="Arial" w:cs="Arial"/>
          <w:vertAlign w:val="subscript"/>
        </w:rPr>
        <w:t>4</w:t>
      </w:r>
      <w:r w:rsidRPr="0092670C">
        <w:rPr>
          <w:rFonts w:ascii="Arial" w:hAnsi="Arial" w:cs="Arial"/>
        </w:rPr>
        <w:t xml:space="preserve"> can be formed. Both CO and C</w:t>
      </w:r>
      <w:r w:rsidRPr="0092670C">
        <w:rPr>
          <w:rFonts w:ascii="Arial" w:hAnsi="Arial" w:cs="Arial"/>
          <w:vertAlign w:val="subscript"/>
        </w:rPr>
        <w:t>2</w:t>
      </w:r>
      <w:r w:rsidRPr="0092670C">
        <w:rPr>
          <w:rFonts w:ascii="Arial" w:hAnsi="Arial" w:cs="Arial"/>
        </w:rPr>
        <w:t>H</w:t>
      </w:r>
      <w:r w:rsidRPr="0092670C">
        <w:rPr>
          <w:rFonts w:ascii="Arial" w:hAnsi="Arial" w:cs="Arial"/>
          <w:vertAlign w:val="subscript"/>
        </w:rPr>
        <w:t>4</w:t>
      </w:r>
      <w:r w:rsidRPr="0092670C">
        <w:rPr>
          <w:rFonts w:ascii="Arial" w:hAnsi="Arial" w:cs="Arial"/>
        </w:rPr>
        <w:t xml:space="preserve"> have been found experimentally in the SEI given credence to the models</w:t>
      </w:r>
      <w:r w:rsidR="00F5092A"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&lt;EndNote&gt;&lt;Cite&gt;&lt;Author&gt;Onuki&lt;/Author&gt;&lt;Year&gt;2008&lt;/Year&gt;&lt;RecNum&gt;270&lt;/RecNum&gt;&lt;DisplayText&gt;[45]&lt;/DisplayText&gt;&lt;record&gt;&lt;rec-number&gt;270&lt;/rec-number&gt;&lt;foreign-keys&gt;&lt;key app="EN" db-id="5sa9s0e0r0d9fnexra7pr5xdwd5ztevx95s2" timestamp="1559217329"&gt;270&lt;/key&gt;&lt;/foreign-keys&gt;&lt;ref-type name="Journal Article"&gt;17&lt;/ref-type&gt;&lt;contributors&gt;&lt;authors&gt;&lt;author&gt;Onuki, Masamichi&lt;/author&gt;&lt;author&gt;Kinoshita, Shinichi&lt;/author&gt;&lt;author&gt;Sakata, Yuuichi&lt;/author&gt;&lt;author&gt;Yanagidate, Miwa&lt;/author&gt;&lt;author&gt;Otake, Yumiko&lt;/author&gt;&lt;author&gt;Ue, Makoto&lt;/author&gt;&lt;author&gt;Deguchi, Masaki&lt;/author&gt;&lt;/authors&gt;&lt;/contributors&gt;&lt;titles&gt;&lt;title&gt;Identification of the Source of Evolved Gas in Li-Ion Batteries Using #2#1 -labeled Solvents&lt;/title&gt;&lt;secondary-title&gt;Journal of The Electrochemical Society&lt;/secondary-title&gt;&lt;/titles&gt;&lt;periodical&gt;&lt;full-title&gt;Journal of the Electrochemical Society&lt;/full-title&gt;&lt;abbr-1&gt;J. Electrochem. Soc.&lt;/abbr-1&gt;&lt;/periodical&gt;&lt;pages&gt;A794-A797&lt;/pages&gt;&lt;volume&gt;155&lt;/volume&gt;&lt;number&gt;11&lt;/number&gt;&lt;dates&gt;&lt;year&gt;2008&lt;/year&gt;&lt;pub-dates&gt;&lt;date&gt;November 1, 2008&lt;/date&gt;&lt;/pub-dates&gt;&lt;/dates&gt;&lt;urls&gt;&lt;related-urls&gt;&lt;url&gt;http://jes.ecsdl.org/content/155/11/A794.abstract&lt;/url&gt;&lt;/related-urls&gt;&lt;/urls&gt;&lt;electronic-resource-num&gt;10.1149/1.2969947&lt;/electronic-resource-num&gt;&lt;/record&gt;&lt;/Cite&gt;&lt;/EndNote&gt;</w:instrText>
      </w:r>
      <w:r w:rsidRPr="0092670C">
        <w:rPr>
          <w:rFonts w:ascii="Arial" w:hAnsi="Arial" w:cs="Arial"/>
        </w:rPr>
        <w:fldChar w:fldCharType="separate"/>
      </w:r>
      <w:r w:rsidR="00C10A8D">
        <w:rPr>
          <w:rFonts w:ascii="Arial" w:hAnsi="Arial" w:cs="Arial"/>
          <w:noProof/>
        </w:rPr>
        <w:t>[45]</w:t>
      </w:r>
      <w:r w:rsidRPr="0092670C">
        <w:rPr>
          <w:rFonts w:ascii="Arial" w:hAnsi="Arial" w:cs="Arial"/>
        </w:rPr>
        <w:fldChar w:fldCharType="end"/>
      </w:r>
      <w:r w:rsidRPr="0092670C">
        <w:rPr>
          <w:rFonts w:ascii="Arial" w:hAnsi="Arial" w:cs="Arial"/>
        </w:rPr>
        <w:t>. Leung found that CO is the kinetically favoured product and C</w:t>
      </w:r>
      <w:r w:rsidRPr="0092670C">
        <w:rPr>
          <w:rFonts w:ascii="Arial" w:hAnsi="Arial" w:cs="Arial"/>
          <w:vertAlign w:val="subscript"/>
        </w:rPr>
        <w:t>2</w:t>
      </w:r>
      <w:r w:rsidRPr="0092670C">
        <w:rPr>
          <w:rFonts w:ascii="Arial" w:hAnsi="Arial" w:cs="Arial"/>
        </w:rPr>
        <w:t>H</w:t>
      </w:r>
      <w:r w:rsidRPr="0092670C">
        <w:rPr>
          <w:rFonts w:ascii="Arial" w:hAnsi="Arial" w:cs="Arial"/>
          <w:vertAlign w:val="subscript"/>
        </w:rPr>
        <w:t>4</w:t>
      </w:r>
      <w:r w:rsidRPr="0092670C">
        <w:rPr>
          <w:rFonts w:ascii="Arial" w:hAnsi="Arial" w:cs="Arial"/>
        </w:rPr>
        <w:t xml:space="preserve"> is the thermodynamically favoured product</w:t>
      </w:r>
      <w:r w:rsidR="00F5092A"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&lt;EndNote&gt;&lt;Cite&gt;&lt;Author&gt;Leung&lt;/Author&gt;&lt;Year&gt;2013&lt;/Year&gt;&lt;RecNum&gt;278&lt;/RecNum&gt;&lt;DisplayText&gt;[46]&lt;/DisplayText&gt;&lt;record&gt;&lt;rec-number&gt;278&lt;/rec-number&gt;&lt;foreign-keys&gt;&lt;key app="EN" db-id="5sa9s0e0r0d9fnexra7pr5xdwd5ztevx95s2" timestamp="1559295625"&gt;278&lt;/key&gt;&lt;/foreign-keys&gt;&lt;ref-type name="Journal Article"&gt;17&lt;/ref-type&gt;&lt;contributors&gt;&lt;authors&gt;&lt;author&gt;Leung, Kevin&lt;/author&gt;&lt;/authors&gt;&lt;/contributors&gt;&lt;titles&gt;&lt;title&gt;Two-electron reduction of ethylene carbonate: A quantum chemistry re-examination of mechanisms&lt;/title&gt;&lt;secondary-title&gt;Chemical Physics Letters&lt;/secondary-title&gt;&lt;/titles&gt;&lt;periodical&gt;&lt;full-title&gt;Chemical Physics Letters&lt;/full-title&gt;&lt;/periodical&gt;&lt;pages&gt;1-8&lt;/pages&gt;&lt;volume&gt;568-569&lt;/volume&gt;&lt;dates&gt;&lt;year&gt;2013&lt;/year&gt;&lt;pub-dates&gt;&lt;date&gt;2013/05/01/&lt;/date&gt;&lt;/pub-dates&gt;&lt;/dates&gt;&lt;isbn&gt;0009-2614&lt;/isbn&gt;&lt;urls&gt;&lt;related-urls&gt;&lt;url&gt;http://www.sciencedirect.com/science/article/pii/S0009261412009384&lt;/url&gt;&lt;/related-urls&gt;&lt;/urls&gt;&lt;electronic-resource-num&gt;https://doi.org/10.1016/j.cplett.2012.08.022&lt;/electronic-resource-num&gt;&lt;/record&gt;&lt;/Cite&gt;&lt;/EndNote&gt;</w:instrText>
      </w:r>
      <w:r w:rsidRPr="0092670C">
        <w:rPr>
          <w:rFonts w:ascii="Arial" w:hAnsi="Arial" w:cs="Arial"/>
        </w:rPr>
        <w:fldChar w:fldCharType="separate"/>
      </w:r>
      <w:r w:rsidR="00C10A8D">
        <w:rPr>
          <w:rFonts w:ascii="Arial" w:hAnsi="Arial" w:cs="Arial"/>
          <w:noProof/>
        </w:rPr>
        <w:t>[46]</w:t>
      </w:r>
      <w:r w:rsidRPr="0092670C">
        <w:rPr>
          <w:rFonts w:ascii="Arial" w:hAnsi="Arial" w:cs="Arial"/>
        </w:rPr>
        <w:fldChar w:fldCharType="end"/>
      </w:r>
      <w:r w:rsidRPr="0092670C">
        <w:rPr>
          <w:rFonts w:ascii="Arial" w:hAnsi="Arial" w:cs="Arial"/>
        </w:rPr>
        <w:t xml:space="preserve">. The products aren’t affected by the Curtin-Hammett principle because the radicals don’t interconvert once the ring is open. </w:t>
      </w:r>
    </w:p>
    <w:p w14:paraId="3DF3395E" w14:textId="6ECF392C" w:rsidR="003E14AA" w:rsidRPr="0092670C" w:rsidRDefault="003E14AA" w:rsidP="003E14AA">
      <w:pPr>
        <w:spacing w:line="360" w:lineRule="auto"/>
        <w:jc w:val="both"/>
        <w:rPr>
          <w:rFonts w:ascii="Arial" w:hAnsi="Arial" w:cs="Arial"/>
        </w:rPr>
      </w:pPr>
      <w:r w:rsidRPr="0092670C">
        <w:rPr>
          <w:rFonts w:ascii="Arial" w:hAnsi="Arial" w:cs="Arial"/>
        </w:rPr>
        <w:t>Several voltages have been postulated for the onset of SEI formation but the one most commonly mentioned is 0.8V vs. Li/Li</w:t>
      </w:r>
      <w:r w:rsidRPr="0092670C">
        <w:rPr>
          <w:rFonts w:ascii="Arial" w:hAnsi="Arial" w:cs="Arial"/>
          <w:vertAlign w:val="superscript"/>
        </w:rPr>
        <w:t>+</w:t>
      </w:r>
      <w:r w:rsidR="003206FF" w:rsidRPr="0092670C">
        <w:rPr>
          <w:rFonts w:ascii="Arial" w:hAnsi="Arial" w:cs="Arial"/>
          <w:vertAlign w:val="superscript"/>
        </w:rPr>
        <w:t xml:space="preserve"> </w:t>
      </w:r>
      <w:r w:rsidRPr="0092670C">
        <w:rPr>
          <w:rFonts w:ascii="Arial"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[34]</w:t>
      </w:r>
      <w:r w:rsidRPr="0092670C">
        <w:rPr>
          <w:rFonts w:ascii="Arial" w:hAnsi="Arial" w:cs="Arial"/>
        </w:rPr>
        <w:fldChar w:fldCharType="end"/>
      </w:r>
      <w:r w:rsidRPr="0092670C">
        <w:rPr>
          <w:rFonts w:ascii="Arial" w:hAnsi="Arial" w:cs="Arial"/>
        </w:rPr>
        <w:t>.  This value has been hard to confirm computationally using either QM or MD</w:t>
      </w:r>
      <w:r w:rsidR="00CB472B">
        <w:rPr>
          <w:rFonts w:ascii="Arial" w:hAnsi="Arial" w:cs="Arial"/>
        </w:rPr>
        <w:t xml:space="preserve"> </w:t>
      </w:r>
      <w:r w:rsidRPr="0092670C">
        <w:rPr>
          <w:rFonts w:ascii="Arial" w:hAnsi="Arial" w:cs="Arial"/>
        </w:rPr>
        <w:fldChar w:fldCharType="begin">
          <w:fldData xml:space="preserve">PEVuZE5vdGU+PENpdGU+PEF1dGhvcj5MZXVuZzwvQXV0aG9yPjxZZWFyPjIwMTM8L1llYXI+PFJl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PEVuZE5vdGU+PENpdGU+PEF1dGhvcj5MZXVuZzwvQXV0aG9yPjxZZWFyPjIwMTM8L1llYXI+PFJl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[47, 48]</w:t>
      </w:r>
      <w:r w:rsidRPr="0092670C">
        <w:rPr>
          <w:rFonts w:ascii="Arial" w:hAnsi="Arial" w:cs="Arial"/>
        </w:rPr>
        <w:fldChar w:fldCharType="end"/>
      </w:r>
      <w:r w:rsidRPr="0092670C">
        <w:rPr>
          <w:rFonts w:ascii="Arial" w:hAnsi="Arial" w:cs="Arial"/>
        </w:rPr>
        <w:t xml:space="preserve">. Wang used a Hess cycle and found a value of </w:t>
      </w:r>
      <w:r w:rsidR="006A1B4E" w:rsidRPr="0092670C">
        <w:rPr>
          <w:rFonts w:ascii="Arial" w:hAnsi="Arial" w:cs="Arial"/>
        </w:rPr>
        <w:t xml:space="preserve">0.84 </w:t>
      </w:r>
      <w:r w:rsidRPr="0092670C">
        <w:rPr>
          <w:rFonts w:ascii="Arial" w:hAnsi="Arial" w:cs="Arial"/>
        </w:rPr>
        <w:t xml:space="preserve">V </w:t>
      </w:r>
      <w:r w:rsidR="007B2AE4" w:rsidRPr="0092670C">
        <w:rPr>
          <w:rFonts w:ascii="Arial" w:hAnsi="Arial" w:cs="Arial"/>
        </w:rPr>
        <w:t>v</w:t>
      </w:r>
      <w:r w:rsidRPr="0092670C">
        <w:rPr>
          <w:rFonts w:ascii="Arial" w:hAnsi="Arial" w:cs="Arial"/>
        </w:rPr>
        <w:t xml:space="preserve">s. </w:t>
      </w:r>
      <w:r w:rsidR="006A1B4E" w:rsidRPr="0092670C">
        <w:rPr>
          <w:rFonts w:ascii="Arial" w:hAnsi="Arial" w:cs="Arial"/>
        </w:rPr>
        <w:t>Li/Li</w:t>
      </w:r>
      <w:r w:rsidR="006A1B4E" w:rsidRPr="0092670C">
        <w:rPr>
          <w:rFonts w:ascii="Arial" w:hAnsi="Arial" w:cs="Arial"/>
          <w:vertAlign w:val="superscript"/>
        </w:rPr>
        <w:t xml:space="preserve">+ </w:t>
      </w:r>
      <w:r w:rsidRPr="0092670C">
        <w:rPr>
          <w:rFonts w:ascii="Arial" w:hAnsi="Arial" w:cs="Arial"/>
        </w:rPr>
        <w:t xml:space="preserve"> which is comparable to the </w:t>
      </w:r>
      <w:r w:rsidR="00B265FC">
        <w:rPr>
          <w:rFonts w:ascii="Arial" w:hAnsi="Arial" w:cs="Arial"/>
        </w:rPr>
        <w:t>experimentally derived</w:t>
      </w:r>
      <w:r w:rsidRPr="0092670C">
        <w:rPr>
          <w:rFonts w:ascii="Arial" w:hAnsi="Arial" w:cs="Arial"/>
        </w:rPr>
        <w:t xml:space="preserve"> value of </w:t>
      </w:r>
      <w:r w:rsidR="002F31A6" w:rsidRPr="0092670C">
        <w:rPr>
          <w:rFonts w:ascii="Arial" w:hAnsi="Arial" w:cs="Arial"/>
        </w:rPr>
        <w:t>0.68</w:t>
      </w:r>
      <w:r w:rsidRPr="0092670C">
        <w:rPr>
          <w:rFonts w:ascii="Arial" w:hAnsi="Arial" w:cs="Arial"/>
        </w:rPr>
        <w:t xml:space="preserve">V </w:t>
      </w:r>
      <w:r w:rsidR="007B2AE4" w:rsidRPr="0092670C">
        <w:rPr>
          <w:rFonts w:ascii="Arial" w:hAnsi="Arial" w:cs="Arial"/>
        </w:rPr>
        <w:t>v</w:t>
      </w:r>
      <w:r w:rsidRPr="0092670C">
        <w:rPr>
          <w:rFonts w:ascii="Arial" w:hAnsi="Arial" w:cs="Arial"/>
        </w:rPr>
        <w:t xml:space="preserve">s. </w:t>
      </w:r>
      <w:r w:rsidR="002F31A6" w:rsidRPr="0092670C">
        <w:rPr>
          <w:rFonts w:ascii="Arial" w:hAnsi="Arial" w:cs="Arial"/>
        </w:rPr>
        <w:t>Li/Li</w:t>
      </w:r>
      <w:r w:rsidR="002F31A6" w:rsidRPr="0092670C">
        <w:rPr>
          <w:rFonts w:ascii="Arial" w:hAnsi="Arial" w:cs="Arial"/>
          <w:vertAlign w:val="superscript"/>
        </w:rPr>
        <w:t>+</w:t>
      </w:r>
      <w:r w:rsidR="004D70AF">
        <w:rPr>
          <w:rFonts w:ascii="Arial" w:hAnsi="Arial" w:cs="Arial"/>
          <w:vertAlign w:val="superscript"/>
        </w:rPr>
        <w:t xml:space="preserve"> </w:t>
      </w:r>
      <w:r w:rsidR="004D70AF">
        <w:rPr>
          <w:rFonts w:ascii="Arial" w:hAnsi="Arial" w:cs="Arial"/>
        </w:rPr>
        <w:t>,although this value has been disputed</w:t>
      </w:r>
      <w:r w:rsidR="002F31A6" w:rsidRPr="0092670C">
        <w:rPr>
          <w:rFonts w:ascii="Arial" w:hAnsi="Arial" w:cs="Arial"/>
          <w:vertAlign w:val="superscript"/>
        </w:rPr>
        <w:t xml:space="preserve"> </w:t>
      </w:r>
      <w:r w:rsidR="003206FF" w:rsidRPr="0092670C">
        <w:rPr>
          <w:rFonts w:ascii="Arial" w:hAnsi="Arial" w:cs="Arial"/>
        </w:rPr>
        <w:t xml:space="preserve"> </w:t>
      </w:r>
      <w:r w:rsidRPr="0092670C">
        <w:rPr>
          <w:rFonts w:ascii="Arial" w:hAnsi="Arial" w:cs="Arial"/>
        </w:rPr>
        <w:fldChar w:fldCharType="begin">
          <w:fldData xml:space="preserve">PEVuZE5vdGU+PENpdGU+PEF1dGhvcj5XYW5nPC9BdXRob3I+PFllYXI+MjAwMTwvWWVhcj48UmVj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</w:fldData>
        </w:fldChar>
      </w:r>
      <w:r w:rsidR="004D70AF">
        <w:rPr>
          <w:rFonts w:ascii="Arial" w:hAnsi="Arial" w:cs="Arial"/>
        </w:rPr>
        <w:instrText xml:space="preserve"> ADDIN EN.CITE </w:instrText>
      </w:r>
      <w:r w:rsidR="004D70AF">
        <w:rPr>
          <w:rFonts w:ascii="Arial" w:hAnsi="Arial" w:cs="Arial"/>
        </w:rPr>
        <w:fldChar w:fldCharType="begin">
          <w:fldData xml:space="preserve">PEVuZE5vdGU+PENpdGU+PEF1dGhvcj5XYW5nPC9BdXRob3I+PFllYXI+MjAwMTwvWWVhcj48UmVj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</w:fldData>
        </w:fldChar>
      </w:r>
      <w:r w:rsidR="004D70AF">
        <w:rPr>
          <w:rFonts w:ascii="Arial" w:hAnsi="Arial" w:cs="Arial"/>
        </w:rPr>
        <w:instrText xml:space="preserve"> ADDIN EN.CITE.DATA </w:instrText>
      </w:r>
      <w:r w:rsidR="004D70AF">
        <w:rPr>
          <w:rFonts w:ascii="Arial" w:hAnsi="Arial" w:cs="Arial"/>
        </w:rPr>
      </w:r>
      <w:r w:rsidR="004D70AF">
        <w:rPr>
          <w:rFonts w:ascii="Arial" w:hAnsi="Arial" w:cs="Arial"/>
        </w:rPr>
        <w:fldChar w:fldCharType="end"/>
      </w:r>
      <w:r w:rsidRPr="0092670C">
        <w:rPr>
          <w:rFonts w:ascii="Arial" w:hAnsi="Arial" w:cs="Arial"/>
        </w:rPr>
      </w:r>
      <w:r w:rsidRPr="0092670C">
        <w:rPr>
          <w:rFonts w:ascii="Arial" w:hAnsi="Arial" w:cs="Arial"/>
        </w:rPr>
        <w:fldChar w:fldCharType="separate"/>
      </w:r>
      <w:r w:rsidR="004D70AF">
        <w:rPr>
          <w:rFonts w:ascii="Arial" w:hAnsi="Arial" w:cs="Arial"/>
          <w:noProof/>
        </w:rPr>
        <w:t>[34, 43]</w:t>
      </w:r>
      <w:r w:rsidRPr="0092670C">
        <w:rPr>
          <w:rFonts w:ascii="Arial" w:hAnsi="Arial" w:cs="Arial"/>
        </w:rPr>
        <w:fldChar w:fldCharType="end"/>
      </w:r>
      <w:r w:rsidRPr="0092670C">
        <w:rPr>
          <w:rFonts w:ascii="Arial" w:hAnsi="Arial" w:cs="Arial"/>
        </w:rPr>
        <w:t>. Leung and Tenney mad a model half-cell system with an LiC</w:t>
      </w:r>
      <w:r w:rsidRPr="0092670C">
        <w:rPr>
          <w:rFonts w:ascii="Arial" w:hAnsi="Arial" w:cs="Arial"/>
          <w:vertAlign w:val="subscript"/>
        </w:rPr>
        <w:t>6</w:t>
      </w:r>
      <w:r w:rsidRPr="0092670C">
        <w:rPr>
          <w:rFonts w:ascii="Arial" w:hAnsi="Arial" w:cs="Arial"/>
        </w:rPr>
        <w:t>-EC interface</w:t>
      </w:r>
      <w:r w:rsidR="00F508C7"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&lt;EndNote&gt;&lt;Cite&gt;&lt;Author&gt;Leung&lt;/Author&gt;&lt;Year&gt;2013&lt;/Year&gt;&lt;RecNum&gt;272&lt;/RecNum&gt;&lt;DisplayText&gt;[47]&lt;/DisplayText&gt;&lt;record&gt;&lt;rec-number&gt;272&lt;/rec-number&gt;&lt;foreign-keys&gt;&lt;key app="EN" db-id="5sa9s0e0r0d9fnexra7pr5xdwd5ztevx95s2" timestamp="1559221910"&gt;272&lt;/key&gt;&lt;/foreign-keys&gt;&lt;ref-type name="Journal Article"&gt;17&lt;/ref-type&gt;&lt;contributors&gt;&lt;authors&gt;&lt;author&gt;Leung, Kevin&lt;/author&gt;&lt;author&gt;Tenney, Craig M.&lt;/author&gt;&lt;/authors&gt;&lt;/contributors&gt;&lt;titles&gt;&lt;title&gt;Toward First Principles Prediction of Voltage Dependences of Electrolyte/Electrolyte Interfacial Processes in Lithium Ion Batteries&lt;/title&gt;&lt;secondary-title&gt;The Journal of Physical Chemistry C&lt;/secondary-title&gt;&lt;/titles&gt;&lt;periodical&gt;&lt;full-title&gt;The Journal of Physical Chemistry C&lt;/full-title&gt;&lt;/periodical&gt;&lt;pages&gt;24224-24235&lt;/pages&gt;&lt;volume&gt;117&lt;/volume&gt;&lt;number&gt;46&lt;/number&gt;&lt;dates&gt;&lt;year&gt;2013&lt;/year&gt;&lt;pub-dates&gt;&lt;date&gt;2013/11/21&lt;/date&gt;&lt;/pub-dates&gt;&lt;/dates&gt;&lt;publisher&gt;American Chemical Society&lt;/publisher&gt;&lt;isbn&gt;1932-7447&lt;/isbn&gt;&lt;urls&gt;&lt;related-urls&gt;&lt;url&gt;https://doi.org/10.1021/jp408974k&lt;/url&gt;&lt;/related-urls&gt;&lt;/urls&gt;&lt;electronic-resource-num&gt;10.1021/jp408974k&lt;/electronic-resource-num&gt;&lt;/record&gt;&lt;/Cite&gt;&lt;/EndNote&gt;</w:instrText>
      </w:r>
      <w:r w:rsidRPr="0092670C">
        <w:rPr>
          <w:rFonts w:ascii="Arial" w:hAnsi="Arial" w:cs="Arial"/>
        </w:rPr>
        <w:fldChar w:fldCharType="separate"/>
      </w:r>
      <w:r w:rsidR="00C10A8D">
        <w:rPr>
          <w:rFonts w:ascii="Arial" w:hAnsi="Arial" w:cs="Arial"/>
          <w:noProof/>
        </w:rPr>
        <w:t>[47]</w:t>
      </w:r>
      <w:r w:rsidRPr="0092670C">
        <w:rPr>
          <w:rFonts w:ascii="Arial" w:hAnsi="Arial" w:cs="Arial"/>
        </w:rPr>
        <w:fldChar w:fldCharType="end"/>
      </w:r>
      <w:r w:rsidRPr="0092670C">
        <w:rPr>
          <w:rFonts w:ascii="Arial" w:hAnsi="Arial" w:cs="Arial"/>
        </w:rPr>
        <w:t>. They found that below 1.24V Vs. Li/Li</w:t>
      </w:r>
      <w:r w:rsidRPr="0092670C">
        <w:rPr>
          <w:rFonts w:ascii="Arial" w:hAnsi="Arial" w:cs="Arial"/>
          <w:vertAlign w:val="superscript"/>
        </w:rPr>
        <w:t>+</w:t>
      </w:r>
      <w:r w:rsidRPr="0092670C">
        <w:rPr>
          <w:rFonts w:ascii="Arial" w:hAnsi="Arial" w:cs="Arial"/>
        </w:rPr>
        <w:t xml:space="preserve"> the anode surface starts accumulating a negative charge. This negative charge can be used to start the radical SEI reactions. Once the cell reaches the breakdown voltage then SEI formation will begin. The value of 0.8V is electrolyte dependant </w:t>
      </w:r>
      <w:r w:rsidR="00040048">
        <w:rPr>
          <w:rFonts w:ascii="Arial" w:hAnsi="Arial" w:cs="Arial"/>
        </w:rPr>
        <w:t xml:space="preserve">is seen later in </w:t>
      </w:r>
      <w:r w:rsidR="00CD5E3C">
        <w:rPr>
          <w:rFonts w:ascii="Arial" w:hAnsi="Arial" w:cs="Arial"/>
        </w:rPr>
        <w:t>1.9</w:t>
      </w:r>
      <w:r w:rsidRPr="0092670C">
        <w:rPr>
          <w:rFonts w:ascii="Arial" w:hAnsi="Arial" w:cs="Arial"/>
        </w:rPr>
        <w:t xml:space="preserve">. Borodin </w:t>
      </w:r>
      <w:r w:rsidRPr="0092670C">
        <w:rPr>
          <w:rFonts w:ascii="Arial" w:hAnsi="Arial" w:cs="Arial"/>
          <w:i/>
        </w:rPr>
        <w:t xml:space="preserve">et al. </w:t>
      </w:r>
      <w:r w:rsidRPr="0092670C">
        <w:rPr>
          <w:rFonts w:ascii="Arial" w:hAnsi="Arial" w:cs="Arial"/>
        </w:rPr>
        <w:t>found that the onset potential also depends on what stage of SEI formation is occurring</w:t>
      </w:r>
      <w:r w:rsidR="009E6E3F" w:rsidRPr="0092670C">
        <w:rPr>
          <w:rFonts w:ascii="Arial" w:hAnsi="Arial" w:cs="Arial"/>
        </w:rPr>
        <w:t xml:space="preserve"> </w:t>
      </w:r>
      <w:r w:rsidR="004D2F4D" w:rsidRPr="0092670C">
        <w:rPr>
          <w:rFonts w:ascii="Arial" w:hAnsi="Arial" w:cs="Arial"/>
        </w:rPr>
        <w:fldChar w:fldCharType="begin"/>
      </w:r>
      <w:r w:rsidR="00C10A8D">
        <w:rPr>
          <w:rFonts w:ascii="Arial" w:hAnsi="Arial" w:cs="Arial"/>
        </w:rPr>
        <w:instrText xml:space="preserve"> ADDIN EN.CITE &lt;EndNote&gt;&lt;Cite&gt;&lt;Author&gt;Delp&lt;/Author&gt;&lt;Year&gt;2016&lt;/Year&gt;&lt;RecNum&gt;337&lt;/RecNum&gt;&lt;DisplayText&gt;[49, 50]&lt;/DisplayText&gt;&lt;record&gt;&lt;rec-number&gt;337&lt;/rec-number&gt;&lt;foreign-keys&gt;&lt;key app="EN" db-id="5sa9s0e0r0d9fnexra7pr5xdwd5ztevx95s2" timestamp="1563290360"&gt;337&lt;/key&gt;&lt;/foreign-keys&gt;&lt;ref-type name="Journal Article"&gt;17&lt;/ref-type&gt;&lt;contributors&gt;&lt;authors&gt;&lt;author&gt;Delp, Samuel A&lt;/author&gt;&lt;author&gt;Borodin, Oleg&lt;/author&gt;&lt;author&gt;Olguin, Marco&lt;/author&gt;&lt;author&gt;Eisner, Claire G&lt;/author&gt;&lt;author&gt;Allen, Joshua L&lt;/author&gt;&lt;author&gt;Jow, T Richard&lt;/author&gt;&lt;/authors&gt;&lt;/contributors&gt;&lt;titles&gt;&lt;title&gt;Importance of reduction and oxidation stability of high voltage electrolytes and additives&lt;/title&gt;&lt;secondary-title&gt;Electrochimica Acta&lt;/secondary-title&gt;&lt;/titles&gt;&lt;periodical&gt;&lt;full-title&gt;Electrochimica Acta&lt;/full-title&gt;&lt;/periodical&gt;&lt;pages&gt;498-510&lt;/pages&gt;&lt;volume&gt;209&lt;/volume&gt;&lt;dates&gt;&lt;year&gt;2016&lt;/year&gt;&lt;/dates&gt;&lt;isbn&gt;0013-4686&lt;/isbn&gt;&lt;urls&gt;&lt;/urls&gt;&lt;/record&gt;&lt;/Cite&gt;&lt;Cite&gt;&lt;Author&gt;Borodin&lt;/Author&gt;&lt;Year&gt;2015&lt;/Year&gt;&lt;RecNum&gt;276&lt;/RecNum&gt;&lt;record&gt;&lt;rec-number&gt;276&lt;/rec-number&gt;&lt;foreign-keys&gt;&lt;key app="EN" db-id="5sa9s0e0r0d9fnexra7pr5xdwd5ztevx95s2" timestamp="1559234231"&gt;276&lt;/key&gt;&lt;/foreign-keys&gt;&lt;ref-type name="Journal Article"&gt;17&lt;/ref-type&gt;&lt;contributors&gt;&lt;authors&gt;&lt;author&gt;Borodin, Oleg&lt;/author&gt;&lt;author&gt;Olguin, Marco&lt;/author&gt;&lt;author&gt;Spear, Carrie E.&lt;/author&gt;&lt;author&gt;Leiter, Kenneth W.&lt;/author&gt;&lt;author&gt;Knap, Jaroslaw&lt;/author&gt;&lt;/authors&gt;&lt;/contributors&gt;&lt;titles&gt;&lt;title&gt;Towards high throughput screening of electrochemical stability of battery electrolytes&lt;/title&gt;&lt;secondary-title&gt;Nanotechnology&lt;/secondary-title&gt;&lt;/titles&gt;&lt;periodical&gt;&lt;full-title&gt;Nanotechnology&lt;/full-title&gt;&lt;/periodical&gt;&lt;pages&gt;354003&lt;/pages&gt;&lt;volume&gt;26&lt;/volume&gt;&lt;number&gt;35&lt;/number&gt;&lt;dates&gt;&lt;year&gt;2015&lt;/year&gt;&lt;pub-dates&gt;&lt;date&gt;2015/08/12&lt;/date&gt;&lt;/pub-dates&gt;&lt;/dates&gt;&lt;publisher&gt;IOP Publishing&lt;/publisher&gt;&lt;isbn&gt;0957-4484&amp;#xD;1361-6528&lt;/isbn&gt;&lt;urls&gt;&lt;related-urls&gt;&lt;url&gt;http://dx.doi.org/10.1088/0957-4484/26/35/354003&lt;/url&gt;&lt;/related-urls&gt;&lt;/urls&gt;&lt;electronic-resource-num&gt;10.1088/0957-4484/26/35/354003&lt;/electronic-resource-num&gt;&lt;/record&gt;&lt;/Cite&gt;&lt;/EndNote&gt;</w:instrText>
      </w:r>
      <w:r w:rsidR="004D2F4D" w:rsidRPr="0092670C">
        <w:rPr>
          <w:rFonts w:ascii="Arial" w:hAnsi="Arial" w:cs="Arial"/>
        </w:rPr>
        <w:fldChar w:fldCharType="separate"/>
      </w:r>
      <w:r w:rsidR="00C10A8D">
        <w:rPr>
          <w:rFonts w:ascii="Arial" w:hAnsi="Arial" w:cs="Arial"/>
          <w:noProof/>
        </w:rPr>
        <w:t>[49, 50]</w:t>
      </w:r>
      <w:r w:rsidR="004D2F4D" w:rsidRPr="0092670C">
        <w:rPr>
          <w:rFonts w:ascii="Arial" w:hAnsi="Arial" w:cs="Arial"/>
        </w:rPr>
        <w:fldChar w:fldCharType="end"/>
      </w:r>
      <w:r w:rsidRPr="0092670C">
        <w:rPr>
          <w:rFonts w:ascii="Arial" w:hAnsi="Arial" w:cs="Arial"/>
        </w:rPr>
        <w:t xml:space="preserve">. They screened a range of carbonates and phosphates and found that the second reduction potential is higher than the first in most cases. This demonstrates how both the kinetics and thermodynamics of the system is important. </w:t>
      </w:r>
    </w:p>
    <w:p w14:paraId="36EC9015" w14:textId="67BEDA07" w:rsidR="003E14AA" w:rsidRPr="0092670C" w:rsidRDefault="003E14AA" w:rsidP="003E14AA">
      <w:pPr>
        <w:spacing w:line="360" w:lineRule="auto"/>
        <w:jc w:val="both"/>
        <w:rPr>
          <w:rFonts w:ascii="Arial" w:hAnsi="Arial" w:cs="Arial"/>
        </w:rPr>
      </w:pPr>
      <w:r w:rsidRPr="0092670C">
        <w:rPr>
          <w:rFonts w:ascii="Arial" w:hAnsi="Arial" w:cs="Arial"/>
        </w:rPr>
        <w:t>Most of the above examples have focused on EC as it is known to be important for forming the SEI</w:t>
      </w:r>
      <w:r w:rsidR="009E6E3F"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&lt;EndNote&gt;&lt;Cite&gt;&lt;Author&gt;Peled&lt;/Author&gt;&lt;Year&gt;2017&lt;/Year&gt;&lt;RecNum&gt;132&lt;/RecNum&gt;&lt;DisplayText&gt;[51]&lt;/DisplayText&gt;&lt;record&gt;&lt;rec-number&gt;132&lt;/rec-number&gt;&lt;foreign-keys&gt;&lt;key app="EN" db-id="5sa9s0e0r0d9fnexra7pr5xdwd5ztevx95s2" timestamp="1518797429"&gt;132&lt;/key&gt;&lt;/foreign-keys&gt;&lt;ref-type name="Journal Article"&gt;17&lt;/ref-type&gt;&lt;contributors&gt;&lt;authors&gt;&lt;author&gt;Peled, E.&lt;/author&gt;&lt;author&gt;Menkin, S.&lt;/author&gt;&lt;/authors&gt;&lt;/contributors&gt;&lt;titles&gt;&lt;title&gt;Review—SEI: Past, Present and Future&lt;/title&gt;&lt;secondary-title&gt;Journal of The Electrochemical Society&lt;/secondary-title&gt;&lt;/titles&gt;&lt;periodical&gt;&lt;full-title&gt;Journal of the Electrochemical Society&lt;/full-title&gt;&lt;abbr-1&gt;J. Electrochem. Soc.&lt;/abbr-1&gt;&lt;/periodical&gt;&lt;pages&gt;A1703-A1719&lt;/pages&gt;&lt;volume&gt;164&lt;/volume&gt;&lt;number&gt;7&lt;/number&gt;&lt;dates&gt;&lt;year&gt;2017&lt;/year&gt;&lt;pub-dates&gt;&lt;date&gt;January 1, 2017&lt;/date&gt;&lt;/pub-dates&gt;&lt;/dates&gt;&lt;urls&gt;&lt;related-urls&gt;&lt;url&gt;http://jes.ecsdl.org/content/164/7/A1703.abstract&lt;/url&gt;&lt;/related-urls&gt;&lt;/urls&gt;&lt;electronic-resource-num&gt;10.1149/2.1441707jes&lt;/electronic-resource-num&gt;&lt;/record&gt;&lt;/Cite&gt;&lt;/EndNote&gt;</w:instrText>
      </w:r>
      <w:r w:rsidRPr="0092670C">
        <w:rPr>
          <w:rFonts w:ascii="Arial" w:hAnsi="Arial" w:cs="Arial"/>
        </w:rPr>
        <w:fldChar w:fldCharType="separate"/>
      </w:r>
      <w:r w:rsidR="00C10A8D">
        <w:rPr>
          <w:rFonts w:ascii="Arial" w:hAnsi="Arial" w:cs="Arial"/>
          <w:noProof/>
        </w:rPr>
        <w:t>[51]</w:t>
      </w:r>
      <w:r w:rsidRPr="0092670C">
        <w:rPr>
          <w:rFonts w:ascii="Arial" w:hAnsi="Arial" w:cs="Arial"/>
        </w:rPr>
        <w:fldChar w:fldCharType="end"/>
      </w:r>
      <w:r w:rsidRPr="0092670C">
        <w:rPr>
          <w:rFonts w:ascii="Arial" w:hAnsi="Arial" w:cs="Arial"/>
        </w:rPr>
        <w:t>. It is wrong to focus on one component of the electrolyte, considering th</w:t>
      </w:r>
      <w:r w:rsidR="00E43360" w:rsidRPr="0092670C">
        <w:rPr>
          <w:rFonts w:ascii="Arial" w:hAnsi="Arial" w:cs="Arial"/>
        </w:rPr>
        <w:t>at the</w:t>
      </w:r>
      <w:r w:rsidRPr="0092670C">
        <w:rPr>
          <w:rFonts w:ascii="Arial" w:hAnsi="Arial" w:cs="Arial"/>
        </w:rPr>
        <w:t xml:space="preserve"> SEI</w:t>
      </w:r>
      <w:r w:rsidR="00032D91" w:rsidRPr="0092670C">
        <w:rPr>
          <w:rFonts w:ascii="Arial" w:hAnsi="Arial" w:cs="Arial"/>
        </w:rPr>
        <w:t xml:space="preserve"> forms as a result of the decomposition </w:t>
      </w:r>
      <w:r w:rsidR="00FB0FAA" w:rsidRPr="0092670C">
        <w:rPr>
          <w:rFonts w:ascii="Arial" w:hAnsi="Arial" w:cs="Arial"/>
        </w:rPr>
        <w:t>of</w:t>
      </w:r>
      <w:r w:rsidR="007B5AE5" w:rsidRPr="0092670C">
        <w:rPr>
          <w:rFonts w:ascii="Arial" w:hAnsi="Arial" w:cs="Arial"/>
        </w:rPr>
        <w:t xml:space="preserve"> all of the different components of the SEI and the interactions between them</w:t>
      </w:r>
      <w:r w:rsidRPr="0092670C">
        <w:rPr>
          <w:rFonts w:ascii="Arial" w:hAnsi="Arial" w:cs="Arial"/>
        </w:rPr>
        <w:t>. Considering this</w:t>
      </w:r>
      <w:r w:rsidR="00852028" w:rsidRPr="0092670C">
        <w:rPr>
          <w:rFonts w:ascii="Arial" w:hAnsi="Arial" w:cs="Arial"/>
        </w:rPr>
        <w:t>,</w:t>
      </w:r>
      <w:r w:rsidRPr="0092670C">
        <w:rPr>
          <w:rFonts w:ascii="Arial" w:hAnsi="Arial" w:cs="Arial"/>
        </w:rPr>
        <w:t xml:space="preserve"> Tasaki looked at the reduction kinetics of different electrolytes and found that for the first electron reduction the least likely to undergo reduction was DEC with them following the order EC &gt; PC &gt; VC &gt; DMC &gt; EMC &gt; DEC. For the second electron reduction the order is slightly different with VC becoming the easiest to reduce VC &gt; EC &gt; PC. This matches well with that work by Wang and Balbuena that showed that cyclic carbonates have a higher electron affinity than linear ones</w:t>
      </w:r>
      <w:r w:rsidR="009E6E3F"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&lt;EndNote&gt;&lt;Cite&gt;&lt;Author&gt;Wang&lt;/Author&gt;&lt;Year&gt;2001&lt;/Year&gt;&lt;RecNum&gt;268&lt;/RecNum&gt;&lt;DisplayText&gt;[43]&lt;/DisplayText&gt;&lt;record&gt;&lt;rec-number&gt;268&lt;/rec-number&gt;&lt;foreign-keys&gt;&lt;key app="EN" db-id="5sa9s0e0r0d9fnexra7pr5xdwd5ztevx95s2" timestamp="1559147453"&gt;268&lt;/key&gt;&lt;/foreign-keys&gt;&lt;ref-type name="Journal Article"&gt;17&lt;/ref-type&gt;&lt;contributors&gt;&lt;authors&gt;&lt;author&gt;Wang, Yixuan&lt;/author&gt;&lt;author&gt;Nakamura, Shinichiro&lt;/author&gt;&lt;author&gt;Ue, Makoto&lt;/author&gt;&lt;author&gt;Balbuena, Perla B.&lt;/author&gt;&lt;/authors&gt;&lt;/contributors&gt;&lt;titles&gt;&lt;title&gt;Theoretical Studies To Understand Surface Chemistry on Carbon Anodes for Lithium-Ion Batteries:  Reduction Mechanisms of Ethylene Carbonate&lt;/title&gt;&lt;secondary-title&gt;Journal of the American Chemical Society&lt;/secondary-title&gt;&lt;/titles&gt;&lt;periodical&gt;&lt;full-title&gt;Journal of the American Chemical Society&lt;/full-title&gt;&lt;/periodical&gt;&lt;pages&gt;11708-11718&lt;/pages&gt;&lt;volume&gt;123&lt;/volume&gt;&lt;number&gt;47&lt;/number&gt;&lt;dates&gt;&lt;year&gt;2001&lt;/year&gt;&lt;pub-dates&gt;&lt;date&gt;2001/11/01&lt;/date&gt;&lt;/pub-dates&gt;&lt;/dates&gt;&lt;publisher&gt;American Chemical Society&lt;/publisher&gt;&lt;isbn&gt;0002-7863&lt;/isbn&gt;&lt;urls&gt;&lt;related-urls&gt;&lt;url&gt;https://doi.org/10.1021/ja0164529&lt;/url&gt;&lt;/related-urls&gt;&lt;/urls&gt;&lt;electronic-resource-num&gt;10.1021/ja0164529&lt;/electronic-resource-num&gt;&lt;/record&gt;&lt;/Cite&gt;&lt;/EndNote&gt;</w:instrText>
      </w:r>
      <w:r w:rsidRPr="0092670C">
        <w:rPr>
          <w:rFonts w:ascii="Arial" w:hAnsi="Arial" w:cs="Arial"/>
        </w:rPr>
        <w:fldChar w:fldCharType="separate"/>
      </w:r>
      <w:r w:rsidR="00C10A8D">
        <w:rPr>
          <w:rFonts w:ascii="Arial" w:hAnsi="Arial" w:cs="Arial"/>
          <w:noProof/>
        </w:rPr>
        <w:t>[43]</w:t>
      </w:r>
      <w:r w:rsidRPr="0092670C">
        <w:rPr>
          <w:rFonts w:ascii="Arial" w:hAnsi="Arial" w:cs="Arial"/>
        </w:rPr>
        <w:fldChar w:fldCharType="end"/>
      </w:r>
      <w:r w:rsidRPr="0092670C">
        <w:rPr>
          <w:rFonts w:ascii="Arial" w:hAnsi="Arial" w:cs="Arial"/>
        </w:rPr>
        <w:t>. Okamoto found that the presence of LiPF</w:t>
      </w:r>
      <w:r w:rsidRPr="0092670C">
        <w:rPr>
          <w:rFonts w:ascii="Arial" w:hAnsi="Arial" w:cs="Arial"/>
          <w:vertAlign w:val="subscript"/>
        </w:rPr>
        <w:t>6</w:t>
      </w:r>
      <w:r w:rsidRPr="0092670C">
        <w:rPr>
          <w:rFonts w:ascii="Arial" w:hAnsi="Arial" w:cs="Arial"/>
        </w:rPr>
        <w:t xml:space="preserve"> helps to facilitate EC ring opening, demonstrating the importance of the other electrolyte components</w:t>
      </w:r>
      <w:r w:rsidR="009E6E3F"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&lt;EndNote&gt;&lt;Cite&gt;&lt;Author&gt;Okamoto&lt;/Author&gt;&lt;Year&gt;2013&lt;/Year&gt;&lt;RecNum&gt;279&lt;/RecNum&gt;&lt;DisplayText&gt;[52]&lt;/DisplayText&gt;&lt;record&gt;&lt;rec-number&gt;279&lt;/rec-number&gt;&lt;foreign-keys&gt;&lt;key app="EN" db-id="5sa9s0e0r0d9fnexra7pr5xdwd5ztevx95s2" timestamp="1559303141"&gt;279&lt;/key&gt;&lt;/foreign-keys&gt;&lt;ref-type name="Journal Article"&gt;17&lt;/ref-type&gt;&lt;contributors&gt;&lt;authors&gt;&lt;author&gt;Okamoto, Yasuharu&lt;/author&gt;&lt;/authors&gt;&lt;/contributors&gt;&lt;titles&gt;&lt;title&gt;Ab Initio Calculations of Thermal Decomposition Mechanism of LiPF6-Based Electrolytes for Lithium-Ion Batteries&lt;/title&gt;&lt;secondary-title&gt;Journal of The Electrochemical Society&lt;/secondary-title&gt;&lt;/titles&gt;&lt;periodical&gt;&lt;full-title&gt;Journal of the Electrochemical Society&lt;/full-title&gt;&lt;abbr-1&gt;J. Electrochem. Soc.&lt;/abbr-1&gt;&lt;/periodical&gt;&lt;pages&gt;A404-A409&lt;/pages&gt;&lt;volume&gt;160&lt;/volume&gt;&lt;number&gt;2&lt;/number&gt;&lt;dates&gt;&lt;year&gt;2013&lt;/year&gt;&lt;pub-dates&gt;&lt;date&gt;January 1, 2013&lt;/date&gt;&lt;/pub-dates&gt;&lt;/dates&gt;&lt;urls&gt;&lt;related-urls&gt;&lt;url&gt;http://jes.ecsdl.org/content/160/2/A404.abstract&lt;/url&gt;&lt;/related-urls&gt;&lt;/urls&gt;&lt;electronic-resource-num&gt;10.1149/2.020303jes&lt;/electronic-resource-num&gt;&lt;/record&gt;&lt;/Cite&gt;&lt;/EndNote&gt;</w:instrText>
      </w:r>
      <w:r w:rsidRPr="0092670C">
        <w:rPr>
          <w:rFonts w:ascii="Arial" w:hAnsi="Arial" w:cs="Arial"/>
        </w:rPr>
        <w:fldChar w:fldCharType="separate"/>
      </w:r>
      <w:r w:rsidR="00C10A8D">
        <w:rPr>
          <w:rFonts w:ascii="Arial" w:hAnsi="Arial" w:cs="Arial"/>
          <w:noProof/>
        </w:rPr>
        <w:t>[52]</w:t>
      </w:r>
      <w:r w:rsidRPr="0092670C">
        <w:rPr>
          <w:rFonts w:ascii="Arial" w:hAnsi="Arial" w:cs="Arial"/>
        </w:rPr>
        <w:fldChar w:fldCharType="end"/>
      </w:r>
      <w:r w:rsidRPr="0092670C">
        <w:rPr>
          <w:rFonts w:ascii="Arial" w:hAnsi="Arial" w:cs="Arial"/>
        </w:rPr>
        <w:t xml:space="preserve">. </w:t>
      </w:r>
    </w:p>
    <w:p w14:paraId="2C6053AA" w14:textId="68D65CD9" w:rsidR="003E14AA" w:rsidRPr="0092670C" w:rsidRDefault="003E14AA" w:rsidP="003E14AA">
      <w:pPr>
        <w:spacing w:line="360" w:lineRule="auto"/>
        <w:jc w:val="both"/>
        <w:rPr>
          <w:rFonts w:ascii="Arial" w:hAnsi="Arial" w:cs="Arial"/>
        </w:rPr>
      </w:pPr>
      <w:r w:rsidRPr="0092670C">
        <w:rPr>
          <w:rFonts w:ascii="Arial" w:hAnsi="Arial" w:cs="Arial"/>
        </w:rPr>
        <w:t xml:space="preserve">The vast majority of SEI formation occurs </w:t>
      </w:r>
      <w:r w:rsidR="00C8420A">
        <w:rPr>
          <w:rFonts w:ascii="Arial" w:hAnsi="Arial" w:cs="Arial"/>
        </w:rPr>
        <w:t xml:space="preserve">during the initial </w:t>
      </w:r>
      <w:r w:rsidRPr="0092670C">
        <w:rPr>
          <w:rFonts w:ascii="Arial" w:hAnsi="Arial" w:cs="Arial"/>
        </w:rPr>
        <w:t>cycl</w:t>
      </w:r>
      <w:r w:rsidR="00C60E70">
        <w:rPr>
          <w:rFonts w:ascii="Arial" w:hAnsi="Arial" w:cs="Arial"/>
        </w:rPr>
        <w:t>ing</w:t>
      </w:r>
      <w:r w:rsidRPr="0092670C">
        <w:rPr>
          <w:rFonts w:ascii="Arial" w:hAnsi="Arial" w:cs="Arial"/>
        </w:rPr>
        <w:t xml:space="preserve"> of a cell. This is when it is at its thinnest and so the SEI reactions can still occur. As the SEI grows these reactions slow down due to the increasing thickness. This is analogous to the formation of Al</w:t>
      </w:r>
      <w:r w:rsidRPr="0092670C">
        <w:rPr>
          <w:rFonts w:ascii="Arial" w:hAnsi="Arial" w:cs="Arial"/>
          <w:vertAlign w:val="subscript"/>
        </w:rPr>
        <w:t>2</w:t>
      </w:r>
      <w:r w:rsidRPr="0092670C">
        <w:rPr>
          <w:rFonts w:ascii="Arial" w:hAnsi="Arial" w:cs="Arial"/>
        </w:rPr>
        <w:t>O</w:t>
      </w:r>
      <w:r w:rsidRPr="0092670C">
        <w:rPr>
          <w:rFonts w:ascii="Arial" w:hAnsi="Arial" w:cs="Arial"/>
          <w:vertAlign w:val="subscript"/>
        </w:rPr>
        <w:t>3</w:t>
      </w:r>
      <w:r w:rsidRPr="0092670C">
        <w:rPr>
          <w:rFonts w:ascii="Arial" w:hAnsi="Arial" w:cs="Arial"/>
        </w:rPr>
        <w:t xml:space="preserve"> on Aluminium. A reaction between O</w:t>
      </w:r>
      <w:r w:rsidRPr="0092670C">
        <w:rPr>
          <w:rFonts w:ascii="Arial" w:hAnsi="Arial" w:cs="Arial"/>
          <w:vertAlign w:val="subscript"/>
        </w:rPr>
        <w:t>2</w:t>
      </w:r>
      <w:r w:rsidRPr="0092670C">
        <w:rPr>
          <w:rFonts w:ascii="Arial" w:hAnsi="Arial" w:cs="Arial"/>
        </w:rPr>
        <w:t xml:space="preserve"> and Al takes place on the surface forming Al</w:t>
      </w:r>
      <w:r w:rsidRPr="0092670C">
        <w:rPr>
          <w:rFonts w:ascii="Arial" w:hAnsi="Arial" w:cs="Arial"/>
          <w:vertAlign w:val="subscript"/>
        </w:rPr>
        <w:t>2</w:t>
      </w:r>
      <w:r w:rsidRPr="0092670C">
        <w:rPr>
          <w:rFonts w:ascii="Arial" w:hAnsi="Arial" w:cs="Arial"/>
        </w:rPr>
        <w:t>O</w:t>
      </w:r>
      <w:r w:rsidRPr="0092670C">
        <w:rPr>
          <w:rFonts w:ascii="Arial" w:hAnsi="Arial" w:cs="Arial"/>
          <w:vertAlign w:val="subscript"/>
        </w:rPr>
        <w:t>3</w:t>
      </w:r>
      <w:r w:rsidRPr="0092670C">
        <w:rPr>
          <w:rFonts w:ascii="Arial" w:hAnsi="Arial" w:cs="Arial"/>
        </w:rPr>
        <w:t xml:space="preserve">. This surface layer is impermeable to oxygen, stopping further oxidation from occurring. This </w:t>
      </w:r>
      <w:r w:rsidR="000224AB" w:rsidRPr="0092670C">
        <w:rPr>
          <w:rFonts w:ascii="Arial" w:hAnsi="Arial" w:cs="Arial"/>
        </w:rPr>
        <w:t xml:space="preserve">reduction in the </w:t>
      </w:r>
      <w:r w:rsidR="00B743D3" w:rsidRPr="0092670C">
        <w:rPr>
          <w:rFonts w:ascii="Arial" w:hAnsi="Arial" w:cs="Arial"/>
        </w:rPr>
        <w:t>rate of</w:t>
      </w:r>
      <w:r w:rsidRPr="0092670C">
        <w:rPr>
          <w:rFonts w:ascii="Arial" w:hAnsi="Arial" w:cs="Arial"/>
        </w:rPr>
        <w:t xml:space="preserve"> SEI formation is vital as it ensures that the SEI’s role in depleting a cells Li inventory is minimised. To maintain the optimal electrochemical performance of a cell the thickness of the SEI needs be as thin as possible without leading to further SEI formation. </w:t>
      </w:r>
    </w:p>
    <w:p w14:paraId="06767907" w14:textId="1BE0A6A2" w:rsidR="003E14AA" w:rsidRPr="0092670C" w:rsidRDefault="003E14AA" w:rsidP="003E14AA">
      <w:pPr>
        <w:spacing w:line="360" w:lineRule="auto"/>
        <w:jc w:val="both"/>
        <w:rPr>
          <w:rFonts w:ascii="Arial" w:hAnsi="Arial" w:cs="Arial"/>
        </w:rPr>
      </w:pPr>
      <w:r w:rsidRPr="0092670C">
        <w:rPr>
          <w:rFonts w:ascii="Arial" w:hAnsi="Arial" w:cs="Arial"/>
        </w:rPr>
        <w:t>The initial SEI formation changes the SEI that is subsequentially formed. This change is due to the catalytic effect of graphite on SEI formation</w:t>
      </w:r>
      <w:r w:rsidR="00D05BD0"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&lt;EndNote&gt;&lt;Cite&gt;&lt;Author&gt;Peled&lt;/Author&gt;&lt;Year&gt;2004&lt;/Year&gt;&lt;RecNum&gt;90&lt;/RecNum&gt;&lt;DisplayText&gt;[53]&lt;/DisplayText&gt;&lt;record&gt;&lt;rec-number&gt;90&lt;/rec-number&gt;&lt;foreign-keys&gt;&lt;key app="EN" db-id="5sa9s0e0r0d9fnexra7pr5xdwd5ztevx95s2" timestamp="1516640179"&gt;90&lt;/key&gt;&lt;/foreign-keys&gt;&lt;ref-type name="Journal Article"&gt;17&lt;/ref-type&gt;&lt;contributors&gt;&lt;authors&gt;&lt;author&gt;Peled, E.&lt;/author&gt;&lt;author&gt;Golodnitsky, D.&lt;/author&gt;&lt;author&gt;Ulus, A.&lt;/author&gt;&lt;author&gt;Yufit, V.&lt;/author&gt;&lt;/authors&gt;&lt;/contributors&gt;&lt;titles&gt;&lt;title&gt;Effect of carbon substrate on SEI composition and morphology&lt;/title&gt;&lt;secondary-title&gt;Electrochimica Acta&lt;/secondary-title&gt;&lt;/titles&gt;&lt;periodical&gt;&lt;full-title&gt;Electrochimica Acta&lt;/full-title&gt;&lt;/periodical&gt;&lt;pages&gt;391-395&lt;/pages&gt;&lt;volume&gt;50&lt;/volume&gt;&lt;number&gt;2&lt;/number&gt;&lt;keywords&gt;&lt;keyword&gt;Solid electrolyte interphase&lt;/keyword&gt;&lt;keyword&gt;Carbon&lt;/keyword&gt;&lt;keyword&gt;Li-ion battery&lt;/keyword&gt;&lt;/keywords&gt;&lt;dates&gt;&lt;year&gt;2004&lt;/year&gt;&lt;pub-dates&gt;&lt;date&gt;2004/11/30/&lt;/date&gt;&lt;/pub-dates&gt;&lt;/dates&gt;&lt;isbn&gt;0013-4686&lt;/isbn&gt;&lt;urls&gt;&lt;related-urls&gt;&lt;url&gt;http://www.sciencedirect.com/science/article/pii/S0013468604006498&lt;/url&gt;&lt;/related-urls&gt;&lt;/urls&gt;&lt;electronic-resource-num&gt;https://doi.org/10.1016/j.electacta.2004.01.130&lt;/electronic-resource-num&gt;&lt;/record&gt;&lt;/Cite&gt;&lt;/EndNote&gt;</w:instrText>
      </w:r>
      <w:r w:rsidRPr="0092670C">
        <w:rPr>
          <w:rFonts w:ascii="Arial" w:hAnsi="Arial" w:cs="Arial"/>
        </w:rPr>
        <w:fldChar w:fldCharType="separate"/>
      </w:r>
      <w:r w:rsidR="00C10A8D">
        <w:rPr>
          <w:rFonts w:ascii="Arial" w:hAnsi="Arial" w:cs="Arial"/>
          <w:noProof/>
        </w:rPr>
        <w:t>[53]</w:t>
      </w:r>
      <w:r w:rsidRPr="0092670C">
        <w:rPr>
          <w:rFonts w:ascii="Arial" w:hAnsi="Arial" w:cs="Arial"/>
        </w:rPr>
        <w:fldChar w:fldCharType="end"/>
      </w:r>
      <w:r w:rsidRPr="0092670C">
        <w:rPr>
          <w:rFonts w:ascii="Arial" w:hAnsi="Arial" w:cs="Arial"/>
        </w:rPr>
        <w:t>. Once the electrolyte gets further away from graphite active sites (</w:t>
      </w:r>
      <w:r w:rsidR="00460ED7" w:rsidRPr="0092670C">
        <w:rPr>
          <w:rFonts w:ascii="Arial" w:hAnsi="Arial" w:cs="Arial"/>
        </w:rPr>
        <w:t>d</w:t>
      </w:r>
      <w:r w:rsidRPr="0092670C">
        <w:rPr>
          <w:rFonts w:ascii="Arial" w:hAnsi="Arial" w:cs="Arial"/>
        </w:rPr>
        <w:t xml:space="preserve">ue to previous SEI formation) then the reactions available are limited. The surface also becomes electrically insulating, </w:t>
      </w:r>
      <w:r w:rsidR="00460ED7" w:rsidRPr="0092670C">
        <w:rPr>
          <w:rFonts w:ascii="Arial" w:hAnsi="Arial" w:cs="Arial"/>
        </w:rPr>
        <w:t>l</w:t>
      </w:r>
      <w:r w:rsidRPr="0092670C">
        <w:rPr>
          <w:rFonts w:ascii="Arial" w:hAnsi="Arial" w:cs="Arial"/>
        </w:rPr>
        <w:t>imiting the fresh SEI’s access to electrons. This build-up of insulating SEI also results in changes to the electrolyte double layer</w:t>
      </w:r>
      <w:r w:rsidR="00D05BD0"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&lt;EndNote&gt;&lt;Cite&gt;&lt;Author&gt;Leung&lt;/Author&gt;&lt;Year&gt;2015&lt;/Year&gt;&lt;RecNum&gt;280&lt;/RecNum&gt;&lt;DisplayText&gt;[54]&lt;/DisplayText&gt;&lt;record&gt;&lt;rec-number&gt;280&lt;/rec-number&gt;&lt;foreign-keys&gt;&lt;key app="EN" db-id="5sa9s0e0r0d9fnexra7pr5xdwd5ztevx95s2" timestamp="1559309231"&gt;280&lt;/key&gt;&lt;/foreign-keys&gt;&lt;ref-type name="Journal Article"&gt;17&lt;/ref-type&gt;&lt;contributors&gt;&lt;authors&gt;&lt;author&gt;Leung, Kevin&lt;/author&gt;&lt;author&gt;Leenheer, Andrew&lt;/author&gt;&lt;/authors&gt;&lt;/contributors&gt;&lt;titles&gt;&lt;title&gt;How Voltage Drops Are Manifested by Lithium Ion Configurations at Interfaces and in Thin Films on Battery Electrodes&lt;/title&gt;&lt;secondary-title&gt;The Journal of Physical Chemistry C&lt;/secondary-title&gt;&lt;/titles&gt;&lt;periodical&gt;&lt;full-title&gt;The Journal of Physical Chemistry C&lt;/full-title&gt;&lt;/periodical&gt;&lt;pages&gt;10234-10246&lt;/pages&gt;&lt;volume&gt;119&lt;/volume&gt;&lt;number&gt;19&lt;/number&gt;&lt;dates&gt;&lt;year&gt;2015&lt;/year&gt;&lt;pub-dates&gt;&lt;date&gt;2015/05/14&lt;/date&gt;&lt;/pub-dates&gt;&lt;/dates&gt;&lt;publisher&gt;American Chemical Society&lt;/publisher&gt;&lt;isbn&gt;1932-7447&lt;/isbn&gt;&lt;urls&gt;&lt;related-urls&gt;&lt;url&gt;https://doi.org/10.1021/acs.jpcc.5b01643&lt;/url&gt;&lt;/related-urls&gt;&lt;/urls&gt;&lt;electronic-resource-num&gt;10.1021/acs.jpcc.5b01643&lt;/electronic-resource-num&gt;&lt;/record&gt;&lt;/Cite&gt;&lt;/EndNote&gt;</w:instrText>
      </w:r>
      <w:r w:rsidRPr="0092670C">
        <w:rPr>
          <w:rFonts w:ascii="Arial" w:hAnsi="Arial" w:cs="Arial"/>
        </w:rPr>
        <w:fldChar w:fldCharType="separate"/>
      </w:r>
      <w:r w:rsidR="00C10A8D">
        <w:rPr>
          <w:rFonts w:ascii="Arial" w:hAnsi="Arial" w:cs="Arial"/>
          <w:noProof/>
        </w:rPr>
        <w:t>[54]</w:t>
      </w:r>
      <w:r w:rsidRPr="0092670C">
        <w:rPr>
          <w:rFonts w:ascii="Arial" w:hAnsi="Arial" w:cs="Arial"/>
        </w:rPr>
        <w:fldChar w:fldCharType="end"/>
      </w:r>
      <w:r w:rsidRPr="0092670C">
        <w:rPr>
          <w:rFonts w:ascii="Arial" w:hAnsi="Arial" w:cs="Arial"/>
        </w:rPr>
        <w:t>. This is especially important when it is considered that the reaction pathway of EC decomposition is dependent on its concentration</w:t>
      </w:r>
      <w:r w:rsidR="00D05BD0"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&lt;EndNote&gt;&lt;Cite&gt;&lt;Author&gt;Ma&lt;/Author&gt;&lt;Year&gt;2014&lt;/Year&gt;&lt;RecNum&gt;281&lt;/RecNum&gt;&lt;DisplayText&gt;[55]&lt;/DisplayText&gt;&lt;record&gt;&lt;rec-number&gt;281&lt;/rec-number&gt;&lt;foreign-keys&gt;&lt;key app="EN" db-id="5sa9s0e0r0d9fnexra7pr5xdwd5ztevx95s2" timestamp="1559309702"&gt;281&lt;/key&gt;&lt;/foreign-keys&gt;&lt;ref-type name="Journal Article"&gt;17&lt;/ref-type&gt;&lt;contributors&gt;&lt;authors&gt;&lt;author&gt;Ma, Yuguang&lt;/author&gt;&lt;author&gt;Balbuena, Perla B.&lt;/author&gt;&lt;/authors&gt;&lt;/contributors&gt;&lt;titles&gt;&lt;title&gt;DFT Study of Reduction Mechanisms of Ethylene Carbonate and Fluoroethylene Carbonate on Li+-Adsorbed Si Clusters&lt;/title&gt;&lt;secondary-title&gt;Journal of The Electrochemical Society&lt;/secondary-title&gt;&lt;/titles&gt;&lt;periodical&gt;&lt;full-title&gt;Journal of the Electrochemical Society&lt;/full-title&gt;&lt;abbr-1&gt;J. Electrochem. Soc.&lt;/abbr-1&gt;&lt;/periodical&gt;&lt;pages&gt;E3097-E3109&lt;/pages&gt;&lt;volume&gt;161&lt;/volume&gt;&lt;number&gt;8&lt;/number&gt;&lt;dates&gt;&lt;year&gt;2014&lt;/year&gt;&lt;pub-dates&gt;&lt;date&gt;January 1, 2014&lt;/date&gt;&lt;/pub-dates&gt;&lt;/dates&gt;&lt;urls&gt;&lt;related-urls&gt;&lt;url&gt;http://jes.ecsdl.org/content/161/8/E3097.abstract&lt;/url&gt;&lt;/related-urls&gt;&lt;/urls&gt;&lt;electronic-resource-num&gt;10.1149/2.014408jes&lt;/electronic-resource-num&gt;&lt;/record&gt;&lt;/Cite&gt;&lt;/EndNote&gt;</w:instrText>
      </w:r>
      <w:r w:rsidRPr="0092670C">
        <w:rPr>
          <w:rFonts w:ascii="Arial" w:hAnsi="Arial" w:cs="Arial"/>
        </w:rPr>
        <w:fldChar w:fldCharType="separate"/>
      </w:r>
      <w:r w:rsidR="00C10A8D">
        <w:rPr>
          <w:rFonts w:ascii="Arial" w:hAnsi="Arial" w:cs="Arial"/>
          <w:noProof/>
        </w:rPr>
        <w:t>[55]</w:t>
      </w:r>
      <w:r w:rsidRPr="0092670C">
        <w:rPr>
          <w:rFonts w:ascii="Arial" w:hAnsi="Arial" w:cs="Arial"/>
        </w:rPr>
        <w:fldChar w:fldCharType="end"/>
      </w:r>
      <w:r w:rsidRPr="0092670C">
        <w:rPr>
          <w:rFonts w:ascii="Arial" w:hAnsi="Arial" w:cs="Arial"/>
        </w:rPr>
        <w:t>. The formation of the SEI effectively widens the voltage window of the cell by shielding the electrolyte from the anode surface</w:t>
      </w:r>
      <w:r w:rsidR="00ED4DF7" w:rsidRPr="0092670C">
        <w:rPr>
          <w:rFonts w:ascii="Arial" w:hAnsi="Arial" w:cs="Arial"/>
        </w:rPr>
        <w:t>, as s</w:t>
      </w:r>
      <w:r w:rsidR="00AA2999" w:rsidRPr="0092670C">
        <w:rPr>
          <w:rFonts w:ascii="Arial" w:hAnsi="Arial" w:cs="Arial"/>
        </w:rPr>
        <w:t xml:space="preserve">een in </w:t>
      </w:r>
      <w:r w:rsidR="00AA2999" w:rsidRPr="00D35E5B">
        <w:rPr>
          <w:rFonts w:ascii="Arial" w:hAnsi="Arial" w:cs="Arial"/>
        </w:rPr>
        <w:fldChar w:fldCharType="begin"/>
      </w:r>
      <w:r w:rsidR="00AA2999" w:rsidRPr="00D35E5B">
        <w:rPr>
          <w:rFonts w:ascii="Arial" w:hAnsi="Arial" w:cs="Arial"/>
        </w:rPr>
        <w:instrText xml:space="preserve"> REF _Ref27389140 \h  \* MERGEFORMAT </w:instrText>
      </w:r>
      <w:r w:rsidR="00AA2999" w:rsidRPr="00D35E5B">
        <w:rPr>
          <w:rFonts w:ascii="Arial" w:hAnsi="Arial" w:cs="Arial"/>
        </w:rPr>
      </w:r>
      <w:r w:rsidR="00AA2999" w:rsidRPr="00D35E5B">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9</w:t>
      </w:r>
      <w:r w:rsidR="00AA2999" w:rsidRPr="00D35E5B">
        <w:rPr>
          <w:rFonts w:ascii="Arial" w:hAnsi="Arial" w:cs="Arial"/>
        </w:rPr>
        <w:fldChar w:fldCharType="end"/>
      </w:r>
      <w:r w:rsidRPr="0092670C">
        <w:rPr>
          <w:rFonts w:ascii="Arial" w:hAnsi="Arial" w:cs="Arial"/>
        </w:rPr>
        <w:t xml:space="preserve">. This shielding means that Li-ion cells can function whereas in any other scenario they would fail, with constant electrolyte degradation wasting lithium. </w:t>
      </w:r>
    </w:p>
    <w:p w14:paraId="0A0DB3F9" w14:textId="77777777" w:rsidR="003E14AA" w:rsidRPr="0092670C" w:rsidRDefault="003E14AA" w:rsidP="003E14AA">
      <w:pPr>
        <w:keepNext/>
        <w:jc w:val="center"/>
        <w:rPr>
          <w:rFonts w:ascii="Arial" w:hAnsi="Arial" w:cs="Arial"/>
        </w:rPr>
      </w:pPr>
      <w:r w:rsidRPr="0092670C">
        <w:rPr>
          <w:rFonts w:ascii="Arial" w:hAnsi="Arial" w:cs="Arial"/>
          <w:noProof/>
        </w:rPr>
        <w:drawing>
          <wp:inline distT="0" distB="0" distL="0" distR="0" wp14:anchorId="33E68FB7" wp14:editId="38263585">
            <wp:extent cx="2995366" cy="2651760"/>
            <wp:effectExtent l="0" t="0" r="0" b="0"/>
            <wp:docPr id="4" name="Picture 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rotWithShape="1">
                    <a:blip r:embed="rId30">
                      <a:extLst>
                        <a:ext uri="{28A0092B-C50C-407E-A947-70E740481C1C}">
                          <a14:useLocalDpi xmlns:a14="http://schemas.microsoft.com/office/drawing/2010/main" val="0"/>
                        </a:ext>
                      </a:extLst>
                    </a:blip>
                    <a:srcRect t="5866" r="51797"/>
                    <a:stretch/>
                  </pic:blipFill>
                  <pic:spPr bwMode="auto">
                    <a:xfrm>
                      <a:off x="0" y="0"/>
                      <a:ext cx="2999720" cy="2655615"/>
                    </a:xfrm>
                    <a:prstGeom prst="rect">
                      <a:avLst/>
                    </a:prstGeom>
                    <a:noFill/>
                    <a:ln>
                      <a:noFill/>
                    </a:ln>
                    <a:extLst>
                      <a:ext uri="{53640926-AAD7-44D8-BBD7-CCE9431645EC}">
                        <a14:shadowObscured xmlns:a14="http://schemas.microsoft.com/office/drawing/2010/main"/>
                      </a:ext>
                    </a:extLst>
                  </pic:spPr>
                </pic:pic>
              </a:graphicData>
            </a:graphic>
          </wp:inline>
        </w:drawing>
      </w:r>
    </w:p>
    <w:p w14:paraId="4ABE144C" w14:textId="6F0E9415" w:rsidR="003E14AA" w:rsidRPr="00B97230" w:rsidRDefault="003E14AA" w:rsidP="003E14AA">
      <w:pPr>
        <w:spacing w:after="200" w:line="240" w:lineRule="auto"/>
        <w:jc w:val="center"/>
        <w:rPr>
          <w:rFonts w:ascii="Arial" w:hAnsi="Arial" w:cs="Arial"/>
          <w:i/>
          <w:iCs/>
          <w:color w:val="44546A" w:themeColor="text2"/>
          <w:sz w:val="20"/>
          <w:szCs w:val="20"/>
        </w:rPr>
      </w:pPr>
      <w:bookmarkStart w:id="34" w:name="_Ref27389140"/>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9</w:t>
      </w:r>
      <w:r w:rsidR="00356A26">
        <w:rPr>
          <w:rFonts w:ascii="Arial" w:hAnsi="Arial" w:cs="Arial"/>
          <w:i/>
          <w:iCs/>
          <w:color w:val="44546A" w:themeColor="text2"/>
          <w:sz w:val="20"/>
          <w:szCs w:val="20"/>
        </w:rPr>
        <w:fldChar w:fldCharType="end"/>
      </w:r>
      <w:bookmarkEnd w:id="34"/>
      <w:r w:rsidRPr="00B97230">
        <w:rPr>
          <w:rFonts w:ascii="Arial" w:hAnsi="Arial" w:cs="Arial"/>
          <w:i/>
          <w:iCs/>
          <w:color w:val="44546A" w:themeColor="text2"/>
          <w:sz w:val="20"/>
          <w:szCs w:val="20"/>
        </w:rPr>
        <w:t>: Open circuit energy diagram of the electrolyte with the voltage window extensions that the SEI provide</w:t>
      </w:r>
      <w:r w:rsidR="00D05BD0" w:rsidRPr="00B97230">
        <w:rPr>
          <w:rFonts w:ascii="Arial" w:hAnsi="Arial" w:cs="Arial"/>
          <w:i/>
          <w:iCs/>
          <w:color w:val="44546A" w:themeColor="text2"/>
          <w:sz w:val="20"/>
          <w:szCs w:val="20"/>
        </w:rPr>
        <w:t xml:space="preserve"> </w:t>
      </w:r>
      <w:r w:rsidRPr="00B97230">
        <w:rPr>
          <w:rFonts w:ascii="Arial" w:hAnsi="Arial" w:cs="Arial"/>
          <w:i/>
          <w:iCs/>
          <w:color w:val="44546A" w:themeColor="text2"/>
          <w:sz w:val="20"/>
          <w:szCs w:val="20"/>
        </w:rPr>
        <w:fldChar w:fldCharType="begin"/>
      </w:r>
      <w:r w:rsidR="00C10A8D">
        <w:rPr>
          <w:rFonts w:ascii="Arial" w:hAnsi="Arial" w:cs="Arial"/>
          <w:i/>
          <w:iCs/>
          <w:color w:val="44546A" w:themeColor="text2"/>
          <w:sz w:val="20"/>
          <w:szCs w:val="20"/>
        </w:rPr>
        <w:instrText xml:space="preserve"> ADDIN EN.CITE &lt;EndNote&gt;&lt;Cite&gt;&lt;Author&gt;Wang&lt;/Author&gt;&lt;Year&gt;2018&lt;/Year&gt;&lt;RecNum&gt;263&lt;/RecNum&gt;&lt;DisplayText&gt;[39]&lt;/DisplayText&gt;&lt;record&gt;&lt;rec-number&gt;263&lt;/rec-number&gt;&lt;foreign-keys&gt;&lt;key app="EN" db-id="5sa9s0e0r0d9fnexra7pr5xdwd5ztevx95s2" timestamp="1559049823"&gt;263&lt;/key&gt;&lt;/foreign-keys&gt;&lt;ref-type name="Journal Article"&gt;17&lt;/ref-type&gt;&lt;contributors&gt;&lt;authors&gt;&lt;author&gt;Wang, Aiping&lt;/author&gt;&lt;author&gt;Kadam, Sanket&lt;/author&gt;&lt;author&gt;Li, Hong&lt;/author&gt;&lt;author&gt;Shi, Siqi&lt;/author&gt;&lt;author&gt;Qi, Yue&lt;/author&gt;&lt;/authors&gt;&lt;/contributors&gt;&lt;titles&gt;&lt;title&gt;Review on modeling of the anode solid electrolyte interphase (SEI) for lithium-ion batteries&lt;/title&gt;&lt;secondary-title&gt;npj Computational Materials&lt;/secondary-title&gt;&lt;/titles&gt;&lt;periodical&gt;&lt;full-title&gt;npj Computational Materials&lt;/full-title&gt;&lt;/periodical&gt;&lt;pages&gt;15&lt;/pages&gt;&lt;volume&gt;4&lt;/volume&gt;&lt;number&gt;1&lt;/number&gt;&lt;dates&gt;&lt;year&gt;2018&lt;/year&gt;&lt;pub-dates&gt;&lt;date&gt;2018/03/26&lt;/date&gt;&lt;/pub-dates&gt;&lt;/dates&gt;&lt;isbn&gt;2057-3960&lt;/isbn&gt;&lt;urls&gt;&lt;related-urls&gt;&lt;url&gt;https://doi.org/10.1038/s41524-018-0064-0&lt;/url&gt;&lt;/related-urls&gt;&lt;/urls&gt;&lt;electronic-resource-num&gt;10.1038/s41524-018-0064-0&lt;/electronic-resource-num&gt;&lt;/record&gt;&lt;/Cite&gt;&lt;/EndNote&gt;</w:instrText>
      </w:r>
      <w:r w:rsidRPr="00B97230">
        <w:rPr>
          <w:rFonts w:ascii="Arial" w:hAnsi="Arial" w:cs="Arial"/>
          <w:i/>
          <w:iCs/>
          <w:color w:val="44546A" w:themeColor="text2"/>
          <w:sz w:val="20"/>
          <w:szCs w:val="20"/>
        </w:rPr>
        <w:fldChar w:fldCharType="separate"/>
      </w:r>
      <w:r w:rsidR="00C10A8D">
        <w:rPr>
          <w:rFonts w:ascii="Arial" w:hAnsi="Arial" w:cs="Arial"/>
          <w:i/>
          <w:iCs/>
          <w:noProof/>
          <w:color w:val="44546A" w:themeColor="text2"/>
          <w:sz w:val="20"/>
          <w:szCs w:val="20"/>
        </w:rPr>
        <w:t>[39]</w:t>
      </w:r>
      <w:r w:rsidRPr="00B97230">
        <w:rPr>
          <w:rFonts w:ascii="Arial" w:hAnsi="Arial" w:cs="Arial"/>
          <w:i/>
          <w:iCs/>
          <w:color w:val="44546A" w:themeColor="text2"/>
          <w:sz w:val="20"/>
          <w:szCs w:val="20"/>
        </w:rPr>
        <w:fldChar w:fldCharType="end"/>
      </w:r>
      <w:r w:rsidR="00354FE6" w:rsidRPr="00B97230">
        <w:rPr>
          <w:rFonts w:ascii="Arial" w:hAnsi="Arial" w:cs="Arial"/>
          <w:i/>
          <w:iCs/>
          <w:color w:val="44546A" w:themeColor="text2"/>
          <w:sz w:val="20"/>
          <w:szCs w:val="20"/>
        </w:rPr>
        <w:t>.</w:t>
      </w:r>
    </w:p>
    <w:p w14:paraId="5D02935C" w14:textId="275C3A26" w:rsidR="003E14AA" w:rsidRPr="0092670C" w:rsidRDefault="003E14AA" w:rsidP="003E14AA">
      <w:pPr>
        <w:spacing w:line="360" w:lineRule="auto"/>
        <w:jc w:val="both"/>
        <w:rPr>
          <w:rFonts w:ascii="Arial" w:hAnsi="Arial" w:cs="Arial"/>
        </w:rPr>
      </w:pPr>
      <w:r w:rsidRPr="0092670C">
        <w:rPr>
          <w:rFonts w:ascii="Arial" w:hAnsi="Arial" w:cs="Arial"/>
        </w:rPr>
        <w:t>At this stage it is important to differentiate between SEI formation and electrolyte decomposition. The electrolyte can decompose and not lead to an SEI or an unstable one as in the case of PC based electrolytes</w:t>
      </w:r>
      <w:r w:rsidR="00D05BD0"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&lt;EndNote&gt;&lt;Cite&gt;&lt;Author&gt;Aurbach&lt;/Author&gt;&lt;Year&gt;2003&lt;/Year&gt;&lt;RecNum&gt;236&lt;/RecNum&gt;&lt;DisplayText&gt;[56, 57]&lt;/DisplayText&gt;&lt;record&gt;&lt;rec-number&gt;236&lt;/rec-number&gt;&lt;foreign-keys&gt;&lt;key app="EN" db-id="5sa9s0e0r0d9fnexra7pr5xdwd5ztevx95s2" timestamp="1556802983"&gt;236&lt;/key&gt;&lt;/foreign-keys&gt;&lt;ref-type name="Journal Article"&gt;17&lt;/ref-type&gt;&lt;contributors&gt;&lt;authors&gt;&lt;author&gt;Aurbach, D&lt;/author&gt;&lt;/authors&gt;&lt;/contributors&gt;&lt;titles&gt;&lt;title&gt;Electrode–solution interactions in Li-ion batteries: a short summary and new insights&lt;/title&gt;&lt;secondary-title&gt;Journal of power sources&lt;/secondary-title&gt;&lt;/titles&gt;&lt;periodical&gt;&lt;full-title&gt;Journal of Power Sources&lt;/full-title&gt;&lt;/periodical&gt;&lt;pages&gt;497-503&lt;/pages&gt;&lt;volume&gt;119&lt;/volume&gt;&lt;dates&gt;&lt;year&gt;2003&lt;/year&gt;&lt;/dates&gt;&lt;isbn&gt;0378-7753&lt;/isbn&gt;&lt;urls&gt;&lt;/urls&gt;&lt;/record&gt;&lt;/Cite&gt;&lt;Cite&gt;&lt;Author&gt;Aurbach&lt;/Author&gt;&lt;Year&gt;1995&lt;/Year&gt;&lt;RecNum&gt;235&lt;/RecNum&gt;&lt;record&gt;&lt;rec-number&gt;235&lt;/rec-number&gt;&lt;foreign-keys&gt;&lt;key app="EN" db-id="5sa9s0e0r0d9fnexra7pr5xdwd5ztevx95s2" timestamp="1556802901"&gt;235&lt;/key&gt;&lt;/foreign-keys&gt;&lt;ref-type name="Journal Article"&gt;17&lt;/ref-type&gt;&lt;contributors&gt;&lt;authors&gt;&lt;author&gt;Aurbach, Doron&lt;/author&gt;&lt;author&gt;Ein</w:instrText>
      </w:r>
      <w:r w:rsidR="00C10A8D">
        <w:rPr>
          <w:rFonts w:ascii="Cambria Math" w:hAnsi="Cambria Math" w:cs="Cambria Math"/>
        </w:rPr>
        <w:instrText>‐</w:instrText>
      </w:r>
      <w:r w:rsidR="00C10A8D">
        <w:rPr>
          <w:rFonts w:ascii="Arial" w:hAnsi="Arial" w:cs="Arial"/>
        </w:rPr>
        <w:instrText>Eli, Yair&lt;/author&gt;&lt;author&gt;Markovsky, Boris&lt;/author&gt;&lt;author&gt;Zaban, Arie&lt;/author&gt;&lt;author&gt;Luski, S&lt;/author&gt;&lt;author&gt;Carmeli, Y&lt;/author&gt;&lt;author&gt;Yamin, H&lt;/author&gt;&lt;/authors&gt;&lt;/contributors&gt;&lt;titles&gt;&lt;title&gt;The study of electrolyte solutions based on ethylene and diethyl carbonates for rechargeable Li batteries II. Graphite electrodes&lt;/title&gt;&lt;secondary-title&gt;Journal of The Electrochemical Society&lt;/secondary-title&gt;&lt;/titles&gt;&lt;periodical&gt;&lt;full-title&gt;Journal of the Electrochemical Society&lt;/full-title&gt;&lt;abbr-1&gt;J. Electrochem. Soc.&lt;/abbr-1&gt;&lt;/periodical&gt;&lt;pages&gt;2882-2890&lt;/pages&gt;&lt;volume&gt;142&lt;/volume&gt;&lt;number&gt;9&lt;/number&gt;&lt;dates&gt;&lt;year&gt;1995&lt;/year&gt;&lt;/dates&gt;&lt;isbn&gt;0013-4651&lt;/isbn&gt;&lt;urls&gt;&lt;/urls&gt;&lt;/record&gt;&lt;/Cite&gt;&lt;/EndNote&gt;</w:instrText>
      </w:r>
      <w:r w:rsidRPr="0092670C">
        <w:rPr>
          <w:rFonts w:ascii="Arial" w:hAnsi="Arial" w:cs="Arial"/>
        </w:rPr>
        <w:fldChar w:fldCharType="separate"/>
      </w:r>
      <w:r w:rsidR="00C10A8D">
        <w:rPr>
          <w:rFonts w:ascii="Arial" w:hAnsi="Arial" w:cs="Arial"/>
          <w:noProof/>
        </w:rPr>
        <w:t>[56, 57]</w:t>
      </w:r>
      <w:r w:rsidRPr="0092670C">
        <w:rPr>
          <w:rFonts w:ascii="Arial" w:hAnsi="Arial" w:cs="Arial"/>
        </w:rPr>
        <w:fldChar w:fldCharType="end"/>
      </w:r>
      <w:r w:rsidRPr="0092670C">
        <w:rPr>
          <w:rFonts w:ascii="Arial" w:hAnsi="Arial" w:cs="Arial"/>
        </w:rPr>
        <w:t xml:space="preserve">. One of the differences is that the SEI is insoluble, but the same is not true for all degradation products. To try and account for this Ushirogata </w:t>
      </w:r>
      <w:r w:rsidRPr="0092670C">
        <w:rPr>
          <w:rFonts w:ascii="Arial" w:hAnsi="Arial" w:cs="Arial"/>
          <w:i/>
        </w:rPr>
        <w:t xml:space="preserve">et al. </w:t>
      </w:r>
      <w:r w:rsidRPr="0092670C">
        <w:rPr>
          <w:rFonts w:ascii="Arial" w:hAnsi="Arial" w:cs="Arial"/>
        </w:rPr>
        <w:t xml:space="preserve">performed </w:t>
      </w:r>
      <w:r w:rsidR="006A1BAD" w:rsidRPr="0092670C">
        <w:rPr>
          <w:rFonts w:ascii="Arial" w:hAnsi="Arial" w:cs="Arial"/>
        </w:rPr>
        <w:t>two</w:t>
      </w:r>
      <w:r w:rsidRPr="0092670C">
        <w:rPr>
          <w:rFonts w:ascii="Arial" w:hAnsi="Arial" w:cs="Arial"/>
        </w:rPr>
        <w:t xml:space="preserve"> calculations</w:t>
      </w:r>
      <w:r w:rsidR="00D05BD0"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&lt;EndNote&gt;&lt;Cite&gt;&lt;Author&gt;Ushirogata&lt;/Author&gt;&lt;Year&gt;2015&lt;/Year&gt;&lt;RecNum&gt;277&lt;/RecNum&gt;&lt;DisplayText&gt;[58]&lt;/DisplayText&gt;&lt;record&gt;&lt;rec-number&gt;277&lt;/rec-number&gt;&lt;foreign-keys&gt;&lt;key app="EN" db-id="5sa9s0e0r0d9fnexra7pr5xdwd5ztevx95s2" timestamp="1559238309"&gt;277&lt;/key&gt;&lt;/foreign-keys&gt;&lt;ref-type name="Journal Article"&gt;17&lt;/ref-type&gt;&lt;contributors&gt;&lt;authors&gt;&lt;author&gt;Ushirogata, Keisuke&lt;/author&gt;&lt;author&gt;Sodeyama, Keitaro&lt;/author&gt;&lt;author&gt;Futera, Zdenek&lt;/author&gt;&lt;author&gt;Tateyama, Yoshitaka&lt;/author&gt;&lt;author&gt;Okuno, Yukihiro&lt;/author&gt;&lt;/authors&gt;&lt;/contributors&gt;&lt;titles&gt;&lt;title&gt;Near-Shore Aggregation Mechanism of Electrolyte Decomposition Products to Explain Solid Electrolyte Interphase Formation&lt;/title&gt;&lt;secondary-title&gt;Journal of The Electrochemical Society&lt;/secondary-title&gt;&lt;/titles&gt;&lt;periodical&gt;&lt;full-title&gt;Journal of the Electrochemical Society&lt;/full-title&gt;&lt;abbr-1&gt;J. Electrochem. Soc.&lt;/abbr-1&gt;&lt;/periodical&gt;&lt;pages&gt;A2670-A2678&lt;/pages&gt;&lt;volume&gt;162&lt;/volume&gt;&lt;number&gt;14&lt;/number&gt;&lt;dates&gt;&lt;year&gt;2015&lt;/year&gt;&lt;pub-dates&gt;&lt;date&gt;January 1, 2015&lt;/date&gt;&lt;/pub-dates&gt;&lt;/dates&gt;&lt;urls&gt;&lt;related-urls&gt;&lt;url&gt;http://jes.ecsdl.org/content/162/14/A2670.abstract&lt;/url&gt;&lt;/related-urls&gt;&lt;/urls&gt;&lt;electronic-resource-num&gt;10.1149/2.0301514jes&lt;/electronic-resource-num&gt;&lt;/record&gt;&lt;/Cite&gt;&lt;/EndNote&gt;</w:instrText>
      </w:r>
      <w:r w:rsidRPr="0092670C">
        <w:rPr>
          <w:rFonts w:ascii="Arial" w:hAnsi="Arial" w:cs="Arial"/>
        </w:rPr>
        <w:fldChar w:fldCharType="separate"/>
      </w:r>
      <w:r w:rsidR="00C10A8D">
        <w:rPr>
          <w:rFonts w:ascii="Arial" w:hAnsi="Arial" w:cs="Arial"/>
          <w:noProof/>
        </w:rPr>
        <w:t>[58]</w:t>
      </w:r>
      <w:r w:rsidRPr="0092670C">
        <w:rPr>
          <w:rFonts w:ascii="Arial" w:hAnsi="Arial" w:cs="Arial"/>
        </w:rPr>
        <w:fldChar w:fldCharType="end"/>
      </w:r>
      <w:r w:rsidRPr="0092670C">
        <w:rPr>
          <w:rFonts w:ascii="Arial" w:hAnsi="Arial" w:cs="Arial"/>
        </w:rPr>
        <w:t xml:space="preserve">.  The first of these was a traditional MD study of the decomposition of the electrolyte with the second calculation observing the solubility of these products in EC and their interactions with a graphite surface. Due to the low concentration of initial degradation products they dissolve back into the electrolyte. They then suggested a “near shore aggregation” mechanism for SEI formation whereby the SEI forms in solution until </w:t>
      </w:r>
      <w:r w:rsidR="004D70AF">
        <w:rPr>
          <w:rFonts w:ascii="Arial" w:hAnsi="Arial" w:cs="Arial"/>
        </w:rPr>
        <w:t xml:space="preserve">it </w:t>
      </w:r>
      <w:r w:rsidRPr="0092670C">
        <w:rPr>
          <w:rFonts w:ascii="Arial" w:hAnsi="Arial" w:cs="Arial"/>
        </w:rPr>
        <w:t>agglomerates to a sufficient stage and then adheres back to the surface, forming the SEI</w:t>
      </w:r>
      <w:r w:rsidR="00AD2069" w:rsidRPr="0092670C">
        <w:rPr>
          <w:rFonts w:ascii="Arial" w:hAnsi="Arial" w:cs="Arial"/>
        </w:rPr>
        <w:t xml:space="preserve">, a diagram of which can be seen in </w:t>
      </w:r>
      <w:r w:rsidR="0019008C" w:rsidRPr="0092670C">
        <w:rPr>
          <w:rFonts w:ascii="Arial" w:hAnsi="Arial" w:cs="Arial"/>
        </w:rPr>
        <w:fldChar w:fldCharType="begin"/>
      </w:r>
      <w:r w:rsidR="0019008C" w:rsidRPr="0092670C">
        <w:rPr>
          <w:rFonts w:ascii="Arial" w:hAnsi="Arial" w:cs="Arial"/>
        </w:rPr>
        <w:instrText xml:space="preserve"> REF _Ref30022635 \h  \* MERGEFORMAT </w:instrText>
      </w:r>
      <w:r w:rsidR="0019008C" w:rsidRPr="0092670C">
        <w:rPr>
          <w:rFonts w:ascii="Arial" w:hAnsi="Arial" w:cs="Arial"/>
        </w:rPr>
      </w:r>
      <w:r w:rsidR="0019008C"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10</w:t>
      </w:r>
      <w:r w:rsidR="0019008C" w:rsidRPr="0092670C">
        <w:rPr>
          <w:rFonts w:ascii="Arial" w:hAnsi="Arial" w:cs="Arial"/>
        </w:rPr>
        <w:fldChar w:fldCharType="end"/>
      </w:r>
      <w:r w:rsidRPr="0092670C">
        <w:rPr>
          <w:rFonts w:ascii="Arial" w:hAnsi="Arial" w:cs="Arial"/>
        </w:rPr>
        <w:t xml:space="preserve">. Whilst the aggregation is taking place then electrolyte decomposition can still occur on the graphite. This “solution mediated” mechanism could explain why the SEI can exceed the thickness of electron tunnelling. </w:t>
      </w:r>
    </w:p>
    <w:p w14:paraId="172BBE51" w14:textId="77777777" w:rsidR="0058227E" w:rsidRPr="0092670C" w:rsidRDefault="0058227E" w:rsidP="003E14AA">
      <w:pPr>
        <w:spacing w:line="360" w:lineRule="auto"/>
        <w:jc w:val="both"/>
        <w:rPr>
          <w:rFonts w:ascii="Arial" w:hAnsi="Arial" w:cs="Arial"/>
        </w:rPr>
      </w:pPr>
    </w:p>
    <w:p w14:paraId="348D2728" w14:textId="77777777" w:rsidR="0058227E" w:rsidRPr="0092670C" w:rsidRDefault="0058227E" w:rsidP="0058227E">
      <w:pPr>
        <w:keepNext/>
        <w:jc w:val="both"/>
        <w:rPr>
          <w:rFonts w:ascii="Arial" w:hAnsi="Arial" w:cs="Arial"/>
        </w:rPr>
      </w:pPr>
      <w:r w:rsidRPr="0092670C">
        <w:rPr>
          <w:rFonts w:ascii="Arial" w:hAnsi="Arial" w:cs="Arial"/>
          <w:noProof/>
        </w:rPr>
        <w:drawing>
          <wp:inline distT="0" distB="0" distL="0" distR="0" wp14:anchorId="4AA5B318" wp14:editId="51D47E47">
            <wp:extent cx="5731510" cy="1741170"/>
            <wp:effectExtent l="0" t="0" r="2540" b="0"/>
            <wp:docPr id="5" name="Picture 3">
              <a:extLst xmlns:a="http://schemas.openxmlformats.org/drawingml/2006/main">
                <a:ext uri="{FF2B5EF4-FFF2-40B4-BE49-F238E27FC236}">
                  <a16:creationId xmlns:a16="http://schemas.microsoft.com/office/drawing/2014/main" id="{0CE5AD8F-6DE4-4C06-9074-421561184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0CE5AD8F-6DE4-4C06-9074-42156118468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741170"/>
                    </a:xfrm>
                    <a:prstGeom prst="rect">
                      <a:avLst/>
                    </a:prstGeom>
                    <a:noFill/>
                    <a:ln>
                      <a:noFill/>
                    </a:ln>
                    <a:effectLst/>
                  </pic:spPr>
                </pic:pic>
              </a:graphicData>
            </a:graphic>
          </wp:inline>
        </w:drawing>
      </w:r>
    </w:p>
    <w:p w14:paraId="2623E8C6" w14:textId="2ED6A9D5" w:rsidR="0058227E" w:rsidRPr="00B97230" w:rsidRDefault="0058227E" w:rsidP="0058227E">
      <w:pPr>
        <w:spacing w:after="200" w:line="240" w:lineRule="auto"/>
        <w:jc w:val="center"/>
        <w:rPr>
          <w:rFonts w:ascii="Arial" w:hAnsi="Arial" w:cs="Arial"/>
          <w:i/>
          <w:iCs/>
          <w:color w:val="44546A" w:themeColor="text2"/>
          <w:sz w:val="20"/>
          <w:szCs w:val="20"/>
        </w:rPr>
      </w:pPr>
      <w:bookmarkStart w:id="35" w:name="_Ref30022635"/>
      <w:bookmarkStart w:id="36" w:name="_Ref30022625"/>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10</w:t>
      </w:r>
      <w:r w:rsidR="00356A26">
        <w:rPr>
          <w:rFonts w:ascii="Arial" w:hAnsi="Arial" w:cs="Arial"/>
          <w:i/>
          <w:iCs/>
          <w:color w:val="44546A" w:themeColor="text2"/>
          <w:sz w:val="20"/>
          <w:szCs w:val="20"/>
        </w:rPr>
        <w:fldChar w:fldCharType="end"/>
      </w:r>
      <w:bookmarkEnd w:id="35"/>
      <w:r w:rsidRPr="00B97230">
        <w:rPr>
          <w:rFonts w:ascii="Arial" w:hAnsi="Arial" w:cs="Arial"/>
          <w:i/>
          <w:iCs/>
          <w:color w:val="44546A" w:themeColor="text2"/>
          <w:sz w:val="20"/>
          <w:szCs w:val="20"/>
        </w:rPr>
        <w:t>: Schematic of SEI formation happening via surface growth mechanism and near-shore aggregation mechanism</w:t>
      </w:r>
      <w:r w:rsidR="00524656" w:rsidRPr="00B97230">
        <w:rPr>
          <w:rFonts w:ascii="Arial" w:hAnsi="Arial" w:cs="Arial"/>
          <w:i/>
          <w:iCs/>
          <w:color w:val="44546A" w:themeColor="text2"/>
          <w:sz w:val="20"/>
          <w:szCs w:val="20"/>
        </w:rPr>
        <w:t xml:space="preserve"> </w:t>
      </w:r>
      <w:r w:rsidRPr="00B97230">
        <w:rPr>
          <w:rFonts w:ascii="Arial" w:hAnsi="Arial" w:cs="Arial"/>
          <w:i/>
          <w:iCs/>
          <w:color w:val="44546A" w:themeColor="text2"/>
          <w:sz w:val="20"/>
          <w:szCs w:val="20"/>
        </w:rPr>
        <w:fldChar w:fldCharType="begin"/>
      </w:r>
      <w:r w:rsidR="00C10A8D">
        <w:rPr>
          <w:rFonts w:ascii="Arial" w:hAnsi="Arial" w:cs="Arial"/>
          <w:i/>
          <w:iCs/>
          <w:color w:val="44546A" w:themeColor="text2"/>
          <w:sz w:val="20"/>
          <w:szCs w:val="20"/>
        </w:rPr>
        <w:instrText xml:space="preserve"> ADDIN EN.CITE &lt;EndNote&gt;&lt;Cite&gt;&lt;Author&gt;Ushirogata&lt;/Author&gt;&lt;Year&gt;2015&lt;/Year&gt;&lt;RecNum&gt;277&lt;/RecNum&gt;&lt;DisplayText&gt;[58]&lt;/DisplayText&gt;&lt;record&gt;&lt;rec-number&gt;277&lt;/rec-number&gt;&lt;foreign-keys&gt;&lt;key app="EN" db-id="5sa9s0e0r0d9fnexra7pr5xdwd5ztevx95s2" timestamp="1559238309"&gt;277&lt;/key&gt;&lt;/foreign-keys&gt;&lt;ref-type name="Journal Article"&gt;17&lt;/ref-type&gt;&lt;contributors&gt;&lt;authors&gt;&lt;author&gt;Ushirogata, Keisuke&lt;/author&gt;&lt;author&gt;Sodeyama, Keitaro&lt;/author&gt;&lt;author&gt;Futera, Zdenek&lt;/author&gt;&lt;author&gt;Tateyama, Yoshitaka&lt;/author&gt;&lt;author&gt;Okuno, Yukihiro&lt;/author&gt;&lt;/authors&gt;&lt;/contributors&gt;&lt;titles&gt;&lt;title&gt;Near-Shore Aggregation Mechanism of Electrolyte Decomposition Products to Explain Solid Electrolyte Interphase Formation&lt;/title&gt;&lt;secondary-title&gt;Journal of The Electrochemical Society&lt;/secondary-title&gt;&lt;/titles&gt;&lt;periodical&gt;&lt;full-title&gt;Journal of the Electrochemical Society&lt;/full-title&gt;&lt;abbr-1&gt;J. Electrochem. Soc.&lt;/abbr-1&gt;&lt;/periodical&gt;&lt;pages&gt;A2670-A2678&lt;/pages&gt;&lt;volume&gt;162&lt;/volume&gt;&lt;number&gt;14&lt;/number&gt;&lt;dates&gt;&lt;year&gt;2015&lt;/year&gt;&lt;pub-dates&gt;&lt;date&gt;January 1, 2015&lt;/date&gt;&lt;/pub-dates&gt;&lt;/dates&gt;&lt;urls&gt;&lt;related-urls&gt;&lt;url&gt;http://jes.ecsdl.org/content/162/14/A2670.abstract&lt;/url&gt;&lt;/related-urls&gt;&lt;/urls&gt;&lt;electronic-resource-num&gt;10.1149/2.0301514jes&lt;/electronic-resource-num&gt;&lt;/record&gt;&lt;/Cite&gt;&lt;/EndNote&gt;</w:instrText>
      </w:r>
      <w:r w:rsidRPr="00B97230">
        <w:rPr>
          <w:rFonts w:ascii="Arial" w:hAnsi="Arial" w:cs="Arial"/>
          <w:i/>
          <w:iCs/>
          <w:color w:val="44546A" w:themeColor="text2"/>
          <w:sz w:val="20"/>
          <w:szCs w:val="20"/>
        </w:rPr>
        <w:fldChar w:fldCharType="separate"/>
      </w:r>
      <w:r w:rsidR="00C10A8D">
        <w:rPr>
          <w:rFonts w:ascii="Arial" w:hAnsi="Arial" w:cs="Arial"/>
          <w:i/>
          <w:iCs/>
          <w:noProof/>
          <w:color w:val="44546A" w:themeColor="text2"/>
          <w:sz w:val="20"/>
          <w:szCs w:val="20"/>
        </w:rPr>
        <w:t>[58]</w:t>
      </w:r>
      <w:r w:rsidRPr="00B97230">
        <w:rPr>
          <w:rFonts w:ascii="Arial" w:hAnsi="Arial" w:cs="Arial"/>
          <w:i/>
          <w:iCs/>
          <w:color w:val="44546A" w:themeColor="text2"/>
          <w:sz w:val="20"/>
          <w:szCs w:val="20"/>
        </w:rPr>
        <w:fldChar w:fldCharType="end"/>
      </w:r>
      <w:bookmarkEnd w:id="36"/>
      <w:r w:rsidR="00354FE6" w:rsidRPr="00B97230">
        <w:rPr>
          <w:rFonts w:ascii="Arial" w:hAnsi="Arial" w:cs="Arial"/>
          <w:i/>
          <w:iCs/>
          <w:color w:val="44546A" w:themeColor="text2"/>
          <w:sz w:val="20"/>
          <w:szCs w:val="20"/>
        </w:rPr>
        <w:t>.</w:t>
      </w:r>
    </w:p>
    <w:p w14:paraId="791D9454" w14:textId="6602DED7" w:rsidR="0058227E" w:rsidRPr="0092670C" w:rsidRDefault="0058227E" w:rsidP="003E14AA">
      <w:pPr>
        <w:spacing w:line="360" w:lineRule="auto"/>
        <w:jc w:val="both"/>
        <w:rPr>
          <w:rFonts w:ascii="Arial" w:hAnsi="Arial" w:cs="Arial"/>
        </w:rPr>
        <w:sectPr w:rsidR="0058227E" w:rsidRPr="0092670C" w:rsidSect="008B49E6">
          <w:footerReference w:type="first" r:id="rId32"/>
          <w:pgSz w:w="11906" w:h="16838"/>
          <w:pgMar w:top="1134" w:right="1134" w:bottom="1134" w:left="2268" w:header="708" w:footer="708" w:gutter="0"/>
          <w:pgNumType w:start="3"/>
          <w:cols w:space="708"/>
          <w:titlePg/>
          <w:docGrid w:linePitch="360"/>
        </w:sectPr>
      </w:pPr>
    </w:p>
    <w:p w14:paraId="7ED049DB" w14:textId="3DCFAF50" w:rsidR="003E14AA" w:rsidRPr="006E41C1" w:rsidRDefault="003E14AA" w:rsidP="003E14AA">
      <w:pPr>
        <w:keepNext/>
        <w:spacing w:after="200" w:line="240" w:lineRule="auto"/>
        <w:rPr>
          <w:rFonts w:ascii="Arial" w:hAnsi="Arial" w:cs="Arial"/>
          <w:color w:val="44546A" w:themeColor="text2"/>
          <w:sz w:val="20"/>
          <w:szCs w:val="20"/>
        </w:rPr>
      </w:pPr>
    </w:p>
    <w:p w14:paraId="58986EC8" w14:textId="57497C68" w:rsidR="00291EFB" w:rsidRPr="00B97230" w:rsidRDefault="00291EFB" w:rsidP="00291EFB">
      <w:pPr>
        <w:pStyle w:val="Caption"/>
        <w:keepNext/>
        <w:rPr>
          <w:rFonts w:ascii="Arial" w:hAnsi="Arial" w:cs="Arial"/>
          <w:sz w:val="20"/>
          <w:szCs w:val="20"/>
        </w:rPr>
      </w:pPr>
      <w:bookmarkStart w:id="37" w:name="_Ref44864057"/>
      <w:bookmarkStart w:id="38" w:name="_Ref44864087"/>
      <w:r w:rsidRPr="00B97230">
        <w:rPr>
          <w:rFonts w:ascii="Arial" w:hAnsi="Arial" w:cs="Arial"/>
          <w:sz w:val="20"/>
          <w:szCs w:val="20"/>
        </w:rPr>
        <w:t xml:space="preserve">Table </w:t>
      </w:r>
      <w:r w:rsidR="004F6B49" w:rsidRPr="00B97230">
        <w:rPr>
          <w:rFonts w:ascii="Arial" w:hAnsi="Arial" w:cs="Arial"/>
          <w:sz w:val="20"/>
          <w:szCs w:val="20"/>
        </w:rPr>
        <w:fldChar w:fldCharType="begin"/>
      </w:r>
      <w:r w:rsidR="004F6B49" w:rsidRPr="00B97230">
        <w:rPr>
          <w:rFonts w:ascii="Arial" w:hAnsi="Arial" w:cs="Arial"/>
          <w:sz w:val="20"/>
          <w:szCs w:val="20"/>
        </w:rPr>
        <w:instrText xml:space="preserve"> STYLEREF 1 \s </w:instrText>
      </w:r>
      <w:r w:rsidR="004F6B49" w:rsidRPr="00B97230">
        <w:rPr>
          <w:rFonts w:ascii="Arial" w:hAnsi="Arial" w:cs="Arial"/>
          <w:sz w:val="20"/>
          <w:szCs w:val="20"/>
        </w:rPr>
        <w:fldChar w:fldCharType="separate"/>
      </w:r>
      <w:r w:rsidR="007342C8">
        <w:rPr>
          <w:rFonts w:ascii="Arial" w:hAnsi="Arial" w:cs="Arial"/>
          <w:noProof/>
          <w:sz w:val="20"/>
          <w:szCs w:val="20"/>
        </w:rPr>
        <w:t>1</w:t>
      </w:r>
      <w:r w:rsidR="004F6B49" w:rsidRPr="00B97230">
        <w:rPr>
          <w:rFonts w:ascii="Arial" w:hAnsi="Arial" w:cs="Arial"/>
          <w:sz w:val="20"/>
          <w:szCs w:val="20"/>
        </w:rPr>
        <w:fldChar w:fldCharType="end"/>
      </w:r>
      <w:r w:rsidR="004F6B49" w:rsidRPr="00B97230">
        <w:rPr>
          <w:rFonts w:ascii="Arial" w:hAnsi="Arial" w:cs="Arial"/>
          <w:sz w:val="20"/>
          <w:szCs w:val="20"/>
        </w:rPr>
        <w:noBreakHyphen/>
      </w:r>
      <w:r w:rsidR="004F6B49" w:rsidRPr="00B97230">
        <w:rPr>
          <w:rFonts w:ascii="Arial" w:hAnsi="Arial" w:cs="Arial"/>
          <w:sz w:val="20"/>
          <w:szCs w:val="20"/>
        </w:rPr>
        <w:fldChar w:fldCharType="begin"/>
      </w:r>
      <w:r w:rsidR="004F6B49" w:rsidRPr="00B97230">
        <w:rPr>
          <w:rFonts w:ascii="Arial" w:hAnsi="Arial" w:cs="Arial"/>
          <w:sz w:val="20"/>
          <w:szCs w:val="20"/>
        </w:rPr>
        <w:instrText xml:space="preserve"> SEQ Table \* ARABIC \s 1 </w:instrText>
      </w:r>
      <w:r w:rsidR="004F6B49" w:rsidRPr="00B97230">
        <w:rPr>
          <w:rFonts w:ascii="Arial" w:hAnsi="Arial" w:cs="Arial"/>
          <w:sz w:val="20"/>
          <w:szCs w:val="20"/>
        </w:rPr>
        <w:fldChar w:fldCharType="separate"/>
      </w:r>
      <w:r w:rsidR="007342C8">
        <w:rPr>
          <w:rFonts w:ascii="Arial" w:hAnsi="Arial" w:cs="Arial"/>
          <w:noProof/>
          <w:sz w:val="20"/>
          <w:szCs w:val="20"/>
        </w:rPr>
        <w:t>1</w:t>
      </w:r>
      <w:r w:rsidR="004F6B49" w:rsidRPr="00B97230">
        <w:rPr>
          <w:rFonts w:ascii="Arial" w:hAnsi="Arial" w:cs="Arial"/>
          <w:sz w:val="20"/>
          <w:szCs w:val="20"/>
        </w:rPr>
        <w:fldChar w:fldCharType="end"/>
      </w:r>
      <w:bookmarkEnd w:id="37"/>
      <w:r w:rsidRPr="00B97230">
        <w:rPr>
          <w:rFonts w:ascii="Arial" w:hAnsi="Arial" w:cs="Arial"/>
          <w:sz w:val="20"/>
          <w:szCs w:val="20"/>
        </w:rPr>
        <w:t>: Table of common electrolyte components and select physical properties</w:t>
      </w:r>
      <w:bookmarkEnd w:id="38"/>
      <w:r w:rsidR="00B97230" w:rsidRPr="00B97230">
        <w:rPr>
          <w:rFonts w:ascii="Arial" w:hAnsi="Arial" w:cs="Arial"/>
          <w:sz w:val="20"/>
          <w:szCs w:val="20"/>
        </w:rPr>
        <w:t>.</w:t>
      </w:r>
    </w:p>
    <w:tbl>
      <w:tblPr>
        <w:tblStyle w:val="TableGrid1"/>
        <w:tblW w:w="14181" w:type="dxa"/>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1134"/>
        <w:gridCol w:w="1276"/>
        <w:gridCol w:w="1276"/>
        <w:gridCol w:w="708"/>
        <w:gridCol w:w="1067"/>
        <w:gridCol w:w="1099"/>
        <w:gridCol w:w="2410"/>
        <w:gridCol w:w="1559"/>
        <w:gridCol w:w="1095"/>
        <w:gridCol w:w="1134"/>
      </w:tblGrid>
      <w:tr w:rsidR="003E14AA" w:rsidRPr="0092670C" w14:paraId="09A7199B" w14:textId="77777777" w:rsidTr="002C242D">
        <w:trPr>
          <w:tblHeader/>
        </w:trPr>
        <w:tc>
          <w:tcPr>
            <w:tcW w:w="1423" w:type="dxa"/>
            <w:tcBorders>
              <w:top w:val="single" w:sz="4" w:space="0" w:color="auto"/>
              <w:bottom w:val="single" w:sz="4" w:space="0" w:color="auto"/>
            </w:tcBorders>
          </w:tcPr>
          <w:p w14:paraId="17AE53C4" w14:textId="7E02BC5B" w:rsidR="003E14AA" w:rsidRPr="0092670C" w:rsidRDefault="003E14AA" w:rsidP="00B9047F">
            <w:pPr>
              <w:rPr>
                <w:rFonts w:ascii="Arial" w:hAnsi="Arial" w:cs="Arial"/>
                <w:sz w:val="18"/>
                <w:szCs w:val="18"/>
              </w:rPr>
            </w:pPr>
            <w:r w:rsidRPr="0092670C">
              <w:rPr>
                <w:rFonts w:ascii="Arial" w:hAnsi="Arial" w:cs="Arial"/>
                <w:sz w:val="18"/>
                <w:szCs w:val="18"/>
              </w:rPr>
              <w:t>Name</w:t>
            </w:r>
            <w:r w:rsidR="009D0382" w:rsidRPr="0092670C">
              <w:rPr>
                <w:rFonts w:ascii="Arial" w:hAnsi="Arial" w:cs="Arial"/>
                <w:sz w:val="18"/>
                <w:szCs w:val="18"/>
              </w:rPr>
              <w:t xml:space="preserve"> (Abbreviation)</w:t>
            </w:r>
          </w:p>
        </w:tc>
        <w:tc>
          <w:tcPr>
            <w:tcW w:w="1134" w:type="dxa"/>
            <w:tcBorders>
              <w:top w:val="single" w:sz="4" w:space="0" w:color="auto"/>
              <w:bottom w:val="single" w:sz="4" w:space="0" w:color="auto"/>
            </w:tcBorders>
          </w:tcPr>
          <w:p w14:paraId="15D04DC3" w14:textId="77777777" w:rsidR="003E14AA" w:rsidRPr="0092670C" w:rsidRDefault="003E14AA" w:rsidP="00B9047F">
            <w:pPr>
              <w:rPr>
                <w:rFonts w:ascii="Arial" w:hAnsi="Arial" w:cs="Arial"/>
                <w:sz w:val="18"/>
                <w:szCs w:val="18"/>
                <w:vertAlign w:val="superscript"/>
              </w:rPr>
            </w:pPr>
            <w:r w:rsidRPr="0092670C">
              <w:rPr>
                <w:rFonts w:ascii="Arial" w:hAnsi="Arial" w:cs="Arial"/>
                <w:sz w:val="18"/>
                <w:szCs w:val="18"/>
              </w:rPr>
              <w:t>MW/gmol</w:t>
            </w:r>
            <w:r w:rsidRPr="0092670C">
              <w:rPr>
                <w:rFonts w:ascii="Arial" w:hAnsi="Arial" w:cs="Arial"/>
                <w:sz w:val="18"/>
                <w:szCs w:val="18"/>
                <w:vertAlign w:val="superscript"/>
              </w:rPr>
              <w:t>-1</w:t>
            </w:r>
          </w:p>
        </w:tc>
        <w:tc>
          <w:tcPr>
            <w:tcW w:w="1276" w:type="dxa"/>
            <w:tcBorders>
              <w:top w:val="single" w:sz="4" w:space="0" w:color="auto"/>
              <w:bottom w:val="single" w:sz="4" w:space="0" w:color="auto"/>
            </w:tcBorders>
          </w:tcPr>
          <w:p w14:paraId="7343F738" w14:textId="02AD18DB" w:rsidR="003E14AA" w:rsidRPr="0092670C" w:rsidRDefault="003E14AA" w:rsidP="00B9047F">
            <w:pPr>
              <w:rPr>
                <w:rFonts w:ascii="Arial" w:hAnsi="Arial" w:cs="Arial"/>
                <w:sz w:val="18"/>
                <w:szCs w:val="18"/>
              </w:rPr>
            </w:pPr>
            <w:r w:rsidRPr="0092670C">
              <w:rPr>
                <w:rFonts w:ascii="Arial" w:hAnsi="Arial" w:cs="Arial"/>
                <w:sz w:val="18"/>
                <w:szCs w:val="18"/>
              </w:rPr>
              <w:t xml:space="preserve">M.P. </w:t>
            </w:r>
            <w:r w:rsidR="00737B35" w:rsidRPr="0092670C">
              <w:rPr>
                <w:rFonts w:ascii="Arial" w:hAnsi="Arial" w:cs="Arial"/>
                <w:sz w:val="18"/>
                <w:szCs w:val="18"/>
              </w:rPr>
              <w:t>(°C)</w:t>
            </w:r>
          </w:p>
        </w:tc>
        <w:tc>
          <w:tcPr>
            <w:tcW w:w="1276" w:type="dxa"/>
            <w:tcBorders>
              <w:top w:val="single" w:sz="4" w:space="0" w:color="auto"/>
              <w:bottom w:val="single" w:sz="4" w:space="0" w:color="auto"/>
            </w:tcBorders>
          </w:tcPr>
          <w:p w14:paraId="11702731" w14:textId="15F5E730" w:rsidR="003E14AA" w:rsidRPr="0092670C" w:rsidRDefault="003E14AA" w:rsidP="00B9047F">
            <w:pPr>
              <w:rPr>
                <w:rFonts w:ascii="Arial" w:hAnsi="Arial" w:cs="Arial"/>
                <w:sz w:val="18"/>
                <w:szCs w:val="18"/>
              </w:rPr>
            </w:pPr>
            <w:r w:rsidRPr="0092670C">
              <w:rPr>
                <w:rFonts w:ascii="Arial" w:hAnsi="Arial" w:cs="Arial"/>
                <w:sz w:val="18"/>
                <w:szCs w:val="18"/>
              </w:rPr>
              <w:t xml:space="preserve">B.P. </w:t>
            </w:r>
            <w:r w:rsidR="00737B35" w:rsidRPr="0092670C">
              <w:rPr>
                <w:rFonts w:ascii="Arial" w:hAnsi="Arial" w:cs="Arial"/>
                <w:sz w:val="18"/>
                <w:szCs w:val="18"/>
              </w:rPr>
              <w:t>(°C)</w:t>
            </w:r>
          </w:p>
        </w:tc>
        <w:tc>
          <w:tcPr>
            <w:tcW w:w="708" w:type="dxa"/>
            <w:tcBorders>
              <w:top w:val="single" w:sz="4" w:space="0" w:color="auto"/>
              <w:bottom w:val="single" w:sz="4" w:space="0" w:color="auto"/>
            </w:tcBorders>
          </w:tcPr>
          <w:p w14:paraId="169C426B" w14:textId="02F2FD44" w:rsidR="003E14AA" w:rsidRPr="0092670C" w:rsidRDefault="003E14AA" w:rsidP="00B9047F">
            <w:pPr>
              <w:rPr>
                <w:rFonts w:ascii="Arial" w:hAnsi="Arial" w:cs="Arial"/>
                <w:sz w:val="18"/>
                <w:szCs w:val="18"/>
              </w:rPr>
            </w:pPr>
            <w:r w:rsidRPr="0092670C">
              <w:rPr>
                <w:rFonts w:ascii="Arial" w:hAnsi="Arial" w:cs="Arial"/>
                <w:sz w:val="18"/>
                <w:szCs w:val="18"/>
              </w:rPr>
              <w:sym w:font="Symbol" w:char="F065"/>
            </w:r>
            <w:r w:rsidRPr="0092670C">
              <w:rPr>
                <w:rFonts w:ascii="Arial" w:hAnsi="Arial" w:cs="Arial"/>
                <w:sz w:val="18"/>
                <w:szCs w:val="18"/>
              </w:rPr>
              <w:t xml:space="preserve"> </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&lt;EndNote&gt;&lt;Cite&gt;&lt;Author&gt;Ding&lt;/Author&gt;&lt;Year&gt;2001&lt;/Year&gt;&lt;RecNum&gt;220&lt;/RecNum&gt;&lt;DisplayText&gt;[59]&lt;/DisplayText&gt;&lt;record&gt;&lt;rec-number&gt;220&lt;/rec-number&gt;&lt;foreign-keys&gt;&lt;key app="EN" db-id="5sa9s0e0r0d9fnexra7pr5xdwd5ztevx95s2" timestamp="1555066002"&gt;220&lt;/key&gt;&lt;/foreign-keys&gt;&lt;ref-type name="Journal Article"&gt;17&lt;/ref-type&gt;&lt;contributors&gt;&lt;authors&gt;&lt;author&gt;Ding, Michael S.&lt;/author&gt;&lt;author&gt;Xu, Kang&lt;/author&gt;&lt;author&gt;Zhang, Shengshui&lt;/author&gt;&lt;author&gt;Jow, T. Richard&lt;/author&gt;&lt;/authors&gt;&lt;/contributors&gt;&lt;titles&gt;&lt;title&gt;Liquid/Solid Phase Diagrams of Binary Carbonates for Lithium Batteries Part II&lt;/title&gt;&lt;secondary-title&gt;Journal of The Electrochemical Society&lt;/secondary-title&gt;&lt;/titles&gt;&lt;periodical&gt;&lt;full-title&gt;Journal of the Electrochemical Society&lt;/full-title&gt;&lt;abbr-1&gt;J. Electrochem. Soc.&lt;/abbr-1&gt;&lt;/periodical&gt;&lt;pages&gt;A299-A304&lt;/pages&gt;&lt;volume&gt;148&lt;/volume&gt;&lt;number&gt;4&lt;/number&gt;&lt;dates&gt;&lt;year&gt;2001&lt;/year&gt;&lt;pub-dates&gt;&lt;date&gt;April 1, 2001&lt;/date&gt;&lt;/pub-dates&gt;&lt;/dates&gt;&lt;urls&gt;&lt;related-urls&gt;&lt;url&gt;http://jes.ecsdl.org/content/148/4/A299.abstract&lt;/url&gt;&lt;/related-urls&gt;&lt;/urls&gt;&lt;electronic-resource-num&gt;10.1149/1.1353568&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[59]</w:t>
            </w:r>
            <w:r w:rsidRPr="0092670C">
              <w:rPr>
                <w:rFonts w:ascii="Arial" w:hAnsi="Arial" w:cs="Arial"/>
                <w:sz w:val="18"/>
                <w:szCs w:val="18"/>
              </w:rPr>
              <w:fldChar w:fldCharType="end"/>
            </w:r>
          </w:p>
          <w:p w14:paraId="03ACBE85" w14:textId="77777777" w:rsidR="003E14AA" w:rsidRPr="0092670C" w:rsidRDefault="003E14AA" w:rsidP="00B9047F">
            <w:pPr>
              <w:rPr>
                <w:rFonts w:ascii="Arial" w:hAnsi="Arial" w:cs="Arial"/>
                <w:sz w:val="18"/>
                <w:szCs w:val="18"/>
              </w:rPr>
            </w:pPr>
          </w:p>
        </w:tc>
        <w:tc>
          <w:tcPr>
            <w:tcW w:w="1067" w:type="dxa"/>
            <w:tcBorders>
              <w:top w:val="single" w:sz="4" w:space="0" w:color="auto"/>
              <w:bottom w:val="single" w:sz="4" w:space="0" w:color="auto"/>
            </w:tcBorders>
          </w:tcPr>
          <w:p w14:paraId="151597E9" w14:textId="77777777" w:rsidR="003E14AA" w:rsidRPr="0092670C" w:rsidRDefault="003E14AA" w:rsidP="00B9047F">
            <w:pPr>
              <w:rPr>
                <w:rFonts w:ascii="Arial" w:hAnsi="Arial" w:cs="Arial"/>
                <w:sz w:val="18"/>
                <w:szCs w:val="18"/>
              </w:rPr>
            </w:pPr>
            <w:r w:rsidRPr="0092670C">
              <w:rPr>
                <w:rFonts w:ascii="Arial" w:hAnsi="Arial" w:cs="Arial"/>
                <w:sz w:val="18"/>
                <w:szCs w:val="18"/>
              </w:rPr>
              <w:t xml:space="preserve">Viscosity at room </w:t>
            </w:r>
          </w:p>
          <w:p w14:paraId="787183D5" w14:textId="77777777" w:rsidR="003E14AA" w:rsidRPr="0092670C" w:rsidRDefault="003E14AA" w:rsidP="00B9047F">
            <w:pPr>
              <w:rPr>
                <w:rFonts w:ascii="Arial" w:hAnsi="Arial" w:cs="Arial"/>
                <w:sz w:val="18"/>
                <w:szCs w:val="18"/>
              </w:rPr>
            </w:pPr>
            <w:r w:rsidRPr="0092670C">
              <w:rPr>
                <w:rFonts w:ascii="Arial" w:hAnsi="Arial" w:cs="Arial"/>
                <w:sz w:val="18"/>
                <w:szCs w:val="18"/>
              </w:rPr>
              <w:t>Temp/cP</w:t>
            </w:r>
          </w:p>
        </w:tc>
        <w:tc>
          <w:tcPr>
            <w:tcW w:w="1099" w:type="dxa"/>
            <w:tcBorders>
              <w:top w:val="single" w:sz="4" w:space="0" w:color="auto"/>
              <w:bottom w:val="single" w:sz="4" w:space="0" w:color="auto"/>
            </w:tcBorders>
          </w:tcPr>
          <w:p w14:paraId="35DB7971" w14:textId="77777777" w:rsidR="003E14AA" w:rsidRPr="0092670C" w:rsidRDefault="003E14AA" w:rsidP="00B9047F">
            <w:pPr>
              <w:rPr>
                <w:rFonts w:ascii="Arial" w:hAnsi="Arial" w:cs="Arial"/>
                <w:sz w:val="18"/>
                <w:szCs w:val="18"/>
              </w:rPr>
            </w:pPr>
            <w:r w:rsidRPr="0092670C">
              <w:rPr>
                <w:rFonts w:ascii="Arial" w:hAnsi="Arial" w:cs="Arial"/>
                <w:sz w:val="18"/>
                <w:szCs w:val="18"/>
              </w:rPr>
              <w:t>Viscosity at melting/cP</w:t>
            </w:r>
          </w:p>
        </w:tc>
        <w:tc>
          <w:tcPr>
            <w:tcW w:w="2410" w:type="dxa"/>
            <w:tcBorders>
              <w:top w:val="single" w:sz="4" w:space="0" w:color="auto"/>
              <w:bottom w:val="single" w:sz="4" w:space="0" w:color="auto"/>
            </w:tcBorders>
          </w:tcPr>
          <w:p w14:paraId="3FCEAFA7" w14:textId="77777777" w:rsidR="003E14AA" w:rsidRPr="0092670C" w:rsidRDefault="003E14AA" w:rsidP="00B9047F">
            <w:pPr>
              <w:rPr>
                <w:rFonts w:ascii="Arial" w:hAnsi="Arial" w:cs="Arial"/>
                <w:sz w:val="18"/>
                <w:szCs w:val="18"/>
              </w:rPr>
            </w:pPr>
            <w:r w:rsidRPr="0092670C">
              <w:rPr>
                <w:rFonts w:ascii="Arial" w:hAnsi="Arial" w:cs="Arial"/>
                <w:sz w:val="18"/>
                <w:szCs w:val="18"/>
              </w:rPr>
              <w:t>Structure</w:t>
            </w:r>
          </w:p>
        </w:tc>
        <w:tc>
          <w:tcPr>
            <w:tcW w:w="1559" w:type="dxa"/>
            <w:tcBorders>
              <w:top w:val="single" w:sz="4" w:space="0" w:color="auto"/>
              <w:bottom w:val="single" w:sz="4" w:space="0" w:color="auto"/>
            </w:tcBorders>
          </w:tcPr>
          <w:p w14:paraId="77357E12" w14:textId="2C3048E3" w:rsidR="003E14AA" w:rsidRPr="0092670C" w:rsidRDefault="00A836F1" w:rsidP="00B9047F">
            <w:pPr>
              <w:rPr>
                <w:rFonts w:ascii="Arial" w:hAnsi="Arial" w:cs="Arial"/>
                <w:sz w:val="18"/>
                <w:szCs w:val="18"/>
              </w:rPr>
            </w:pPr>
            <w:r w:rsidRPr="0092670C">
              <w:rPr>
                <w:rFonts w:ascii="Arial" w:hAnsi="Arial" w:cs="Arial"/>
                <w:sz w:val="18"/>
                <w:szCs w:val="18"/>
              </w:rPr>
              <w:t>P</w:t>
            </w:r>
            <w:r w:rsidR="003E14AA" w:rsidRPr="0092670C">
              <w:rPr>
                <w:rFonts w:ascii="Arial" w:hAnsi="Arial" w:cs="Arial"/>
                <w:sz w:val="18"/>
                <w:szCs w:val="18"/>
              </w:rPr>
              <w:t>urpose</w:t>
            </w:r>
          </w:p>
        </w:tc>
        <w:tc>
          <w:tcPr>
            <w:tcW w:w="1095" w:type="dxa"/>
            <w:tcBorders>
              <w:top w:val="single" w:sz="4" w:space="0" w:color="auto"/>
              <w:bottom w:val="single" w:sz="4" w:space="0" w:color="auto"/>
            </w:tcBorders>
          </w:tcPr>
          <w:p w14:paraId="5A3261AA" w14:textId="52A234CE" w:rsidR="003E14AA" w:rsidRPr="0092670C" w:rsidRDefault="00A836F1" w:rsidP="00B9047F">
            <w:pPr>
              <w:rPr>
                <w:rFonts w:ascii="Arial" w:hAnsi="Arial" w:cs="Arial"/>
                <w:sz w:val="18"/>
                <w:szCs w:val="18"/>
              </w:rPr>
            </w:pPr>
            <w:r w:rsidRPr="0092670C">
              <w:rPr>
                <w:rFonts w:ascii="Arial" w:hAnsi="Arial" w:cs="Arial"/>
                <w:sz w:val="18"/>
                <w:szCs w:val="18"/>
              </w:rPr>
              <w:t>Typical l</w:t>
            </w:r>
            <w:r w:rsidR="003E14AA" w:rsidRPr="0092670C">
              <w:rPr>
                <w:rFonts w:ascii="Arial" w:hAnsi="Arial" w:cs="Arial"/>
                <w:sz w:val="18"/>
                <w:szCs w:val="18"/>
              </w:rPr>
              <w:t>oading</w:t>
            </w:r>
          </w:p>
        </w:tc>
        <w:tc>
          <w:tcPr>
            <w:tcW w:w="1134" w:type="dxa"/>
            <w:tcBorders>
              <w:top w:val="single" w:sz="4" w:space="0" w:color="auto"/>
              <w:bottom w:val="single" w:sz="4" w:space="0" w:color="auto"/>
            </w:tcBorders>
          </w:tcPr>
          <w:p w14:paraId="59D98A9A" w14:textId="77777777" w:rsidR="003E14AA" w:rsidRPr="0092670C" w:rsidRDefault="003E14AA" w:rsidP="00B9047F">
            <w:pPr>
              <w:rPr>
                <w:rFonts w:ascii="Arial" w:hAnsi="Arial" w:cs="Arial"/>
                <w:sz w:val="18"/>
                <w:szCs w:val="18"/>
              </w:rPr>
            </w:pPr>
            <w:r w:rsidRPr="0092670C">
              <w:rPr>
                <w:rFonts w:ascii="Arial" w:hAnsi="Arial" w:cs="Arial"/>
                <w:sz w:val="18"/>
                <w:szCs w:val="18"/>
              </w:rPr>
              <w:t>Breakdown voltage/ V</w:t>
            </w:r>
          </w:p>
        </w:tc>
      </w:tr>
      <w:tr w:rsidR="003E14AA" w:rsidRPr="0092670C" w14:paraId="74941B81" w14:textId="77777777" w:rsidTr="002C242D">
        <w:tc>
          <w:tcPr>
            <w:tcW w:w="1423" w:type="dxa"/>
            <w:tcBorders>
              <w:top w:val="single" w:sz="4" w:space="0" w:color="auto"/>
            </w:tcBorders>
          </w:tcPr>
          <w:p w14:paraId="164F75EA" w14:textId="77777777" w:rsidR="003E14AA" w:rsidRPr="0092670C" w:rsidRDefault="003E14AA" w:rsidP="00B9047F">
            <w:pPr>
              <w:rPr>
                <w:rFonts w:ascii="Arial" w:hAnsi="Arial" w:cs="Arial"/>
                <w:sz w:val="18"/>
                <w:szCs w:val="18"/>
              </w:rPr>
            </w:pPr>
            <w:r w:rsidRPr="0092670C">
              <w:rPr>
                <w:rFonts w:ascii="Arial" w:hAnsi="Arial" w:cs="Arial"/>
                <w:sz w:val="18"/>
                <w:szCs w:val="18"/>
              </w:rPr>
              <w:t>Ethylene carbonate</w:t>
            </w:r>
          </w:p>
          <w:p w14:paraId="6A8DF2BF" w14:textId="5111ADB7" w:rsidR="009D0382" w:rsidRPr="0092670C" w:rsidRDefault="009D0382" w:rsidP="00B9047F">
            <w:pPr>
              <w:rPr>
                <w:rFonts w:ascii="Arial" w:hAnsi="Arial" w:cs="Arial"/>
                <w:sz w:val="18"/>
                <w:szCs w:val="18"/>
              </w:rPr>
            </w:pPr>
            <w:r w:rsidRPr="0092670C">
              <w:rPr>
                <w:rFonts w:ascii="Arial" w:hAnsi="Arial" w:cs="Arial"/>
                <w:sz w:val="18"/>
                <w:szCs w:val="18"/>
              </w:rPr>
              <w:t>(EC)</w:t>
            </w:r>
          </w:p>
        </w:tc>
        <w:tc>
          <w:tcPr>
            <w:tcW w:w="1134" w:type="dxa"/>
            <w:tcBorders>
              <w:top w:val="single" w:sz="4" w:space="0" w:color="auto"/>
            </w:tcBorders>
          </w:tcPr>
          <w:p w14:paraId="62A6865E" w14:textId="77777777" w:rsidR="003E14AA" w:rsidRPr="0092670C" w:rsidRDefault="003E14AA" w:rsidP="00B9047F">
            <w:pPr>
              <w:rPr>
                <w:rFonts w:ascii="Arial" w:hAnsi="Arial" w:cs="Arial"/>
                <w:sz w:val="18"/>
                <w:szCs w:val="18"/>
              </w:rPr>
            </w:pPr>
            <w:r w:rsidRPr="0092670C">
              <w:rPr>
                <w:rFonts w:ascii="Arial" w:hAnsi="Arial" w:cs="Arial"/>
                <w:sz w:val="18"/>
                <w:szCs w:val="18"/>
              </w:rPr>
              <w:t>88.062</w:t>
            </w:r>
          </w:p>
        </w:tc>
        <w:tc>
          <w:tcPr>
            <w:tcW w:w="1276" w:type="dxa"/>
            <w:tcBorders>
              <w:top w:val="single" w:sz="4" w:space="0" w:color="auto"/>
            </w:tcBorders>
          </w:tcPr>
          <w:p w14:paraId="297D9D17" w14:textId="77777777" w:rsidR="003E14AA" w:rsidRPr="0092670C" w:rsidRDefault="003E14AA" w:rsidP="00B9047F">
            <w:pPr>
              <w:rPr>
                <w:rFonts w:ascii="Arial" w:hAnsi="Arial" w:cs="Arial"/>
                <w:sz w:val="18"/>
                <w:szCs w:val="18"/>
              </w:rPr>
            </w:pPr>
            <w:r w:rsidRPr="0092670C">
              <w:rPr>
                <w:rFonts w:ascii="Arial" w:hAnsi="Arial" w:cs="Arial"/>
                <w:sz w:val="18"/>
                <w:szCs w:val="18"/>
              </w:rPr>
              <w:t>34</w:t>
            </w:r>
          </w:p>
        </w:tc>
        <w:tc>
          <w:tcPr>
            <w:tcW w:w="1276" w:type="dxa"/>
            <w:tcBorders>
              <w:top w:val="single" w:sz="4" w:space="0" w:color="auto"/>
            </w:tcBorders>
          </w:tcPr>
          <w:p w14:paraId="53004622" w14:textId="77777777" w:rsidR="003E14AA" w:rsidRPr="0092670C" w:rsidRDefault="003E14AA" w:rsidP="00B9047F">
            <w:pPr>
              <w:rPr>
                <w:rFonts w:ascii="Arial" w:hAnsi="Arial" w:cs="Arial"/>
                <w:sz w:val="18"/>
                <w:szCs w:val="18"/>
              </w:rPr>
            </w:pPr>
            <w:r w:rsidRPr="0092670C">
              <w:rPr>
                <w:rFonts w:ascii="Arial" w:hAnsi="Arial" w:cs="Arial"/>
                <w:sz w:val="18"/>
                <w:szCs w:val="18"/>
              </w:rPr>
              <w:t>243</w:t>
            </w:r>
          </w:p>
        </w:tc>
        <w:tc>
          <w:tcPr>
            <w:tcW w:w="708" w:type="dxa"/>
            <w:tcBorders>
              <w:top w:val="single" w:sz="4" w:space="0" w:color="auto"/>
            </w:tcBorders>
          </w:tcPr>
          <w:p w14:paraId="4C8F6AD4" w14:textId="77777777" w:rsidR="003E14AA" w:rsidRPr="0092670C" w:rsidRDefault="003E14AA" w:rsidP="00B9047F">
            <w:pPr>
              <w:rPr>
                <w:rFonts w:ascii="Arial" w:hAnsi="Arial" w:cs="Arial"/>
                <w:sz w:val="18"/>
                <w:szCs w:val="18"/>
              </w:rPr>
            </w:pPr>
            <w:r w:rsidRPr="0092670C">
              <w:rPr>
                <w:rFonts w:ascii="Arial" w:hAnsi="Arial" w:cs="Arial"/>
                <w:sz w:val="18"/>
                <w:szCs w:val="18"/>
              </w:rPr>
              <w:t>89.78</w:t>
            </w:r>
          </w:p>
        </w:tc>
        <w:tc>
          <w:tcPr>
            <w:tcW w:w="1067" w:type="dxa"/>
            <w:tcBorders>
              <w:top w:val="single" w:sz="4" w:space="0" w:color="auto"/>
            </w:tcBorders>
          </w:tcPr>
          <w:p w14:paraId="3502371C" w14:textId="77777777" w:rsidR="003E14AA" w:rsidRPr="0092670C" w:rsidRDefault="003E14AA" w:rsidP="00B9047F">
            <w:pPr>
              <w:rPr>
                <w:rFonts w:ascii="Arial" w:hAnsi="Arial" w:cs="Arial"/>
                <w:sz w:val="18"/>
                <w:szCs w:val="18"/>
              </w:rPr>
            </w:pPr>
          </w:p>
        </w:tc>
        <w:tc>
          <w:tcPr>
            <w:tcW w:w="1099" w:type="dxa"/>
            <w:tcBorders>
              <w:top w:val="single" w:sz="4" w:space="0" w:color="auto"/>
            </w:tcBorders>
          </w:tcPr>
          <w:p w14:paraId="2C53D546" w14:textId="77777777" w:rsidR="003E14AA" w:rsidRPr="0092670C" w:rsidRDefault="003E14AA" w:rsidP="00B9047F">
            <w:pPr>
              <w:rPr>
                <w:rFonts w:ascii="Arial" w:hAnsi="Arial" w:cs="Arial"/>
                <w:sz w:val="18"/>
                <w:szCs w:val="18"/>
              </w:rPr>
            </w:pPr>
            <w:r w:rsidRPr="0092670C">
              <w:rPr>
                <w:rFonts w:ascii="Arial" w:hAnsi="Arial" w:cs="Arial"/>
                <w:sz w:val="18"/>
                <w:szCs w:val="18"/>
              </w:rPr>
              <w:t>1.93</w:t>
            </w:r>
          </w:p>
          <w:p w14:paraId="3108FCD2" w14:textId="5501FF5B" w:rsidR="007404AD" w:rsidRPr="0092670C" w:rsidRDefault="007404AD" w:rsidP="00B9047F">
            <w:pPr>
              <w:rPr>
                <w:rFonts w:ascii="Arial" w:hAnsi="Arial" w:cs="Arial"/>
                <w:sz w:val="18"/>
                <w:szCs w:val="18"/>
              </w:rPr>
            </w:pPr>
            <w:r w:rsidRPr="0092670C">
              <w:rPr>
                <w:rFonts w:ascii="Arial" w:hAnsi="Arial" w:cs="Arial"/>
                <w:sz w:val="18"/>
                <w:szCs w:val="18"/>
              </w:rPr>
              <w:t>(34</w:t>
            </w:r>
            <w:r w:rsidR="008969A3" w:rsidRPr="0092670C">
              <w:rPr>
                <w:rFonts w:ascii="Arial" w:hAnsi="Arial" w:cs="Arial"/>
                <w:sz w:val="18"/>
                <w:szCs w:val="18"/>
              </w:rPr>
              <w:t>°C)</w:t>
            </w:r>
          </w:p>
        </w:tc>
        <w:tc>
          <w:tcPr>
            <w:tcW w:w="2410" w:type="dxa"/>
            <w:tcBorders>
              <w:top w:val="single" w:sz="4" w:space="0" w:color="auto"/>
            </w:tcBorders>
          </w:tcPr>
          <w:p w14:paraId="40D7E15A"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1677" w:dyaOrig="1209" w14:anchorId="3110FC5D">
                <v:shape id="_x0000_i1030" type="#_x0000_t75" style="width:83.9pt;height:60.1pt" o:ole="">
                  <v:imagedata r:id="rId33" o:title=""/>
                </v:shape>
                <o:OLEObject Type="Embed" ProgID="ChemDraw.Document.6.0" ShapeID="_x0000_i1030" DrawAspect="Content" ObjectID="_1700733919" r:id="rId34"/>
              </w:object>
            </w:r>
          </w:p>
        </w:tc>
        <w:tc>
          <w:tcPr>
            <w:tcW w:w="1559" w:type="dxa"/>
            <w:tcBorders>
              <w:top w:val="single" w:sz="4" w:space="0" w:color="auto"/>
            </w:tcBorders>
          </w:tcPr>
          <w:p w14:paraId="34ED041A" w14:textId="77777777" w:rsidR="003E14AA" w:rsidRPr="0092670C" w:rsidRDefault="003E14AA" w:rsidP="00B9047F">
            <w:pPr>
              <w:rPr>
                <w:rFonts w:ascii="Arial" w:hAnsi="Arial" w:cs="Arial"/>
                <w:sz w:val="18"/>
                <w:szCs w:val="18"/>
              </w:rPr>
            </w:pPr>
            <w:r w:rsidRPr="0092670C">
              <w:rPr>
                <w:rFonts w:ascii="Arial" w:hAnsi="Arial" w:cs="Arial"/>
                <w:sz w:val="18"/>
                <w:szCs w:val="18"/>
              </w:rPr>
              <w:t>High dielectric solvent</w:t>
            </w:r>
          </w:p>
        </w:tc>
        <w:tc>
          <w:tcPr>
            <w:tcW w:w="1095" w:type="dxa"/>
            <w:tcBorders>
              <w:top w:val="single" w:sz="4" w:space="0" w:color="auto"/>
            </w:tcBorders>
          </w:tcPr>
          <w:p w14:paraId="03C31B16" w14:textId="77777777" w:rsidR="003E14AA" w:rsidRPr="0092670C" w:rsidRDefault="003E14AA" w:rsidP="00B9047F">
            <w:pPr>
              <w:rPr>
                <w:rFonts w:ascii="Arial" w:hAnsi="Arial" w:cs="Arial"/>
                <w:sz w:val="18"/>
                <w:szCs w:val="18"/>
              </w:rPr>
            </w:pPr>
            <w:r w:rsidRPr="0092670C">
              <w:rPr>
                <w:rFonts w:ascii="Arial" w:hAnsi="Arial" w:cs="Arial"/>
                <w:sz w:val="18"/>
                <w:szCs w:val="18"/>
              </w:rPr>
              <w:t>50%V</w:t>
            </w:r>
          </w:p>
        </w:tc>
        <w:tc>
          <w:tcPr>
            <w:tcW w:w="1134" w:type="dxa"/>
            <w:tcBorders>
              <w:top w:val="single" w:sz="4" w:space="0" w:color="auto"/>
            </w:tcBorders>
          </w:tcPr>
          <w:p w14:paraId="6EF2D2F6" w14:textId="18B86A4D" w:rsidR="003E14AA" w:rsidRPr="0092670C" w:rsidRDefault="003E14AA" w:rsidP="00B9047F">
            <w:pPr>
              <w:rPr>
                <w:rFonts w:ascii="Arial" w:hAnsi="Arial" w:cs="Arial"/>
                <w:sz w:val="18"/>
                <w:szCs w:val="18"/>
              </w:rPr>
            </w:pPr>
            <w:r w:rsidRPr="0092670C">
              <w:rPr>
                <w:rFonts w:ascii="Arial" w:hAnsi="Arial" w:cs="Arial"/>
                <w:sz w:val="18"/>
                <w:szCs w:val="18"/>
              </w:rPr>
              <w:t>0.9</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&lt;EndNote&gt;&lt;Cite&gt;&lt;Author&gt;Zhang&lt;/Author&gt;&lt;Year&gt;2001&lt;/Year&gt;&lt;RecNum&gt;60&lt;/RecNum&gt;&lt;DisplayText&gt;[60]&lt;/DisplayText&gt;&lt;record&gt;&lt;rec-number&gt;60&lt;/rec-number&gt;&lt;foreign-keys&gt;&lt;key app="EN" db-id="5sa9s0e0r0d9fnexra7pr5xdwd5ztevx95s2" timestamp="1514902587"&gt;60&lt;/key&gt;&lt;/foreign-keys&gt;&lt;ref-type name="Journal Article"&gt;17&lt;/ref-type&gt;&lt;contributors&gt;&lt;authors&gt;&lt;author&gt;Zhang, Xuerong&lt;/author&gt;&lt;author&gt;Kostecki, Robert&lt;/author&gt;&lt;author&gt;Richardson, Thomas J.&lt;/author&gt;&lt;author&gt;Pugh, James K.&lt;/author&gt;&lt;author&gt;Ross, Philip N.&lt;/author&gt;&lt;/authors&gt;&lt;/contributors&gt;&lt;titles&gt;&lt;title&gt;Electrochemical and Infrared Studies of the Reduction of Organic Carbonates&lt;/title&gt;&lt;secondary-title&gt;Journal of The Electrochemical Society&lt;/secondary-title&gt;&lt;/titles&gt;&lt;periodical&gt;&lt;full-title&gt;Journal of the Electrochemical Society&lt;/full-title&gt;&lt;abbr-1&gt;J. Electrochem. Soc.&lt;/abbr-1&gt;&lt;/periodical&gt;&lt;pages&gt;A1341-A1345&lt;/pages&gt;&lt;volume&gt;148&lt;/volume&gt;&lt;number&gt;12&lt;/number&gt;&lt;dates&gt;&lt;year&gt;2001&lt;/year&gt;&lt;pub-dates&gt;&lt;date&gt;December 1, 2001&lt;/date&gt;&lt;/pub-dates&gt;&lt;/dates&gt;&lt;urls&gt;&lt;related-urls&gt;&lt;url&gt;http://jes.ecsdl.org/content/148/12/A1341.abstract&lt;/url&gt;&lt;/related-urls&gt;&lt;/urls&gt;&lt;electronic-resource-num&gt;10.1149/1.1415547&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[60]</w:t>
            </w:r>
            <w:r w:rsidRPr="0092670C">
              <w:rPr>
                <w:rFonts w:ascii="Arial" w:hAnsi="Arial" w:cs="Arial"/>
                <w:sz w:val="18"/>
                <w:szCs w:val="18"/>
              </w:rPr>
              <w:fldChar w:fldCharType="end"/>
            </w:r>
          </w:p>
        </w:tc>
      </w:tr>
      <w:tr w:rsidR="003E14AA" w:rsidRPr="0092670C" w14:paraId="1EB1B0AF" w14:textId="77777777" w:rsidTr="002C242D">
        <w:tc>
          <w:tcPr>
            <w:tcW w:w="1423" w:type="dxa"/>
          </w:tcPr>
          <w:p w14:paraId="60FB9AD7" w14:textId="77777777" w:rsidR="003E14AA" w:rsidRPr="0092670C" w:rsidRDefault="003E14AA" w:rsidP="00B9047F">
            <w:pPr>
              <w:rPr>
                <w:rFonts w:ascii="Arial" w:hAnsi="Arial" w:cs="Arial"/>
                <w:sz w:val="18"/>
                <w:szCs w:val="18"/>
              </w:rPr>
            </w:pPr>
            <w:r w:rsidRPr="0092670C">
              <w:rPr>
                <w:rFonts w:ascii="Arial" w:hAnsi="Arial" w:cs="Arial"/>
                <w:sz w:val="18"/>
                <w:szCs w:val="18"/>
              </w:rPr>
              <w:t>Propylene carbonate</w:t>
            </w:r>
          </w:p>
          <w:p w14:paraId="70F012AE" w14:textId="6DC0B976" w:rsidR="00407D6D" w:rsidRPr="0092670C" w:rsidRDefault="00407D6D" w:rsidP="00B9047F">
            <w:pPr>
              <w:rPr>
                <w:rFonts w:ascii="Arial" w:hAnsi="Arial" w:cs="Arial"/>
                <w:sz w:val="18"/>
                <w:szCs w:val="18"/>
              </w:rPr>
            </w:pPr>
            <w:r w:rsidRPr="0092670C">
              <w:rPr>
                <w:rFonts w:ascii="Arial" w:hAnsi="Arial" w:cs="Arial"/>
                <w:sz w:val="18"/>
                <w:szCs w:val="18"/>
              </w:rPr>
              <w:t>(PC)</w:t>
            </w:r>
          </w:p>
        </w:tc>
        <w:tc>
          <w:tcPr>
            <w:tcW w:w="1134" w:type="dxa"/>
          </w:tcPr>
          <w:p w14:paraId="45098FED" w14:textId="77777777" w:rsidR="003E14AA" w:rsidRPr="0092670C" w:rsidRDefault="003E14AA" w:rsidP="00B9047F">
            <w:pPr>
              <w:rPr>
                <w:rFonts w:ascii="Arial" w:hAnsi="Arial" w:cs="Arial"/>
                <w:sz w:val="18"/>
                <w:szCs w:val="18"/>
              </w:rPr>
            </w:pPr>
            <w:r w:rsidRPr="0092670C">
              <w:rPr>
                <w:rFonts w:ascii="Arial" w:hAnsi="Arial" w:cs="Arial"/>
                <w:sz w:val="18"/>
                <w:szCs w:val="18"/>
              </w:rPr>
              <w:t>102.089</w:t>
            </w:r>
          </w:p>
        </w:tc>
        <w:tc>
          <w:tcPr>
            <w:tcW w:w="1276" w:type="dxa"/>
          </w:tcPr>
          <w:p w14:paraId="1AE35489" w14:textId="2BF5A6F8" w:rsidR="003E14AA" w:rsidRPr="0092670C" w:rsidRDefault="003E14AA" w:rsidP="00B9047F">
            <w:pPr>
              <w:rPr>
                <w:rFonts w:ascii="Arial" w:hAnsi="Arial" w:cs="Arial"/>
                <w:sz w:val="18"/>
                <w:szCs w:val="18"/>
              </w:rPr>
            </w:pPr>
            <w:r w:rsidRPr="0092670C">
              <w:rPr>
                <w:rFonts w:ascii="Arial" w:hAnsi="Arial" w:cs="Arial"/>
                <w:sz w:val="18"/>
                <w:szCs w:val="18"/>
              </w:rPr>
              <w:t>-48</w:t>
            </w:r>
          </w:p>
        </w:tc>
        <w:tc>
          <w:tcPr>
            <w:tcW w:w="1276" w:type="dxa"/>
          </w:tcPr>
          <w:p w14:paraId="1E2ED2A7" w14:textId="20E897F0" w:rsidR="003E14AA" w:rsidRPr="0092670C" w:rsidRDefault="003E14AA" w:rsidP="00B9047F">
            <w:pPr>
              <w:rPr>
                <w:rFonts w:ascii="Arial" w:hAnsi="Arial" w:cs="Arial"/>
                <w:sz w:val="18"/>
                <w:szCs w:val="18"/>
              </w:rPr>
            </w:pPr>
            <w:r w:rsidRPr="0092670C">
              <w:rPr>
                <w:rFonts w:ascii="Arial" w:hAnsi="Arial" w:cs="Arial"/>
                <w:sz w:val="18"/>
                <w:szCs w:val="18"/>
              </w:rPr>
              <w:t>242</w:t>
            </w:r>
          </w:p>
        </w:tc>
        <w:tc>
          <w:tcPr>
            <w:tcW w:w="708" w:type="dxa"/>
          </w:tcPr>
          <w:p w14:paraId="05542411" w14:textId="77777777" w:rsidR="003E14AA" w:rsidRPr="0092670C" w:rsidRDefault="003E14AA" w:rsidP="00B9047F">
            <w:pPr>
              <w:rPr>
                <w:rFonts w:ascii="Arial" w:hAnsi="Arial" w:cs="Arial"/>
                <w:sz w:val="18"/>
                <w:szCs w:val="18"/>
              </w:rPr>
            </w:pPr>
            <w:r w:rsidRPr="0092670C">
              <w:rPr>
                <w:rFonts w:ascii="Arial" w:hAnsi="Arial" w:cs="Arial"/>
                <w:sz w:val="18"/>
                <w:szCs w:val="18"/>
              </w:rPr>
              <w:t>64.92</w:t>
            </w:r>
          </w:p>
        </w:tc>
        <w:tc>
          <w:tcPr>
            <w:tcW w:w="1067" w:type="dxa"/>
          </w:tcPr>
          <w:p w14:paraId="07F85A06" w14:textId="77777777" w:rsidR="003E14AA" w:rsidRPr="0092670C" w:rsidRDefault="003E14AA" w:rsidP="00B9047F">
            <w:pPr>
              <w:rPr>
                <w:rFonts w:ascii="Arial" w:hAnsi="Arial" w:cs="Arial"/>
                <w:sz w:val="18"/>
                <w:szCs w:val="18"/>
              </w:rPr>
            </w:pPr>
            <w:r w:rsidRPr="0092670C">
              <w:rPr>
                <w:rFonts w:ascii="Arial" w:hAnsi="Arial" w:cs="Arial"/>
                <w:sz w:val="18"/>
                <w:szCs w:val="18"/>
              </w:rPr>
              <w:t>2.5157</w:t>
            </w:r>
          </w:p>
        </w:tc>
        <w:tc>
          <w:tcPr>
            <w:tcW w:w="1099" w:type="dxa"/>
          </w:tcPr>
          <w:p w14:paraId="5DA25458" w14:textId="27E2B5BE"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Pr>
          <w:p w14:paraId="378AAEB4"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62" w:dyaOrig="1294" w14:anchorId="73AE486F">
                <v:shape id="_x0000_i1031" type="#_x0000_t75" style="width:108pt;height:65.9pt" o:ole="">
                  <v:imagedata r:id="rId35" o:title=""/>
                </v:shape>
                <o:OLEObject Type="Embed" ProgID="ChemDraw.Document.6.0" ShapeID="_x0000_i1031" DrawAspect="Content" ObjectID="_1700733920" r:id="rId36"/>
              </w:object>
            </w:r>
          </w:p>
        </w:tc>
        <w:tc>
          <w:tcPr>
            <w:tcW w:w="1559" w:type="dxa"/>
          </w:tcPr>
          <w:p w14:paraId="5E5CF718" w14:textId="77777777" w:rsidR="003E14AA" w:rsidRPr="0092670C" w:rsidRDefault="003E14AA" w:rsidP="00B9047F">
            <w:pPr>
              <w:rPr>
                <w:rFonts w:ascii="Arial" w:hAnsi="Arial" w:cs="Arial"/>
                <w:sz w:val="18"/>
                <w:szCs w:val="18"/>
              </w:rPr>
            </w:pPr>
            <w:r w:rsidRPr="0092670C">
              <w:rPr>
                <w:rFonts w:ascii="Arial" w:hAnsi="Arial" w:cs="Arial"/>
                <w:sz w:val="18"/>
                <w:szCs w:val="18"/>
              </w:rPr>
              <w:t xml:space="preserve">High dielectric solvent </w:t>
            </w:r>
          </w:p>
        </w:tc>
        <w:tc>
          <w:tcPr>
            <w:tcW w:w="1095" w:type="dxa"/>
          </w:tcPr>
          <w:p w14:paraId="2F804D67" w14:textId="77777777" w:rsidR="003E14AA" w:rsidRPr="0092670C" w:rsidRDefault="003E14AA" w:rsidP="00B9047F">
            <w:pPr>
              <w:rPr>
                <w:rFonts w:ascii="Arial" w:hAnsi="Arial" w:cs="Arial"/>
                <w:sz w:val="18"/>
                <w:szCs w:val="18"/>
              </w:rPr>
            </w:pPr>
            <w:r w:rsidRPr="0092670C">
              <w:rPr>
                <w:rFonts w:ascii="Arial" w:hAnsi="Arial" w:cs="Arial"/>
                <w:sz w:val="18"/>
                <w:szCs w:val="18"/>
              </w:rPr>
              <w:t>50%V</w:t>
            </w:r>
          </w:p>
        </w:tc>
        <w:tc>
          <w:tcPr>
            <w:tcW w:w="1134" w:type="dxa"/>
          </w:tcPr>
          <w:p w14:paraId="682641A8" w14:textId="39BF85CC" w:rsidR="003E14AA" w:rsidRPr="0092670C" w:rsidRDefault="003E14AA" w:rsidP="00B9047F">
            <w:pPr>
              <w:rPr>
                <w:rFonts w:ascii="Arial" w:hAnsi="Arial" w:cs="Arial"/>
                <w:sz w:val="18"/>
                <w:szCs w:val="18"/>
              </w:rPr>
            </w:pPr>
            <w:r w:rsidRPr="0092670C">
              <w:rPr>
                <w:rFonts w:ascii="Arial" w:hAnsi="Arial" w:cs="Arial"/>
                <w:sz w:val="18"/>
                <w:szCs w:val="18"/>
              </w:rPr>
              <w:t>1-1.6</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&lt;EndNote&gt;&lt;Cite&gt;&lt;Author&gt;Zhang&lt;/Author&gt;&lt;Year&gt;2001&lt;/Year&gt;&lt;RecNum&gt;60&lt;/RecNum&gt;&lt;DisplayText&gt;[60]&lt;/DisplayText&gt;&lt;record&gt;&lt;rec-number&gt;60&lt;/rec-number&gt;&lt;foreign-keys&gt;&lt;key app="EN" db-id="5sa9s0e0r0d9fnexra7pr5xdwd5ztevx95s2" timestamp="1514902587"&gt;60&lt;/key&gt;&lt;/foreign-keys&gt;&lt;ref-type name="Journal Article"&gt;17&lt;/ref-type&gt;&lt;contributors&gt;&lt;authors&gt;&lt;author&gt;Zhang, Xuerong&lt;/author&gt;&lt;author&gt;Kostecki, Robert&lt;/author&gt;&lt;author&gt;Richardson, Thomas J.&lt;/author&gt;&lt;author&gt;Pugh, James K.&lt;/author&gt;&lt;author&gt;Ross, Philip N.&lt;/author&gt;&lt;/authors&gt;&lt;/contributors&gt;&lt;titles&gt;&lt;title&gt;Electrochemical and Infrared Studies of the Reduction of Organic Carbonates&lt;/title&gt;&lt;secondary-title&gt;Journal of The Electrochemical Society&lt;/secondary-title&gt;&lt;/titles&gt;&lt;periodical&gt;&lt;full-title&gt;Journal of the Electrochemical Society&lt;/full-title&gt;&lt;abbr-1&gt;J. Electrochem. Soc.&lt;/abbr-1&gt;&lt;/periodical&gt;&lt;pages&gt;A1341-A1345&lt;/pages&gt;&lt;volume&gt;148&lt;/volume&gt;&lt;number&gt;12&lt;/number&gt;&lt;dates&gt;&lt;year&gt;2001&lt;/year&gt;&lt;pub-dates&gt;&lt;date&gt;December 1, 2001&lt;/date&gt;&lt;/pub-dates&gt;&lt;/dates&gt;&lt;urls&gt;&lt;related-urls&gt;&lt;url&gt;http://jes.ecsdl.org/content/148/12/A1341.abstract&lt;/url&gt;&lt;/related-urls&gt;&lt;/urls&gt;&lt;electronic-resource-num&gt;10.1149/1.1415547&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[60]</w:t>
            </w:r>
            <w:r w:rsidRPr="0092670C">
              <w:rPr>
                <w:rFonts w:ascii="Arial" w:hAnsi="Arial" w:cs="Arial"/>
                <w:sz w:val="18"/>
                <w:szCs w:val="18"/>
              </w:rPr>
              <w:fldChar w:fldCharType="end"/>
            </w:r>
          </w:p>
        </w:tc>
      </w:tr>
      <w:tr w:rsidR="003E14AA" w:rsidRPr="0092670C" w14:paraId="457AA2C5" w14:textId="77777777" w:rsidTr="002C242D">
        <w:tc>
          <w:tcPr>
            <w:tcW w:w="1423" w:type="dxa"/>
          </w:tcPr>
          <w:p w14:paraId="3AF9274C" w14:textId="77777777" w:rsidR="003E14AA" w:rsidRPr="0092670C" w:rsidRDefault="003E14AA" w:rsidP="00B9047F">
            <w:pPr>
              <w:rPr>
                <w:rFonts w:ascii="Arial" w:hAnsi="Arial" w:cs="Arial"/>
                <w:sz w:val="18"/>
                <w:szCs w:val="18"/>
              </w:rPr>
            </w:pPr>
            <w:r w:rsidRPr="0092670C">
              <w:rPr>
                <w:rFonts w:ascii="Arial" w:hAnsi="Arial" w:cs="Arial"/>
                <w:sz w:val="18"/>
                <w:szCs w:val="18"/>
              </w:rPr>
              <w:t>Dimethyl carbonate</w:t>
            </w:r>
          </w:p>
          <w:p w14:paraId="21D3FD92" w14:textId="26B157D0" w:rsidR="00407D6D" w:rsidRPr="0092670C" w:rsidRDefault="00407D6D" w:rsidP="00B9047F">
            <w:pPr>
              <w:rPr>
                <w:rFonts w:ascii="Arial" w:hAnsi="Arial" w:cs="Arial"/>
                <w:sz w:val="18"/>
                <w:szCs w:val="18"/>
              </w:rPr>
            </w:pPr>
            <w:r w:rsidRPr="0092670C">
              <w:rPr>
                <w:rFonts w:ascii="Arial" w:hAnsi="Arial" w:cs="Arial"/>
                <w:sz w:val="18"/>
                <w:szCs w:val="18"/>
              </w:rPr>
              <w:t>(DMC)</w:t>
            </w:r>
          </w:p>
        </w:tc>
        <w:tc>
          <w:tcPr>
            <w:tcW w:w="1134" w:type="dxa"/>
          </w:tcPr>
          <w:p w14:paraId="5CB39544" w14:textId="77777777" w:rsidR="003E14AA" w:rsidRPr="0092670C" w:rsidRDefault="003E14AA" w:rsidP="00B9047F">
            <w:pPr>
              <w:rPr>
                <w:rFonts w:ascii="Arial" w:hAnsi="Arial" w:cs="Arial"/>
                <w:sz w:val="18"/>
                <w:szCs w:val="18"/>
              </w:rPr>
            </w:pPr>
            <w:r w:rsidRPr="0092670C">
              <w:rPr>
                <w:rFonts w:ascii="Arial" w:hAnsi="Arial" w:cs="Arial"/>
                <w:sz w:val="18"/>
                <w:szCs w:val="18"/>
              </w:rPr>
              <w:t>90.078</w:t>
            </w:r>
          </w:p>
        </w:tc>
        <w:tc>
          <w:tcPr>
            <w:tcW w:w="1276" w:type="dxa"/>
          </w:tcPr>
          <w:p w14:paraId="707239A0" w14:textId="77777777" w:rsidR="003E14AA" w:rsidRPr="0092670C" w:rsidRDefault="003E14AA" w:rsidP="00B9047F">
            <w:pPr>
              <w:rPr>
                <w:rFonts w:ascii="Arial" w:hAnsi="Arial" w:cs="Arial"/>
                <w:sz w:val="18"/>
                <w:szCs w:val="18"/>
              </w:rPr>
            </w:pPr>
            <w:r w:rsidRPr="0092670C">
              <w:rPr>
                <w:rFonts w:ascii="Arial" w:hAnsi="Arial" w:cs="Arial"/>
                <w:sz w:val="18"/>
                <w:szCs w:val="18"/>
              </w:rPr>
              <w:t>2</w:t>
            </w:r>
          </w:p>
        </w:tc>
        <w:tc>
          <w:tcPr>
            <w:tcW w:w="1276" w:type="dxa"/>
          </w:tcPr>
          <w:p w14:paraId="6919ACDA" w14:textId="77777777" w:rsidR="003E14AA" w:rsidRPr="0092670C" w:rsidRDefault="003E14AA" w:rsidP="00B9047F">
            <w:pPr>
              <w:rPr>
                <w:rFonts w:ascii="Arial" w:hAnsi="Arial" w:cs="Arial"/>
                <w:sz w:val="18"/>
                <w:szCs w:val="18"/>
              </w:rPr>
            </w:pPr>
            <w:r w:rsidRPr="0092670C">
              <w:rPr>
                <w:rFonts w:ascii="Arial" w:hAnsi="Arial" w:cs="Arial"/>
                <w:sz w:val="18"/>
                <w:szCs w:val="18"/>
              </w:rPr>
              <w:t>90</w:t>
            </w:r>
          </w:p>
        </w:tc>
        <w:tc>
          <w:tcPr>
            <w:tcW w:w="708" w:type="dxa"/>
          </w:tcPr>
          <w:p w14:paraId="19091F9C" w14:textId="77777777" w:rsidR="003E14AA" w:rsidRPr="0092670C" w:rsidRDefault="003E14AA" w:rsidP="00B9047F">
            <w:pPr>
              <w:rPr>
                <w:rFonts w:ascii="Arial" w:hAnsi="Arial" w:cs="Arial"/>
                <w:sz w:val="18"/>
                <w:szCs w:val="18"/>
              </w:rPr>
            </w:pPr>
            <w:r w:rsidRPr="0092670C">
              <w:rPr>
                <w:rFonts w:ascii="Arial" w:hAnsi="Arial" w:cs="Arial"/>
                <w:sz w:val="18"/>
                <w:szCs w:val="18"/>
              </w:rPr>
              <w:t>3.107</w:t>
            </w:r>
          </w:p>
        </w:tc>
        <w:tc>
          <w:tcPr>
            <w:tcW w:w="1067" w:type="dxa"/>
          </w:tcPr>
          <w:p w14:paraId="0E0E532E" w14:textId="77777777" w:rsidR="003E14AA" w:rsidRPr="0092670C" w:rsidRDefault="003E14AA" w:rsidP="00B9047F">
            <w:pPr>
              <w:rPr>
                <w:rFonts w:ascii="Arial" w:hAnsi="Arial" w:cs="Arial"/>
                <w:sz w:val="18"/>
                <w:szCs w:val="18"/>
              </w:rPr>
            </w:pPr>
            <w:r w:rsidRPr="0092670C">
              <w:rPr>
                <w:rFonts w:ascii="Arial" w:hAnsi="Arial" w:cs="Arial"/>
                <w:sz w:val="18"/>
                <w:szCs w:val="18"/>
              </w:rPr>
              <w:t>0.5889</w:t>
            </w:r>
          </w:p>
        </w:tc>
        <w:tc>
          <w:tcPr>
            <w:tcW w:w="1099" w:type="dxa"/>
          </w:tcPr>
          <w:p w14:paraId="5699C554" w14:textId="351F675C"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Pr>
          <w:p w14:paraId="64341B81"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58" w:dyaOrig="1137" w14:anchorId="001DC390">
                <v:shape id="_x0000_i1032" type="#_x0000_t75" style="width:108pt;height:60.1pt" o:ole="">
                  <v:imagedata r:id="rId37" o:title=""/>
                </v:shape>
                <o:OLEObject Type="Embed" ProgID="ChemDraw.Document.6.0" ShapeID="_x0000_i1032" DrawAspect="Content" ObjectID="_1700733921" r:id="rId38"/>
              </w:object>
            </w:r>
          </w:p>
        </w:tc>
        <w:tc>
          <w:tcPr>
            <w:tcW w:w="1559" w:type="dxa"/>
          </w:tcPr>
          <w:p w14:paraId="3E100499" w14:textId="77777777" w:rsidR="003E14AA" w:rsidRPr="0092670C" w:rsidRDefault="003E14AA" w:rsidP="00B9047F">
            <w:pPr>
              <w:rPr>
                <w:rFonts w:ascii="Arial" w:hAnsi="Arial" w:cs="Arial"/>
                <w:sz w:val="18"/>
                <w:szCs w:val="18"/>
              </w:rPr>
            </w:pPr>
            <w:r w:rsidRPr="0092670C">
              <w:rPr>
                <w:rFonts w:ascii="Arial" w:hAnsi="Arial" w:cs="Arial"/>
                <w:sz w:val="18"/>
                <w:szCs w:val="18"/>
              </w:rPr>
              <w:t>Low dielectric solvent</w:t>
            </w:r>
          </w:p>
        </w:tc>
        <w:tc>
          <w:tcPr>
            <w:tcW w:w="1095" w:type="dxa"/>
          </w:tcPr>
          <w:p w14:paraId="078D282B" w14:textId="77777777" w:rsidR="003E14AA" w:rsidRPr="0092670C" w:rsidRDefault="003E14AA" w:rsidP="00B9047F">
            <w:pPr>
              <w:rPr>
                <w:rFonts w:ascii="Arial" w:hAnsi="Arial" w:cs="Arial"/>
                <w:sz w:val="18"/>
                <w:szCs w:val="18"/>
              </w:rPr>
            </w:pPr>
            <w:r w:rsidRPr="0092670C">
              <w:rPr>
                <w:rFonts w:ascii="Arial" w:hAnsi="Arial" w:cs="Arial"/>
                <w:sz w:val="18"/>
                <w:szCs w:val="18"/>
              </w:rPr>
              <w:t>50%V</w:t>
            </w:r>
          </w:p>
        </w:tc>
        <w:tc>
          <w:tcPr>
            <w:tcW w:w="1134" w:type="dxa"/>
          </w:tcPr>
          <w:p w14:paraId="4D4AB124" w14:textId="5C0FBAF5" w:rsidR="003E14AA" w:rsidRPr="0092670C" w:rsidRDefault="003E14AA" w:rsidP="00B9047F">
            <w:pPr>
              <w:rPr>
                <w:rFonts w:ascii="Arial" w:hAnsi="Arial" w:cs="Arial"/>
                <w:sz w:val="18"/>
                <w:szCs w:val="18"/>
              </w:rPr>
            </w:pPr>
            <w:r w:rsidRPr="0092670C">
              <w:rPr>
                <w:rFonts w:ascii="Arial" w:hAnsi="Arial" w:cs="Arial"/>
                <w:sz w:val="18"/>
                <w:szCs w:val="18"/>
              </w:rPr>
              <w:t>1.32</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&lt;EndNote&gt;&lt;Cite&gt;&lt;Author&gt;Zhang&lt;/Author&gt;&lt;Year&gt;2001&lt;/Year&gt;&lt;RecNum&gt;60&lt;/RecNum&gt;&lt;DisplayText&gt;[60]&lt;/DisplayText&gt;&lt;record&gt;&lt;rec-number&gt;60&lt;/rec-number&gt;&lt;foreign-keys&gt;&lt;key app="EN" db-id="5sa9s0e0r0d9fnexra7pr5xdwd5ztevx95s2" timestamp="1514902587"&gt;60&lt;/key&gt;&lt;/foreign-keys&gt;&lt;ref-type name="Journal Article"&gt;17&lt;/ref-type&gt;&lt;contributors&gt;&lt;authors&gt;&lt;author&gt;Zhang, Xuerong&lt;/author&gt;&lt;author&gt;Kostecki, Robert&lt;/author&gt;&lt;author&gt;Richardson, Thomas J.&lt;/author&gt;&lt;author&gt;Pugh, James K.&lt;/author&gt;&lt;author&gt;Ross, Philip N.&lt;/author&gt;&lt;/authors&gt;&lt;/contributors&gt;&lt;titles&gt;&lt;title&gt;Electrochemical and Infrared Studies of the Reduction of Organic Carbonates&lt;/title&gt;&lt;secondary-title&gt;Journal of The Electrochemical Society&lt;/secondary-title&gt;&lt;/titles&gt;&lt;periodical&gt;&lt;full-title&gt;Journal of the Electrochemical Society&lt;/full-title&gt;&lt;abbr-1&gt;J. Electrochem. Soc.&lt;/abbr-1&gt;&lt;/periodical&gt;&lt;pages&gt;A1341-A1345&lt;/pages&gt;&lt;volume&gt;148&lt;/volume&gt;&lt;number&gt;12&lt;/number&gt;&lt;dates&gt;&lt;year&gt;2001&lt;/year&gt;&lt;pub-dates&gt;&lt;date&gt;December 1, 2001&lt;/date&gt;&lt;/pub-dates&gt;&lt;/dates&gt;&lt;urls&gt;&lt;related-urls&gt;&lt;url&gt;http://jes.ecsdl.org/content/148/12/A1341.abstract&lt;/url&gt;&lt;/related-urls&gt;&lt;/urls&gt;&lt;electronic-resource-num&gt;10.1149/1.1415547&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[60]</w:t>
            </w:r>
            <w:r w:rsidRPr="0092670C">
              <w:rPr>
                <w:rFonts w:ascii="Arial" w:hAnsi="Arial" w:cs="Arial"/>
                <w:sz w:val="18"/>
                <w:szCs w:val="18"/>
              </w:rPr>
              <w:fldChar w:fldCharType="end"/>
            </w:r>
          </w:p>
        </w:tc>
      </w:tr>
      <w:tr w:rsidR="003E14AA" w:rsidRPr="0092670C" w14:paraId="4EC4D5EA" w14:textId="77777777" w:rsidTr="002C242D">
        <w:tc>
          <w:tcPr>
            <w:tcW w:w="1423" w:type="dxa"/>
          </w:tcPr>
          <w:p w14:paraId="5D3A9CCC" w14:textId="77777777" w:rsidR="003E14AA" w:rsidRPr="0092670C" w:rsidRDefault="003E14AA" w:rsidP="00B9047F">
            <w:pPr>
              <w:rPr>
                <w:rFonts w:ascii="Arial" w:hAnsi="Arial" w:cs="Arial"/>
                <w:sz w:val="18"/>
                <w:szCs w:val="18"/>
              </w:rPr>
            </w:pPr>
            <w:r w:rsidRPr="0092670C">
              <w:rPr>
                <w:rFonts w:ascii="Arial" w:hAnsi="Arial" w:cs="Arial"/>
                <w:sz w:val="18"/>
                <w:szCs w:val="18"/>
              </w:rPr>
              <w:t>Ethyl methyl carbonate</w:t>
            </w:r>
          </w:p>
          <w:p w14:paraId="0CC3409A" w14:textId="1387D809" w:rsidR="00407D6D" w:rsidRPr="0092670C" w:rsidRDefault="00407D6D" w:rsidP="00B9047F">
            <w:pPr>
              <w:rPr>
                <w:rFonts w:ascii="Arial" w:hAnsi="Arial" w:cs="Arial"/>
                <w:sz w:val="18"/>
                <w:szCs w:val="18"/>
              </w:rPr>
            </w:pPr>
            <w:r w:rsidRPr="0092670C">
              <w:rPr>
                <w:rFonts w:ascii="Arial" w:hAnsi="Arial" w:cs="Arial"/>
                <w:sz w:val="18"/>
                <w:szCs w:val="18"/>
              </w:rPr>
              <w:t>(EMC)</w:t>
            </w:r>
          </w:p>
        </w:tc>
        <w:tc>
          <w:tcPr>
            <w:tcW w:w="1134" w:type="dxa"/>
          </w:tcPr>
          <w:p w14:paraId="3992100A" w14:textId="77777777" w:rsidR="003E14AA" w:rsidRPr="0092670C" w:rsidRDefault="003E14AA" w:rsidP="00B9047F">
            <w:pPr>
              <w:rPr>
                <w:rFonts w:ascii="Arial" w:hAnsi="Arial" w:cs="Arial"/>
                <w:sz w:val="18"/>
                <w:szCs w:val="18"/>
              </w:rPr>
            </w:pPr>
            <w:r w:rsidRPr="0092670C">
              <w:rPr>
                <w:rFonts w:ascii="Arial" w:hAnsi="Arial" w:cs="Arial"/>
                <w:sz w:val="18"/>
                <w:szCs w:val="18"/>
              </w:rPr>
              <w:t>104.10</w:t>
            </w:r>
          </w:p>
        </w:tc>
        <w:tc>
          <w:tcPr>
            <w:tcW w:w="1276" w:type="dxa"/>
          </w:tcPr>
          <w:p w14:paraId="337E1D09" w14:textId="77777777" w:rsidR="003E14AA" w:rsidRPr="0092670C" w:rsidRDefault="003E14AA" w:rsidP="00B9047F">
            <w:pPr>
              <w:rPr>
                <w:rFonts w:ascii="Arial" w:hAnsi="Arial" w:cs="Arial"/>
                <w:sz w:val="18"/>
                <w:szCs w:val="18"/>
              </w:rPr>
            </w:pPr>
            <w:r w:rsidRPr="0092670C">
              <w:rPr>
                <w:rFonts w:ascii="Arial" w:hAnsi="Arial" w:cs="Arial"/>
                <w:sz w:val="18"/>
                <w:szCs w:val="18"/>
              </w:rPr>
              <w:t>-55</w:t>
            </w:r>
          </w:p>
        </w:tc>
        <w:tc>
          <w:tcPr>
            <w:tcW w:w="1276" w:type="dxa"/>
          </w:tcPr>
          <w:p w14:paraId="082CAE1A" w14:textId="77777777" w:rsidR="003E14AA" w:rsidRPr="0092670C" w:rsidRDefault="003E14AA" w:rsidP="00B9047F">
            <w:pPr>
              <w:rPr>
                <w:rFonts w:ascii="Arial" w:hAnsi="Arial" w:cs="Arial"/>
                <w:sz w:val="18"/>
                <w:szCs w:val="18"/>
              </w:rPr>
            </w:pPr>
            <w:r w:rsidRPr="0092670C">
              <w:rPr>
                <w:rFonts w:ascii="Arial" w:hAnsi="Arial" w:cs="Arial"/>
                <w:sz w:val="18"/>
                <w:szCs w:val="18"/>
              </w:rPr>
              <w:t>107</w:t>
            </w:r>
          </w:p>
        </w:tc>
        <w:tc>
          <w:tcPr>
            <w:tcW w:w="708" w:type="dxa"/>
          </w:tcPr>
          <w:p w14:paraId="351FC807" w14:textId="77777777" w:rsidR="003E14AA" w:rsidRPr="0092670C" w:rsidRDefault="003E14AA" w:rsidP="00B9047F">
            <w:pPr>
              <w:rPr>
                <w:rFonts w:ascii="Arial" w:hAnsi="Arial" w:cs="Arial"/>
                <w:sz w:val="18"/>
                <w:szCs w:val="18"/>
              </w:rPr>
            </w:pPr>
            <w:r w:rsidRPr="0092670C">
              <w:rPr>
                <w:rFonts w:ascii="Arial" w:hAnsi="Arial" w:cs="Arial"/>
                <w:sz w:val="18"/>
                <w:szCs w:val="18"/>
              </w:rPr>
              <w:t>2.958</w:t>
            </w:r>
          </w:p>
        </w:tc>
        <w:tc>
          <w:tcPr>
            <w:tcW w:w="1067" w:type="dxa"/>
          </w:tcPr>
          <w:p w14:paraId="1F49914E" w14:textId="77777777" w:rsidR="003E14AA" w:rsidRPr="0092670C" w:rsidRDefault="003E14AA" w:rsidP="00B9047F">
            <w:pPr>
              <w:rPr>
                <w:rFonts w:ascii="Arial" w:hAnsi="Arial" w:cs="Arial"/>
                <w:sz w:val="18"/>
                <w:szCs w:val="18"/>
              </w:rPr>
            </w:pPr>
            <w:r w:rsidRPr="0092670C">
              <w:rPr>
                <w:rFonts w:ascii="Arial" w:hAnsi="Arial" w:cs="Arial"/>
                <w:sz w:val="18"/>
                <w:szCs w:val="18"/>
              </w:rPr>
              <w:t>0.6478</w:t>
            </w:r>
          </w:p>
        </w:tc>
        <w:tc>
          <w:tcPr>
            <w:tcW w:w="1099" w:type="dxa"/>
          </w:tcPr>
          <w:p w14:paraId="6458323A" w14:textId="1C3806FE"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Pr>
          <w:p w14:paraId="268BD38F"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62" w:dyaOrig="1137" w14:anchorId="10E41AE5">
                <v:shape id="_x0000_i1033" type="#_x0000_t75" style="width:108pt;height:60.1pt" o:ole="">
                  <v:imagedata r:id="rId39" o:title=""/>
                </v:shape>
                <o:OLEObject Type="Embed" ProgID="ChemDraw.Document.6.0" ShapeID="_x0000_i1033" DrawAspect="Content" ObjectID="_1700733922" r:id="rId40"/>
              </w:object>
            </w:r>
          </w:p>
        </w:tc>
        <w:tc>
          <w:tcPr>
            <w:tcW w:w="1559" w:type="dxa"/>
          </w:tcPr>
          <w:p w14:paraId="5D3FCB6C" w14:textId="77777777" w:rsidR="003E14AA" w:rsidRPr="0092670C" w:rsidRDefault="003E14AA" w:rsidP="00B9047F">
            <w:pPr>
              <w:rPr>
                <w:rFonts w:ascii="Arial" w:hAnsi="Arial" w:cs="Arial"/>
                <w:sz w:val="18"/>
                <w:szCs w:val="18"/>
              </w:rPr>
            </w:pPr>
            <w:r w:rsidRPr="0092670C">
              <w:rPr>
                <w:rFonts w:ascii="Arial" w:hAnsi="Arial" w:cs="Arial"/>
                <w:sz w:val="18"/>
                <w:szCs w:val="18"/>
              </w:rPr>
              <w:t>Low dielectric solvent</w:t>
            </w:r>
          </w:p>
        </w:tc>
        <w:tc>
          <w:tcPr>
            <w:tcW w:w="1095" w:type="dxa"/>
          </w:tcPr>
          <w:p w14:paraId="736BCA18" w14:textId="77777777" w:rsidR="003E14AA" w:rsidRPr="0092670C" w:rsidRDefault="003E14AA" w:rsidP="00B9047F">
            <w:pPr>
              <w:rPr>
                <w:rFonts w:ascii="Arial" w:hAnsi="Arial" w:cs="Arial"/>
                <w:sz w:val="18"/>
                <w:szCs w:val="18"/>
              </w:rPr>
            </w:pPr>
            <w:r w:rsidRPr="0092670C">
              <w:rPr>
                <w:rFonts w:ascii="Arial" w:hAnsi="Arial" w:cs="Arial"/>
                <w:sz w:val="18"/>
                <w:szCs w:val="18"/>
              </w:rPr>
              <w:t>50%V</w:t>
            </w:r>
          </w:p>
        </w:tc>
        <w:tc>
          <w:tcPr>
            <w:tcW w:w="1134" w:type="dxa"/>
          </w:tcPr>
          <w:p w14:paraId="0934EF16" w14:textId="1C97D59E" w:rsidR="003E14AA" w:rsidRPr="0092670C" w:rsidRDefault="008969A3" w:rsidP="00B9047F">
            <w:pPr>
              <w:rPr>
                <w:rFonts w:ascii="Arial" w:hAnsi="Arial" w:cs="Arial"/>
                <w:sz w:val="18"/>
                <w:szCs w:val="18"/>
              </w:rPr>
            </w:pPr>
            <w:r w:rsidRPr="0092670C">
              <w:rPr>
                <w:rFonts w:ascii="Arial" w:hAnsi="Arial" w:cs="Arial"/>
                <w:sz w:val="18"/>
                <w:szCs w:val="18"/>
              </w:rPr>
              <w:t>unknown</w:t>
            </w:r>
          </w:p>
        </w:tc>
      </w:tr>
      <w:tr w:rsidR="003E14AA" w:rsidRPr="0092670C" w14:paraId="7AC09159" w14:textId="77777777" w:rsidTr="002C242D">
        <w:trPr>
          <w:trHeight w:val="1425"/>
        </w:trPr>
        <w:tc>
          <w:tcPr>
            <w:tcW w:w="1423" w:type="dxa"/>
            <w:tcBorders>
              <w:bottom w:val="nil"/>
            </w:tcBorders>
          </w:tcPr>
          <w:p w14:paraId="63865A4E" w14:textId="77777777" w:rsidR="003E14AA" w:rsidRPr="0092670C" w:rsidRDefault="003E14AA" w:rsidP="00B9047F">
            <w:pPr>
              <w:rPr>
                <w:rFonts w:ascii="Arial" w:hAnsi="Arial" w:cs="Arial"/>
                <w:sz w:val="18"/>
                <w:szCs w:val="18"/>
              </w:rPr>
            </w:pPr>
            <w:r w:rsidRPr="0092670C">
              <w:rPr>
                <w:rFonts w:ascii="Arial" w:hAnsi="Arial" w:cs="Arial"/>
                <w:sz w:val="18"/>
                <w:szCs w:val="18"/>
              </w:rPr>
              <w:t>Diethyl carbonate</w:t>
            </w:r>
          </w:p>
          <w:p w14:paraId="704F5150" w14:textId="078C5CFD" w:rsidR="00407D6D" w:rsidRPr="0092670C" w:rsidRDefault="00407D6D" w:rsidP="00B9047F">
            <w:pPr>
              <w:rPr>
                <w:rFonts w:ascii="Arial" w:hAnsi="Arial" w:cs="Arial"/>
                <w:sz w:val="18"/>
                <w:szCs w:val="18"/>
              </w:rPr>
            </w:pPr>
            <w:r w:rsidRPr="0092670C">
              <w:rPr>
                <w:rFonts w:ascii="Arial" w:hAnsi="Arial" w:cs="Arial"/>
                <w:sz w:val="18"/>
                <w:szCs w:val="18"/>
              </w:rPr>
              <w:t>(DEC)</w:t>
            </w:r>
          </w:p>
        </w:tc>
        <w:tc>
          <w:tcPr>
            <w:tcW w:w="1134" w:type="dxa"/>
            <w:tcBorders>
              <w:bottom w:val="nil"/>
            </w:tcBorders>
          </w:tcPr>
          <w:p w14:paraId="2DEF6C11" w14:textId="77777777" w:rsidR="003E14AA" w:rsidRPr="0092670C" w:rsidRDefault="003E14AA" w:rsidP="00B9047F">
            <w:pPr>
              <w:rPr>
                <w:rFonts w:ascii="Arial" w:hAnsi="Arial" w:cs="Arial"/>
                <w:sz w:val="18"/>
                <w:szCs w:val="18"/>
              </w:rPr>
            </w:pPr>
            <w:r w:rsidRPr="0092670C">
              <w:rPr>
                <w:rFonts w:ascii="Arial" w:hAnsi="Arial" w:cs="Arial"/>
                <w:sz w:val="18"/>
                <w:szCs w:val="18"/>
              </w:rPr>
              <w:t>118.132</w:t>
            </w:r>
          </w:p>
        </w:tc>
        <w:tc>
          <w:tcPr>
            <w:tcW w:w="1276" w:type="dxa"/>
            <w:tcBorders>
              <w:bottom w:val="nil"/>
            </w:tcBorders>
          </w:tcPr>
          <w:p w14:paraId="55118158" w14:textId="2ACDE932" w:rsidR="003E14AA" w:rsidRPr="0092670C" w:rsidRDefault="003E14AA" w:rsidP="00B9047F">
            <w:pPr>
              <w:rPr>
                <w:rFonts w:ascii="Arial" w:hAnsi="Arial" w:cs="Arial"/>
                <w:sz w:val="18"/>
                <w:szCs w:val="18"/>
              </w:rPr>
            </w:pPr>
            <w:r w:rsidRPr="0092670C">
              <w:rPr>
                <w:rFonts w:ascii="Arial" w:hAnsi="Arial" w:cs="Arial"/>
                <w:sz w:val="18"/>
                <w:szCs w:val="18"/>
              </w:rPr>
              <w:t>-74</w:t>
            </w:r>
          </w:p>
        </w:tc>
        <w:tc>
          <w:tcPr>
            <w:tcW w:w="1276" w:type="dxa"/>
            <w:tcBorders>
              <w:bottom w:val="nil"/>
            </w:tcBorders>
          </w:tcPr>
          <w:p w14:paraId="1B9BFD83" w14:textId="77777777" w:rsidR="003E14AA" w:rsidRPr="0092670C" w:rsidRDefault="003E14AA" w:rsidP="00B9047F">
            <w:pPr>
              <w:rPr>
                <w:rFonts w:ascii="Arial" w:hAnsi="Arial" w:cs="Arial"/>
                <w:sz w:val="18"/>
                <w:szCs w:val="18"/>
              </w:rPr>
            </w:pPr>
            <w:r w:rsidRPr="0092670C">
              <w:rPr>
                <w:rFonts w:ascii="Arial" w:hAnsi="Arial" w:cs="Arial"/>
                <w:sz w:val="18"/>
                <w:szCs w:val="18"/>
              </w:rPr>
              <w:t>126</w:t>
            </w:r>
          </w:p>
        </w:tc>
        <w:tc>
          <w:tcPr>
            <w:tcW w:w="708" w:type="dxa"/>
            <w:tcBorders>
              <w:bottom w:val="nil"/>
            </w:tcBorders>
          </w:tcPr>
          <w:p w14:paraId="4A595DAF" w14:textId="77777777" w:rsidR="003E14AA" w:rsidRPr="0092670C" w:rsidRDefault="003E14AA" w:rsidP="00B9047F">
            <w:pPr>
              <w:rPr>
                <w:rFonts w:ascii="Arial" w:hAnsi="Arial" w:cs="Arial"/>
                <w:sz w:val="18"/>
                <w:szCs w:val="18"/>
              </w:rPr>
            </w:pPr>
            <w:r w:rsidRPr="0092670C">
              <w:rPr>
                <w:rFonts w:ascii="Arial" w:hAnsi="Arial" w:cs="Arial"/>
                <w:sz w:val="18"/>
                <w:szCs w:val="18"/>
              </w:rPr>
              <w:t>2.805</w:t>
            </w:r>
          </w:p>
        </w:tc>
        <w:tc>
          <w:tcPr>
            <w:tcW w:w="1067" w:type="dxa"/>
            <w:tcBorders>
              <w:bottom w:val="nil"/>
            </w:tcBorders>
          </w:tcPr>
          <w:p w14:paraId="616BED45" w14:textId="77777777" w:rsidR="003E14AA" w:rsidRPr="0092670C" w:rsidRDefault="003E14AA" w:rsidP="00B9047F">
            <w:pPr>
              <w:rPr>
                <w:rFonts w:ascii="Arial" w:hAnsi="Arial" w:cs="Arial"/>
                <w:sz w:val="18"/>
                <w:szCs w:val="18"/>
              </w:rPr>
            </w:pPr>
            <w:r w:rsidRPr="0092670C">
              <w:rPr>
                <w:rFonts w:ascii="Arial" w:hAnsi="Arial" w:cs="Arial"/>
                <w:sz w:val="18"/>
                <w:szCs w:val="18"/>
              </w:rPr>
              <w:t>0.7534</w:t>
            </w:r>
          </w:p>
        </w:tc>
        <w:tc>
          <w:tcPr>
            <w:tcW w:w="1099" w:type="dxa"/>
            <w:tcBorders>
              <w:bottom w:val="nil"/>
            </w:tcBorders>
          </w:tcPr>
          <w:p w14:paraId="047A6316" w14:textId="49026505"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Borders>
              <w:bottom w:val="nil"/>
            </w:tcBorders>
          </w:tcPr>
          <w:p w14:paraId="6637EF7F"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67" w:dyaOrig="1137" w14:anchorId="19E883C9">
                <v:shape id="_x0000_i1034" type="#_x0000_t75" style="width:108pt;height:60.1pt" o:ole="">
                  <v:imagedata r:id="rId41" o:title=""/>
                </v:shape>
                <o:OLEObject Type="Embed" ProgID="ChemDraw.Document.6.0" ShapeID="_x0000_i1034" DrawAspect="Content" ObjectID="_1700733923" r:id="rId42"/>
              </w:object>
            </w:r>
          </w:p>
        </w:tc>
        <w:tc>
          <w:tcPr>
            <w:tcW w:w="1559" w:type="dxa"/>
            <w:tcBorders>
              <w:bottom w:val="nil"/>
            </w:tcBorders>
          </w:tcPr>
          <w:p w14:paraId="0AEBD74C" w14:textId="77777777" w:rsidR="003E14AA" w:rsidRPr="0092670C" w:rsidRDefault="003E14AA" w:rsidP="00B9047F">
            <w:pPr>
              <w:rPr>
                <w:rFonts w:ascii="Arial" w:hAnsi="Arial" w:cs="Arial"/>
                <w:sz w:val="18"/>
                <w:szCs w:val="18"/>
              </w:rPr>
            </w:pPr>
            <w:r w:rsidRPr="0092670C">
              <w:rPr>
                <w:rFonts w:ascii="Arial" w:hAnsi="Arial" w:cs="Arial"/>
                <w:sz w:val="18"/>
                <w:szCs w:val="18"/>
              </w:rPr>
              <w:t>Low dielectric solvent</w:t>
            </w:r>
          </w:p>
        </w:tc>
        <w:tc>
          <w:tcPr>
            <w:tcW w:w="1095" w:type="dxa"/>
            <w:tcBorders>
              <w:bottom w:val="nil"/>
            </w:tcBorders>
          </w:tcPr>
          <w:p w14:paraId="14AF3144" w14:textId="77777777" w:rsidR="003E14AA" w:rsidRPr="0092670C" w:rsidRDefault="003E14AA" w:rsidP="00B9047F">
            <w:pPr>
              <w:rPr>
                <w:rFonts w:ascii="Arial" w:hAnsi="Arial" w:cs="Arial"/>
                <w:sz w:val="18"/>
                <w:szCs w:val="18"/>
              </w:rPr>
            </w:pPr>
            <w:r w:rsidRPr="0092670C">
              <w:rPr>
                <w:rFonts w:ascii="Arial" w:hAnsi="Arial" w:cs="Arial"/>
                <w:sz w:val="18"/>
                <w:szCs w:val="18"/>
              </w:rPr>
              <w:t>50%V</w:t>
            </w:r>
          </w:p>
        </w:tc>
        <w:tc>
          <w:tcPr>
            <w:tcW w:w="1134" w:type="dxa"/>
            <w:tcBorders>
              <w:bottom w:val="nil"/>
            </w:tcBorders>
          </w:tcPr>
          <w:p w14:paraId="2001A917" w14:textId="36BD7EC2" w:rsidR="003E14AA" w:rsidRPr="0092670C" w:rsidRDefault="003E14AA" w:rsidP="00B9047F">
            <w:pPr>
              <w:rPr>
                <w:rFonts w:ascii="Arial" w:hAnsi="Arial" w:cs="Arial"/>
                <w:sz w:val="18"/>
                <w:szCs w:val="18"/>
              </w:rPr>
            </w:pPr>
            <w:r w:rsidRPr="0092670C">
              <w:rPr>
                <w:rFonts w:ascii="Arial" w:hAnsi="Arial" w:cs="Arial"/>
                <w:sz w:val="18"/>
                <w:szCs w:val="18"/>
              </w:rPr>
              <w:t>1.32</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&lt;EndNote&gt;&lt;Cite&gt;&lt;Author&gt;Zhang&lt;/Author&gt;&lt;Year&gt;2001&lt;/Year&gt;&lt;RecNum&gt;60&lt;/RecNum&gt;&lt;DisplayText&gt;[60]&lt;/DisplayText&gt;&lt;record&gt;&lt;rec-number&gt;60&lt;/rec-number&gt;&lt;foreign-keys&gt;&lt;key app="EN" db-id="5sa9s0e0r0d9fnexra7pr5xdwd5ztevx95s2" timestamp="1514902587"&gt;60&lt;/key&gt;&lt;/foreign-keys&gt;&lt;ref-type name="Journal Article"&gt;17&lt;/ref-type&gt;&lt;contributors&gt;&lt;authors&gt;&lt;author&gt;Zhang, Xuerong&lt;/author&gt;&lt;author&gt;Kostecki, Robert&lt;/author&gt;&lt;author&gt;Richardson, Thomas J.&lt;/author&gt;&lt;author&gt;Pugh, James K.&lt;/author&gt;&lt;author&gt;Ross, Philip N.&lt;/author&gt;&lt;/authors&gt;&lt;/contributors&gt;&lt;titles&gt;&lt;title&gt;Electrochemical and Infrared Studies of the Reduction of Organic Carbonates&lt;/title&gt;&lt;secondary-title&gt;Journal of The Electrochemical Society&lt;/secondary-title&gt;&lt;/titles&gt;&lt;periodical&gt;&lt;full-title&gt;Journal of the Electrochemical Society&lt;/full-title&gt;&lt;abbr-1&gt;J. Electrochem. Soc.&lt;/abbr-1&gt;&lt;/periodical&gt;&lt;pages&gt;A1341-A1345&lt;/pages&gt;&lt;volume&gt;148&lt;/volume&gt;&lt;number&gt;12&lt;/number&gt;&lt;dates&gt;&lt;year&gt;2001&lt;/year&gt;&lt;pub-dates&gt;&lt;date&gt;December 1, 2001&lt;/date&gt;&lt;/pub-dates&gt;&lt;/dates&gt;&lt;urls&gt;&lt;related-urls&gt;&lt;url&gt;http://jes.ecsdl.org/content/148/12/A1341.abstract&lt;/url&gt;&lt;/related-urls&gt;&lt;/urls&gt;&lt;electronic-resource-num&gt;10.1149/1.1415547&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[60]</w:t>
            </w:r>
            <w:r w:rsidRPr="0092670C">
              <w:rPr>
                <w:rFonts w:ascii="Arial" w:hAnsi="Arial" w:cs="Arial"/>
                <w:sz w:val="18"/>
                <w:szCs w:val="18"/>
              </w:rPr>
              <w:fldChar w:fldCharType="end"/>
            </w:r>
          </w:p>
        </w:tc>
      </w:tr>
      <w:tr w:rsidR="003E14AA" w:rsidRPr="0092670C" w14:paraId="12329C54" w14:textId="77777777" w:rsidTr="002C242D">
        <w:tc>
          <w:tcPr>
            <w:tcW w:w="1423" w:type="dxa"/>
            <w:tcBorders>
              <w:top w:val="nil"/>
              <w:bottom w:val="nil"/>
            </w:tcBorders>
          </w:tcPr>
          <w:p w14:paraId="4894F3CD" w14:textId="77777777" w:rsidR="003E14AA" w:rsidRPr="0092670C" w:rsidRDefault="00507CDF" w:rsidP="00B9047F">
            <w:pPr>
              <w:rPr>
                <w:rFonts w:ascii="Arial" w:hAnsi="Arial" w:cs="Arial"/>
                <w:sz w:val="18"/>
                <w:szCs w:val="18"/>
              </w:rPr>
            </w:pPr>
            <w:r w:rsidRPr="0092670C">
              <w:rPr>
                <w:rFonts w:ascii="Arial" w:hAnsi="Arial" w:cs="Arial"/>
                <w:sz w:val="18"/>
                <w:szCs w:val="18"/>
              </w:rPr>
              <w:t xml:space="preserve">Lithium hexafluorophosphate </w:t>
            </w:r>
            <w:r w:rsidR="00407D6D" w:rsidRPr="0092670C">
              <w:rPr>
                <w:rFonts w:ascii="Arial" w:hAnsi="Arial" w:cs="Arial"/>
                <w:sz w:val="18"/>
                <w:szCs w:val="18"/>
              </w:rPr>
              <w:t>(</w:t>
            </w:r>
            <w:r w:rsidR="003E14AA" w:rsidRPr="0092670C">
              <w:rPr>
                <w:rFonts w:ascii="Arial" w:hAnsi="Arial" w:cs="Arial"/>
                <w:sz w:val="18"/>
                <w:szCs w:val="18"/>
              </w:rPr>
              <w:t>LiPF</w:t>
            </w:r>
            <w:r w:rsidR="003E14AA" w:rsidRPr="0092670C">
              <w:rPr>
                <w:rFonts w:ascii="Arial" w:hAnsi="Arial" w:cs="Arial"/>
                <w:sz w:val="18"/>
                <w:szCs w:val="18"/>
                <w:vertAlign w:val="subscript"/>
              </w:rPr>
              <w:t>6</w:t>
            </w:r>
            <w:r w:rsidR="00407D6D" w:rsidRPr="0092670C">
              <w:rPr>
                <w:rFonts w:ascii="Arial" w:hAnsi="Arial" w:cs="Arial"/>
                <w:sz w:val="18"/>
                <w:szCs w:val="18"/>
              </w:rPr>
              <w:t>)</w:t>
            </w:r>
          </w:p>
        </w:tc>
        <w:tc>
          <w:tcPr>
            <w:tcW w:w="1134" w:type="dxa"/>
            <w:tcBorders>
              <w:top w:val="nil"/>
              <w:bottom w:val="nil"/>
            </w:tcBorders>
          </w:tcPr>
          <w:p w14:paraId="1559CBAD" w14:textId="77777777" w:rsidR="003E14AA" w:rsidRPr="0092670C" w:rsidRDefault="003E14AA" w:rsidP="00B9047F">
            <w:pPr>
              <w:rPr>
                <w:rFonts w:ascii="Arial" w:hAnsi="Arial" w:cs="Arial"/>
                <w:sz w:val="18"/>
                <w:szCs w:val="18"/>
              </w:rPr>
            </w:pPr>
            <w:r w:rsidRPr="0092670C">
              <w:rPr>
                <w:rFonts w:ascii="Arial" w:hAnsi="Arial" w:cs="Arial"/>
                <w:sz w:val="18"/>
                <w:szCs w:val="18"/>
              </w:rPr>
              <w:t>151.905</w:t>
            </w:r>
          </w:p>
        </w:tc>
        <w:tc>
          <w:tcPr>
            <w:tcW w:w="1276" w:type="dxa"/>
            <w:tcBorders>
              <w:top w:val="nil"/>
              <w:bottom w:val="nil"/>
            </w:tcBorders>
          </w:tcPr>
          <w:p w14:paraId="30E77B46" w14:textId="77777777" w:rsidR="003E14AA" w:rsidRPr="0092670C" w:rsidRDefault="003E14AA" w:rsidP="00B9047F">
            <w:pPr>
              <w:rPr>
                <w:rFonts w:ascii="Arial" w:hAnsi="Arial" w:cs="Arial"/>
                <w:sz w:val="18"/>
                <w:szCs w:val="18"/>
              </w:rPr>
            </w:pPr>
            <w:r w:rsidRPr="0092670C">
              <w:rPr>
                <w:rFonts w:ascii="Arial" w:hAnsi="Arial" w:cs="Arial"/>
                <w:sz w:val="18"/>
                <w:szCs w:val="18"/>
              </w:rPr>
              <w:t>200</w:t>
            </w:r>
          </w:p>
          <w:p w14:paraId="3B70F496" w14:textId="77777777" w:rsidR="003E14AA" w:rsidRPr="0092670C" w:rsidRDefault="003E14AA" w:rsidP="00B9047F">
            <w:pPr>
              <w:rPr>
                <w:rFonts w:ascii="Arial" w:hAnsi="Arial" w:cs="Arial"/>
                <w:sz w:val="18"/>
                <w:szCs w:val="18"/>
              </w:rPr>
            </w:pPr>
            <w:r w:rsidRPr="0092670C">
              <w:rPr>
                <w:rFonts w:ascii="Arial" w:hAnsi="Arial" w:cs="Arial"/>
                <w:sz w:val="18"/>
                <w:szCs w:val="18"/>
              </w:rPr>
              <w:t>(Decomposes)</w:t>
            </w:r>
          </w:p>
        </w:tc>
        <w:tc>
          <w:tcPr>
            <w:tcW w:w="1276" w:type="dxa"/>
            <w:tcBorders>
              <w:top w:val="nil"/>
              <w:bottom w:val="nil"/>
            </w:tcBorders>
          </w:tcPr>
          <w:p w14:paraId="7763F542" w14:textId="5ABE1A19"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708" w:type="dxa"/>
            <w:tcBorders>
              <w:top w:val="nil"/>
              <w:bottom w:val="nil"/>
            </w:tcBorders>
          </w:tcPr>
          <w:p w14:paraId="50C4CBDA" w14:textId="59BF2AD1"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67" w:type="dxa"/>
            <w:tcBorders>
              <w:top w:val="nil"/>
              <w:bottom w:val="nil"/>
            </w:tcBorders>
          </w:tcPr>
          <w:p w14:paraId="28CD532C" w14:textId="002350AA"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99" w:type="dxa"/>
            <w:tcBorders>
              <w:top w:val="nil"/>
              <w:bottom w:val="nil"/>
            </w:tcBorders>
          </w:tcPr>
          <w:p w14:paraId="67FC84D1" w14:textId="7661EE87"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Borders>
              <w:top w:val="nil"/>
              <w:bottom w:val="nil"/>
            </w:tcBorders>
          </w:tcPr>
          <w:p w14:paraId="5D802ADA"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064" w:dyaOrig="1500" w14:anchorId="08146788">
                <v:shape id="_x0000_i1035" type="#_x0000_t75" style="width:83.9pt;height:60.1pt" o:ole="">
                  <v:imagedata r:id="rId43" o:title=""/>
                </v:shape>
                <o:OLEObject Type="Embed" ProgID="ChemDraw.Document.6.0" ShapeID="_x0000_i1035" DrawAspect="Content" ObjectID="_1700733924" r:id="rId44"/>
              </w:object>
            </w:r>
          </w:p>
        </w:tc>
        <w:tc>
          <w:tcPr>
            <w:tcW w:w="1559" w:type="dxa"/>
            <w:tcBorders>
              <w:top w:val="nil"/>
              <w:bottom w:val="nil"/>
            </w:tcBorders>
          </w:tcPr>
          <w:p w14:paraId="18F8E0BD" w14:textId="77777777" w:rsidR="003E14AA" w:rsidRPr="0092670C" w:rsidRDefault="003E14AA" w:rsidP="00B9047F">
            <w:pPr>
              <w:rPr>
                <w:rFonts w:ascii="Arial" w:hAnsi="Arial" w:cs="Arial"/>
                <w:sz w:val="18"/>
                <w:szCs w:val="18"/>
              </w:rPr>
            </w:pPr>
            <w:r w:rsidRPr="0092670C">
              <w:rPr>
                <w:rFonts w:ascii="Arial" w:hAnsi="Arial" w:cs="Arial"/>
                <w:sz w:val="18"/>
                <w:szCs w:val="18"/>
              </w:rPr>
              <w:t>Non-coordinating salt</w:t>
            </w:r>
          </w:p>
        </w:tc>
        <w:tc>
          <w:tcPr>
            <w:tcW w:w="1095" w:type="dxa"/>
            <w:tcBorders>
              <w:top w:val="nil"/>
              <w:bottom w:val="nil"/>
            </w:tcBorders>
          </w:tcPr>
          <w:p w14:paraId="1ED26996" w14:textId="77777777" w:rsidR="003E14AA" w:rsidRPr="0092670C" w:rsidRDefault="003E14AA" w:rsidP="00B9047F">
            <w:pPr>
              <w:rPr>
                <w:rFonts w:ascii="Arial" w:hAnsi="Arial" w:cs="Arial"/>
                <w:sz w:val="18"/>
                <w:szCs w:val="18"/>
              </w:rPr>
            </w:pPr>
            <w:r w:rsidRPr="0092670C">
              <w:rPr>
                <w:rFonts w:ascii="Arial" w:hAnsi="Arial" w:cs="Arial"/>
                <w:sz w:val="18"/>
                <w:szCs w:val="18"/>
              </w:rPr>
              <w:t>1mol/dm</w:t>
            </w:r>
            <w:r w:rsidRPr="0092670C">
              <w:rPr>
                <w:rFonts w:ascii="Arial" w:hAnsi="Arial" w:cs="Arial"/>
                <w:sz w:val="18"/>
                <w:szCs w:val="18"/>
                <w:vertAlign w:val="superscript"/>
              </w:rPr>
              <w:t>3</w:t>
            </w:r>
          </w:p>
        </w:tc>
        <w:tc>
          <w:tcPr>
            <w:tcW w:w="1134" w:type="dxa"/>
            <w:tcBorders>
              <w:top w:val="nil"/>
              <w:bottom w:val="nil"/>
            </w:tcBorders>
          </w:tcPr>
          <w:p w14:paraId="09295871" w14:textId="541BCCF8" w:rsidR="003E14AA" w:rsidRPr="0092670C" w:rsidRDefault="003E14AA" w:rsidP="00B9047F">
            <w:pPr>
              <w:rPr>
                <w:rFonts w:ascii="Arial" w:hAnsi="Arial" w:cs="Arial"/>
                <w:sz w:val="18"/>
                <w:szCs w:val="18"/>
              </w:rPr>
            </w:pPr>
            <w:r w:rsidRPr="0092670C">
              <w:rPr>
                <w:rFonts w:ascii="Arial" w:hAnsi="Arial" w:cs="Arial"/>
                <w:sz w:val="18"/>
                <w:szCs w:val="18"/>
              </w:rPr>
              <w:t>2.1</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&lt;EndNote&gt;&lt;Cite&gt;&lt;Author&gt;Delp&lt;/Author&gt;&lt;Year&gt;2016&lt;/Year&gt;&lt;RecNum&gt;337&lt;/RecNum&gt;&lt;DisplayText&gt;[49]&lt;/DisplayText&gt;&lt;record&gt;&lt;rec-number&gt;337&lt;/rec-number&gt;&lt;foreign-keys&gt;&lt;key app="EN" db-id="5sa9s0e0r0d9fnexra7pr5xdwd5ztevx95s2" timestamp="1563290360"&gt;337&lt;/key&gt;&lt;/foreign-keys&gt;&lt;ref-type name="Journal Article"&gt;17&lt;/ref-type&gt;&lt;contributors&gt;&lt;authors&gt;&lt;author&gt;Delp, Samuel A&lt;/author&gt;&lt;author&gt;Borodin, Oleg&lt;/author&gt;&lt;author&gt;Olguin, Marco&lt;/author&gt;&lt;author&gt;Eisner, Claire G&lt;/author&gt;&lt;author&gt;Allen, Joshua L&lt;/author&gt;&lt;author&gt;Jow, T Richard&lt;/author&gt;&lt;/authors&gt;&lt;/contributors&gt;&lt;titles&gt;&lt;title&gt;Importance of reduction and oxidation stability of high voltage electrolytes and additives&lt;/title&gt;&lt;secondary-title&gt;Electrochimica Acta&lt;/secondary-title&gt;&lt;/titles&gt;&lt;periodical&gt;&lt;full-title&gt;Electrochimica Acta&lt;/full-title&gt;&lt;/periodical&gt;&lt;pages&gt;498-510&lt;/pages&gt;&lt;volume&gt;209&lt;/volume&gt;&lt;dates&gt;&lt;year&gt;2016&lt;/year&gt;&lt;/dates&gt;&lt;isbn&gt;0013-4686&lt;/isbn&gt;&lt;urls&gt;&lt;/urls&gt;&lt;/record&gt;&lt;/Cite&gt;&lt;/EndNote&gt;</w:instrText>
            </w:r>
            <w:r w:rsidRPr="0092670C">
              <w:rPr>
                <w:rFonts w:ascii="Arial" w:hAnsi="Arial" w:cs="Arial"/>
                <w:sz w:val="18"/>
                <w:szCs w:val="18"/>
              </w:rPr>
              <w:fldChar w:fldCharType="separate"/>
            </w:r>
            <w:r w:rsidR="00C10A8D">
              <w:rPr>
                <w:rFonts w:ascii="Arial" w:hAnsi="Arial" w:cs="Arial"/>
                <w:noProof/>
                <w:sz w:val="18"/>
                <w:szCs w:val="18"/>
              </w:rPr>
              <w:t>[49]</w:t>
            </w:r>
            <w:r w:rsidRPr="0092670C">
              <w:rPr>
                <w:rFonts w:ascii="Arial" w:hAnsi="Arial" w:cs="Arial"/>
                <w:sz w:val="18"/>
                <w:szCs w:val="18"/>
              </w:rPr>
              <w:fldChar w:fldCharType="end"/>
            </w:r>
          </w:p>
        </w:tc>
      </w:tr>
      <w:tr w:rsidR="003E14AA" w:rsidRPr="0092670C" w14:paraId="279EE801" w14:textId="77777777" w:rsidTr="002C242D">
        <w:tc>
          <w:tcPr>
            <w:tcW w:w="1423" w:type="dxa"/>
            <w:tcBorders>
              <w:top w:val="nil"/>
            </w:tcBorders>
          </w:tcPr>
          <w:p w14:paraId="3AA3FB9D" w14:textId="3067F6AF" w:rsidR="003E14AA" w:rsidRPr="0092670C" w:rsidRDefault="004C46B1" w:rsidP="00B9047F">
            <w:pPr>
              <w:rPr>
                <w:rFonts w:ascii="Arial" w:hAnsi="Arial" w:cs="Arial"/>
                <w:sz w:val="18"/>
                <w:szCs w:val="18"/>
              </w:rPr>
            </w:pPr>
            <w:r w:rsidRPr="0092670C">
              <w:rPr>
                <w:rFonts w:ascii="Arial" w:hAnsi="Arial" w:cs="Arial"/>
                <w:sz w:val="18"/>
                <w:szCs w:val="18"/>
              </w:rPr>
              <w:t>Lithium hexafluoroborate (</w:t>
            </w:r>
            <w:r w:rsidR="003E14AA" w:rsidRPr="0092670C">
              <w:rPr>
                <w:rFonts w:ascii="Arial" w:hAnsi="Arial" w:cs="Arial"/>
                <w:sz w:val="18"/>
                <w:szCs w:val="18"/>
              </w:rPr>
              <w:t>LiBF</w:t>
            </w:r>
            <w:r w:rsidR="003E14AA" w:rsidRPr="0092670C">
              <w:rPr>
                <w:rFonts w:ascii="Arial" w:hAnsi="Arial" w:cs="Arial"/>
                <w:sz w:val="18"/>
                <w:szCs w:val="18"/>
                <w:vertAlign w:val="subscript"/>
              </w:rPr>
              <w:t>4</w:t>
            </w:r>
            <w:r w:rsidRPr="0092670C">
              <w:rPr>
                <w:rFonts w:ascii="Arial" w:hAnsi="Arial" w:cs="Arial"/>
                <w:sz w:val="18"/>
                <w:szCs w:val="18"/>
              </w:rPr>
              <w:t>)</w:t>
            </w:r>
          </w:p>
        </w:tc>
        <w:tc>
          <w:tcPr>
            <w:tcW w:w="1134" w:type="dxa"/>
            <w:tcBorders>
              <w:top w:val="nil"/>
            </w:tcBorders>
          </w:tcPr>
          <w:p w14:paraId="3FF8793F" w14:textId="77777777" w:rsidR="003E14AA" w:rsidRPr="0092670C" w:rsidRDefault="003E14AA" w:rsidP="00B9047F">
            <w:pPr>
              <w:rPr>
                <w:rFonts w:ascii="Arial" w:hAnsi="Arial" w:cs="Arial"/>
                <w:sz w:val="18"/>
                <w:szCs w:val="18"/>
              </w:rPr>
            </w:pPr>
            <w:r w:rsidRPr="0092670C">
              <w:rPr>
                <w:rFonts w:ascii="Arial" w:hAnsi="Arial" w:cs="Arial"/>
                <w:sz w:val="18"/>
                <w:szCs w:val="18"/>
              </w:rPr>
              <w:t>93.746</w:t>
            </w:r>
          </w:p>
        </w:tc>
        <w:tc>
          <w:tcPr>
            <w:tcW w:w="1276" w:type="dxa"/>
            <w:tcBorders>
              <w:top w:val="nil"/>
            </w:tcBorders>
          </w:tcPr>
          <w:p w14:paraId="3A503D1B" w14:textId="0F8DF528" w:rsidR="003E14AA" w:rsidRPr="0092670C" w:rsidRDefault="003E14AA" w:rsidP="00B9047F">
            <w:pPr>
              <w:rPr>
                <w:rFonts w:ascii="Arial" w:hAnsi="Arial" w:cs="Arial"/>
                <w:sz w:val="18"/>
                <w:szCs w:val="18"/>
              </w:rPr>
            </w:pPr>
            <w:r w:rsidRPr="0092670C">
              <w:rPr>
                <w:rFonts w:ascii="Arial" w:hAnsi="Arial" w:cs="Arial"/>
                <w:sz w:val="18"/>
                <w:szCs w:val="18"/>
              </w:rPr>
              <w:t>296</w:t>
            </w:r>
          </w:p>
        </w:tc>
        <w:tc>
          <w:tcPr>
            <w:tcW w:w="1276" w:type="dxa"/>
            <w:tcBorders>
              <w:top w:val="nil"/>
            </w:tcBorders>
          </w:tcPr>
          <w:p w14:paraId="3344F8C5" w14:textId="77777777" w:rsidR="003E14AA" w:rsidRPr="0092670C" w:rsidRDefault="003E14AA" w:rsidP="00B9047F">
            <w:pPr>
              <w:rPr>
                <w:rFonts w:ascii="Arial" w:hAnsi="Arial" w:cs="Arial"/>
                <w:sz w:val="18"/>
                <w:szCs w:val="18"/>
              </w:rPr>
            </w:pPr>
            <w:r w:rsidRPr="0092670C">
              <w:rPr>
                <w:rFonts w:ascii="Arial" w:hAnsi="Arial" w:cs="Arial"/>
                <w:sz w:val="18"/>
                <w:szCs w:val="18"/>
              </w:rPr>
              <w:t>decomposes</w:t>
            </w:r>
          </w:p>
        </w:tc>
        <w:tc>
          <w:tcPr>
            <w:tcW w:w="708" w:type="dxa"/>
            <w:tcBorders>
              <w:top w:val="nil"/>
            </w:tcBorders>
          </w:tcPr>
          <w:p w14:paraId="78086DBD" w14:textId="1EAEBA14"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67" w:type="dxa"/>
            <w:tcBorders>
              <w:top w:val="nil"/>
            </w:tcBorders>
          </w:tcPr>
          <w:p w14:paraId="7666D322" w14:textId="4ABDBFE1"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99" w:type="dxa"/>
            <w:tcBorders>
              <w:top w:val="nil"/>
            </w:tcBorders>
          </w:tcPr>
          <w:p w14:paraId="61BEB9B5" w14:textId="720E2641"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Borders>
              <w:top w:val="nil"/>
            </w:tcBorders>
          </w:tcPr>
          <w:p w14:paraId="6CE7466B"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67" w:dyaOrig="1519" w14:anchorId="11D48A35">
                <v:shape id="_x0000_i1036" type="#_x0000_t75" style="width:78.1pt;height:60.1pt" o:ole="">
                  <v:imagedata r:id="rId45" o:title=""/>
                </v:shape>
                <o:OLEObject Type="Embed" ProgID="ChemDraw.Document.6.0" ShapeID="_x0000_i1036" DrawAspect="Content" ObjectID="_1700733925" r:id="rId46"/>
              </w:object>
            </w:r>
          </w:p>
        </w:tc>
        <w:tc>
          <w:tcPr>
            <w:tcW w:w="1559" w:type="dxa"/>
            <w:tcBorders>
              <w:top w:val="nil"/>
            </w:tcBorders>
          </w:tcPr>
          <w:p w14:paraId="7F8565C3" w14:textId="77777777" w:rsidR="003E14AA" w:rsidRPr="0092670C" w:rsidRDefault="003E14AA" w:rsidP="00B9047F">
            <w:pPr>
              <w:rPr>
                <w:rFonts w:ascii="Arial" w:hAnsi="Arial" w:cs="Arial"/>
                <w:sz w:val="18"/>
                <w:szCs w:val="18"/>
              </w:rPr>
            </w:pPr>
            <w:r w:rsidRPr="0092670C">
              <w:rPr>
                <w:rFonts w:ascii="Arial" w:hAnsi="Arial" w:cs="Arial"/>
                <w:sz w:val="18"/>
                <w:szCs w:val="18"/>
              </w:rPr>
              <w:t>Non-coordinating salt</w:t>
            </w:r>
          </w:p>
        </w:tc>
        <w:tc>
          <w:tcPr>
            <w:tcW w:w="1095" w:type="dxa"/>
            <w:tcBorders>
              <w:top w:val="nil"/>
            </w:tcBorders>
          </w:tcPr>
          <w:p w14:paraId="3B9DE373" w14:textId="77777777" w:rsidR="003E14AA" w:rsidRPr="0092670C" w:rsidRDefault="003E14AA" w:rsidP="00B9047F">
            <w:pPr>
              <w:rPr>
                <w:rFonts w:ascii="Arial" w:hAnsi="Arial" w:cs="Arial"/>
                <w:sz w:val="18"/>
                <w:szCs w:val="18"/>
              </w:rPr>
            </w:pPr>
            <w:r w:rsidRPr="0092670C">
              <w:rPr>
                <w:rFonts w:ascii="Arial" w:hAnsi="Arial" w:cs="Arial"/>
                <w:sz w:val="18"/>
                <w:szCs w:val="18"/>
              </w:rPr>
              <w:t>1mol/dm</w:t>
            </w:r>
            <w:r w:rsidRPr="0092670C">
              <w:rPr>
                <w:rFonts w:ascii="Arial" w:hAnsi="Arial" w:cs="Arial"/>
                <w:sz w:val="18"/>
                <w:szCs w:val="18"/>
                <w:vertAlign w:val="superscript"/>
              </w:rPr>
              <w:t>3</w:t>
            </w:r>
          </w:p>
        </w:tc>
        <w:tc>
          <w:tcPr>
            <w:tcW w:w="1134" w:type="dxa"/>
            <w:tcBorders>
              <w:top w:val="nil"/>
            </w:tcBorders>
          </w:tcPr>
          <w:p w14:paraId="332B8520" w14:textId="1239412B" w:rsidR="003E14AA" w:rsidRPr="0092670C" w:rsidRDefault="003E14AA" w:rsidP="00B9047F">
            <w:pPr>
              <w:rPr>
                <w:rFonts w:ascii="Arial" w:hAnsi="Arial" w:cs="Arial"/>
                <w:sz w:val="18"/>
                <w:szCs w:val="18"/>
              </w:rPr>
            </w:pPr>
            <w:r w:rsidRPr="0092670C">
              <w:rPr>
                <w:rFonts w:ascii="Arial" w:hAnsi="Arial" w:cs="Arial"/>
                <w:sz w:val="18"/>
                <w:szCs w:val="18"/>
              </w:rPr>
              <w:t>0.2-0.3</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&lt;EndNote&gt;&lt;Cite&gt;&lt;Author&gt;Delp&lt;/Author&gt;&lt;Year&gt;2016&lt;/Year&gt;&lt;RecNum&gt;337&lt;/RecNum&gt;&lt;DisplayText&gt;[49]&lt;/DisplayText&gt;&lt;record&gt;&lt;rec-number&gt;337&lt;/rec-number&gt;&lt;foreign-keys&gt;&lt;key app="EN" db-id="5sa9s0e0r0d9fnexra7pr5xdwd5ztevx95s2" timestamp="1563290360"&gt;337&lt;/key&gt;&lt;/foreign-keys&gt;&lt;ref-type name="Journal Article"&gt;17&lt;/ref-type&gt;&lt;contributors&gt;&lt;authors&gt;&lt;author&gt;Delp, Samuel A&lt;/author&gt;&lt;author&gt;Borodin, Oleg&lt;/author&gt;&lt;author&gt;Olguin, Marco&lt;/author&gt;&lt;author&gt;Eisner, Claire G&lt;/author&gt;&lt;author&gt;Allen, Joshua L&lt;/author&gt;&lt;author&gt;Jow, T Richard&lt;/author&gt;&lt;/authors&gt;&lt;/contributors&gt;&lt;titles&gt;&lt;title&gt;Importance of reduction and oxidation stability of high voltage electrolytes and additives&lt;/title&gt;&lt;secondary-title&gt;Electrochimica Acta&lt;/secondary-title&gt;&lt;/titles&gt;&lt;periodical&gt;&lt;full-title&gt;Electrochimica Acta&lt;/full-title&gt;&lt;/periodical&gt;&lt;pages&gt;498-510&lt;/pages&gt;&lt;volume&gt;209&lt;/volume&gt;&lt;dates&gt;&lt;year&gt;2016&lt;/year&gt;&lt;/dates&gt;&lt;isbn&gt;0013-4686&lt;/isbn&gt;&lt;urls&gt;&lt;/urls&gt;&lt;/record&gt;&lt;/Cite&gt;&lt;/EndNote&gt;</w:instrText>
            </w:r>
            <w:r w:rsidRPr="0092670C">
              <w:rPr>
                <w:rFonts w:ascii="Arial" w:hAnsi="Arial" w:cs="Arial"/>
                <w:sz w:val="18"/>
                <w:szCs w:val="18"/>
              </w:rPr>
              <w:fldChar w:fldCharType="separate"/>
            </w:r>
            <w:r w:rsidR="00C10A8D">
              <w:rPr>
                <w:rFonts w:ascii="Arial" w:hAnsi="Arial" w:cs="Arial"/>
                <w:noProof/>
                <w:sz w:val="18"/>
                <w:szCs w:val="18"/>
              </w:rPr>
              <w:t>[49]</w:t>
            </w:r>
            <w:r w:rsidRPr="0092670C">
              <w:rPr>
                <w:rFonts w:ascii="Arial" w:hAnsi="Arial" w:cs="Arial"/>
                <w:sz w:val="18"/>
                <w:szCs w:val="18"/>
              </w:rPr>
              <w:fldChar w:fldCharType="end"/>
            </w:r>
          </w:p>
        </w:tc>
      </w:tr>
      <w:tr w:rsidR="003E14AA" w:rsidRPr="0092670C" w14:paraId="3A7FD09B" w14:textId="77777777" w:rsidTr="002C242D">
        <w:tc>
          <w:tcPr>
            <w:tcW w:w="1423" w:type="dxa"/>
          </w:tcPr>
          <w:p w14:paraId="16373DDD" w14:textId="594010EA" w:rsidR="003E14AA" w:rsidRPr="0092670C" w:rsidRDefault="00E3371A" w:rsidP="00B9047F">
            <w:pPr>
              <w:rPr>
                <w:rFonts w:ascii="Arial" w:hAnsi="Arial" w:cs="Arial"/>
                <w:sz w:val="18"/>
                <w:szCs w:val="18"/>
              </w:rPr>
            </w:pPr>
            <w:r w:rsidRPr="0092670C">
              <w:rPr>
                <w:rFonts w:ascii="Arial" w:hAnsi="Arial" w:cs="Arial"/>
                <w:sz w:val="18"/>
                <w:szCs w:val="18"/>
              </w:rPr>
              <w:t>Lithium perchlorate</w:t>
            </w:r>
            <w:r w:rsidR="00902235" w:rsidRPr="0092670C">
              <w:rPr>
                <w:rFonts w:ascii="Arial" w:hAnsi="Arial" w:cs="Arial"/>
                <w:sz w:val="18"/>
                <w:szCs w:val="18"/>
              </w:rPr>
              <w:t xml:space="preserve"> </w:t>
            </w:r>
            <w:r w:rsidRPr="0092670C">
              <w:rPr>
                <w:rFonts w:ascii="Arial" w:hAnsi="Arial" w:cs="Arial"/>
                <w:sz w:val="18"/>
                <w:szCs w:val="18"/>
              </w:rPr>
              <w:t>(</w:t>
            </w:r>
            <w:r w:rsidR="003E14AA" w:rsidRPr="0092670C">
              <w:rPr>
                <w:rFonts w:ascii="Arial" w:hAnsi="Arial" w:cs="Arial"/>
                <w:sz w:val="18"/>
                <w:szCs w:val="18"/>
              </w:rPr>
              <w:t>LiClO</w:t>
            </w:r>
            <w:r w:rsidR="003E14AA" w:rsidRPr="0092670C">
              <w:rPr>
                <w:rFonts w:ascii="Arial" w:hAnsi="Arial" w:cs="Arial"/>
                <w:sz w:val="18"/>
                <w:szCs w:val="18"/>
                <w:vertAlign w:val="subscript"/>
              </w:rPr>
              <w:t>4</w:t>
            </w:r>
            <w:r w:rsidR="00902235" w:rsidRPr="0092670C">
              <w:rPr>
                <w:rFonts w:ascii="Arial" w:hAnsi="Arial" w:cs="Arial"/>
                <w:sz w:val="18"/>
                <w:szCs w:val="18"/>
              </w:rPr>
              <w:t>)</w:t>
            </w:r>
          </w:p>
        </w:tc>
        <w:tc>
          <w:tcPr>
            <w:tcW w:w="1134" w:type="dxa"/>
          </w:tcPr>
          <w:p w14:paraId="604D1668" w14:textId="77777777" w:rsidR="003E14AA" w:rsidRPr="0092670C" w:rsidRDefault="003E14AA" w:rsidP="00B9047F">
            <w:pPr>
              <w:rPr>
                <w:rFonts w:ascii="Arial" w:hAnsi="Arial" w:cs="Arial"/>
                <w:sz w:val="18"/>
                <w:szCs w:val="18"/>
              </w:rPr>
            </w:pPr>
            <w:r w:rsidRPr="0092670C">
              <w:rPr>
                <w:rFonts w:ascii="Arial" w:hAnsi="Arial" w:cs="Arial"/>
                <w:sz w:val="18"/>
                <w:szCs w:val="18"/>
              </w:rPr>
              <w:t>106.390</w:t>
            </w:r>
          </w:p>
        </w:tc>
        <w:tc>
          <w:tcPr>
            <w:tcW w:w="1276" w:type="dxa"/>
          </w:tcPr>
          <w:p w14:paraId="08618CCB" w14:textId="77777777" w:rsidR="003E14AA" w:rsidRPr="0092670C" w:rsidRDefault="003E14AA" w:rsidP="00B9047F">
            <w:pPr>
              <w:rPr>
                <w:rFonts w:ascii="Arial" w:hAnsi="Arial" w:cs="Arial"/>
                <w:sz w:val="18"/>
                <w:szCs w:val="18"/>
              </w:rPr>
            </w:pPr>
            <w:r w:rsidRPr="0092670C">
              <w:rPr>
                <w:rFonts w:ascii="Arial" w:hAnsi="Arial" w:cs="Arial"/>
                <w:sz w:val="18"/>
                <w:szCs w:val="18"/>
              </w:rPr>
              <w:t>236</w:t>
            </w:r>
          </w:p>
        </w:tc>
        <w:tc>
          <w:tcPr>
            <w:tcW w:w="1276" w:type="dxa"/>
          </w:tcPr>
          <w:p w14:paraId="216308A3" w14:textId="77777777" w:rsidR="003E14AA" w:rsidRPr="0092670C" w:rsidRDefault="003E14AA" w:rsidP="00B9047F">
            <w:pPr>
              <w:rPr>
                <w:rFonts w:ascii="Arial" w:hAnsi="Arial" w:cs="Arial"/>
                <w:sz w:val="18"/>
                <w:szCs w:val="18"/>
              </w:rPr>
            </w:pPr>
            <w:r w:rsidRPr="0092670C">
              <w:rPr>
                <w:rFonts w:ascii="Arial" w:hAnsi="Arial" w:cs="Arial"/>
                <w:sz w:val="18"/>
                <w:szCs w:val="18"/>
              </w:rPr>
              <w:t>430</w:t>
            </w:r>
          </w:p>
          <w:p w14:paraId="6F4F143A" w14:textId="77777777" w:rsidR="003E14AA" w:rsidRPr="0092670C" w:rsidRDefault="003E14AA" w:rsidP="00B9047F">
            <w:pPr>
              <w:rPr>
                <w:rFonts w:ascii="Arial" w:hAnsi="Arial" w:cs="Arial"/>
                <w:sz w:val="18"/>
                <w:szCs w:val="18"/>
              </w:rPr>
            </w:pPr>
            <w:r w:rsidRPr="0092670C">
              <w:rPr>
                <w:rFonts w:ascii="Arial" w:hAnsi="Arial" w:cs="Arial"/>
                <w:sz w:val="18"/>
                <w:szCs w:val="18"/>
              </w:rPr>
              <w:t>(partially decomposes at 400)</w:t>
            </w:r>
          </w:p>
        </w:tc>
        <w:tc>
          <w:tcPr>
            <w:tcW w:w="708" w:type="dxa"/>
          </w:tcPr>
          <w:p w14:paraId="47C7EC0E" w14:textId="0DDEACCE"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67" w:type="dxa"/>
          </w:tcPr>
          <w:p w14:paraId="5BB7C002" w14:textId="27A14231"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99" w:type="dxa"/>
          </w:tcPr>
          <w:p w14:paraId="334DEE49" w14:textId="667E1685"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Pr>
          <w:p w14:paraId="4FBB2D07"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248" w:dyaOrig="1543" w14:anchorId="21C6C8F6">
                <v:shape id="_x0000_i1037" type="#_x0000_t75" style="width:96.1pt;height:65.9pt" o:ole="">
                  <v:imagedata r:id="rId47" o:title=""/>
                </v:shape>
                <o:OLEObject Type="Embed" ProgID="ChemDraw.Document.6.0" ShapeID="_x0000_i1037" DrawAspect="Content" ObjectID="_1700733926" r:id="rId48"/>
              </w:object>
            </w:r>
          </w:p>
        </w:tc>
        <w:tc>
          <w:tcPr>
            <w:tcW w:w="1559" w:type="dxa"/>
          </w:tcPr>
          <w:p w14:paraId="5ABB3C75" w14:textId="77777777" w:rsidR="003E14AA" w:rsidRPr="0092670C" w:rsidRDefault="003E14AA" w:rsidP="00B9047F">
            <w:pPr>
              <w:rPr>
                <w:rFonts w:ascii="Arial" w:hAnsi="Arial" w:cs="Arial"/>
                <w:sz w:val="18"/>
                <w:szCs w:val="18"/>
              </w:rPr>
            </w:pPr>
            <w:r w:rsidRPr="0092670C">
              <w:rPr>
                <w:rFonts w:ascii="Arial" w:hAnsi="Arial" w:cs="Arial"/>
                <w:sz w:val="18"/>
                <w:szCs w:val="18"/>
              </w:rPr>
              <w:t>Non-coordinating salt</w:t>
            </w:r>
          </w:p>
        </w:tc>
        <w:tc>
          <w:tcPr>
            <w:tcW w:w="1095" w:type="dxa"/>
          </w:tcPr>
          <w:p w14:paraId="5C0B4951" w14:textId="77777777" w:rsidR="003E14AA" w:rsidRPr="0092670C" w:rsidRDefault="003E14AA" w:rsidP="00B9047F">
            <w:pPr>
              <w:rPr>
                <w:rFonts w:ascii="Arial" w:hAnsi="Arial" w:cs="Arial"/>
                <w:sz w:val="18"/>
                <w:szCs w:val="18"/>
              </w:rPr>
            </w:pPr>
            <w:r w:rsidRPr="0092670C">
              <w:rPr>
                <w:rFonts w:ascii="Arial" w:hAnsi="Arial" w:cs="Arial"/>
                <w:sz w:val="18"/>
                <w:szCs w:val="18"/>
              </w:rPr>
              <w:t>1mol/dm</w:t>
            </w:r>
            <w:r w:rsidRPr="0092670C">
              <w:rPr>
                <w:rFonts w:ascii="Arial" w:hAnsi="Arial" w:cs="Arial"/>
                <w:sz w:val="18"/>
                <w:szCs w:val="18"/>
                <w:vertAlign w:val="superscript"/>
              </w:rPr>
              <w:t>3</w:t>
            </w:r>
          </w:p>
        </w:tc>
        <w:tc>
          <w:tcPr>
            <w:tcW w:w="1134" w:type="dxa"/>
          </w:tcPr>
          <w:p w14:paraId="38088916" w14:textId="4A2A4B45" w:rsidR="003E14AA" w:rsidRPr="0092670C" w:rsidRDefault="008969A3" w:rsidP="00B9047F">
            <w:pPr>
              <w:rPr>
                <w:rFonts w:ascii="Arial" w:hAnsi="Arial" w:cs="Arial"/>
                <w:sz w:val="18"/>
                <w:szCs w:val="18"/>
              </w:rPr>
            </w:pPr>
            <w:r w:rsidRPr="0092670C">
              <w:rPr>
                <w:rFonts w:ascii="Arial" w:hAnsi="Arial" w:cs="Arial"/>
                <w:sz w:val="18"/>
                <w:szCs w:val="18"/>
              </w:rPr>
              <w:t>unknown</w:t>
            </w:r>
          </w:p>
        </w:tc>
      </w:tr>
      <w:tr w:rsidR="003E14AA" w:rsidRPr="0092670C" w14:paraId="2E642BC1" w14:textId="77777777" w:rsidTr="002C242D">
        <w:tc>
          <w:tcPr>
            <w:tcW w:w="1423" w:type="dxa"/>
          </w:tcPr>
          <w:p w14:paraId="5472AC50" w14:textId="21484526" w:rsidR="003E14AA" w:rsidRPr="0092670C" w:rsidRDefault="003E14AA" w:rsidP="00B9047F">
            <w:pPr>
              <w:rPr>
                <w:rFonts w:ascii="Arial" w:hAnsi="Arial" w:cs="Arial"/>
                <w:sz w:val="18"/>
                <w:szCs w:val="18"/>
              </w:rPr>
            </w:pPr>
            <w:r w:rsidRPr="0092670C">
              <w:rPr>
                <w:rFonts w:ascii="Arial" w:hAnsi="Arial" w:cs="Arial"/>
                <w:sz w:val="18"/>
                <w:szCs w:val="18"/>
              </w:rPr>
              <w:t>Lithium di(fluorosulfonyl)imide</w:t>
            </w:r>
            <w:r w:rsidR="004C46B1" w:rsidRPr="0092670C">
              <w:rPr>
                <w:rFonts w:ascii="Arial" w:hAnsi="Arial" w:cs="Arial"/>
                <w:sz w:val="18"/>
                <w:szCs w:val="18"/>
              </w:rPr>
              <w:t xml:space="preserve"> (LiFSI)</w:t>
            </w:r>
          </w:p>
        </w:tc>
        <w:tc>
          <w:tcPr>
            <w:tcW w:w="1134" w:type="dxa"/>
          </w:tcPr>
          <w:p w14:paraId="4E496961" w14:textId="77777777" w:rsidR="003E14AA" w:rsidRPr="0092670C" w:rsidRDefault="003E14AA" w:rsidP="00B9047F">
            <w:pPr>
              <w:rPr>
                <w:rFonts w:ascii="Arial" w:hAnsi="Arial" w:cs="Arial"/>
                <w:sz w:val="18"/>
                <w:szCs w:val="18"/>
              </w:rPr>
            </w:pPr>
            <w:r w:rsidRPr="0092670C">
              <w:rPr>
                <w:rFonts w:ascii="Arial" w:hAnsi="Arial" w:cs="Arial"/>
                <w:sz w:val="18"/>
                <w:szCs w:val="18"/>
              </w:rPr>
              <w:t>187.07</w:t>
            </w:r>
          </w:p>
        </w:tc>
        <w:tc>
          <w:tcPr>
            <w:tcW w:w="1276" w:type="dxa"/>
          </w:tcPr>
          <w:p w14:paraId="715C92CA" w14:textId="77777777" w:rsidR="003E14AA" w:rsidRPr="0092670C" w:rsidRDefault="003E14AA" w:rsidP="00B9047F">
            <w:pPr>
              <w:rPr>
                <w:rFonts w:ascii="Arial" w:hAnsi="Arial" w:cs="Arial"/>
                <w:sz w:val="18"/>
                <w:szCs w:val="18"/>
              </w:rPr>
            </w:pPr>
            <w:r w:rsidRPr="0092670C">
              <w:rPr>
                <w:rFonts w:ascii="Arial" w:hAnsi="Arial" w:cs="Arial"/>
                <w:sz w:val="18"/>
                <w:szCs w:val="18"/>
              </w:rPr>
              <w:t>140</w:t>
            </w:r>
          </w:p>
        </w:tc>
        <w:tc>
          <w:tcPr>
            <w:tcW w:w="1276" w:type="dxa"/>
          </w:tcPr>
          <w:p w14:paraId="07784673" w14:textId="350D1A2E"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708" w:type="dxa"/>
          </w:tcPr>
          <w:p w14:paraId="2C334F05" w14:textId="3DDBB90A"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67" w:type="dxa"/>
          </w:tcPr>
          <w:p w14:paraId="476B30DB" w14:textId="5AAC52D2"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99" w:type="dxa"/>
          </w:tcPr>
          <w:p w14:paraId="763E2AAE" w14:textId="1FEB932D"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Pr>
          <w:p w14:paraId="49F84F58"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3233" w:dyaOrig="1356" w14:anchorId="621849C2">
                <v:shape id="_x0000_i1038" type="#_x0000_t75" style="width:114.1pt;height:47.9pt" o:ole="">
                  <v:imagedata r:id="rId49" o:title=""/>
                </v:shape>
                <o:OLEObject Type="Embed" ProgID="ChemDraw.Document.6.0" ShapeID="_x0000_i1038" DrawAspect="Content" ObjectID="_1700733927" r:id="rId50"/>
              </w:object>
            </w:r>
          </w:p>
        </w:tc>
        <w:tc>
          <w:tcPr>
            <w:tcW w:w="1559" w:type="dxa"/>
          </w:tcPr>
          <w:p w14:paraId="5608BFCE" w14:textId="77777777" w:rsidR="003E14AA" w:rsidRPr="0092670C" w:rsidRDefault="003E14AA" w:rsidP="00B9047F">
            <w:pPr>
              <w:rPr>
                <w:rFonts w:ascii="Arial" w:hAnsi="Arial" w:cs="Arial"/>
                <w:sz w:val="18"/>
                <w:szCs w:val="18"/>
              </w:rPr>
            </w:pPr>
            <w:r w:rsidRPr="0092670C">
              <w:rPr>
                <w:rFonts w:ascii="Arial" w:hAnsi="Arial" w:cs="Arial"/>
                <w:sz w:val="18"/>
                <w:szCs w:val="18"/>
              </w:rPr>
              <w:t>Non-coordinating salt</w:t>
            </w:r>
          </w:p>
        </w:tc>
        <w:tc>
          <w:tcPr>
            <w:tcW w:w="1095" w:type="dxa"/>
          </w:tcPr>
          <w:p w14:paraId="28B31DB3" w14:textId="77777777" w:rsidR="003E14AA" w:rsidRPr="0092670C" w:rsidRDefault="003E14AA" w:rsidP="00B9047F">
            <w:pPr>
              <w:rPr>
                <w:rFonts w:ascii="Arial" w:hAnsi="Arial" w:cs="Arial"/>
                <w:sz w:val="18"/>
                <w:szCs w:val="18"/>
              </w:rPr>
            </w:pPr>
            <w:r w:rsidRPr="0092670C">
              <w:rPr>
                <w:rFonts w:ascii="Arial" w:hAnsi="Arial" w:cs="Arial"/>
                <w:sz w:val="18"/>
                <w:szCs w:val="18"/>
              </w:rPr>
              <w:t>1mol/dm</w:t>
            </w:r>
            <w:r w:rsidRPr="0092670C">
              <w:rPr>
                <w:rFonts w:ascii="Arial" w:hAnsi="Arial" w:cs="Arial"/>
                <w:sz w:val="18"/>
                <w:szCs w:val="18"/>
                <w:vertAlign w:val="superscript"/>
              </w:rPr>
              <w:t>3</w:t>
            </w:r>
          </w:p>
        </w:tc>
        <w:tc>
          <w:tcPr>
            <w:tcW w:w="1134" w:type="dxa"/>
          </w:tcPr>
          <w:p w14:paraId="7A872A06" w14:textId="10D731C6" w:rsidR="003E14AA" w:rsidRPr="0092670C" w:rsidRDefault="003E14AA" w:rsidP="00B9047F">
            <w:pPr>
              <w:rPr>
                <w:rFonts w:ascii="Arial" w:hAnsi="Arial" w:cs="Arial"/>
                <w:sz w:val="18"/>
                <w:szCs w:val="18"/>
              </w:rPr>
            </w:pPr>
            <w:r w:rsidRPr="0092670C">
              <w:rPr>
                <w:rFonts w:ascii="Arial" w:hAnsi="Arial" w:cs="Arial"/>
                <w:sz w:val="18"/>
                <w:szCs w:val="18"/>
              </w:rPr>
              <w:t>1.6-2.3</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&lt;EndNote&gt;&lt;Cite&gt;&lt;Author&gt;Kim&lt;/Author&gt;&lt;Year&gt;2015&lt;/Year&gt;&lt;RecNum&gt;338&lt;/RecNum&gt;&lt;DisplayText&gt;[61]&lt;/DisplayText&gt;&lt;record&gt;&lt;rec-number&gt;338&lt;/rec-number&gt;&lt;foreign-keys&gt;&lt;key app="EN" db-id="5sa9s0e0r0d9fnexra7pr5xdwd5ztevx95s2" timestamp="1563290638"&gt;338&lt;/key&gt;&lt;/foreign-keys&gt;&lt;ref-type name="Journal Article"&gt;17&lt;/ref-type&gt;&lt;contributors&gt;&lt;authors&gt;&lt;author&gt;Kim, Hyea&lt;/author&gt;&lt;author&gt;Wu, Feixiang&lt;/author&gt;&lt;author&gt;Lee, Jung Tae&lt;/author&gt;&lt;author&gt;Nitta, Naoki&lt;/author&gt;&lt;author&gt;Lin, Huan</w:instrText>
            </w:r>
            <w:r w:rsidR="00C10A8D">
              <w:rPr>
                <w:rFonts w:ascii="Cambria Math" w:hAnsi="Cambria Math" w:cs="Cambria Math"/>
                <w:sz w:val="18"/>
                <w:szCs w:val="18"/>
              </w:rPr>
              <w:instrText>‐</w:instrText>
            </w:r>
            <w:r w:rsidR="00C10A8D">
              <w:rPr>
                <w:rFonts w:ascii="Arial" w:hAnsi="Arial" w:cs="Arial"/>
                <w:sz w:val="18"/>
                <w:szCs w:val="18"/>
              </w:rPr>
              <w:instrText>Ting&lt;/author&gt;&lt;author&gt;Oschatz, Martin&lt;/author&gt;&lt;author&gt;Cho, Won Il&lt;/author&gt;&lt;author&gt;Kaskel, Stefan&lt;/author&gt;&lt;author&gt;Borodin, Oleg&lt;/author&gt;&lt;author&gt;Yushin, Gleb&lt;/author&gt;&lt;/authors&gt;&lt;/contributors&gt;&lt;titles&gt;&lt;title&gt;In Situ Formation of Protective Coatings on Sulfur Cathodes in Lithium Batteries with LiFSI</w:instrText>
            </w:r>
            <w:r w:rsidR="00C10A8D">
              <w:rPr>
                <w:rFonts w:ascii="Cambria Math" w:hAnsi="Cambria Math" w:cs="Cambria Math"/>
                <w:sz w:val="18"/>
                <w:szCs w:val="18"/>
              </w:rPr>
              <w:instrText>‐</w:instrText>
            </w:r>
            <w:r w:rsidR="00C10A8D">
              <w:rPr>
                <w:rFonts w:ascii="Arial" w:hAnsi="Arial" w:cs="Arial"/>
                <w:sz w:val="18"/>
                <w:szCs w:val="18"/>
              </w:rPr>
              <w:instrText>Based Organic Electrolytes&lt;/title&gt;&lt;secondary-title&gt;Advanced Energy Materials&lt;/secondary-title&gt;&lt;/titles&gt;&lt;periodical&gt;&lt;full-title&gt;Advanced Energy Materials&lt;/full-title&gt;&lt;abbr-1&gt;Adv. Energy Mater.&lt;/abbr-1&gt;&lt;/periodical&gt;&lt;pages&gt;1401792&lt;/pages&gt;&lt;volume&gt;5&lt;/volume&gt;&lt;number&gt;6&lt;/number&gt;&lt;dates&gt;&lt;year&gt;2015&lt;/year&gt;&lt;/dates&gt;&lt;isbn&gt;1614-6832&lt;/isbn&gt;&lt;urls&gt;&lt;/urls&gt;&lt;/record&gt;&lt;/Cite&gt;&lt;/EndNote&gt;</w:instrText>
            </w:r>
            <w:r w:rsidRPr="0092670C">
              <w:rPr>
                <w:rFonts w:ascii="Arial" w:hAnsi="Arial" w:cs="Arial"/>
                <w:sz w:val="18"/>
                <w:szCs w:val="18"/>
              </w:rPr>
              <w:fldChar w:fldCharType="separate"/>
            </w:r>
            <w:r w:rsidR="00C10A8D">
              <w:rPr>
                <w:rFonts w:ascii="Arial" w:hAnsi="Arial" w:cs="Arial"/>
                <w:noProof/>
                <w:sz w:val="18"/>
                <w:szCs w:val="18"/>
              </w:rPr>
              <w:t>[61]</w:t>
            </w:r>
            <w:r w:rsidRPr="0092670C">
              <w:rPr>
                <w:rFonts w:ascii="Arial" w:hAnsi="Arial" w:cs="Arial"/>
                <w:sz w:val="18"/>
                <w:szCs w:val="18"/>
              </w:rPr>
              <w:fldChar w:fldCharType="end"/>
            </w:r>
          </w:p>
        </w:tc>
      </w:tr>
      <w:tr w:rsidR="003E14AA" w:rsidRPr="0092670C" w14:paraId="49ED7B00" w14:textId="77777777" w:rsidTr="002C242D">
        <w:tc>
          <w:tcPr>
            <w:tcW w:w="1423" w:type="dxa"/>
          </w:tcPr>
          <w:p w14:paraId="53EF6374" w14:textId="77777777" w:rsidR="003E14AA" w:rsidRPr="0092670C" w:rsidRDefault="003E14AA" w:rsidP="00B9047F">
            <w:pPr>
              <w:rPr>
                <w:rFonts w:ascii="Arial" w:hAnsi="Arial" w:cs="Arial"/>
                <w:sz w:val="18"/>
                <w:szCs w:val="18"/>
              </w:rPr>
            </w:pPr>
            <w:r w:rsidRPr="0092670C">
              <w:rPr>
                <w:rFonts w:ascii="Arial" w:hAnsi="Arial" w:cs="Arial"/>
                <w:sz w:val="18"/>
                <w:szCs w:val="18"/>
              </w:rPr>
              <w:t>Lithium</w:t>
            </w:r>
          </w:p>
          <w:p w14:paraId="21C738E7" w14:textId="53D2E9A5" w:rsidR="003E14AA" w:rsidRPr="0092670C" w:rsidRDefault="003E14AA" w:rsidP="00B9047F">
            <w:pPr>
              <w:rPr>
                <w:rFonts w:ascii="Arial" w:hAnsi="Arial" w:cs="Arial"/>
                <w:sz w:val="18"/>
                <w:szCs w:val="18"/>
              </w:rPr>
            </w:pPr>
            <w:r w:rsidRPr="0092670C">
              <w:rPr>
                <w:rFonts w:ascii="Arial" w:hAnsi="Arial" w:cs="Arial"/>
                <w:sz w:val="18"/>
                <w:szCs w:val="18"/>
              </w:rPr>
              <w:t>bis(trifluoromethanesulfonyl)imide</w:t>
            </w:r>
            <w:r w:rsidR="004C46B1" w:rsidRPr="0092670C">
              <w:rPr>
                <w:rFonts w:ascii="Arial" w:hAnsi="Arial" w:cs="Arial"/>
                <w:sz w:val="18"/>
                <w:szCs w:val="18"/>
              </w:rPr>
              <w:t xml:space="preserve"> (LiTFSI)</w:t>
            </w:r>
          </w:p>
        </w:tc>
        <w:tc>
          <w:tcPr>
            <w:tcW w:w="1134" w:type="dxa"/>
          </w:tcPr>
          <w:p w14:paraId="72DEAEA3" w14:textId="77777777" w:rsidR="003E14AA" w:rsidRPr="0092670C" w:rsidRDefault="003E14AA" w:rsidP="00B9047F">
            <w:pPr>
              <w:rPr>
                <w:rFonts w:ascii="Arial" w:hAnsi="Arial" w:cs="Arial"/>
                <w:sz w:val="18"/>
                <w:szCs w:val="18"/>
              </w:rPr>
            </w:pPr>
            <w:r w:rsidRPr="0092670C">
              <w:rPr>
                <w:rFonts w:ascii="Arial" w:hAnsi="Arial" w:cs="Arial"/>
                <w:sz w:val="18"/>
                <w:szCs w:val="18"/>
              </w:rPr>
              <w:t>287.075</w:t>
            </w:r>
          </w:p>
        </w:tc>
        <w:tc>
          <w:tcPr>
            <w:tcW w:w="1276" w:type="dxa"/>
          </w:tcPr>
          <w:p w14:paraId="63DE904F" w14:textId="77777777" w:rsidR="003E14AA" w:rsidRPr="0092670C" w:rsidRDefault="003E14AA" w:rsidP="00B9047F">
            <w:pPr>
              <w:rPr>
                <w:rFonts w:ascii="Arial" w:hAnsi="Arial" w:cs="Arial"/>
                <w:sz w:val="18"/>
                <w:szCs w:val="18"/>
              </w:rPr>
            </w:pPr>
            <w:r w:rsidRPr="0092670C">
              <w:rPr>
                <w:rFonts w:ascii="Arial" w:hAnsi="Arial" w:cs="Arial"/>
                <w:sz w:val="18"/>
                <w:szCs w:val="18"/>
              </w:rPr>
              <w:t>236</w:t>
            </w:r>
          </w:p>
        </w:tc>
        <w:tc>
          <w:tcPr>
            <w:tcW w:w="1276" w:type="dxa"/>
          </w:tcPr>
          <w:p w14:paraId="6C531285" w14:textId="44A2B555"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708" w:type="dxa"/>
          </w:tcPr>
          <w:p w14:paraId="49FA60C4" w14:textId="6DBC74A1"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67" w:type="dxa"/>
          </w:tcPr>
          <w:p w14:paraId="255F2123" w14:textId="5B60CE91"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1099" w:type="dxa"/>
          </w:tcPr>
          <w:p w14:paraId="4D86FEB3" w14:textId="27A34A14" w:rsidR="003E14AA" w:rsidRPr="0092670C" w:rsidRDefault="003F69A6" w:rsidP="00B9047F">
            <w:pPr>
              <w:rPr>
                <w:rFonts w:ascii="Arial" w:hAnsi="Arial" w:cs="Arial"/>
                <w:sz w:val="18"/>
                <w:szCs w:val="18"/>
              </w:rPr>
            </w:pPr>
            <w:r w:rsidRPr="0092670C">
              <w:rPr>
                <w:rFonts w:ascii="Arial" w:hAnsi="Arial" w:cs="Arial"/>
                <w:sz w:val="18"/>
                <w:szCs w:val="18"/>
              </w:rPr>
              <w:t>-</w:t>
            </w:r>
          </w:p>
        </w:tc>
        <w:tc>
          <w:tcPr>
            <w:tcW w:w="2410" w:type="dxa"/>
          </w:tcPr>
          <w:p w14:paraId="4EE601B4" w14:textId="77777777"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3449" w:dyaOrig="1356" w14:anchorId="58D272F6">
                <v:shape id="_x0000_i1039" type="#_x0000_t75" style="width:108pt;height:42.1pt" o:ole="">
                  <v:imagedata r:id="rId51" o:title=""/>
                </v:shape>
                <o:OLEObject Type="Embed" ProgID="ChemDraw.Document.6.0" ShapeID="_x0000_i1039" DrawAspect="Content" ObjectID="_1700733928" r:id="rId52"/>
              </w:object>
            </w:r>
          </w:p>
        </w:tc>
        <w:tc>
          <w:tcPr>
            <w:tcW w:w="1559" w:type="dxa"/>
          </w:tcPr>
          <w:p w14:paraId="68DC26B6" w14:textId="77777777" w:rsidR="003E14AA" w:rsidRPr="0092670C" w:rsidRDefault="003E14AA" w:rsidP="00B9047F">
            <w:pPr>
              <w:rPr>
                <w:rFonts w:ascii="Arial" w:hAnsi="Arial" w:cs="Arial"/>
                <w:sz w:val="18"/>
                <w:szCs w:val="18"/>
              </w:rPr>
            </w:pPr>
            <w:r w:rsidRPr="0092670C">
              <w:rPr>
                <w:rFonts w:ascii="Arial" w:hAnsi="Arial" w:cs="Arial"/>
                <w:sz w:val="18"/>
                <w:szCs w:val="18"/>
              </w:rPr>
              <w:t>Non-coordinating salt</w:t>
            </w:r>
          </w:p>
        </w:tc>
        <w:tc>
          <w:tcPr>
            <w:tcW w:w="1095" w:type="dxa"/>
          </w:tcPr>
          <w:p w14:paraId="60C60987" w14:textId="77777777" w:rsidR="003E14AA" w:rsidRPr="0092670C" w:rsidRDefault="003E14AA" w:rsidP="00B9047F">
            <w:pPr>
              <w:rPr>
                <w:rFonts w:ascii="Arial" w:hAnsi="Arial" w:cs="Arial"/>
                <w:sz w:val="18"/>
                <w:szCs w:val="18"/>
              </w:rPr>
            </w:pPr>
            <w:r w:rsidRPr="0092670C">
              <w:rPr>
                <w:rFonts w:ascii="Arial" w:hAnsi="Arial" w:cs="Arial"/>
                <w:sz w:val="18"/>
                <w:szCs w:val="18"/>
              </w:rPr>
              <w:t>1mol/dm</w:t>
            </w:r>
            <w:r w:rsidRPr="0092670C">
              <w:rPr>
                <w:rFonts w:ascii="Arial" w:hAnsi="Arial" w:cs="Arial"/>
                <w:sz w:val="18"/>
                <w:szCs w:val="18"/>
                <w:vertAlign w:val="superscript"/>
              </w:rPr>
              <w:t>3</w:t>
            </w:r>
          </w:p>
        </w:tc>
        <w:tc>
          <w:tcPr>
            <w:tcW w:w="1134" w:type="dxa"/>
          </w:tcPr>
          <w:p w14:paraId="28687216" w14:textId="3B3B1C65" w:rsidR="003E14AA" w:rsidRPr="0092670C" w:rsidRDefault="003E14AA" w:rsidP="00500641">
            <w:pPr>
              <w:keepNext/>
              <w:rPr>
                <w:rFonts w:ascii="Arial" w:hAnsi="Arial" w:cs="Arial"/>
                <w:sz w:val="18"/>
                <w:szCs w:val="18"/>
              </w:rPr>
            </w:pPr>
            <w:r w:rsidRPr="0092670C">
              <w:rPr>
                <w:rFonts w:ascii="Arial" w:hAnsi="Arial" w:cs="Arial"/>
                <w:sz w:val="18"/>
                <w:szCs w:val="18"/>
              </w:rPr>
              <w:t>2.1-2.9</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&lt;EndNote&gt;&lt;Cite&gt;&lt;Author&gt;Delp&lt;/Author&gt;&lt;Year&gt;2016&lt;/Year&gt;&lt;RecNum&gt;337&lt;/RecNum&gt;&lt;DisplayText&gt;[49]&lt;/DisplayText&gt;&lt;record&gt;&lt;rec-number&gt;337&lt;/rec-number&gt;&lt;foreign-keys&gt;&lt;key app="EN" db-id="5sa9s0e0r0d9fnexra7pr5xdwd5ztevx95s2" timestamp="1563290360"&gt;337&lt;/key&gt;&lt;/foreign-keys&gt;&lt;ref-type name="Journal Article"&gt;17&lt;/ref-type&gt;&lt;contributors&gt;&lt;authors&gt;&lt;author&gt;Delp, Samuel A&lt;/author&gt;&lt;author&gt;Borodin, Oleg&lt;/author&gt;&lt;author&gt;Olguin, Marco&lt;/author&gt;&lt;author&gt;Eisner, Claire G&lt;/author&gt;&lt;author&gt;Allen, Joshua L&lt;/author&gt;&lt;author&gt;Jow, T Richard&lt;/author&gt;&lt;/authors&gt;&lt;/contributors&gt;&lt;titles&gt;&lt;title&gt;Importance of reduction and oxidation stability of high voltage electrolytes and additives&lt;/title&gt;&lt;secondary-title&gt;Electrochimica Acta&lt;/secondary-title&gt;&lt;/titles&gt;&lt;periodical&gt;&lt;full-title&gt;Electrochimica Acta&lt;/full-title&gt;&lt;/periodical&gt;&lt;pages&gt;498-510&lt;/pages&gt;&lt;volume&gt;209&lt;/volume&gt;&lt;dates&gt;&lt;year&gt;2016&lt;/year&gt;&lt;/dates&gt;&lt;isbn&gt;0013-4686&lt;/isbn&gt;&lt;urls&gt;&lt;/urls&gt;&lt;/record&gt;&lt;/Cite&gt;&lt;/EndNote&gt;</w:instrText>
            </w:r>
            <w:r w:rsidRPr="0092670C">
              <w:rPr>
                <w:rFonts w:ascii="Arial" w:hAnsi="Arial" w:cs="Arial"/>
                <w:sz w:val="18"/>
                <w:szCs w:val="18"/>
              </w:rPr>
              <w:fldChar w:fldCharType="separate"/>
            </w:r>
            <w:r w:rsidR="00C10A8D">
              <w:rPr>
                <w:rFonts w:ascii="Arial" w:hAnsi="Arial" w:cs="Arial"/>
                <w:noProof/>
                <w:sz w:val="18"/>
                <w:szCs w:val="18"/>
              </w:rPr>
              <w:t>[49]</w:t>
            </w:r>
            <w:r w:rsidRPr="0092670C">
              <w:rPr>
                <w:rFonts w:ascii="Arial" w:hAnsi="Arial" w:cs="Arial"/>
                <w:sz w:val="18"/>
                <w:szCs w:val="18"/>
              </w:rPr>
              <w:fldChar w:fldCharType="end"/>
            </w:r>
          </w:p>
        </w:tc>
      </w:tr>
    </w:tbl>
    <w:p w14:paraId="36949401" w14:textId="2AD30E22" w:rsidR="003E14AA" w:rsidRPr="0092670C" w:rsidRDefault="003E14AA" w:rsidP="00500641">
      <w:pPr>
        <w:pStyle w:val="Caption"/>
        <w:rPr>
          <w:rFonts w:ascii="Arial" w:hAnsi="Arial" w:cs="Arial"/>
          <w:b/>
        </w:rPr>
        <w:sectPr w:rsidR="003E14AA" w:rsidRPr="0092670C" w:rsidSect="00493782">
          <w:headerReference w:type="default" r:id="rId53"/>
          <w:footerReference w:type="default" r:id="rId54"/>
          <w:pgSz w:w="16838" w:h="11906" w:orient="landscape"/>
          <w:pgMar w:top="1134" w:right="1134" w:bottom="1134" w:left="2268" w:header="709" w:footer="709" w:gutter="0"/>
          <w:cols w:space="708"/>
          <w:docGrid w:linePitch="360"/>
        </w:sectPr>
      </w:pPr>
    </w:p>
    <w:p w14:paraId="7CFEBE81" w14:textId="77777777" w:rsidR="003E14AA" w:rsidRPr="0092670C" w:rsidRDefault="003E14AA" w:rsidP="00F80BDA">
      <w:pPr>
        <w:pStyle w:val="Heading2"/>
        <w:rPr>
          <w:rFonts w:ascii="Arial" w:hAnsi="Arial" w:cs="Arial"/>
        </w:rPr>
      </w:pPr>
      <w:bookmarkStart w:id="39" w:name="_Toc82538720"/>
      <w:r w:rsidRPr="0092670C">
        <w:rPr>
          <w:rFonts w:ascii="Arial" w:hAnsi="Arial" w:cs="Arial"/>
        </w:rPr>
        <w:t>SEI structure</w:t>
      </w:r>
      <w:bookmarkEnd w:id="39"/>
    </w:p>
    <w:p w14:paraId="53DF5A64" w14:textId="56D0F592" w:rsidR="003E14AA" w:rsidRPr="0092670C" w:rsidRDefault="003E14AA" w:rsidP="003E14AA">
      <w:pPr>
        <w:spacing w:line="360" w:lineRule="auto"/>
        <w:jc w:val="both"/>
        <w:rPr>
          <w:rFonts w:ascii="Arial" w:hAnsi="Arial" w:cs="Arial"/>
        </w:rPr>
      </w:pPr>
      <w:r w:rsidRPr="0092670C">
        <w:rPr>
          <w:rFonts w:ascii="Arial" w:hAnsi="Arial" w:cs="Arial"/>
        </w:rPr>
        <w:t>The SEI model has undergone a number of revisions since it was first postulated by Peled in 1979</w:t>
      </w:r>
      <w:r w:rsidR="00524656" w:rsidRPr="0092670C">
        <w:rPr>
          <w:rFonts w:ascii="Arial" w:hAnsi="Arial" w:cs="Arial"/>
        </w:rPr>
        <w:t xml:space="preserve"> </w:t>
      </w:r>
      <w:r w:rsidRPr="0092670C">
        <w:rPr>
          <w:rFonts w:ascii="Arial" w:hAnsi="Arial" w:cs="Arial"/>
        </w:rPr>
        <w:fldChar w:fldCharType="begin"/>
      </w:r>
      <w:r w:rsidR="004F0EC3">
        <w:rPr>
          <w:rFonts w:ascii="Arial" w:hAnsi="Arial" w:cs="Arial"/>
        </w:rPr>
        <w:instrText xml:space="preserve"> ADDIN EN.CITE &lt;EndNote&gt;&lt;Cite&gt;&lt;Author&gt;Peled&lt;/Author&gt;&lt;Year&gt;1979&lt;/Year&gt;&lt;RecNum&gt;131&lt;/RecNum&gt;&lt;DisplayText&gt;[1]&lt;/DisplayText&gt;&lt;record&gt;&lt;rec-number&gt;131&lt;/rec-number&gt;&lt;foreign-keys&gt;&lt;key app="EN" db-id="5sa9s0e0r0d9fnexra7pr5xdwd5ztevx95s2" timestamp="1518796821"&gt;131&lt;/key&gt;&lt;/foreign-keys&gt;&lt;ref-type name="Journal Article"&gt;17&lt;/ref-type&gt;&lt;contributors&gt;&lt;authors&gt;&lt;author&gt;Peled, E.&lt;/author&gt;&lt;/authors&gt;&lt;/contributors&gt;&lt;titles&gt;&lt;title&gt;The Electrochemical Behavior of Alkali and Alkaline Earth Metals in Nonaqueous Battery Systems—The Solid Electrolyte Interphase Model&lt;/title&gt;&lt;secondary-title&gt;Journal of The Electrochemical Society&lt;/secondary-title&gt;&lt;/titles&gt;&lt;periodical&gt;&lt;full-title&gt;Journal of the Electrochemical Society&lt;/full-title&gt;&lt;abbr-1&gt;J. Electrochem. Soc.&lt;/abbr-1&gt;&lt;/periodical&gt;&lt;pages&gt;2047-2051&lt;/pages&gt;&lt;volume&gt;126&lt;/volume&gt;&lt;number&gt;12&lt;/number&gt;&lt;dates&gt;&lt;year&gt;1979&lt;/year&gt;&lt;pub-dates&gt;&lt;date&gt;December 1, 1979&lt;/date&gt;&lt;/pub-dates&gt;&lt;/dates&gt;&lt;urls&gt;&lt;related-urls&gt;&lt;url&gt;http://jes.ecsdl.org/content/126/12/2047.abstract&lt;/url&gt;&lt;/related-urls&gt;&lt;/urls&gt;&lt;electronic-resource-num&gt;10.1149/1.2128859&lt;/electronic-resource-num&gt;&lt;/record&gt;&lt;/Cite&gt;&lt;/EndNote&gt;</w:instrText>
      </w:r>
      <w:r w:rsidRPr="0092670C">
        <w:rPr>
          <w:rFonts w:ascii="Arial" w:hAnsi="Arial" w:cs="Arial"/>
        </w:rPr>
        <w:fldChar w:fldCharType="separate"/>
      </w:r>
      <w:r w:rsidR="004F0EC3">
        <w:rPr>
          <w:rFonts w:ascii="Arial" w:hAnsi="Arial" w:cs="Arial"/>
          <w:noProof/>
        </w:rPr>
        <w:t>[1]</w:t>
      </w:r>
      <w:r w:rsidRPr="0092670C">
        <w:rPr>
          <w:rFonts w:ascii="Arial" w:hAnsi="Arial" w:cs="Arial"/>
        </w:rPr>
        <w:fldChar w:fldCharType="end"/>
      </w:r>
      <w:r w:rsidRPr="0092670C">
        <w:rPr>
          <w:rFonts w:ascii="Arial" w:hAnsi="Arial" w:cs="Arial"/>
        </w:rPr>
        <w:t>. The original description by Peled simply describes the SEI as a mixture of insoluble reaction products between the anode and electrolyte, stating that it is at least 15</w:t>
      </w:r>
      <w:r w:rsidR="00D35E5B">
        <w:rPr>
          <w:rFonts w:ascii="Arial" w:hAnsi="Arial" w:cs="Arial"/>
        </w:rPr>
        <w:t xml:space="preserve"> </w:t>
      </w:r>
      <w:r w:rsidRPr="0092670C">
        <w:rPr>
          <w:rFonts w:ascii="Arial" w:hAnsi="Arial" w:cs="Arial"/>
        </w:rPr>
        <w:t xml:space="preserve">Å thick. </w:t>
      </w:r>
    </w:p>
    <w:p w14:paraId="3A9B8E29" w14:textId="7683E24C" w:rsidR="003E14AA" w:rsidRPr="0092670C" w:rsidRDefault="003E14AA" w:rsidP="003E14AA">
      <w:pPr>
        <w:spacing w:line="360" w:lineRule="auto"/>
        <w:jc w:val="both"/>
        <w:rPr>
          <w:rFonts w:ascii="Arial" w:hAnsi="Arial" w:cs="Arial"/>
        </w:rPr>
      </w:pPr>
      <w:r w:rsidRPr="0092670C">
        <w:rPr>
          <w:rFonts w:ascii="Arial" w:hAnsi="Arial" w:cs="Arial"/>
        </w:rPr>
        <w:t xml:space="preserve">Peled later went on to suggest that the SEI actually consists of </w:t>
      </w:r>
      <w:r w:rsidR="00DF79E9" w:rsidRPr="0092670C">
        <w:rPr>
          <w:rFonts w:ascii="Arial" w:hAnsi="Arial" w:cs="Arial"/>
        </w:rPr>
        <w:t>two</w:t>
      </w:r>
      <w:r w:rsidRPr="0092670C">
        <w:rPr>
          <w:rFonts w:ascii="Arial" w:hAnsi="Arial" w:cs="Arial"/>
        </w:rPr>
        <w:t xml:space="preserve"> layers</w:t>
      </w:r>
      <w:r w:rsidR="00524656"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&lt;EndNote&gt;&lt;Cite&gt;&lt;Author&gt;Peled&lt;/Author&gt;&lt;Year&gt;1983&lt;/Year&gt;&lt;RecNum&gt;241&lt;/RecNum&gt;&lt;DisplayText&gt;[62]&lt;/DisplayText&gt;&lt;record&gt;&lt;rec-number&gt;241&lt;/rec-number&gt;&lt;foreign-keys&gt;&lt;key app="EN" db-id="5sa9s0e0r0d9fnexra7pr5xdwd5ztevx95s2" timestamp="1557919248"&gt;241&lt;/key&gt;&lt;/foreign-keys&gt;&lt;ref-type name="Journal Article"&gt;17&lt;/ref-type&gt;&lt;contributors&gt;&lt;authors&gt;&lt;author&gt;Peled, E.&lt;/author&gt;&lt;/authors&gt;&lt;/contributors&gt;&lt;titles&gt;&lt;title&gt;Film forming reaction at the lithium/electrolyte interface&lt;/title&gt;&lt;secondary-title&gt;Journal of Power Sources&lt;/secondary-title&gt;&lt;/titles&gt;&lt;periodical&gt;&lt;full-title&gt;Journal of Power Sources&lt;/full-title&gt;&lt;/periodical&gt;&lt;pages&gt;253-266&lt;/pages&gt;&lt;volume&gt;9&lt;/volume&gt;&lt;number&gt;3&lt;/number&gt;&lt;dates&gt;&lt;year&gt;1983&lt;/year&gt;&lt;pub-dates&gt;&lt;date&gt;1983/01/01/&lt;/date&gt;&lt;/pub-dates&gt;&lt;/dates&gt;&lt;isbn&gt;0378-7753&lt;/isbn&gt;&lt;urls&gt;&lt;related-urls&gt;&lt;url&gt;http://www.sciencedirect.com/science/article/pii/0378775383870268&lt;/url&gt;&lt;/related-urls&gt;&lt;/urls&gt;&lt;electronic-resource-num&gt;https://doi.org/10.1016/0378-7753(83)87026-8&lt;/electronic-resource-num&gt;&lt;/record&gt;&lt;/Cite&gt;&lt;/EndNote&gt;</w:instrText>
      </w:r>
      <w:r w:rsidRPr="0092670C">
        <w:rPr>
          <w:rFonts w:ascii="Arial" w:hAnsi="Arial" w:cs="Arial"/>
        </w:rPr>
        <w:fldChar w:fldCharType="separate"/>
      </w:r>
      <w:r w:rsidR="00C10A8D">
        <w:rPr>
          <w:rFonts w:ascii="Arial" w:hAnsi="Arial" w:cs="Arial"/>
          <w:noProof/>
        </w:rPr>
        <w:t>[62]</w:t>
      </w:r>
      <w:r w:rsidRPr="0092670C">
        <w:rPr>
          <w:rFonts w:ascii="Arial" w:hAnsi="Arial" w:cs="Arial"/>
        </w:rPr>
        <w:fldChar w:fldCharType="end"/>
      </w:r>
      <w:r w:rsidRPr="0092670C">
        <w:rPr>
          <w:rFonts w:ascii="Arial" w:hAnsi="Arial" w:cs="Arial"/>
        </w:rPr>
        <w:t>. The initial layer that is formed is a thin compact film. As the SEI grows a secondary layer starts to form, although this layer is thicker and is porous. This dual layer model has formed the basis of discussion about the SEI since its inception.</w:t>
      </w:r>
    </w:p>
    <w:p w14:paraId="7CA9A0F2" w14:textId="507A19F5" w:rsidR="003E14AA" w:rsidRPr="0092670C" w:rsidRDefault="003E14AA" w:rsidP="003E14AA">
      <w:pPr>
        <w:spacing w:line="360" w:lineRule="auto"/>
        <w:jc w:val="both"/>
        <w:rPr>
          <w:rFonts w:ascii="Arial" w:hAnsi="Arial" w:cs="Arial"/>
        </w:rPr>
      </w:pPr>
      <w:r w:rsidRPr="0092670C">
        <w:rPr>
          <w:rFonts w:ascii="Arial" w:hAnsi="Arial" w:cs="Arial"/>
        </w:rPr>
        <w:t xml:space="preserve">In 1997 Peled </w:t>
      </w:r>
      <w:r w:rsidRPr="0092670C">
        <w:rPr>
          <w:rFonts w:ascii="Arial" w:hAnsi="Arial" w:cs="Arial"/>
          <w:i/>
        </w:rPr>
        <w:t>et al.</w:t>
      </w:r>
      <w:r w:rsidRPr="0092670C">
        <w:rPr>
          <w:rFonts w:ascii="Arial" w:hAnsi="Arial" w:cs="Arial"/>
        </w:rPr>
        <w:t xml:space="preserve"> used E</w:t>
      </w:r>
      <w:r w:rsidR="005135A3" w:rsidRPr="0092670C">
        <w:rPr>
          <w:rFonts w:ascii="Arial" w:hAnsi="Arial" w:cs="Arial"/>
        </w:rPr>
        <w:t>lectrochemical impedance</w:t>
      </w:r>
      <w:r w:rsidR="004D6184" w:rsidRPr="0092670C">
        <w:rPr>
          <w:rFonts w:ascii="Arial" w:hAnsi="Arial" w:cs="Arial"/>
        </w:rPr>
        <w:t xml:space="preserve"> spectroscopy</w:t>
      </w:r>
      <w:r w:rsidR="00B84E5E" w:rsidRPr="0092670C">
        <w:rPr>
          <w:rFonts w:ascii="Arial" w:hAnsi="Arial" w:cs="Arial"/>
        </w:rPr>
        <w:t xml:space="preserve"> (EIS)</w:t>
      </w:r>
      <w:r w:rsidRPr="0092670C">
        <w:rPr>
          <w:rFonts w:ascii="Arial" w:hAnsi="Arial" w:cs="Arial"/>
        </w:rPr>
        <w:t xml:space="preserve"> to suggest that the two SEI layers were further divided into “microphases” with an accompanying equivalent circuit. In this model the separate components of the SEI are compartmentalised into small polyhetero microphases, </w:t>
      </w:r>
      <w:r w:rsidR="00155092" w:rsidRPr="0092670C">
        <w:rPr>
          <w:rFonts w:ascii="Arial" w:hAnsi="Arial" w:cs="Arial"/>
        </w:rPr>
        <w:t xml:space="preserve">with the </w:t>
      </w:r>
      <w:r w:rsidR="00594766" w:rsidRPr="0092670C">
        <w:rPr>
          <w:rFonts w:ascii="Arial" w:hAnsi="Arial" w:cs="Arial"/>
        </w:rPr>
        <w:t>i</w:t>
      </w:r>
      <w:r w:rsidR="000A3440" w:rsidRPr="0092670C">
        <w:rPr>
          <w:rFonts w:ascii="Arial" w:hAnsi="Arial" w:cs="Arial"/>
        </w:rPr>
        <w:t xml:space="preserve">norganic </w:t>
      </w:r>
      <w:r w:rsidR="00594766" w:rsidRPr="0092670C">
        <w:rPr>
          <w:rFonts w:ascii="Arial" w:hAnsi="Arial" w:cs="Arial"/>
        </w:rPr>
        <w:t>micro</w:t>
      </w:r>
      <w:r w:rsidR="000A3440" w:rsidRPr="0092670C">
        <w:rPr>
          <w:rFonts w:ascii="Arial" w:hAnsi="Arial" w:cs="Arial"/>
        </w:rPr>
        <w:t xml:space="preserve">phases closer to the anode surface </w:t>
      </w:r>
      <w:r w:rsidR="00594766" w:rsidRPr="0092670C">
        <w:rPr>
          <w:rFonts w:ascii="Arial" w:hAnsi="Arial" w:cs="Arial"/>
        </w:rPr>
        <w:t>and</w:t>
      </w:r>
      <w:r w:rsidR="000A3440" w:rsidRPr="0092670C">
        <w:rPr>
          <w:rFonts w:ascii="Arial" w:hAnsi="Arial" w:cs="Arial"/>
        </w:rPr>
        <w:t xml:space="preserve"> the organic</w:t>
      </w:r>
      <w:r w:rsidR="00594766" w:rsidRPr="0092670C">
        <w:rPr>
          <w:rFonts w:ascii="Arial" w:hAnsi="Arial" w:cs="Arial"/>
        </w:rPr>
        <w:t xml:space="preserve"> microphases </w:t>
      </w:r>
      <w:r w:rsidR="00CB3E3D" w:rsidRPr="0092670C">
        <w:rPr>
          <w:rFonts w:ascii="Arial" w:hAnsi="Arial" w:cs="Arial"/>
        </w:rPr>
        <w:t>layered on the top</w:t>
      </w:r>
      <w:r w:rsidR="008A5C70" w:rsidRPr="0092670C">
        <w:rPr>
          <w:rFonts w:ascii="Arial" w:hAnsi="Arial" w:cs="Arial"/>
        </w:rPr>
        <w:t xml:space="preserve"> and can be seen in </w:t>
      </w:r>
      <w:r w:rsidR="002F61EE" w:rsidRPr="0092670C">
        <w:rPr>
          <w:rFonts w:ascii="Arial" w:hAnsi="Arial" w:cs="Arial"/>
        </w:rPr>
        <w:fldChar w:fldCharType="begin"/>
      </w:r>
      <w:r w:rsidR="002F61EE" w:rsidRPr="0092670C">
        <w:rPr>
          <w:rFonts w:ascii="Arial" w:hAnsi="Arial" w:cs="Arial"/>
        </w:rPr>
        <w:instrText xml:space="preserve"> REF _Ref30022762 \h  \* MERGEFORMAT </w:instrText>
      </w:r>
      <w:r w:rsidR="002F61EE" w:rsidRPr="0092670C">
        <w:rPr>
          <w:rFonts w:ascii="Arial" w:hAnsi="Arial" w:cs="Arial"/>
        </w:rPr>
      </w:r>
      <w:r w:rsidR="002F61EE"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11</w:t>
      </w:r>
      <w:r w:rsidR="002F61EE" w:rsidRPr="0092670C">
        <w:rPr>
          <w:rFonts w:ascii="Arial" w:hAnsi="Arial" w:cs="Arial"/>
        </w:rPr>
        <w:fldChar w:fldCharType="end"/>
      </w:r>
      <w:r w:rsidR="00CB3E3D" w:rsidRPr="0092670C">
        <w:rPr>
          <w:rFonts w:ascii="Arial" w:hAnsi="Arial" w:cs="Arial"/>
        </w:rPr>
        <w:t>.</w:t>
      </w:r>
      <w:r w:rsidR="000A3440" w:rsidRPr="0092670C">
        <w:rPr>
          <w:rFonts w:ascii="Arial" w:hAnsi="Arial" w:cs="Arial"/>
        </w:rPr>
        <w:t xml:space="preserve"> </w:t>
      </w:r>
      <w:r w:rsidRPr="0092670C">
        <w:rPr>
          <w:rFonts w:ascii="Arial" w:hAnsi="Arial" w:cs="Arial"/>
        </w:rPr>
        <w:t>This SEI was dominated by Li</w:t>
      </w:r>
      <w:r w:rsidRPr="0092670C">
        <w:rPr>
          <w:rFonts w:ascii="Arial" w:hAnsi="Arial" w:cs="Arial"/>
          <w:vertAlign w:val="subscript"/>
        </w:rPr>
        <w:t>2</w:t>
      </w:r>
      <w:r w:rsidRPr="0092670C">
        <w:rPr>
          <w:rFonts w:ascii="Arial" w:hAnsi="Arial" w:cs="Arial"/>
        </w:rPr>
        <w:t xml:space="preserve">O, forming the vast majority of the inorganic layer.  </w:t>
      </w:r>
    </w:p>
    <w:p w14:paraId="12904CE4" w14:textId="39F81740" w:rsidR="003E14AA" w:rsidRPr="0092670C" w:rsidRDefault="00F572C6" w:rsidP="003E14AA">
      <w:pPr>
        <w:keepNext/>
        <w:jc w:val="center"/>
        <w:rPr>
          <w:rFonts w:ascii="Arial" w:hAnsi="Arial" w:cs="Arial"/>
        </w:rPr>
      </w:pPr>
      <w:r w:rsidRPr="0092670C">
        <w:rPr>
          <w:rFonts w:ascii="Arial" w:hAnsi="Arial" w:cs="Arial"/>
          <w:noProof/>
        </w:rPr>
        <w:drawing>
          <wp:inline distT="0" distB="0" distL="0" distR="0" wp14:anchorId="22EB119E" wp14:editId="19E905EC">
            <wp:extent cx="4669226" cy="3185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517" t="15835" b="10511"/>
                    <a:stretch/>
                  </pic:blipFill>
                  <pic:spPr bwMode="auto">
                    <a:xfrm>
                      <a:off x="0" y="0"/>
                      <a:ext cx="4671885" cy="3186974"/>
                    </a:xfrm>
                    <a:prstGeom prst="rect">
                      <a:avLst/>
                    </a:prstGeom>
                    <a:noFill/>
                    <a:ln>
                      <a:noFill/>
                    </a:ln>
                    <a:extLst>
                      <a:ext uri="{53640926-AAD7-44D8-BBD7-CCE9431645EC}">
                        <a14:shadowObscured xmlns:a14="http://schemas.microsoft.com/office/drawing/2010/main"/>
                      </a:ext>
                    </a:extLst>
                  </pic:spPr>
                </pic:pic>
              </a:graphicData>
            </a:graphic>
          </wp:inline>
        </w:drawing>
      </w:r>
    </w:p>
    <w:p w14:paraId="44E28CBC" w14:textId="4CFDF6B7" w:rsidR="003E14AA" w:rsidRPr="00B97230" w:rsidRDefault="003E14AA" w:rsidP="003E14AA">
      <w:pPr>
        <w:spacing w:after="200" w:line="240" w:lineRule="auto"/>
        <w:jc w:val="center"/>
        <w:rPr>
          <w:rFonts w:ascii="Arial" w:hAnsi="Arial" w:cs="Arial"/>
          <w:i/>
          <w:iCs/>
          <w:color w:val="44546A" w:themeColor="text2"/>
          <w:sz w:val="18"/>
          <w:szCs w:val="18"/>
        </w:rPr>
      </w:pPr>
      <w:bookmarkStart w:id="40" w:name="_Ref30022762"/>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11</w:t>
      </w:r>
      <w:r w:rsidR="00356A26">
        <w:rPr>
          <w:rFonts w:ascii="Arial" w:hAnsi="Arial" w:cs="Arial"/>
          <w:i/>
          <w:iCs/>
          <w:color w:val="44546A" w:themeColor="text2"/>
          <w:sz w:val="20"/>
          <w:szCs w:val="20"/>
        </w:rPr>
        <w:fldChar w:fldCharType="end"/>
      </w:r>
      <w:bookmarkEnd w:id="40"/>
      <w:r w:rsidRPr="00B97230">
        <w:rPr>
          <w:rFonts w:ascii="Arial" w:hAnsi="Arial" w:cs="Arial"/>
          <w:i/>
          <w:iCs/>
          <w:color w:val="44546A" w:themeColor="text2"/>
          <w:sz w:val="20"/>
          <w:szCs w:val="20"/>
        </w:rPr>
        <w:t xml:space="preserve">: </w:t>
      </w:r>
      <w:r w:rsidR="00C36F2D" w:rsidRPr="00B97230">
        <w:rPr>
          <w:rFonts w:ascii="Arial" w:hAnsi="Arial" w:cs="Arial"/>
          <w:i/>
          <w:iCs/>
          <w:color w:val="44546A" w:themeColor="text2"/>
          <w:sz w:val="20"/>
          <w:szCs w:val="20"/>
        </w:rPr>
        <w:t>S</w:t>
      </w:r>
      <w:r w:rsidRPr="00B97230">
        <w:rPr>
          <w:rFonts w:ascii="Arial" w:hAnsi="Arial" w:cs="Arial"/>
          <w:i/>
          <w:iCs/>
          <w:color w:val="44546A" w:themeColor="text2"/>
          <w:sz w:val="20"/>
          <w:szCs w:val="20"/>
        </w:rPr>
        <w:t xml:space="preserve">chematic of </w:t>
      </w:r>
      <w:r w:rsidR="00485020" w:rsidRPr="00B97230">
        <w:rPr>
          <w:rFonts w:ascii="Arial" w:hAnsi="Arial" w:cs="Arial"/>
          <w:i/>
          <w:iCs/>
          <w:color w:val="44546A" w:themeColor="text2"/>
          <w:sz w:val="20"/>
          <w:szCs w:val="20"/>
        </w:rPr>
        <w:t>the</w:t>
      </w:r>
      <w:r w:rsidRPr="00B97230">
        <w:rPr>
          <w:rFonts w:ascii="Arial" w:hAnsi="Arial" w:cs="Arial"/>
          <w:i/>
          <w:iCs/>
          <w:color w:val="44546A" w:themeColor="text2"/>
          <w:sz w:val="20"/>
          <w:szCs w:val="20"/>
        </w:rPr>
        <w:t xml:space="preserve"> microphase</w:t>
      </w:r>
      <w:r w:rsidR="00485020" w:rsidRPr="00B97230">
        <w:rPr>
          <w:rFonts w:ascii="Arial" w:hAnsi="Arial" w:cs="Arial"/>
          <w:i/>
          <w:iCs/>
          <w:color w:val="44546A" w:themeColor="text2"/>
          <w:sz w:val="20"/>
          <w:szCs w:val="20"/>
        </w:rPr>
        <w:t xml:space="preserve"> model of the</w:t>
      </w:r>
      <w:r w:rsidRPr="00B97230">
        <w:rPr>
          <w:rFonts w:ascii="Arial" w:hAnsi="Arial" w:cs="Arial"/>
          <w:i/>
          <w:iCs/>
          <w:color w:val="44546A" w:themeColor="text2"/>
          <w:sz w:val="20"/>
          <w:szCs w:val="20"/>
        </w:rPr>
        <w:t xml:space="preserve"> SEI</w:t>
      </w:r>
      <w:r w:rsidR="006E41C1" w:rsidRPr="00B97230">
        <w:rPr>
          <w:rFonts w:ascii="Arial" w:hAnsi="Arial" w:cs="Arial"/>
          <w:i/>
          <w:iCs/>
          <w:color w:val="44546A" w:themeColor="text2"/>
          <w:sz w:val="20"/>
          <w:szCs w:val="20"/>
        </w:rPr>
        <w:t>.</w:t>
      </w:r>
    </w:p>
    <w:p w14:paraId="423DF432" w14:textId="150FF302" w:rsidR="003E14AA" w:rsidRPr="0092670C" w:rsidRDefault="003E14AA" w:rsidP="003E14AA">
      <w:pPr>
        <w:spacing w:line="360" w:lineRule="auto"/>
        <w:jc w:val="both"/>
        <w:rPr>
          <w:rFonts w:ascii="Arial" w:hAnsi="Arial" w:cs="Arial"/>
        </w:rPr>
      </w:pPr>
      <w:r w:rsidRPr="0092670C">
        <w:rPr>
          <w:rFonts w:ascii="Arial" w:hAnsi="Arial" w:cs="Arial"/>
        </w:rPr>
        <w:t xml:space="preserve">Since the initial work that suggested the presence of </w:t>
      </w:r>
      <w:r w:rsidR="00DF79E9" w:rsidRPr="0092670C">
        <w:rPr>
          <w:rFonts w:ascii="Arial" w:hAnsi="Arial" w:cs="Arial"/>
        </w:rPr>
        <w:t>two</w:t>
      </w:r>
      <w:r w:rsidRPr="0092670C">
        <w:rPr>
          <w:rFonts w:ascii="Arial" w:hAnsi="Arial" w:cs="Arial"/>
        </w:rPr>
        <w:t xml:space="preserve"> separate layers numerous studies have been conducted to probe the differences, chemically and morphologically. Edström </w:t>
      </w:r>
      <w:r w:rsidRPr="0092670C">
        <w:rPr>
          <w:rFonts w:ascii="Arial" w:hAnsi="Arial" w:cs="Arial"/>
          <w:i/>
        </w:rPr>
        <w:t>et al.</w:t>
      </w:r>
      <w:r w:rsidRPr="0092670C">
        <w:rPr>
          <w:rFonts w:ascii="Arial" w:hAnsi="Arial" w:cs="Arial"/>
        </w:rPr>
        <w:t xml:space="preserve"> used XPS with Ar</w:t>
      </w:r>
      <w:r w:rsidRPr="0092670C">
        <w:rPr>
          <w:rFonts w:ascii="Arial" w:hAnsi="Arial" w:cs="Arial"/>
          <w:vertAlign w:val="superscript"/>
        </w:rPr>
        <w:t>+</w:t>
      </w:r>
      <w:r w:rsidRPr="0092670C">
        <w:rPr>
          <w:rFonts w:ascii="Arial" w:hAnsi="Arial" w:cs="Arial"/>
        </w:rPr>
        <w:t xml:space="preserve"> etching to probe the SEI at varying depths and compared it with results from synchrotron XPS</w:t>
      </w:r>
      <w:r w:rsidR="003F7D17"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&lt;EndNote&gt;&lt;Cite&gt;&lt;Author&gt;Edstrom&lt;/Author&gt;&lt;Year&gt;2006&lt;/Year&gt;&lt;RecNum&gt;72&lt;/RecNum&gt;&lt;DisplayText&gt;[63]&lt;/DisplayText&gt;&lt;record&gt;&lt;rec-number&gt;72&lt;/rec-number&gt;&lt;foreign-keys&gt;&lt;key app="EN" db-id="5sa9s0e0r0d9fnexra7pr5xdwd5ztevx95s2" timestamp="1516026068"&gt;72&lt;/key&gt;&lt;/foreign-keys&gt;&lt;ref-type name="Journal Article"&gt;17&lt;/ref-type&gt;&lt;contributors&gt;&lt;authors&gt;&lt;author&gt;Edstrom, K.&lt;/author&gt;&lt;author&gt;Herstedt, M.&lt;/author&gt;&lt;author&gt;Abraham, D. P.&lt;/author&gt;&lt;/authors&gt;&lt;/contributors&gt;&lt;auth-address&gt;Uppsala Univ, Angstrom Lab, Angstrom Adv Battery Ctr, Dept Chem Mat, SE-75121 Uppsala, Sweden. Argonne Natl Lab, Div Chem Technol, Argonne, IL 60439 USA.&amp;#xD;Edstrom, K (reprint author), Uppsala Univ, Angstrom Lab, Angstrom Adv Battery Ctr, Dept Chem Mat, Box 538, SE-75121 Uppsala, Sweden.&amp;#xD;kristina.edstrom@mkem.uu.se&lt;/auth-address&gt;&lt;titles&gt;&lt;title&gt;A new look at the solid electrolyte interphase on graphite anodes in Li-ion batteries&lt;/title&gt;&lt;secondary-title&gt;Journal of Power Sources&lt;/secondary-title&gt;&lt;alt-title&gt;J. Power Sources&lt;/alt-title&gt;&lt;/titles&gt;&lt;periodical&gt;&lt;full-title&gt;Journal of Power Sources&lt;/full-title&gt;&lt;/periodical&gt;&lt;pages&gt;380-384&lt;/pages&gt;&lt;volume&gt;153&lt;/volume&gt;&lt;number&gt;2&lt;/number&gt;&lt;keywords&gt;&lt;keyword&gt;solid electrolyte interphase (SEI)&lt;/keyword&gt;&lt;keyword&gt;Li-ion battery&lt;/keyword&gt;&lt;keyword&gt;XPS&lt;/keyword&gt;&lt;keyword&gt;enhanced thermal-stability&lt;/keyword&gt;&lt;keyword&gt;chemical-composition&lt;/keyword&gt;&lt;keyword&gt;spectroscopy&lt;/keyword&gt;&lt;keyword&gt;interface&lt;/keyword&gt;&lt;keyword&gt;lithium&lt;/keyword&gt;&lt;keyword&gt;Chemistry&lt;/keyword&gt;&lt;keyword&gt;Electrochemistry&lt;/keyword&gt;&lt;keyword&gt;Energy &amp;amp; Fuels&lt;/keyword&gt;&lt;keyword&gt;Materials Science&lt;/keyword&gt;&lt;/keywords&gt;&lt;dates&gt;&lt;year&gt;2006&lt;/year&gt;&lt;pub-dates&gt;&lt;date&gt;Feb&lt;/date&gt;&lt;/pub-dates&gt;&lt;/dates&gt;&lt;isbn&gt;0378-7753&lt;/isbn&gt;&lt;accession-num&gt;WOS:000236479000027&lt;/accession-num&gt;&lt;work-type&gt;Article; Proceedings Paper&lt;/work-type&gt;&lt;urls&gt;&lt;related-urls&gt;&lt;url&gt;&amp;lt;Go to ISI&amp;gt;://WOS:000236479000027&lt;/url&gt;&lt;/related-urls&gt;&lt;/urls&gt;&lt;electronic-resource-num&gt;10.1016/j.jpowsour.2005.05.062&lt;/electronic-resource-num&gt;&lt;language&gt;English&lt;/language&gt;&lt;/record&gt;&lt;/Cite&gt;&lt;/EndNote&gt;</w:instrText>
      </w:r>
      <w:r w:rsidRPr="0092670C">
        <w:rPr>
          <w:rFonts w:ascii="Arial" w:hAnsi="Arial" w:cs="Arial"/>
        </w:rPr>
        <w:fldChar w:fldCharType="separate"/>
      </w:r>
      <w:r w:rsidR="00C10A8D">
        <w:rPr>
          <w:rFonts w:ascii="Arial" w:hAnsi="Arial" w:cs="Arial"/>
          <w:noProof/>
        </w:rPr>
        <w:t>[63]</w:t>
      </w:r>
      <w:r w:rsidRPr="0092670C">
        <w:rPr>
          <w:rFonts w:ascii="Arial" w:hAnsi="Arial" w:cs="Arial"/>
        </w:rPr>
        <w:fldChar w:fldCharType="end"/>
      </w:r>
      <w:r w:rsidRPr="0092670C">
        <w:rPr>
          <w:rFonts w:ascii="Arial" w:hAnsi="Arial" w:cs="Arial"/>
        </w:rPr>
        <w:t>. They found that the dense, initial layer is dominated by LiF with a range of crystal sizes that extend beyond the initial layer and can be found throughout the SEI. They also showed the importance of sample preparation with samples measured with synchrotron XPS not showing any Li</w:t>
      </w:r>
      <w:r w:rsidRPr="0092670C">
        <w:rPr>
          <w:rFonts w:ascii="Arial" w:hAnsi="Arial" w:cs="Arial"/>
          <w:vertAlign w:val="subscript"/>
        </w:rPr>
        <w:t>2</w:t>
      </w:r>
      <w:r w:rsidRPr="0092670C">
        <w:rPr>
          <w:rFonts w:ascii="Arial" w:hAnsi="Arial" w:cs="Arial"/>
        </w:rPr>
        <w:t>O in their samples even though it had often been cited as a key SEI component</w:t>
      </w:r>
      <w:r w:rsidR="003F7D17"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&lt;EndNote&gt;&lt;Cite&gt;&lt;Author&gt;Peled&lt;/Author&gt;&lt;Year&gt;2001&lt;/Year&gt;&lt;RecNum&gt;242&lt;/RecNum&gt;&lt;DisplayText&gt;[64]&lt;/DisplayText&gt;&lt;record&gt;&lt;rec-number&gt;242&lt;/rec-number&gt;&lt;foreign-keys&gt;&lt;key app="EN" db-id="5sa9s0e0r0d9fnexra7pr5xdwd5ztevx95s2" timestamp="1557936553"&gt;242&lt;/key&gt;&lt;/foreign-keys&gt;&lt;ref-type name="Journal Article"&gt;17&lt;/ref-type&gt;&lt;contributors&gt;&lt;authors&gt;&lt;author&gt;Peled, E&lt;/author&gt;&lt;author&gt;Tow, D Bar&lt;/author&gt;&lt;author&gt;Merson, A&lt;/author&gt;&lt;author&gt;Gladkich, A&lt;/author&gt;&lt;author&gt;Burstein, L&lt;/author&gt;&lt;author&gt;Golodnitsky, D&lt;/author&gt;&lt;/authors&gt;&lt;/contributors&gt;&lt;titles&gt;&lt;title&gt;Composition, depth profiles and lateral distribution of materials in the SEI built on HOPG-TOF SIMS and XPS studies&lt;/title&gt;&lt;secondary-title&gt;Journal of power sources&lt;/secondary-title&gt;&lt;/titles&gt;&lt;periodical&gt;&lt;full-title&gt;Journal of Power Sources&lt;/full-title&gt;&lt;/periodical&gt;&lt;pages&gt;52-57&lt;/pages&gt;&lt;volume&gt;97&lt;/volume&gt;&lt;dates&gt;&lt;year&gt;2001&lt;/year&gt;&lt;/dates&gt;&lt;isbn&gt;0378-7753&lt;/isbn&gt;&lt;urls&gt;&lt;/urls&gt;&lt;/record&gt;&lt;/Cite&gt;&lt;/EndNote&gt;</w:instrText>
      </w:r>
      <w:r w:rsidRPr="0092670C">
        <w:rPr>
          <w:rFonts w:ascii="Arial" w:hAnsi="Arial" w:cs="Arial"/>
        </w:rPr>
        <w:fldChar w:fldCharType="separate"/>
      </w:r>
      <w:r w:rsidR="00C10A8D">
        <w:rPr>
          <w:rFonts w:ascii="Arial" w:hAnsi="Arial" w:cs="Arial"/>
          <w:noProof/>
        </w:rPr>
        <w:t>[64]</w:t>
      </w:r>
      <w:r w:rsidRPr="0092670C">
        <w:rPr>
          <w:rFonts w:ascii="Arial" w:hAnsi="Arial" w:cs="Arial"/>
        </w:rPr>
        <w:fldChar w:fldCharType="end"/>
      </w:r>
      <w:r w:rsidRPr="0092670C">
        <w:rPr>
          <w:rFonts w:ascii="Arial" w:hAnsi="Arial" w:cs="Arial"/>
        </w:rPr>
        <w:t>. This lack of Li</w:t>
      </w:r>
      <w:r w:rsidRPr="0092670C">
        <w:rPr>
          <w:rFonts w:ascii="Arial" w:hAnsi="Arial" w:cs="Arial"/>
          <w:vertAlign w:val="subscript"/>
        </w:rPr>
        <w:t>2</w:t>
      </w:r>
      <w:r w:rsidRPr="0092670C">
        <w:rPr>
          <w:rFonts w:ascii="Arial" w:hAnsi="Arial" w:cs="Arial"/>
        </w:rPr>
        <w:t>O suggests that it is mainly formed by Ar</w:t>
      </w:r>
      <w:r w:rsidRPr="0092670C">
        <w:rPr>
          <w:rFonts w:ascii="Arial" w:hAnsi="Arial" w:cs="Arial"/>
          <w:vertAlign w:val="superscript"/>
        </w:rPr>
        <w:t>+</w:t>
      </w:r>
      <w:r w:rsidRPr="0092670C">
        <w:rPr>
          <w:rFonts w:ascii="Arial" w:hAnsi="Arial" w:cs="Arial"/>
        </w:rPr>
        <w:t xml:space="preserve"> etching or in other cases oxygen exposure and isn’t a natural component of the SEI. </w:t>
      </w:r>
      <w:r w:rsidR="009447EE" w:rsidRPr="0092670C">
        <w:rPr>
          <w:rFonts w:ascii="Arial" w:hAnsi="Arial" w:cs="Arial"/>
        </w:rPr>
        <w:t xml:space="preserve">They used this information to update the model of the SEI and this can be seen in </w:t>
      </w:r>
      <w:r w:rsidR="009447EE" w:rsidRPr="0092670C">
        <w:rPr>
          <w:rFonts w:ascii="Arial" w:hAnsi="Arial" w:cs="Arial"/>
        </w:rPr>
        <w:fldChar w:fldCharType="begin"/>
      </w:r>
      <w:r w:rsidR="009447EE" w:rsidRPr="0092670C">
        <w:rPr>
          <w:rFonts w:ascii="Arial" w:hAnsi="Arial" w:cs="Arial"/>
        </w:rPr>
        <w:instrText xml:space="preserve"> REF _Ref27392602 \h  \* MERGEFORMAT </w:instrText>
      </w:r>
      <w:r w:rsidR="009447EE" w:rsidRPr="0092670C">
        <w:rPr>
          <w:rFonts w:ascii="Arial" w:hAnsi="Arial" w:cs="Arial"/>
        </w:rPr>
      </w:r>
      <w:r w:rsidR="009447EE" w:rsidRPr="0092670C">
        <w:rPr>
          <w:rFonts w:ascii="Arial" w:hAnsi="Arial" w:cs="Arial"/>
        </w:rPr>
        <w:fldChar w:fldCharType="separate"/>
      </w:r>
      <w:r w:rsidR="007342C8" w:rsidRPr="007342C8">
        <w:rPr>
          <w:rFonts w:ascii="Arial" w:hAnsi="Arial" w:cs="Arial"/>
          <w:iCs/>
        </w:rPr>
        <w:t xml:space="preserve">Figure </w:t>
      </w:r>
      <w:r w:rsidR="007342C8" w:rsidRPr="007342C8">
        <w:rPr>
          <w:rFonts w:ascii="Arial" w:hAnsi="Arial" w:cs="Arial"/>
          <w:iCs/>
          <w:noProof/>
        </w:rPr>
        <w:t>1</w:t>
      </w:r>
      <w:r w:rsidR="007342C8" w:rsidRPr="007342C8">
        <w:rPr>
          <w:rFonts w:ascii="Arial" w:hAnsi="Arial" w:cs="Arial"/>
          <w:iCs/>
          <w:noProof/>
        </w:rPr>
        <w:noBreakHyphen/>
        <w:t>12</w:t>
      </w:r>
      <w:r w:rsidR="009447EE" w:rsidRPr="0092670C">
        <w:rPr>
          <w:rFonts w:ascii="Arial" w:hAnsi="Arial" w:cs="Arial"/>
        </w:rPr>
        <w:fldChar w:fldCharType="end"/>
      </w:r>
      <w:r w:rsidR="009447EE" w:rsidRPr="0092670C">
        <w:rPr>
          <w:rFonts w:ascii="Arial" w:hAnsi="Arial" w:cs="Arial"/>
        </w:rPr>
        <w:t>.</w:t>
      </w:r>
    </w:p>
    <w:p w14:paraId="5DCDEB38" w14:textId="0FF92CB3" w:rsidR="003E14AA" w:rsidRPr="0092670C" w:rsidRDefault="003E14AA" w:rsidP="003E14AA">
      <w:pPr>
        <w:spacing w:line="360" w:lineRule="auto"/>
        <w:jc w:val="both"/>
        <w:rPr>
          <w:rFonts w:ascii="Arial" w:hAnsi="Arial" w:cs="Arial"/>
        </w:rPr>
      </w:pPr>
      <w:r w:rsidRPr="0092670C">
        <w:rPr>
          <w:rFonts w:ascii="Arial" w:hAnsi="Arial" w:cs="Arial"/>
        </w:rPr>
        <w:t xml:space="preserve">Zheng </w:t>
      </w:r>
      <w:r w:rsidRPr="0092670C">
        <w:rPr>
          <w:rFonts w:ascii="Arial" w:hAnsi="Arial" w:cs="Arial"/>
          <w:i/>
        </w:rPr>
        <w:t>et al</w:t>
      </w:r>
      <w:r w:rsidRPr="0092670C">
        <w:rPr>
          <w:rFonts w:ascii="Arial" w:hAnsi="Arial" w:cs="Arial"/>
        </w:rPr>
        <w:t>. used atomic force microscopy (AFM) to study the SEI on Si anodes at differing phases of development</w:t>
      </w:r>
      <w:r w:rsidR="003F7D17"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&lt;EndNote&gt;&lt;Cite&gt;&lt;Author&gt;Zheng&lt;/Author&gt;&lt;Year&gt;2014&lt;/Year&gt;&lt;RecNum&gt;243&lt;/RecNum&gt;&lt;DisplayText&gt;[65]&lt;/DisplayText&gt;&lt;record&gt;&lt;rec-number&gt;243&lt;/rec-number&gt;&lt;foreign-keys&gt;&lt;key app="EN" db-id="5sa9s0e0r0d9fnexra7pr5xdwd5ztevx95s2" timestamp="1558015332"&gt;243&lt;/key&gt;&lt;/foreign-keys&gt;&lt;ref-type name="Journal Article"&gt;17&lt;/ref-type&gt;&lt;contributors&gt;&lt;authors&gt;&lt;author&gt;Zheng, Jieyun&lt;/author&gt;&lt;author&gt;Zheng, Hao&lt;/author&gt;&lt;author&gt;Wang, Rui&lt;/author&gt;&lt;author&gt;Ben, Liubin&lt;/author&gt;&lt;author&gt;Lu, Wei&lt;/author&gt;&lt;author&gt;Chen, Liwei&lt;/author&gt;&lt;author&gt;Chen, Liquan&lt;/author&gt;&lt;author&gt;Li, Hong&lt;/author&gt;&lt;/authors&gt;&lt;/contributors&gt;&lt;titles&gt;&lt;title&gt;3D visualization of inhomogeneous multi-layered structure and Young&amp;apos;s modulus of the solid electrolyte interphase (SEI) on silicon anodes for lithium ion batteries&lt;/title&gt;&lt;secondary-title&gt;Physical Chemistry Chemical Physics&lt;/secondary-title&gt;&lt;/titles&gt;&lt;periodical&gt;&lt;full-title&gt;Physical Chemistry Chemical Physics&lt;/full-title&gt;&lt;abbr-1&gt;Phys. Chem. Chem. Phys.&lt;/abbr-1&gt;&lt;/periodical&gt;&lt;pages&gt;13229-13238&lt;/pages&gt;&lt;volume&gt;16&lt;/volume&gt;&lt;number&gt;26&lt;/number&gt;&lt;dates&gt;&lt;year&gt;2014&lt;/year&gt;&lt;/dates&gt;&lt;publisher&gt;The Royal Society of Chemistry&lt;/publisher&gt;&lt;isbn&gt;1463-9076&lt;/isbn&gt;&lt;work-type&gt;10.1039/C4CP01968G&lt;/work-type&gt;&lt;urls&gt;&lt;related-urls&gt;&lt;url&gt;http://dx.doi.org/10.1039/C4CP01968G&lt;/url&gt;&lt;/related-urls&gt;&lt;/urls&gt;&lt;electronic-resource-num&gt;10.1039/C4CP01968G&lt;/electronic-resource-num&gt;&lt;/record&gt;&lt;/Cite&gt;&lt;/EndNote&gt;</w:instrText>
      </w:r>
      <w:r w:rsidRPr="0092670C">
        <w:rPr>
          <w:rFonts w:ascii="Arial" w:hAnsi="Arial" w:cs="Arial"/>
        </w:rPr>
        <w:fldChar w:fldCharType="separate"/>
      </w:r>
      <w:r w:rsidR="00C10A8D">
        <w:rPr>
          <w:rFonts w:ascii="Arial" w:hAnsi="Arial" w:cs="Arial"/>
          <w:noProof/>
        </w:rPr>
        <w:t>[65]</w:t>
      </w:r>
      <w:r w:rsidRPr="0092670C">
        <w:rPr>
          <w:rFonts w:ascii="Arial" w:hAnsi="Arial" w:cs="Arial"/>
        </w:rPr>
        <w:fldChar w:fldCharType="end"/>
      </w:r>
      <w:r w:rsidRPr="0092670C">
        <w:rPr>
          <w:rFonts w:ascii="Arial" w:hAnsi="Arial" w:cs="Arial"/>
        </w:rPr>
        <w:t xml:space="preserve">. They found that on Si anodes the SEI can be formed of either single, double or multiple phases regardless upon the stage of total SEI growth with some areas containing a thick, multilayer SEI and others showing no SEI or thin single layers. The outer layers were also softer with a lower young’s modulus than the early layers. The team found that the SEI coverage was not universal and was concentrated on small sections of the surface. This may be due to the different catalytic effects of a flat surface when compared with rough graphite anodes. The catalytic effect of the surface, especially edge sites is known to play an important role in SEI formation so this may go some way to explain the low coverage. </w:t>
      </w:r>
    </w:p>
    <w:p w14:paraId="3FC5A101" w14:textId="790044B1" w:rsidR="003E14AA" w:rsidRPr="0092670C" w:rsidRDefault="006D059F" w:rsidP="003E14AA">
      <w:pPr>
        <w:keepNext/>
        <w:jc w:val="center"/>
        <w:rPr>
          <w:rFonts w:ascii="Arial" w:hAnsi="Arial" w:cs="Arial"/>
        </w:rPr>
      </w:pPr>
      <w:r w:rsidRPr="0092670C">
        <w:rPr>
          <w:rFonts w:ascii="Arial" w:hAnsi="Arial" w:cs="Arial"/>
          <w:noProof/>
        </w:rPr>
        <w:drawing>
          <wp:inline distT="0" distB="0" distL="0" distR="0" wp14:anchorId="42C07AFA" wp14:editId="5BE5CCF7">
            <wp:extent cx="4663440" cy="322197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62" t="4963" r="6252" b="4876"/>
                    <a:stretch/>
                  </pic:blipFill>
                  <pic:spPr bwMode="auto">
                    <a:xfrm>
                      <a:off x="0" y="0"/>
                      <a:ext cx="4671600" cy="3227608"/>
                    </a:xfrm>
                    <a:prstGeom prst="rect">
                      <a:avLst/>
                    </a:prstGeom>
                    <a:noFill/>
                    <a:ln>
                      <a:noFill/>
                    </a:ln>
                    <a:extLst>
                      <a:ext uri="{53640926-AAD7-44D8-BBD7-CCE9431645EC}">
                        <a14:shadowObscured xmlns:a14="http://schemas.microsoft.com/office/drawing/2010/main"/>
                      </a:ext>
                    </a:extLst>
                  </pic:spPr>
                </pic:pic>
              </a:graphicData>
            </a:graphic>
          </wp:inline>
        </w:drawing>
      </w:r>
    </w:p>
    <w:p w14:paraId="1BBE7F27" w14:textId="551CF277" w:rsidR="003E14AA" w:rsidRPr="00B97230" w:rsidRDefault="003E14AA" w:rsidP="003E14AA">
      <w:pPr>
        <w:spacing w:after="200" w:line="240" w:lineRule="auto"/>
        <w:jc w:val="center"/>
        <w:rPr>
          <w:rFonts w:ascii="Arial" w:hAnsi="Arial" w:cs="Arial"/>
          <w:i/>
          <w:iCs/>
          <w:color w:val="44546A" w:themeColor="text2"/>
          <w:sz w:val="20"/>
          <w:szCs w:val="20"/>
        </w:rPr>
      </w:pPr>
      <w:bookmarkStart w:id="41" w:name="_Ref27392602"/>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12</w:t>
      </w:r>
      <w:r w:rsidR="00356A26">
        <w:rPr>
          <w:rFonts w:ascii="Arial" w:hAnsi="Arial" w:cs="Arial"/>
          <w:i/>
          <w:iCs/>
          <w:color w:val="44546A" w:themeColor="text2"/>
          <w:sz w:val="20"/>
          <w:szCs w:val="20"/>
        </w:rPr>
        <w:fldChar w:fldCharType="end"/>
      </w:r>
      <w:bookmarkEnd w:id="41"/>
      <w:r w:rsidRPr="00B97230">
        <w:rPr>
          <w:rFonts w:ascii="Arial" w:hAnsi="Arial" w:cs="Arial"/>
          <w:i/>
          <w:iCs/>
          <w:color w:val="44546A" w:themeColor="text2"/>
          <w:sz w:val="20"/>
          <w:szCs w:val="20"/>
        </w:rPr>
        <w:t xml:space="preserve">: schematic of a double layer SEI </w:t>
      </w:r>
      <w:r w:rsidRPr="00B97230">
        <w:rPr>
          <w:rFonts w:ascii="Arial" w:hAnsi="Arial" w:cs="Arial"/>
          <w:i/>
          <w:iCs/>
          <w:color w:val="44546A" w:themeColor="text2"/>
          <w:sz w:val="20"/>
          <w:szCs w:val="20"/>
        </w:rPr>
        <w:fldChar w:fldCharType="begin"/>
      </w:r>
      <w:r w:rsidR="00C10A8D">
        <w:rPr>
          <w:rFonts w:ascii="Arial" w:hAnsi="Arial" w:cs="Arial"/>
          <w:i/>
          <w:iCs/>
          <w:color w:val="44546A" w:themeColor="text2"/>
          <w:sz w:val="20"/>
          <w:szCs w:val="20"/>
        </w:rPr>
        <w:instrText xml:space="preserve"> ADDIN EN.CITE &lt;EndNote&gt;&lt;Cite&gt;&lt;Author&gt;Edstrom&lt;/Author&gt;&lt;Year&gt;2006&lt;/Year&gt;&lt;RecNum&gt;72&lt;/RecNum&gt;&lt;DisplayText&gt;[63]&lt;/DisplayText&gt;&lt;record&gt;&lt;rec-number&gt;72&lt;/rec-number&gt;&lt;foreign-keys&gt;&lt;key app="EN" db-id="5sa9s0e0r0d9fnexra7pr5xdwd5ztevx95s2" timestamp="1516026068"&gt;72&lt;/key&gt;&lt;/foreign-keys&gt;&lt;ref-type name="Journal Article"&gt;17&lt;/ref-type&gt;&lt;contributors&gt;&lt;authors&gt;&lt;author&gt;Edstrom, K.&lt;/author&gt;&lt;author&gt;Herstedt, M.&lt;/author&gt;&lt;author&gt;Abraham, D. P.&lt;/author&gt;&lt;/authors&gt;&lt;/contributors&gt;&lt;auth-address&gt;Uppsala Univ, Angstrom Lab, Angstrom Adv Battery Ctr, Dept Chem Mat, SE-75121 Uppsala, Sweden. Argonne Natl Lab, Div Chem Technol, Argonne, IL 60439 USA.&amp;#xD;Edstrom, K (reprint author), Uppsala Univ, Angstrom Lab, Angstrom Adv Battery Ctr, Dept Chem Mat, Box 538, SE-75121 Uppsala, Sweden.&amp;#xD;kristina.edstrom@mkem.uu.se&lt;/auth-address&gt;&lt;titles&gt;&lt;title&gt;A new look at the solid electrolyte interphase on graphite anodes in Li-ion batteries&lt;/title&gt;&lt;secondary-title&gt;Journal of Power Sources&lt;/secondary-title&gt;&lt;alt-title&gt;J. Power Sources&lt;/alt-title&gt;&lt;/titles&gt;&lt;periodical&gt;&lt;full-title&gt;Journal of Power Sources&lt;/full-title&gt;&lt;/periodical&gt;&lt;pages&gt;380-384&lt;/pages&gt;&lt;volume&gt;153&lt;/volume&gt;&lt;number&gt;2&lt;/number&gt;&lt;keywords&gt;&lt;keyword&gt;solid electrolyte interphase (SEI)&lt;/keyword&gt;&lt;keyword&gt;Li-ion battery&lt;/keyword&gt;&lt;keyword&gt;XPS&lt;/keyword&gt;&lt;keyword&gt;enhanced thermal-stability&lt;/keyword&gt;&lt;keyword&gt;chemical-composition&lt;/keyword&gt;&lt;keyword&gt;spectroscopy&lt;/keyword&gt;&lt;keyword&gt;interface&lt;/keyword&gt;&lt;keyword&gt;lithium&lt;/keyword&gt;&lt;keyword&gt;Chemistry&lt;/keyword&gt;&lt;keyword&gt;Electrochemistry&lt;/keyword&gt;&lt;keyword&gt;Energy &amp;amp; Fuels&lt;/keyword&gt;&lt;keyword&gt;Materials Science&lt;/keyword&gt;&lt;/keywords&gt;&lt;dates&gt;&lt;year&gt;2006&lt;/year&gt;&lt;pub-dates&gt;&lt;date&gt;Feb&lt;/date&gt;&lt;/pub-dates&gt;&lt;/dates&gt;&lt;isbn&gt;0378-7753&lt;/isbn&gt;&lt;accession-num&gt;WOS:000236479000027&lt;/accession-num&gt;&lt;work-type&gt;Article; Proceedings Paper&lt;/work-type&gt;&lt;urls&gt;&lt;related-urls&gt;&lt;url&gt;&amp;lt;Go to ISI&amp;gt;://WOS:000236479000027&lt;/url&gt;&lt;/related-urls&gt;&lt;/urls&gt;&lt;electronic-resource-num&gt;10.1016/j.jpowsour.2005.05.062&lt;/electronic-resource-num&gt;&lt;language&gt;English&lt;/language&gt;&lt;/record&gt;&lt;/Cite&gt;&lt;/EndNote&gt;</w:instrText>
      </w:r>
      <w:r w:rsidRPr="00B97230">
        <w:rPr>
          <w:rFonts w:ascii="Arial" w:hAnsi="Arial" w:cs="Arial"/>
          <w:i/>
          <w:iCs/>
          <w:color w:val="44546A" w:themeColor="text2"/>
          <w:sz w:val="20"/>
          <w:szCs w:val="20"/>
        </w:rPr>
        <w:fldChar w:fldCharType="separate"/>
      </w:r>
      <w:r w:rsidR="00C10A8D">
        <w:rPr>
          <w:rFonts w:ascii="Arial" w:hAnsi="Arial" w:cs="Arial"/>
          <w:i/>
          <w:iCs/>
          <w:noProof/>
          <w:color w:val="44546A" w:themeColor="text2"/>
          <w:sz w:val="20"/>
          <w:szCs w:val="20"/>
        </w:rPr>
        <w:t>[63]</w:t>
      </w:r>
      <w:r w:rsidRPr="00B97230">
        <w:rPr>
          <w:rFonts w:ascii="Arial" w:hAnsi="Arial" w:cs="Arial"/>
          <w:i/>
          <w:iCs/>
          <w:color w:val="44546A" w:themeColor="text2"/>
          <w:sz w:val="20"/>
          <w:szCs w:val="20"/>
        </w:rPr>
        <w:fldChar w:fldCharType="end"/>
      </w:r>
      <w:r w:rsidR="006E41C1" w:rsidRPr="00B97230">
        <w:rPr>
          <w:rFonts w:ascii="Arial" w:hAnsi="Arial" w:cs="Arial"/>
          <w:i/>
          <w:iCs/>
          <w:color w:val="44546A" w:themeColor="text2"/>
          <w:sz w:val="20"/>
          <w:szCs w:val="20"/>
        </w:rPr>
        <w:t>.</w:t>
      </w:r>
    </w:p>
    <w:p w14:paraId="7620C232" w14:textId="77777777" w:rsidR="003E14AA" w:rsidRPr="0092670C" w:rsidRDefault="003E14AA" w:rsidP="00F80BDA">
      <w:pPr>
        <w:pStyle w:val="Heading2"/>
        <w:rPr>
          <w:rFonts w:ascii="Arial" w:hAnsi="Arial" w:cs="Arial"/>
        </w:rPr>
      </w:pPr>
      <w:bookmarkStart w:id="42" w:name="_Toc82538721"/>
      <w:r w:rsidRPr="0092670C">
        <w:rPr>
          <w:rFonts w:ascii="Arial" w:hAnsi="Arial" w:cs="Arial"/>
        </w:rPr>
        <w:t>Composition of the SEI</w:t>
      </w:r>
      <w:bookmarkEnd w:id="42"/>
    </w:p>
    <w:p w14:paraId="61C6FFDC" w14:textId="67769BD9" w:rsidR="003E14AA" w:rsidRPr="0092670C" w:rsidRDefault="003E14AA" w:rsidP="003E14AA">
      <w:pPr>
        <w:spacing w:line="360" w:lineRule="auto"/>
        <w:jc w:val="both"/>
        <w:rPr>
          <w:rFonts w:ascii="Arial" w:hAnsi="Arial" w:cs="Arial"/>
        </w:rPr>
      </w:pPr>
      <w:r w:rsidRPr="0092670C">
        <w:rPr>
          <w:rFonts w:ascii="Arial" w:hAnsi="Arial" w:cs="Arial"/>
        </w:rPr>
        <w:t>Due to the heterogeneous nature of the SEI and the variety of electrolytes that have been tested a number of different components have been reported. The dense, first layer mainly contains inorganic components. The main inorganic components are Li</w:t>
      </w:r>
      <w:r w:rsidRPr="0092670C">
        <w:rPr>
          <w:rFonts w:ascii="Arial" w:hAnsi="Arial" w:cs="Arial"/>
          <w:vertAlign w:val="subscript"/>
        </w:rPr>
        <w:t>2</w:t>
      </w:r>
      <w:r w:rsidRPr="0092670C">
        <w:rPr>
          <w:rFonts w:ascii="Arial" w:hAnsi="Arial" w:cs="Arial"/>
        </w:rPr>
        <w:t>CO</w:t>
      </w:r>
      <w:r w:rsidRPr="0092670C">
        <w:rPr>
          <w:rFonts w:ascii="Arial" w:hAnsi="Arial" w:cs="Arial"/>
          <w:vertAlign w:val="subscript"/>
        </w:rPr>
        <w:t>3</w:t>
      </w:r>
      <w:r w:rsidRPr="0092670C">
        <w:rPr>
          <w:rFonts w:ascii="Arial" w:hAnsi="Arial" w:cs="Arial"/>
        </w:rPr>
        <w:t xml:space="preserve"> and LiF</w:t>
      </w:r>
      <w:r w:rsidR="005260F2" w:rsidRPr="0092670C">
        <w:rPr>
          <w:rFonts w:ascii="Arial" w:hAnsi="Arial" w:cs="Arial"/>
        </w:rPr>
        <w:t xml:space="preserve"> </w:t>
      </w:r>
      <w:r w:rsidRPr="0092670C">
        <w:rPr>
          <w:rFonts w:ascii="Arial" w:hAnsi="Arial" w:cs="Arial"/>
        </w:rPr>
        <w:fldChar w:fldCharType="begin">
          <w:fldData xml:space="preserve">PEVuZE5vdGU+PENpdGU+PEF1dGhvcj5BbmRlcnNzb248L0F1dGhvcj48WWVhcj4yMDAxPC9ZZWFy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PEVuZE5vdGU+PENpdGU+PEF1dGhvcj5BbmRlcnNzb248L0F1dGhvcj48WWVhcj4yMDAxPC9ZZWFy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[66, 67]</w:t>
      </w:r>
      <w:r w:rsidRPr="0092670C">
        <w:rPr>
          <w:rFonts w:ascii="Arial" w:hAnsi="Arial" w:cs="Arial"/>
        </w:rPr>
        <w:fldChar w:fldCharType="end"/>
      </w:r>
      <w:r w:rsidRPr="0092670C">
        <w:rPr>
          <w:rFonts w:ascii="Arial" w:hAnsi="Arial" w:cs="Arial"/>
        </w:rPr>
        <w:t xml:space="preserve">. Computational studies by Shi </w:t>
      </w:r>
      <w:r w:rsidRPr="0092670C">
        <w:rPr>
          <w:rFonts w:ascii="Arial" w:hAnsi="Arial" w:cs="Arial"/>
          <w:i/>
        </w:rPr>
        <w:t>et al.</w:t>
      </w:r>
      <w:r w:rsidRPr="0092670C">
        <w:rPr>
          <w:rFonts w:ascii="Arial" w:hAnsi="Arial" w:cs="Arial"/>
        </w:rPr>
        <w:t xml:space="preserve"> found that the Li</w:t>
      </w:r>
      <w:r w:rsidRPr="0092670C">
        <w:rPr>
          <w:rFonts w:ascii="Arial" w:hAnsi="Arial" w:cs="Arial"/>
          <w:vertAlign w:val="superscript"/>
        </w:rPr>
        <w:t>+</w:t>
      </w:r>
      <w:r w:rsidRPr="0092670C">
        <w:rPr>
          <w:rFonts w:ascii="Arial" w:hAnsi="Arial" w:cs="Arial"/>
        </w:rPr>
        <w:t xml:space="preserve"> can travel through Li</w:t>
      </w:r>
      <w:r w:rsidRPr="0092670C">
        <w:rPr>
          <w:rFonts w:ascii="Arial" w:hAnsi="Arial" w:cs="Arial"/>
          <w:vertAlign w:val="subscript"/>
        </w:rPr>
        <w:t>2</w:t>
      </w:r>
      <w:r w:rsidRPr="0092670C">
        <w:rPr>
          <w:rFonts w:ascii="Arial" w:hAnsi="Arial" w:cs="Arial"/>
        </w:rPr>
        <w:t>CO</w:t>
      </w:r>
      <w:r w:rsidRPr="0092670C">
        <w:rPr>
          <w:rFonts w:ascii="Arial" w:hAnsi="Arial" w:cs="Arial"/>
          <w:vertAlign w:val="subscript"/>
        </w:rPr>
        <w:t>3</w:t>
      </w:r>
      <w:r w:rsidRPr="0092670C">
        <w:rPr>
          <w:rFonts w:ascii="Arial" w:hAnsi="Arial" w:cs="Arial"/>
        </w:rPr>
        <w:t xml:space="preserve"> via a “knock-off” mechanism where excess interstitial Li</w:t>
      </w:r>
      <w:r w:rsidRPr="0092670C">
        <w:rPr>
          <w:rFonts w:ascii="Arial" w:hAnsi="Arial" w:cs="Arial"/>
          <w:vertAlign w:val="superscript"/>
        </w:rPr>
        <w:t>+</w:t>
      </w:r>
      <w:r w:rsidRPr="0092670C">
        <w:rPr>
          <w:rFonts w:ascii="Arial" w:hAnsi="Arial" w:cs="Arial"/>
        </w:rPr>
        <w:t xml:space="preserve"> displaces Li from the lattice, repeating until it reaches the graphite</w:t>
      </w:r>
      <w:r w:rsidR="005260F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&lt;EndNote&gt;&lt;Cite&gt;&lt;Author&gt;Shi&lt;/Author&gt;&lt;Year&gt;2012&lt;/Year&gt;&lt;RecNum&gt;244&lt;/RecNum&gt;&lt;DisplayText&gt;[68]&lt;/DisplayText&gt;&lt;record&gt;&lt;rec-number&gt;244&lt;/rec-number&gt;&lt;foreign-keys&gt;&lt;key app="EN" db-id="5sa9s0e0r0d9fnexra7pr5xdwd5ztevx95s2" timestamp="1558017383"&gt;244&lt;/key&gt;&lt;/foreign-keys&gt;&lt;ref-type name="Journal Article"&gt;17&lt;/ref-type&gt;&lt;contributors&gt;&lt;authors&gt;&lt;author&gt;Shi, Siqi&lt;/author&gt;&lt;author&gt;Lu, Peng&lt;/author&gt;&lt;author&gt;Liu, Zhongyi&lt;/author&gt;&lt;author&gt;Qi, Yue&lt;/author&gt;&lt;author&gt;Hector, Louis G.&lt;/author&gt;&lt;author&gt;Li, Hong&lt;/author&gt;&lt;author&gt;Harris, Stephen J.&lt;/author&gt;&lt;/authors&gt;&lt;/contributors&gt;&lt;titles&gt;&lt;title&gt;Direct Calculation of Li-Ion Transport in the Solid Electrolyte Interphase&lt;/title&gt;&lt;secondary-title&gt;Journal of the American Chemical Society&lt;/secondary-title&gt;&lt;/titles&gt;&lt;periodical&gt;&lt;full-title&gt;Journal of the American Chemical Society&lt;/full-title&gt;&lt;/periodical&gt;&lt;pages&gt;15476-15487&lt;/pages&gt;&lt;volume&gt;134&lt;/volume&gt;&lt;number&gt;37&lt;/number&gt;&lt;dates&gt;&lt;year&gt;2012&lt;/year&gt;&lt;pub-dates&gt;&lt;date&gt;2012/09/19&lt;/date&gt;&lt;/pub-dates&gt;&lt;/dates&gt;&lt;publisher&gt;American Chemical Society&lt;/publisher&gt;&lt;isbn&gt;0002-7863&lt;/isbn&gt;&lt;urls&gt;&lt;related-urls&gt;&lt;url&gt;https://doi.org/10.1021/ja305366r&lt;/url&gt;&lt;/related-urls&gt;&lt;/urls&gt;&lt;electronic-resource-num&gt;10.1021/ja305366r&lt;/electronic-resource-num&gt;&lt;/record&gt;&lt;/Cite&gt;&lt;/EndNote&gt;</w:instrText>
      </w:r>
      <w:r w:rsidRPr="0092670C">
        <w:rPr>
          <w:rFonts w:ascii="Arial" w:hAnsi="Arial" w:cs="Arial"/>
        </w:rPr>
        <w:fldChar w:fldCharType="separate"/>
      </w:r>
      <w:r w:rsidR="00C10A8D">
        <w:rPr>
          <w:rFonts w:ascii="Arial" w:hAnsi="Arial" w:cs="Arial"/>
          <w:noProof/>
        </w:rPr>
        <w:t>[68]</w:t>
      </w:r>
      <w:r w:rsidRPr="0092670C">
        <w:rPr>
          <w:rFonts w:ascii="Arial" w:hAnsi="Arial" w:cs="Arial"/>
        </w:rPr>
        <w:fldChar w:fldCharType="end"/>
      </w:r>
      <w:r w:rsidRPr="0092670C">
        <w:rPr>
          <w:rFonts w:ascii="Arial" w:hAnsi="Arial" w:cs="Arial"/>
        </w:rPr>
        <w:t>.</w:t>
      </w:r>
      <w:r w:rsidR="000441B5">
        <w:rPr>
          <w:rFonts w:ascii="Arial" w:hAnsi="Arial" w:cs="Arial"/>
        </w:rPr>
        <w:t xml:space="preserve"> For LiF it has been </w:t>
      </w:r>
      <w:r w:rsidR="009A6151">
        <w:rPr>
          <w:rFonts w:ascii="Arial" w:hAnsi="Arial" w:cs="Arial"/>
        </w:rPr>
        <w:t>found that tha</w:t>
      </w:r>
      <w:r w:rsidR="00B1164B">
        <w:rPr>
          <w:rFonts w:ascii="Arial" w:hAnsi="Arial" w:cs="Arial"/>
        </w:rPr>
        <w:t>t Li diffusion primarily occurs along the grain bound</w:t>
      </w:r>
      <w:r w:rsidR="00C4253E">
        <w:rPr>
          <w:rFonts w:ascii="Arial" w:hAnsi="Arial" w:cs="Arial"/>
        </w:rPr>
        <w:t xml:space="preserve">aries </w:t>
      </w:r>
      <w:r w:rsidR="0068237D">
        <w:rPr>
          <w:rFonts w:ascii="Arial" w:hAnsi="Arial" w:cs="Arial"/>
        </w:rPr>
        <w:fldChar w:fldCharType="begin"/>
      </w:r>
      <w:r w:rsidR="00C10A8D">
        <w:rPr>
          <w:rFonts w:ascii="Arial" w:hAnsi="Arial" w:cs="Arial"/>
        </w:rPr>
        <w:instrText xml:space="preserve"> ADDIN EN.CITE &lt;EndNote&gt;&lt;Cite&gt;&lt;Author&gt;Ramasubramanian&lt;/Author&gt;&lt;Year&gt;2019&lt;/Year&gt;&lt;RecNum&gt;369&lt;/RecNum&gt;&lt;DisplayText&gt;[69]&lt;/DisplayText&gt;&lt;record&gt;&lt;rec-number&gt;369&lt;/rec-number&gt;&lt;foreign-keys&gt;&lt;key app="EN" db-id="5sa9s0e0r0d9fnexra7pr5xdwd5ztevx95s2" timestamp="1631546964"&gt;369&lt;/key&gt;&lt;/foreign-keys&gt;&lt;ref-type name="Journal Article"&gt;17&lt;/ref-type&gt;&lt;contributors&gt;&lt;authors&gt;&lt;author&gt;Ramasubramanian, Ajaykrishna&lt;/author&gt;&lt;author&gt;Yurkiv, Vitaliy&lt;/author&gt;&lt;author&gt;Foroozan, Tara&lt;/author&gt;&lt;author&gt;Ragone, Marco&lt;/author&gt;&lt;author&gt;Shahbazian-Yassar, Reza&lt;/author&gt;&lt;author&gt;Mashayek, Farzad&lt;/author&gt;&lt;/authors&gt;&lt;/contributors&gt;&lt;titles&gt;&lt;title&gt;Lithium Diffusion Mechanism through Solid–Electrolyte Interphase in Rechargeable Lithium Batteries&lt;/title&gt;&lt;secondary-title&gt;The Journal of Physical Chemistry C&lt;/secondary-title&gt;&lt;/titles&gt;&lt;periodical&gt;&lt;full-title&gt;The Journal of Physical Chemistry C&lt;/full-title&gt;&lt;/periodical&gt;&lt;pages&gt;10237-10245&lt;/pages&gt;&lt;volume&gt;123&lt;/volume&gt;&lt;number&gt;16&lt;/number&gt;&lt;dates&gt;&lt;year&gt;2019&lt;/year&gt;&lt;pub-dates&gt;&lt;date&gt;2019/04/25&lt;/date&gt;&lt;/pub-dates&gt;&lt;/dates&gt;&lt;publisher&gt;American Chemical Society&lt;/publisher&gt;&lt;isbn&gt;1932-7447&lt;/isbn&gt;&lt;urls&gt;&lt;related-urls&gt;&lt;url&gt;https://doi.org/10.1021/acs.jpcc.9b00436&lt;/url&gt;&lt;/related-urls&gt;&lt;/urls&gt;&lt;electronic-resource-num&gt;10.1021/acs.jpcc.9b00436&lt;/electronic-resource-num&gt;&lt;/record&gt;&lt;/Cite&gt;&lt;/EndNote&gt;</w:instrText>
      </w:r>
      <w:r w:rsidR="0068237D">
        <w:rPr>
          <w:rFonts w:ascii="Arial" w:hAnsi="Arial" w:cs="Arial"/>
        </w:rPr>
        <w:fldChar w:fldCharType="separate"/>
      </w:r>
      <w:r w:rsidR="00C10A8D">
        <w:rPr>
          <w:rFonts w:ascii="Arial" w:hAnsi="Arial" w:cs="Arial"/>
          <w:noProof/>
        </w:rPr>
        <w:t>[69]</w:t>
      </w:r>
      <w:r w:rsidR="0068237D">
        <w:rPr>
          <w:rFonts w:ascii="Arial" w:hAnsi="Arial" w:cs="Arial"/>
        </w:rPr>
        <w:fldChar w:fldCharType="end"/>
      </w:r>
      <w:r w:rsidR="00F672E3">
        <w:rPr>
          <w:rFonts w:ascii="Arial" w:hAnsi="Arial" w:cs="Arial"/>
        </w:rPr>
        <w:t xml:space="preserve">. </w:t>
      </w:r>
      <w:r w:rsidR="00155ADF">
        <w:rPr>
          <w:rFonts w:ascii="Arial" w:hAnsi="Arial" w:cs="Arial"/>
        </w:rPr>
        <w:t>Both LiF</w:t>
      </w:r>
      <w:r w:rsidR="005056C4">
        <w:rPr>
          <w:rFonts w:ascii="Arial" w:hAnsi="Arial" w:cs="Arial"/>
        </w:rPr>
        <w:t>/ Li</w:t>
      </w:r>
      <w:r w:rsidR="005056C4" w:rsidRPr="004A61D4">
        <w:rPr>
          <w:rFonts w:ascii="Arial" w:hAnsi="Arial" w:cs="Arial"/>
          <w:vertAlign w:val="subscript"/>
        </w:rPr>
        <w:t>2</w:t>
      </w:r>
      <w:r w:rsidR="005056C4">
        <w:rPr>
          <w:rFonts w:ascii="Arial" w:hAnsi="Arial" w:cs="Arial"/>
        </w:rPr>
        <w:t xml:space="preserve">O and LiF/LiF grain boundary interactions had lower </w:t>
      </w:r>
      <w:r w:rsidR="003C25E6">
        <w:rPr>
          <w:rFonts w:ascii="Arial" w:hAnsi="Arial" w:cs="Arial"/>
        </w:rPr>
        <w:t xml:space="preserve">activation energy than </w:t>
      </w:r>
      <w:r w:rsidR="00F54A72">
        <w:rPr>
          <w:rFonts w:ascii="Arial" w:hAnsi="Arial" w:cs="Arial"/>
        </w:rPr>
        <w:t>Li</w:t>
      </w:r>
      <w:r w:rsidR="00F54A72" w:rsidRPr="004A61D4">
        <w:rPr>
          <w:rFonts w:ascii="Arial" w:hAnsi="Arial" w:cs="Arial"/>
          <w:vertAlign w:val="subscript"/>
        </w:rPr>
        <w:t>2</w:t>
      </w:r>
      <w:r w:rsidR="00F54A72">
        <w:rPr>
          <w:rFonts w:ascii="Arial" w:hAnsi="Arial" w:cs="Arial"/>
        </w:rPr>
        <w:t>O/Li</w:t>
      </w:r>
      <w:r w:rsidR="00F54A72" w:rsidRPr="004A61D4">
        <w:rPr>
          <w:rFonts w:ascii="Arial" w:hAnsi="Arial" w:cs="Arial"/>
          <w:vertAlign w:val="subscript"/>
        </w:rPr>
        <w:t>2</w:t>
      </w:r>
      <w:r w:rsidR="00F54A72">
        <w:rPr>
          <w:rFonts w:ascii="Arial" w:hAnsi="Arial" w:cs="Arial"/>
        </w:rPr>
        <w:t xml:space="preserve">O </w:t>
      </w:r>
      <w:r w:rsidR="004A61D4">
        <w:rPr>
          <w:rFonts w:ascii="Arial" w:hAnsi="Arial" w:cs="Arial"/>
        </w:rPr>
        <w:t>grain boundary interactions.</w:t>
      </w:r>
      <w:r w:rsidR="00C42300">
        <w:rPr>
          <w:rFonts w:ascii="Arial" w:hAnsi="Arial" w:cs="Arial"/>
        </w:rPr>
        <w:t xml:space="preserve"> </w:t>
      </w:r>
      <w:r w:rsidR="00C61460">
        <w:rPr>
          <w:rFonts w:ascii="Arial" w:hAnsi="Arial" w:cs="Arial"/>
        </w:rPr>
        <w:t xml:space="preserve">This </w:t>
      </w:r>
      <w:r w:rsidR="00435D41">
        <w:rPr>
          <w:rFonts w:ascii="Arial" w:hAnsi="Arial" w:cs="Arial"/>
        </w:rPr>
        <w:t xml:space="preserve">is the main reason for the lower resistance seen with SEI layers containing large amounts of LiF. </w:t>
      </w:r>
      <w:r w:rsidR="004A61D4">
        <w:rPr>
          <w:rFonts w:ascii="Arial" w:hAnsi="Arial" w:cs="Arial"/>
        </w:rPr>
        <w:t xml:space="preserve"> </w:t>
      </w:r>
    </w:p>
    <w:p w14:paraId="43CBA123" w14:textId="3428F871" w:rsidR="00381F64" w:rsidRPr="0092670C" w:rsidRDefault="003E14AA" w:rsidP="003E14AA">
      <w:pPr>
        <w:spacing w:line="360" w:lineRule="auto"/>
        <w:jc w:val="both"/>
        <w:rPr>
          <w:rFonts w:ascii="Arial" w:hAnsi="Arial" w:cs="Arial"/>
        </w:rPr>
      </w:pPr>
      <w:r w:rsidRPr="0092670C">
        <w:rPr>
          <w:rFonts w:ascii="Arial" w:hAnsi="Arial" w:cs="Arial"/>
        </w:rPr>
        <w:t>This second layer mainly consists of oligomeric, organic components. Examples of these are (CH</w:t>
      </w:r>
      <w:r w:rsidRPr="0092670C">
        <w:rPr>
          <w:rFonts w:ascii="Arial" w:hAnsi="Arial" w:cs="Arial"/>
          <w:vertAlign w:val="subscript"/>
        </w:rPr>
        <w:t>2</w:t>
      </w:r>
      <w:r w:rsidRPr="0092670C">
        <w:rPr>
          <w:rFonts w:ascii="Arial" w:hAnsi="Arial" w:cs="Arial"/>
        </w:rPr>
        <w:t>OCO</w:t>
      </w:r>
      <w:r w:rsidRPr="0092670C">
        <w:rPr>
          <w:rFonts w:ascii="Arial" w:hAnsi="Arial" w:cs="Arial"/>
          <w:vertAlign w:val="subscript"/>
        </w:rPr>
        <w:t>2</w:t>
      </w:r>
      <w:r w:rsidRPr="0092670C">
        <w:rPr>
          <w:rFonts w:ascii="Arial" w:hAnsi="Arial" w:cs="Arial"/>
        </w:rPr>
        <w:t>Li)</w:t>
      </w:r>
      <w:r w:rsidRPr="0092670C">
        <w:rPr>
          <w:rFonts w:ascii="Arial" w:hAnsi="Arial" w:cs="Arial"/>
          <w:vertAlign w:val="subscript"/>
        </w:rPr>
        <w:t>2</w:t>
      </w:r>
      <w:r w:rsidRPr="0092670C">
        <w:rPr>
          <w:rFonts w:ascii="Arial" w:hAnsi="Arial" w:cs="Arial"/>
        </w:rPr>
        <w:t xml:space="preserve">, polycarbonates &amp; </w:t>
      </w:r>
      <w:r w:rsidR="00615E03" w:rsidRPr="0092670C">
        <w:rPr>
          <w:rFonts w:ascii="Arial" w:hAnsi="Arial" w:cs="Arial"/>
        </w:rPr>
        <w:t>Semi carbonates</w:t>
      </w:r>
      <w:r w:rsidR="006C3838" w:rsidRPr="0092670C">
        <w:rPr>
          <w:rFonts w:ascii="Arial" w:hAnsi="Arial" w:cs="Arial"/>
        </w:rPr>
        <w:t xml:space="preserve"> </w:t>
      </w:r>
      <w:r w:rsidR="00615E03" w:rsidRPr="0092670C">
        <w:rPr>
          <w:rFonts w:ascii="Arial" w:hAnsi="Arial" w:cs="Arial"/>
        </w:rPr>
        <w:t xml:space="preserve">with </w:t>
      </w:r>
      <w:r w:rsidR="002120FF" w:rsidRPr="0092670C">
        <w:rPr>
          <w:rFonts w:ascii="Arial" w:hAnsi="Arial" w:cs="Arial"/>
        </w:rPr>
        <w:t>organ</w:t>
      </w:r>
      <w:r w:rsidR="004A1741" w:rsidRPr="0092670C">
        <w:rPr>
          <w:rFonts w:ascii="Arial" w:hAnsi="Arial" w:cs="Arial"/>
        </w:rPr>
        <w:t>ic side chains of varying lengths</w:t>
      </w:r>
      <w:r w:rsidR="00615E03" w:rsidRPr="0092670C">
        <w:rPr>
          <w:rFonts w:ascii="Arial" w:hAnsi="Arial" w:cs="Arial"/>
        </w:rPr>
        <w:t xml:space="preserve"> </w:t>
      </w:r>
      <w:r w:rsidR="004A1741" w:rsidRPr="0092670C">
        <w:rPr>
          <w:rFonts w:ascii="Arial" w:hAnsi="Arial" w:cs="Arial"/>
        </w:rPr>
        <w:t>(</w:t>
      </w:r>
      <w:r w:rsidRPr="0092670C">
        <w:rPr>
          <w:rFonts w:ascii="Arial" w:hAnsi="Arial" w:cs="Arial"/>
        </w:rPr>
        <w:t>ROCO</w:t>
      </w:r>
      <w:r w:rsidRPr="0092670C">
        <w:rPr>
          <w:rFonts w:ascii="Arial" w:hAnsi="Arial" w:cs="Arial"/>
          <w:vertAlign w:val="subscript"/>
        </w:rPr>
        <w:t>2</w:t>
      </w:r>
      <w:r w:rsidRPr="0092670C">
        <w:rPr>
          <w:rFonts w:ascii="Arial" w:hAnsi="Arial" w:cs="Arial"/>
        </w:rPr>
        <w:t>Li</w:t>
      </w:r>
      <w:r w:rsidR="004A1741" w:rsidRPr="0092670C">
        <w:rPr>
          <w:rFonts w:ascii="Arial" w:hAnsi="Arial" w:cs="Arial"/>
        </w:rPr>
        <w:t>)</w:t>
      </w:r>
      <w:r w:rsidRPr="0092670C">
        <w:rPr>
          <w:rFonts w:ascii="Arial" w:hAnsi="Arial" w:cs="Arial"/>
        </w:rPr>
        <w:t>. These components help to give the SEI flexibility to withstand the</w:t>
      </w:r>
      <w:r w:rsidR="00E04C73" w:rsidRPr="0092670C">
        <w:rPr>
          <w:rFonts w:ascii="Arial" w:hAnsi="Arial" w:cs="Arial"/>
        </w:rPr>
        <w:t xml:space="preserve"> small</w:t>
      </w:r>
      <w:r w:rsidRPr="0092670C">
        <w:rPr>
          <w:rFonts w:ascii="Arial" w:hAnsi="Arial" w:cs="Arial"/>
        </w:rPr>
        <w:t xml:space="preserve"> volume change</w:t>
      </w:r>
      <w:r w:rsidR="00E04C73" w:rsidRPr="0092670C">
        <w:rPr>
          <w:rFonts w:ascii="Arial" w:hAnsi="Arial" w:cs="Arial"/>
        </w:rPr>
        <w:t>s that graphit</w:t>
      </w:r>
      <w:r w:rsidR="00077ECB" w:rsidRPr="0092670C">
        <w:rPr>
          <w:rFonts w:ascii="Arial" w:hAnsi="Arial" w:cs="Arial"/>
        </w:rPr>
        <w:t>e undergoes</w:t>
      </w:r>
      <w:r w:rsidRPr="0092670C">
        <w:rPr>
          <w:rFonts w:ascii="Arial" w:hAnsi="Arial" w:cs="Arial"/>
        </w:rPr>
        <w:t xml:space="preserve"> upon </w:t>
      </w:r>
      <w:r w:rsidR="00076586" w:rsidRPr="0092670C">
        <w:rPr>
          <w:rFonts w:ascii="Arial" w:hAnsi="Arial" w:cs="Arial"/>
        </w:rPr>
        <w:t>intercalation (</w:t>
      </w:r>
      <w:r w:rsidR="00AC1379" w:rsidRPr="0092670C">
        <w:rPr>
          <w:rFonts w:ascii="Arial" w:hAnsi="Arial" w:cs="Arial"/>
        </w:rPr>
        <w:t>≈</w:t>
      </w:r>
      <w:r w:rsidR="00076586" w:rsidRPr="0092670C">
        <w:rPr>
          <w:rFonts w:ascii="Arial" w:hAnsi="Arial" w:cs="Arial"/>
        </w:rPr>
        <w:t>4%)</w:t>
      </w:r>
      <w:r w:rsidR="005260F2" w:rsidRPr="0092670C">
        <w:rPr>
          <w:rFonts w:ascii="Arial" w:hAnsi="Arial" w:cs="Arial"/>
        </w:rPr>
        <w:t xml:space="preserve"> </w:t>
      </w:r>
      <w:r w:rsidRPr="0092670C">
        <w:rPr>
          <w:rFonts w:ascii="Arial"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[34]</w:t>
      </w:r>
      <w:r w:rsidRPr="0092670C">
        <w:rPr>
          <w:rFonts w:ascii="Arial" w:hAnsi="Arial" w:cs="Arial"/>
        </w:rPr>
        <w:fldChar w:fldCharType="end"/>
      </w:r>
      <w:r w:rsidRPr="0092670C">
        <w:rPr>
          <w:rFonts w:ascii="Arial" w:hAnsi="Arial" w:cs="Arial"/>
        </w:rPr>
        <w:t xml:space="preserve">. </w:t>
      </w:r>
      <w:r w:rsidR="00DB7931" w:rsidRPr="0092670C">
        <w:rPr>
          <w:rFonts w:ascii="Arial" w:hAnsi="Arial" w:cs="Arial"/>
        </w:rPr>
        <w:t>This is import</w:t>
      </w:r>
      <w:r w:rsidR="00381F64" w:rsidRPr="0092670C">
        <w:rPr>
          <w:rFonts w:ascii="Arial" w:hAnsi="Arial" w:cs="Arial"/>
        </w:rPr>
        <w:t xml:space="preserve">ant as other anode materials such as </w:t>
      </w:r>
      <w:r w:rsidR="002326BE" w:rsidRPr="0092670C">
        <w:rPr>
          <w:rFonts w:ascii="Arial" w:hAnsi="Arial" w:cs="Arial"/>
        </w:rPr>
        <w:t>Si</w:t>
      </w:r>
      <w:r w:rsidR="00EB22A0" w:rsidRPr="0092670C">
        <w:rPr>
          <w:rFonts w:ascii="Arial" w:hAnsi="Arial" w:cs="Arial"/>
        </w:rPr>
        <w:t xml:space="preserve"> (see section </w:t>
      </w:r>
      <w:r w:rsidR="00267C7B" w:rsidRPr="0092670C">
        <w:rPr>
          <w:rFonts w:ascii="Arial" w:hAnsi="Arial" w:cs="Arial"/>
        </w:rPr>
        <w:fldChar w:fldCharType="begin"/>
      </w:r>
      <w:r w:rsidR="00267C7B" w:rsidRPr="0092670C">
        <w:rPr>
          <w:rFonts w:ascii="Arial" w:hAnsi="Arial" w:cs="Arial"/>
        </w:rPr>
        <w:instrText xml:space="preserve"> REF _Ref27047920 \r \h </w:instrText>
      </w:r>
      <w:r w:rsidR="00267C7B" w:rsidRPr="0092670C">
        <w:rPr>
          <w:rFonts w:ascii="Arial" w:hAnsi="Arial" w:cs="Arial"/>
        </w:rPr>
      </w:r>
      <w:r w:rsidR="00267C7B" w:rsidRPr="0092670C">
        <w:rPr>
          <w:rFonts w:ascii="Arial" w:hAnsi="Arial" w:cs="Arial"/>
        </w:rPr>
        <w:fldChar w:fldCharType="separate"/>
      </w:r>
      <w:r w:rsidR="007342C8">
        <w:rPr>
          <w:rFonts w:ascii="Arial" w:hAnsi="Arial" w:cs="Arial"/>
        </w:rPr>
        <w:t>4.1</w:t>
      </w:r>
      <w:r w:rsidR="00267C7B" w:rsidRPr="0092670C">
        <w:rPr>
          <w:rFonts w:ascii="Arial" w:hAnsi="Arial" w:cs="Arial"/>
        </w:rPr>
        <w:fldChar w:fldCharType="end"/>
      </w:r>
      <w:r w:rsidR="00E96016" w:rsidRPr="0092670C">
        <w:rPr>
          <w:rFonts w:ascii="Arial" w:hAnsi="Arial" w:cs="Arial"/>
        </w:rPr>
        <w:t xml:space="preserve"> for more information about Si anodes) </w:t>
      </w:r>
      <w:r w:rsidR="00173346" w:rsidRPr="0092670C">
        <w:rPr>
          <w:rFonts w:ascii="Arial" w:hAnsi="Arial" w:cs="Arial"/>
        </w:rPr>
        <w:t xml:space="preserve">that have larger volume changes (≈400%) </w:t>
      </w:r>
      <w:r w:rsidR="007675DE" w:rsidRPr="0092670C">
        <w:rPr>
          <w:rFonts w:ascii="Arial" w:hAnsi="Arial" w:cs="Arial"/>
        </w:rPr>
        <w:t>can</w:t>
      </w:r>
      <w:r w:rsidR="00D203B1" w:rsidRPr="0092670C">
        <w:rPr>
          <w:rFonts w:ascii="Arial" w:hAnsi="Arial" w:cs="Arial"/>
        </w:rPr>
        <w:t xml:space="preserve"> destroy the SEI leading </w:t>
      </w:r>
      <w:r w:rsidR="003365D8" w:rsidRPr="0092670C">
        <w:rPr>
          <w:rFonts w:ascii="Arial" w:hAnsi="Arial" w:cs="Arial"/>
        </w:rPr>
        <w:t>to rapid capacity fade</w:t>
      </w:r>
      <w:r w:rsidR="00CF3369" w:rsidRPr="0092670C">
        <w:rPr>
          <w:rFonts w:ascii="Arial" w:hAnsi="Arial" w:cs="Arial"/>
        </w:rPr>
        <w:t xml:space="preserve">, showing that the </w:t>
      </w:r>
      <w:r w:rsidR="00A03E81" w:rsidRPr="0092670C">
        <w:rPr>
          <w:rFonts w:ascii="Arial" w:hAnsi="Arial" w:cs="Arial"/>
        </w:rPr>
        <w:t xml:space="preserve">flexibility </w:t>
      </w:r>
      <w:r w:rsidR="00AB444A" w:rsidRPr="0092670C">
        <w:rPr>
          <w:rFonts w:ascii="Arial" w:hAnsi="Arial" w:cs="Arial"/>
        </w:rPr>
        <w:t xml:space="preserve">is important to the structural integrity of the SEI. </w:t>
      </w:r>
    </w:p>
    <w:p w14:paraId="2A5272F7" w14:textId="132497CC" w:rsidR="003E14AA" w:rsidRPr="0092670C" w:rsidRDefault="003E14AA" w:rsidP="003E14AA">
      <w:pPr>
        <w:spacing w:line="360" w:lineRule="auto"/>
        <w:jc w:val="both"/>
        <w:rPr>
          <w:rFonts w:ascii="Arial" w:hAnsi="Arial" w:cs="Arial"/>
        </w:rPr>
      </w:pPr>
      <w:r w:rsidRPr="0092670C">
        <w:rPr>
          <w:rFonts w:ascii="Arial" w:hAnsi="Arial" w:cs="Arial"/>
        </w:rPr>
        <w:t xml:space="preserve">Shi found that the porosity of the organic layer means that Li can diffuse quickly through </w:t>
      </w:r>
      <w:r w:rsidR="001232F4" w:rsidRPr="0092670C">
        <w:rPr>
          <w:rFonts w:ascii="Arial" w:hAnsi="Arial" w:cs="Arial"/>
        </w:rPr>
        <w:t>it</w:t>
      </w:r>
      <w:r w:rsidR="00DF79E9"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&lt;EndNote&gt;&lt;Cite&gt;&lt;Author&gt;Shi&lt;/Author&gt;&lt;Year&gt;2012&lt;/Year&gt;&lt;RecNum&gt;244&lt;/RecNum&gt;&lt;DisplayText&gt;[68]&lt;/DisplayText&gt;&lt;record&gt;&lt;rec-number&gt;244&lt;/rec-number&gt;&lt;foreign-keys&gt;&lt;key app="EN" db-id="5sa9s0e0r0d9fnexra7pr5xdwd5ztevx95s2" timestamp="1558017383"&gt;244&lt;/key&gt;&lt;/foreign-keys&gt;&lt;ref-type name="Journal Article"&gt;17&lt;/ref-type&gt;&lt;contributors&gt;&lt;authors&gt;&lt;author&gt;Shi, Siqi&lt;/author&gt;&lt;author&gt;Lu, Peng&lt;/author&gt;&lt;author&gt;Liu, Zhongyi&lt;/author&gt;&lt;author&gt;Qi, Yue&lt;/author&gt;&lt;author&gt;Hector, Louis G.&lt;/author&gt;&lt;author&gt;Li, Hong&lt;/author&gt;&lt;author&gt;Harris, Stephen J.&lt;/author&gt;&lt;/authors&gt;&lt;/contributors&gt;&lt;titles&gt;&lt;title&gt;Direct Calculation of Li-Ion Transport in the Solid Electrolyte Interphase&lt;/title&gt;&lt;secondary-title&gt;Journal of the American Chemical Society&lt;/secondary-title&gt;&lt;/titles&gt;&lt;periodical&gt;&lt;full-title&gt;Journal of the American Chemical Society&lt;/full-title&gt;&lt;/periodical&gt;&lt;pages&gt;15476-15487&lt;/pages&gt;&lt;volume&gt;134&lt;/volume&gt;&lt;number&gt;37&lt;/number&gt;&lt;dates&gt;&lt;year&gt;2012&lt;/year&gt;&lt;pub-dates&gt;&lt;date&gt;2012/09/19&lt;/date&gt;&lt;/pub-dates&gt;&lt;/dates&gt;&lt;publisher&gt;American Chemical Society&lt;/publisher&gt;&lt;isbn&gt;0002-7863&lt;/isbn&gt;&lt;urls&gt;&lt;related-urls&gt;&lt;url&gt;https://doi.org/10.1021/ja305366r&lt;/url&gt;&lt;/related-urls&gt;&lt;/urls&gt;&lt;electronic-resource-num&gt;10.1021/ja305366r&lt;/electronic-resource-num&gt;&lt;/record&gt;&lt;/Cite&gt;&lt;/EndNote&gt;</w:instrText>
      </w:r>
      <w:r w:rsidRPr="0092670C">
        <w:rPr>
          <w:rFonts w:ascii="Arial" w:hAnsi="Arial" w:cs="Arial"/>
        </w:rPr>
        <w:fldChar w:fldCharType="separate"/>
      </w:r>
      <w:r w:rsidR="00C10A8D">
        <w:rPr>
          <w:rFonts w:ascii="Arial" w:hAnsi="Arial" w:cs="Arial"/>
          <w:noProof/>
        </w:rPr>
        <w:t>[68]</w:t>
      </w:r>
      <w:r w:rsidRPr="0092670C">
        <w:rPr>
          <w:rFonts w:ascii="Arial" w:hAnsi="Arial" w:cs="Arial"/>
        </w:rPr>
        <w:fldChar w:fldCharType="end"/>
      </w:r>
      <w:r w:rsidRPr="0092670C">
        <w:rPr>
          <w:rFonts w:ascii="Arial" w:hAnsi="Arial" w:cs="Arial"/>
        </w:rPr>
        <w:t>.</w:t>
      </w:r>
      <w:r w:rsidR="003A377C" w:rsidRPr="0092670C">
        <w:rPr>
          <w:rFonts w:ascii="Arial" w:hAnsi="Arial" w:cs="Arial"/>
        </w:rPr>
        <w:t xml:space="preserve"> Th</w:t>
      </w:r>
      <w:r w:rsidR="00223BF4" w:rsidRPr="0092670C">
        <w:rPr>
          <w:rFonts w:ascii="Arial" w:hAnsi="Arial" w:cs="Arial"/>
        </w:rPr>
        <w:t xml:space="preserve">is means that much of the </w:t>
      </w:r>
      <w:r w:rsidR="00A51E15" w:rsidRPr="0092670C">
        <w:rPr>
          <w:rFonts w:ascii="Arial" w:hAnsi="Arial" w:cs="Arial"/>
        </w:rPr>
        <w:t xml:space="preserve">resistance attributed to the SEI is a result of </w:t>
      </w:r>
      <w:r w:rsidR="001232F4" w:rsidRPr="0092670C">
        <w:rPr>
          <w:rFonts w:ascii="Arial" w:hAnsi="Arial" w:cs="Arial"/>
        </w:rPr>
        <w:t xml:space="preserve">the inorganic layer </w:t>
      </w:r>
      <w:r w:rsidR="00CF06AC" w:rsidRPr="0092670C">
        <w:rPr>
          <w:rFonts w:ascii="Arial" w:hAnsi="Arial" w:cs="Arial"/>
        </w:rPr>
        <w:t xml:space="preserve">as we saw earlier with the slow </w:t>
      </w:r>
      <w:r w:rsidR="003A5F9E" w:rsidRPr="0092670C">
        <w:rPr>
          <w:rFonts w:ascii="Arial" w:hAnsi="Arial" w:cs="Arial"/>
        </w:rPr>
        <w:t xml:space="preserve">diffusion through the salt structures. </w:t>
      </w:r>
    </w:p>
    <w:p w14:paraId="3811319E" w14:textId="77777777" w:rsidR="003E14AA" w:rsidRPr="0092670C" w:rsidRDefault="003E14AA" w:rsidP="00F80BDA">
      <w:pPr>
        <w:pStyle w:val="Heading2"/>
        <w:rPr>
          <w:rFonts w:ascii="Arial" w:hAnsi="Arial" w:cs="Arial"/>
        </w:rPr>
      </w:pPr>
      <w:bookmarkStart w:id="43" w:name="_Toc82538722"/>
      <w:r w:rsidRPr="0092670C">
        <w:rPr>
          <w:rFonts w:ascii="Arial" w:hAnsi="Arial" w:cs="Arial"/>
        </w:rPr>
        <w:t>The role of the electrolyte in SEI formation</w:t>
      </w:r>
      <w:bookmarkEnd w:id="43"/>
    </w:p>
    <w:p w14:paraId="06A9439B" w14:textId="5F145BEC" w:rsidR="003E14AA" w:rsidRPr="0092670C" w:rsidRDefault="003E14AA" w:rsidP="003E14AA">
      <w:pPr>
        <w:spacing w:line="360" w:lineRule="auto"/>
        <w:jc w:val="both"/>
        <w:rPr>
          <w:rFonts w:ascii="Arial" w:hAnsi="Arial" w:cs="Arial"/>
        </w:rPr>
      </w:pPr>
      <w:r w:rsidRPr="0092670C">
        <w:rPr>
          <w:rFonts w:ascii="Arial" w:hAnsi="Arial" w:cs="Arial"/>
        </w:rPr>
        <w:t>There are 3 main</w:t>
      </w:r>
      <w:r w:rsidR="006A5E92">
        <w:rPr>
          <w:rFonts w:ascii="Arial" w:hAnsi="Arial" w:cs="Arial"/>
        </w:rPr>
        <w:t xml:space="preserve"> electrolyte</w:t>
      </w:r>
      <w:r w:rsidRPr="0092670C">
        <w:rPr>
          <w:rFonts w:ascii="Arial" w:hAnsi="Arial" w:cs="Arial"/>
        </w:rPr>
        <w:t xml:space="preserve"> components in most Li-ion batteries: a low dielectric constant solvent, a high dielectric constant solvent and a non-coordinating salt. These three components all have different roles to play to optimise cell performance. The high dielectric constant solvent main role is to dissolve the salt. The low dielectric constant solvent helps to lower the total viscosity of the electrolyte, and if ethylene carbonate (EC) is the high electric constant solvent component then it also helps to ensure that the electrolyte is a liquid at room temperature. The salt transports Li between the anode and cathode. </w:t>
      </w:r>
    </w:p>
    <w:p w14:paraId="2A06C698" w14:textId="38BCB876" w:rsidR="00BF42E2" w:rsidRDefault="003E14AA" w:rsidP="003E14AA">
      <w:pPr>
        <w:spacing w:line="360" w:lineRule="auto"/>
        <w:jc w:val="both"/>
        <w:rPr>
          <w:rFonts w:ascii="Arial" w:hAnsi="Arial" w:cs="Arial"/>
        </w:rPr>
      </w:pPr>
      <w:r w:rsidRPr="0092670C">
        <w:rPr>
          <w:rFonts w:ascii="Arial" w:hAnsi="Arial" w:cs="Arial"/>
        </w:rPr>
        <w:t>As the electrolyte is source for the SEI its composition is vital for the structure and performance of the SEI.</w:t>
      </w:r>
      <w:r w:rsidR="00BF42E2">
        <w:rPr>
          <w:rFonts w:ascii="Arial" w:hAnsi="Arial" w:cs="Arial"/>
        </w:rPr>
        <w:t xml:space="preserve"> This is similar to corrosion processes seen </w:t>
      </w:r>
      <w:r w:rsidR="00F8020F">
        <w:rPr>
          <w:rFonts w:ascii="Arial" w:hAnsi="Arial" w:cs="Arial"/>
        </w:rPr>
        <w:t xml:space="preserve">with metals </w:t>
      </w:r>
      <w:r w:rsidR="00784853">
        <w:rPr>
          <w:rFonts w:ascii="Arial" w:hAnsi="Arial" w:cs="Arial"/>
        </w:rPr>
        <w:t>such as steel</w:t>
      </w:r>
      <w:r w:rsidR="005C4B08">
        <w:rPr>
          <w:rFonts w:ascii="Arial" w:hAnsi="Arial" w:cs="Arial"/>
        </w:rPr>
        <w:t xml:space="preserve"> </w:t>
      </w:r>
      <w:r w:rsidR="00784853">
        <w:rPr>
          <w:rFonts w:ascii="Arial" w:hAnsi="Arial" w:cs="Arial"/>
        </w:rPr>
        <w:fldChar w:fldCharType="begin"/>
      </w:r>
      <w:r w:rsidR="00C10A8D">
        <w:rPr>
          <w:rFonts w:ascii="Arial" w:hAnsi="Arial" w:cs="Arial"/>
        </w:rPr>
        <w:instrText xml:space="preserve"> ADDIN EN.CITE &lt;EndNote&gt;&lt;Cite&gt;&lt;Author&gt;Dwivedi&lt;/Author&gt;&lt;Year&gt;2017&lt;/Year&gt;&lt;RecNum&gt;368&lt;/RecNum&gt;&lt;DisplayText&gt;[70]&lt;/DisplayText&gt;&lt;record&gt;&lt;rec-number&gt;368&lt;/rec-number&gt;&lt;foreign-keys&gt;&lt;key app="EN" db-id="5sa9s0e0r0d9fnexra7pr5xdwd5ztevx95s2" timestamp="1630773942"&gt;368&lt;/key&gt;&lt;/foreign-keys&gt;&lt;ref-type name="Journal Article"&gt;17&lt;/ref-type&gt;&lt;contributors&gt;&lt;authors&gt;&lt;author&gt;Dwivedi, Deepak&lt;/author&gt;&lt;author&gt;Lepková, Kateřina&lt;/author&gt;&lt;author&gt;Becker, Thomas&lt;/author&gt;&lt;/authors&gt;&lt;/contributors&gt;&lt;titles&gt;&lt;title&gt;Carbon steel corrosion: a review of key surface properties and characterization methods&lt;/title&gt;&lt;secondary-title&gt;RSC Advances&lt;/secondary-title&gt;&lt;/titles&gt;&lt;periodical&gt;&lt;full-title&gt;RSC Advances&lt;/full-title&gt;&lt;/periodical&gt;&lt;pages&gt;4580-4610&lt;/pages&gt;&lt;volume&gt;7&lt;/volume&gt;&lt;number&gt;8&lt;/number&gt;&lt;dates&gt;&lt;year&gt;2017&lt;/year&gt;&lt;/dates&gt;&lt;publisher&gt;The Royal Society of Chemistry&lt;/publisher&gt;&lt;work-type&gt;10.1039/C6RA25094G&lt;/work-type&gt;&lt;urls&gt;&lt;related-urls&gt;&lt;url&gt;http://dx.doi.org/10.1039/C6RA25094G&lt;/url&gt;&lt;/related-urls&gt;&lt;/urls&gt;&lt;electronic-resource-num&gt;10.1039/C6RA25094G&lt;/electronic-resource-num&gt;&lt;/record&gt;&lt;/Cite&gt;&lt;/EndNote&gt;</w:instrText>
      </w:r>
      <w:r w:rsidR="00784853">
        <w:rPr>
          <w:rFonts w:ascii="Arial" w:hAnsi="Arial" w:cs="Arial"/>
        </w:rPr>
        <w:fldChar w:fldCharType="separate"/>
      </w:r>
      <w:r w:rsidR="00C10A8D">
        <w:rPr>
          <w:rFonts w:ascii="Arial" w:hAnsi="Arial" w:cs="Arial"/>
          <w:noProof/>
        </w:rPr>
        <w:t>[70]</w:t>
      </w:r>
      <w:r w:rsidR="00784853">
        <w:rPr>
          <w:rFonts w:ascii="Arial" w:hAnsi="Arial" w:cs="Arial"/>
        </w:rPr>
        <w:fldChar w:fldCharType="end"/>
      </w:r>
      <w:r w:rsidR="00784853">
        <w:rPr>
          <w:rFonts w:ascii="Arial" w:hAnsi="Arial" w:cs="Arial"/>
        </w:rPr>
        <w:t>. The resultant corrosion products are</w:t>
      </w:r>
      <w:r w:rsidR="005C4B08">
        <w:rPr>
          <w:rFonts w:ascii="Arial" w:hAnsi="Arial" w:cs="Arial"/>
        </w:rPr>
        <w:t xml:space="preserve"> heavily influenced by the material itself and the </w:t>
      </w:r>
      <w:r w:rsidR="00305BB2">
        <w:rPr>
          <w:rFonts w:ascii="Arial" w:hAnsi="Arial" w:cs="Arial"/>
        </w:rPr>
        <w:t>media surrounding the material such as CO</w:t>
      </w:r>
      <w:r w:rsidR="00305BB2" w:rsidRPr="00305BB2">
        <w:rPr>
          <w:rFonts w:ascii="Arial" w:hAnsi="Arial" w:cs="Arial"/>
          <w:vertAlign w:val="subscript"/>
        </w:rPr>
        <w:t>2</w:t>
      </w:r>
      <w:r w:rsidR="00305BB2">
        <w:rPr>
          <w:rFonts w:ascii="Arial" w:hAnsi="Arial" w:cs="Arial"/>
        </w:rPr>
        <w:t>. This is analogous to the SEI with both the anode itself and the electrolyte surrounding it affect SEI formation and performance.</w:t>
      </w:r>
    </w:p>
    <w:p w14:paraId="2693568B" w14:textId="4451E0D7" w:rsidR="003E14AA" w:rsidRPr="0092670C" w:rsidRDefault="003E14AA" w:rsidP="003E14AA">
      <w:pPr>
        <w:spacing w:line="360" w:lineRule="auto"/>
        <w:jc w:val="both"/>
        <w:rPr>
          <w:rFonts w:ascii="Arial" w:hAnsi="Arial" w:cs="Arial"/>
        </w:rPr>
      </w:pPr>
      <w:r w:rsidRPr="0092670C">
        <w:rPr>
          <w:rFonts w:ascii="Arial" w:hAnsi="Arial" w:cs="Arial"/>
        </w:rPr>
        <w:t xml:space="preserve"> Many of the first electrolytes were based on propylene carbonate (PC) as it is a liquid at room temperature and has a high dielectric constant which helps to dissolve the Li salts</w:t>
      </w:r>
      <w:r w:rsidR="00720718">
        <w:rPr>
          <w:rFonts w:ascii="Arial" w:hAnsi="Arial" w:cs="Arial"/>
        </w:rPr>
        <w:t xml:space="preserve"> used with a hard carbon anode</w:t>
      </w:r>
      <w:r w:rsidR="00EC521A">
        <w:rPr>
          <w:rFonts w:ascii="Arial" w:hAnsi="Arial" w:cs="Arial"/>
        </w:rPr>
        <w:fldChar w:fldCharType="begin"/>
      </w:r>
      <w:r w:rsidR="00C10A8D">
        <w:rPr>
          <w:rFonts w:ascii="Arial" w:hAnsi="Arial" w:cs="Arial"/>
        </w:rPr>
        <w:instrText xml:space="preserve"> ADDIN EN.CITE &lt;EndNote&gt;&lt;Cite&gt;&lt;Author&gt;Matsumura&lt;/Author&gt;&lt;Year&gt;1995&lt;/Year&gt;&lt;RecNum&gt;375&lt;/RecNum&gt;&lt;DisplayText&gt;[71]&lt;/DisplayText&gt;&lt;record&gt;&lt;rec-number&gt;375&lt;/rec-number&gt;&lt;foreign-keys&gt;&lt;key app="EN" db-id="5sa9s0e0r0d9fnexra7pr5xdwd5ztevx95s2" timestamp="1631797942"&gt;375&lt;/key&gt;&lt;/foreign-keys&gt;&lt;ref-type name="Journal Article"&gt;17&lt;/ref-type&gt;&lt;contributors&gt;&lt;authors&gt;&lt;author&gt;Matsumura, Y.&lt;/author&gt;&lt;author&gt;Wang, S.&lt;/author&gt;&lt;author&gt;Mondori, J.&lt;/author&gt;&lt;/authors&gt;&lt;/contributors&gt;&lt;titles&gt;&lt;title&gt;Interactions between disordered carbon and lithium in lithium ion rechargeable batteries&lt;/title&gt;&lt;secondary-title&gt;Carbon&lt;/secondary-title&gt;&lt;/titles&gt;&lt;periodical&gt;&lt;full-title&gt;Carbon&lt;/full-title&gt;&lt;/periodical&gt;&lt;pages&gt;1457-1462&lt;/pages&gt;&lt;volume&gt;33&lt;/volume&gt;&lt;number&gt;10&lt;/number&gt;&lt;keywords&gt;&lt;keyword&gt;Lithium ion rechargeable batteries&lt;/keyword&gt;&lt;keyword&gt;carbon film&lt;/keyword&gt;&lt;keyword&gt;disordered carbon&lt;/keyword&gt;&lt;keyword&gt;doping&lt;/keyword&gt;&lt;keyword&gt;intercalation&lt;/keyword&gt;&lt;/keywords&gt;&lt;dates&gt;&lt;year&gt;1995&lt;/year&gt;&lt;pub-dates&gt;&lt;date&gt;1995/01/01/&lt;/date&gt;&lt;/pub-dates&gt;&lt;/dates&gt;&lt;isbn&gt;0008-6223&lt;/isbn&gt;&lt;urls&gt;&lt;related-urls&gt;&lt;url&gt;https://www.sciencedirect.com/science/article/pii/000862239500098X&lt;/url&gt;&lt;/related-urls&gt;&lt;/urls&gt;&lt;electronic-resource-num&gt;https://doi.org/10.1016/0008-6223(95)00098-X&lt;/electronic-resource-num&gt;&lt;/record&gt;&lt;/Cite&gt;&lt;/EndNote&gt;</w:instrText>
      </w:r>
      <w:r w:rsidR="00EC521A">
        <w:rPr>
          <w:rFonts w:ascii="Arial" w:hAnsi="Arial" w:cs="Arial"/>
        </w:rPr>
        <w:fldChar w:fldCharType="separate"/>
      </w:r>
      <w:r w:rsidR="00C10A8D">
        <w:rPr>
          <w:rFonts w:ascii="Arial" w:hAnsi="Arial" w:cs="Arial"/>
          <w:noProof/>
        </w:rPr>
        <w:t>[71]</w:t>
      </w:r>
      <w:r w:rsidR="00EC521A">
        <w:rPr>
          <w:rFonts w:ascii="Arial" w:hAnsi="Arial" w:cs="Arial"/>
        </w:rPr>
        <w:fldChar w:fldCharType="end"/>
      </w:r>
      <w:r w:rsidRPr="0092670C">
        <w:rPr>
          <w:rFonts w:ascii="Arial" w:hAnsi="Arial" w:cs="Arial"/>
        </w:rPr>
        <w:t>. Propylene carbonate suffers from poor cyclability. One of the reasons for this poor cyclability is due to co-intercalation into the graphite</w:t>
      </w:r>
      <w:r w:rsidR="005260F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&lt;EndNote&gt;&lt;Cite&gt;&lt;Author&gt;Aurbach&lt;/Author&gt;&lt;Year&gt;1995&lt;/Year&gt;&lt;RecNum&gt;235&lt;/RecNum&gt;&lt;DisplayText&gt;[56, 57]&lt;/DisplayText&gt;&lt;record&gt;&lt;rec-number&gt;235&lt;/rec-number&gt;&lt;foreign-keys&gt;&lt;key app="EN" db-id="5sa9s0e0r0d9fnexra7pr5xdwd5ztevx95s2" timestamp="1556802901"&gt;235&lt;/key&gt;&lt;/foreign-keys&gt;&lt;ref-type name="Journal Article"&gt;17&lt;/ref-type&gt;&lt;contributors&gt;&lt;authors&gt;&lt;author&gt;Aurbach, Doron&lt;/author&gt;&lt;author&gt;Ein</w:instrText>
      </w:r>
      <w:r w:rsidR="00C10A8D">
        <w:rPr>
          <w:rFonts w:ascii="Cambria Math" w:hAnsi="Cambria Math" w:cs="Cambria Math"/>
        </w:rPr>
        <w:instrText>‐</w:instrText>
      </w:r>
      <w:r w:rsidR="00C10A8D">
        <w:rPr>
          <w:rFonts w:ascii="Arial" w:hAnsi="Arial" w:cs="Arial"/>
        </w:rPr>
        <w:instrText>Eli, Yair&lt;/author&gt;&lt;author&gt;Markovsky, Boris&lt;/author&gt;&lt;author&gt;Zaban, Arie&lt;/author&gt;&lt;author&gt;Luski, S&lt;/author&gt;&lt;author&gt;Carmeli, Y&lt;/author&gt;&lt;author&gt;Yamin, H&lt;/author&gt;&lt;/authors&gt;&lt;/contributors&gt;&lt;titles&gt;&lt;title&gt;The study of electrolyte solutions based on ethylene and diethyl carbonates for rechargeable Li batteries II. Graphite electrodes&lt;/title&gt;&lt;secondary-title&gt;Journal of The Electrochemical Society&lt;/secondary-title&gt;&lt;/titles&gt;&lt;periodical&gt;&lt;full-title&gt;Journal of the Electrochemical Society&lt;/full-title&gt;&lt;abbr-1&gt;J. Electrochem. Soc.&lt;/abbr-1&gt;&lt;/periodical&gt;&lt;pages&gt;2882-2890&lt;/pages&gt;&lt;volume&gt;142&lt;/volume&gt;&lt;number&gt;9&lt;/number&gt;&lt;dates&gt;&lt;year&gt;1995&lt;/year&gt;&lt;/dates&gt;&lt;isbn&gt;0013-4651&lt;/isbn&gt;&lt;urls&gt;&lt;/urls&gt;&lt;/record&gt;&lt;/Cite&gt;&lt;Cite&gt;&lt;Author&gt;Aurbach&lt;/Author&gt;&lt;Year&gt;2003&lt;/Year&gt;&lt;RecNum&gt;236&lt;/RecNum&gt;&lt;record&gt;&lt;rec-number&gt;236&lt;/rec-number&gt;&lt;foreign-keys&gt;&lt;key app="EN" db-id="5sa9s0e0r0d9fnexra7pr5xdwd5ztevx95s2" timestamp="1556802983"&gt;236&lt;/key&gt;&lt;/foreign-keys&gt;&lt;ref-type name="Journal Article"&gt;17&lt;/ref-type&gt;&lt;contributors&gt;&lt;authors&gt;&lt;author&gt;Aurbach, D&lt;/author&gt;&lt;/authors&gt;&lt;/contributors&gt;&lt;titles&gt;&lt;title&gt;Electrode–solution interactions in Li-ion batteries: a short summary and new insights&lt;/title&gt;&lt;secondary-title&gt;Journal of power sources&lt;/secondary-title&gt;&lt;/titles&gt;&lt;periodical&gt;&lt;full-title&gt;Journal of Power Sources&lt;/full-title&gt;&lt;/periodical&gt;&lt;pages&gt;497-503&lt;/pages&gt;&lt;volume&gt;119&lt;/volume&gt;&lt;dates&gt;&lt;year&gt;2003&lt;/year&gt;&lt;/dates&gt;&lt;isbn&gt;0378-7753&lt;/isbn&gt;&lt;urls&gt;&lt;/urls&gt;&lt;/record&gt;&lt;/Cite&gt;&lt;/EndNote&gt;</w:instrText>
      </w:r>
      <w:r w:rsidRPr="0092670C">
        <w:rPr>
          <w:rFonts w:ascii="Arial" w:hAnsi="Arial" w:cs="Arial"/>
        </w:rPr>
        <w:fldChar w:fldCharType="separate"/>
      </w:r>
      <w:r w:rsidR="00C10A8D">
        <w:rPr>
          <w:rFonts w:ascii="Arial" w:hAnsi="Arial" w:cs="Arial"/>
          <w:noProof/>
        </w:rPr>
        <w:t>[56, 57]</w:t>
      </w:r>
      <w:r w:rsidRPr="0092670C">
        <w:rPr>
          <w:rFonts w:ascii="Arial" w:hAnsi="Arial" w:cs="Arial"/>
        </w:rPr>
        <w:fldChar w:fldCharType="end"/>
      </w:r>
      <w:r w:rsidRPr="0092670C">
        <w:rPr>
          <w:rFonts w:ascii="Arial" w:hAnsi="Arial" w:cs="Arial"/>
        </w:rPr>
        <w:t xml:space="preserve">. </w:t>
      </w:r>
      <w:r w:rsidR="00B86793">
        <w:rPr>
          <w:rFonts w:ascii="Arial" w:hAnsi="Arial" w:cs="Arial"/>
        </w:rPr>
        <w:t>Co-intercalation is</w:t>
      </w:r>
      <w:r w:rsidR="0000321D">
        <w:rPr>
          <w:rFonts w:ascii="Arial" w:hAnsi="Arial" w:cs="Arial"/>
        </w:rPr>
        <w:t xml:space="preserve"> where the solvent </w:t>
      </w:r>
      <w:r w:rsidR="00907CD3">
        <w:rPr>
          <w:rFonts w:ascii="Arial" w:hAnsi="Arial" w:cs="Arial"/>
        </w:rPr>
        <w:t>intercalates along</w:t>
      </w:r>
      <w:r w:rsidR="0000321D">
        <w:rPr>
          <w:rFonts w:ascii="Arial" w:hAnsi="Arial" w:cs="Arial"/>
        </w:rPr>
        <w:t xml:space="preserve"> with the Li</w:t>
      </w:r>
      <w:r w:rsidR="003D249C">
        <w:rPr>
          <w:rFonts w:ascii="Arial" w:hAnsi="Arial" w:cs="Arial"/>
        </w:rPr>
        <w:t xml:space="preserve"> as opposed to intercalation where only the Li moves between the graphite sheets.</w:t>
      </w:r>
      <w:r w:rsidR="00716CE2">
        <w:rPr>
          <w:rFonts w:ascii="Arial" w:hAnsi="Arial" w:cs="Arial"/>
        </w:rPr>
        <w:t xml:space="preserve"> The presence </w:t>
      </w:r>
      <w:r w:rsidR="00A0141B">
        <w:rPr>
          <w:rFonts w:ascii="Arial" w:hAnsi="Arial" w:cs="Arial"/>
        </w:rPr>
        <w:t xml:space="preserve">of the solvent </w:t>
      </w:r>
      <w:r w:rsidR="00A0640C">
        <w:rPr>
          <w:rFonts w:ascii="Arial" w:hAnsi="Arial" w:cs="Arial"/>
        </w:rPr>
        <w:t xml:space="preserve">between the graphite sheets </w:t>
      </w:r>
      <w:r w:rsidR="00023736">
        <w:rPr>
          <w:rFonts w:ascii="Arial" w:hAnsi="Arial" w:cs="Arial"/>
        </w:rPr>
        <w:t>leads to the graphite sheets moving further apart until they exfoliate from each other</w:t>
      </w:r>
      <w:r w:rsidR="005A734A">
        <w:rPr>
          <w:rFonts w:ascii="Arial" w:hAnsi="Arial" w:cs="Arial"/>
        </w:rPr>
        <w:t>, lowering capacity.</w:t>
      </w:r>
      <w:r w:rsidRPr="0092670C">
        <w:rPr>
          <w:rFonts w:ascii="Arial" w:hAnsi="Arial" w:cs="Arial"/>
        </w:rPr>
        <w:t xml:space="preserve"> </w:t>
      </w:r>
      <w:r w:rsidR="00716CE2">
        <w:rPr>
          <w:rFonts w:ascii="Arial" w:hAnsi="Arial" w:cs="Arial"/>
        </w:rPr>
        <w:t>C</w:t>
      </w:r>
      <w:r w:rsidRPr="0092670C">
        <w:rPr>
          <w:rFonts w:ascii="Arial" w:hAnsi="Arial" w:cs="Arial"/>
        </w:rPr>
        <w:t xml:space="preserve">o-intercalation occurs due to PC’s poor SEI formation meaning there isn’t any physical barrier to stop the intercalation process. </w:t>
      </w:r>
    </w:p>
    <w:p w14:paraId="7D6BE60A" w14:textId="77777777" w:rsidR="003E14AA" w:rsidRPr="0092670C" w:rsidRDefault="003E14AA" w:rsidP="003E14AA">
      <w:pPr>
        <w:spacing w:line="360" w:lineRule="auto"/>
        <w:jc w:val="both"/>
        <w:rPr>
          <w:rFonts w:ascii="Arial" w:hAnsi="Arial" w:cs="Arial"/>
        </w:rPr>
      </w:pPr>
      <w:r w:rsidRPr="0092670C">
        <w:rPr>
          <w:rFonts w:ascii="Arial" w:hAnsi="Arial" w:cs="Arial"/>
        </w:rPr>
        <w:t xml:space="preserve">Ethylene carbonate doesn’t suffer from the same issues with solvent co-intercalation due the more robust SEI that it forms. EC is a solid at room temperature though and this makes it harder to utilise in the battery manufacturing process. </w:t>
      </w:r>
    </w:p>
    <w:p w14:paraId="2F64FBC7" w14:textId="45640800" w:rsidR="003E14AA" w:rsidRPr="0092670C" w:rsidRDefault="003E14AA" w:rsidP="003E14AA">
      <w:pPr>
        <w:spacing w:line="360" w:lineRule="auto"/>
        <w:jc w:val="both"/>
        <w:rPr>
          <w:rFonts w:ascii="Arial" w:hAnsi="Arial" w:cs="Arial"/>
        </w:rPr>
      </w:pPr>
      <w:r w:rsidRPr="0092670C">
        <w:rPr>
          <w:rFonts w:ascii="Arial" w:hAnsi="Arial" w:cs="Arial"/>
        </w:rPr>
        <w:t xml:space="preserve">Several salts have been used for battery electrolytes. In all cases </w:t>
      </w:r>
      <w:r w:rsidR="008E645D">
        <w:rPr>
          <w:rFonts w:ascii="Arial" w:hAnsi="Arial" w:cs="Arial"/>
        </w:rPr>
        <w:t>weakly-co</w:t>
      </w:r>
      <w:r w:rsidRPr="0092670C">
        <w:rPr>
          <w:rFonts w:ascii="Arial" w:hAnsi="Arial" w:cs="Arial"/>
        </w:rPr>
        <w:t>ordinating salts have been used. This is due to their resistance to decomposition on the cathode as well as their high solubility in organic solvents</w:t>
      </w:r>
      <w:r w:rsidR="005260F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&lt;EndNote&gt;&lt;Cite&gt;&lt;Author&gt;Goodenough&lt;/Author&gt;&lt;Year&gt;2010&lt;/Year&gt;&lt;RecNum&gt;67&lt;/RecNum&gt;&lt;DisplayText&gt;[72]&lt;/DisplayText&gt;&lt;record&gt;&lt;rec-number&gt;67&lt;/rec-number&gt;&lt;foreign-keys&gt;&lt;key app="EN" db-id="5sa9s0e0r0d9fnexra7pr5xdwd5ztevx95s2" timestamp="1515585925"&gt;67&lt;/key&gt;&lt;/foreign-keys&gt;&lt;ref-type name="Journal Article"&gt;17&lt;/ref-type&gt;&lt;contributors&gt;&lt;authors&gt;&lt;author&gt;Goodenough, John B.&lt;/author&gt;&lt;author&gt;Kim, Youngsik&lt;/author&gt;&lt;/authors&gt;&lt;/contributors&gt;&lt;titles&gt;&lt;title&gt;Challenges for Rechargeable Li Batteries&lt;/title&gt;&lt;secondary-title&gt;Chemistry of Materials&lt;/secondary-title&gt;&lt;/titles&gt;&lt;periodical&gt;&lt;full-title&gt;Chemistry of Materials&lt;/full-title&gt;&lt;/periodical&gt;&lt;pages&gt;587-603&lt;/pages&gt;&lt;volume&gt;22&lt;/volume&gt;&lt;number&gt;3&lt;/number&gt;&lt;dates&gt;&lt;year&gt;2010&lt;/year&gt;&lt;pub-dates&gt;&lt;date&gt;2010/02/09&lt;/date&gt;&lt;/pub-dates&gt;&lt;/dates&gt;&lt;publisher&gt;American Chemical Society&lt;/publisher&gt;&lt;isbn&gt;0897-4756&lt;/isbn&gt;&lt;urls&gt;&lt;related-urls&gt;&lt;url&gt;http://dx.doi.org/10.1021/cm901452z&lt;/url&gt;&lt;/related-urls&gt;&lt;/urls&gt;&lt;electronic-resource-num&gt;10.1021/cm901452z&lt;/electronic-resource-num&gt;&lt;/record&gt;&lt;/Cite&gt;&lt;/EndNote&gt;</w:instrText>
      </w:r>
      <w:r w:rsidRPr="0092670C">
        <w:rPr>
          <w:rFonts w:ascii="Arial" w:hAnsi="Arial" w:cs="Arial"/>
        </w:rPr>
        <w:fldChar w:fldCharType="separate"/>
      </w:r>
      <w:r w:rsidR="00C10A8D">
        <w:rPr>
          <w:rFonts w:ascii="Arial" w:hAnsi="Arial" w:cs="Arial"/>
          <w:noProof/>
        </w:rPr>
        <w:t>[72]</w:t>
      </w:r>
      <w:r w:rsidRPr="0092670C">
        <w:rPr>
          <w:rFonts w:ascii="Arial" w:hAnsi="Arial" w:cs="Arial"/>
        </w:rPr>
        <w:fldChar w:fldCharType="end"/>
      </w:r>
      <w:r w:rsidRPr="0092670C">
        <w:rPr>
          <w:rFonts w:ascii="Arial" w:hAnsi="Arial" w:cs="Arial"/>
        </w:rPr>
        <w:t>. Aurbach found that in EC: DEC mixtures LiAsF</w:t>
      </w:r>
      <w:r w:rsidRPr="0092670C">
        <w:rPr>
          <w:rFonts w:ascii="Arial" w:hAnsi="Arial" w:cs="Arial"/>
          <w:vertAlign w:val="subscript"/>
        </w:rPr>
        <w:t>6</w:t>
      </w:r>
      <w:r w:rsidRPr="0092670C">
        <w:rPr>
          <w:rFonts w:ascii="Arial" w:hAnsi="Arial" w:cs="Arial"/>
        </w:rPr>
        <w:t xml:space="preserve"> was the best performing salt with the greatest capacity retention. This was attributed to the inertness of AsF</w:t>
      </w:r>
      <w:r w:rsidRPr="0092670C">
        <w:rPr>
          <w:rFonts w:ascii="Arial" w:hAnsi="Arial" w:cs="Arial"/>
          <w:vertAlign w:val="subscript"/>
        </w:rPr>
        <w:t>6</w:t>
      </w:r>
      <w:r w:rsidRPr="0092670C">
        <w:rPr>
          <w:rFonts w:ascii="Arial" w:hAnsi="Arial" w:cs="Arial"/>
          <w:vertAlign w:val="superscript"/>
        </w:rPr>
        <w:t>-</w:t>
      </w:r>
      <w:r w:rsidRPr="0092670C">
        <w:rPr>
          <w:rFonts w:ascii="Arial" w:hAnsi="Arial" w:cs="Arial"/>
        </w:rPr>
        <w:t xml:space="preserve"> when compared with</w:t>
      </w:r>
      <w:r w:rsidR="00336700" w:rsidRPr="0092670C">
        <w:rPr>
          <w:rFonts w:ascii="Arial" w:hAnsi="Arial" w:cs="Arial"/>
        </w:rPr>
        <w:t xml:space="preserve"> </w:t>
      </w:r>
      <w:r w:rsidRPr="0092670C">
        <w:rPr>
          <w:rFonts w:ascii="Arial" w:hAnsi="Arial" w:cs="Arial"/>
        </w:rPr>
        <w:t>PF</w:t>
      </w:r>
      <w:r w:rsidRPr="0092670C">
        <w:rPr>
          <w:rFonts w:ascii="Arial" w:hAnsi="Arial" w:cs="Arial"/>
          <w:vertAlign w:val="subscript"/>
        </w:rPr>
        <w:t>6</w:t>
      </w:r>
      <w:r w:rsidR="00336700" w:rsidRPr="0092670C">
        <w:rPr>
          <w:rFonts w:ascii="Arial" w:hAnsi="Arial" w:cs="Arial"/>
          <w:vertAlign w:val="superscript"/>
        </w:rPr>
        <w:t>-</w:t>
      </w:r>
      <w:r w:rsidR="00336700" w:rsidRPr="0092670C">
        <w:rPr>
          <w:rFonts w:ascii="Arial" w:hAnsi="Arial" w:cs="Arial"/>
        </w:rPr>
        <w:t>.</w:t>
      </w:r>
      <w:r w:rsidRPr="0092670C">
        <w:rPr>
          <w:rFonts w:ascii="Arial" w:hAnsi="Arial" w:cs="Arial"/>
        </w:rPr>
        <w:t xml:space="preserve"> They claimed that this led to lower HF production, which couldn’t in turn degrade the electrolyte. They admit however that some of this may have due to the presence of PF</w:t>
      </w:r>
      <w:r w:rsidRPr="0092670C">
        <w:rPr>
          <w:rFonts w:ascii="Arial" w:hAnsi="Arial" w:cs="Arial"/>
          <w:vertAlign w:val="subscript"/>
        </w:rPr>
        <w:t xml:space="preserve">5 </w:t>
      </w:r>
      <w:r w:rsidRPr="0092670C">
        <w:rPr>
          <w:rFonts w:ascii="Arial" w:hAnsi="Arial" w:cs="Arial"/>
        </w:rPr>
        <w:t xml:space="preserve">as an impurity which is far more reactive. This shows how sensitive the cell performance can be to the electrolyte composition and why choosing the correct one is vital for having a stable SEI that ensure the cell retains its capacity.  </w:t>
      </w:r>
    </w:p>
    <w:p w14:paraId="501BDBBB" w14:textId="77777777" w:rsidR="003E14AA" w:rsidRPr="0092670C" w:rsidRDefault="003E14AA" w:rsidP="00F80BDA">
      <w:pPr>
        <w:pStyle w:val="Heading2"/>
        <w:rPr>
          <w:rFonts w:ascii="Arial" w:hAnsi="Arial" w:cs="Arial"/>
        </w:rPr>
      </w:pPr>
      <w:bookmarkStart w:id="44" w:name="_Ref26907585"/>
      <w:bookmarkStart w:id="45" w:name="_Ref26907589"/>
      <w:bookmarkStart w:id="46" w:name="_Toc82538723"/>
      <w:r w:rsidRPr="0092670C">
        <w:rPr>
          <w:rFonts w:ascii="Arial" w:hAnsi="Arial" w:cs="Arial"/>
        </w:rPr>
        <w:t>Electrolyte additives and their influence on the SEI</w:t>
      </w:r>
      <w:bookmarkEnd w:id="44"/>
      <w:bookmarkEnd w:id="45"/>
      <w:bookmarkEnd w:id="46"/>
      <w:r w:rsidRPr="0092670C">
        <w:rPr>
          <w:rFonts w:ascii="Arial" w:hAnsi="Arial" w:cs="Arial"/>
        </w:rPr>
        <w:t xml:space="preserve"> </w:t>
      </w:r>
    </w:p>
    <w:p w14:paraId="57C977FD" w14:textId="37ED9A95" w:rsidR="003E14AA" w:rsidRPr="0092670C" w:rsidRDefault="003E14AA" w:rsidP="003E14AA">
      <w:pPr>
        <w:spacing w:line="360" w:lineRule="auto"/>
        <w:jc w:val="both"/>
        <w:rPr>
          <w:rFonts w:ascii="Arial" w:hAnsi="Arial" w:cs="Arial"/>
        </w:rPr>
      </w:pPr>
      <w:r w:rsidRPr="0092670C">
        <w:rPr>
          <w:rFonts w:ascii="Arial" w:hAnsi="Arial" w:cs="Arial"/>
        </w:rPr>
        <w:t xml:space="preserve">Even with an ethylene carbonate </w:t>
      </w:r>
      <w:r w:rsidR="0070582B" w:rsidRPr="0092670C">
        <w:rPr>
          <w:rFonts w:ascii="Arial" w:hAnsi="Arial" w:cs="Arial"/>
        </w:rPr>
        <w:t>containing</w:t>
      </w:r>
      <w:r w:rsidRPr="0092670C">
        <w:rPr>
          <w:rFonts w:ascii="Arial" w:hAnsi="Arial" w:cs="Arial"/>
        </w:rPr>
        <w:t xml:space="preserve"> electrolyte the initial coulombic efficiency and capacity retention of the cell are low</w:t>
      </w:r>
      <w:r w:rsidR="00CD5E3C">
        <w:rPr>
          <w:rFonts w:ascii="Arial" w:hAnsi="Arial" w:cs="Arial"/>
        </w:rPr>
        <w:t xml:space="preserve">. </w:t>
      </w:r>
      <w:r w:rsidRPr="0092670C">
        <w:rPr>
          <w:rFonts w:ascii="Arial" w:hAnsi="Arial" w:cs="Arial"/>
        </w:rPr>
        <w:t xml:space="preserve">The low initial coulombic efficiency is due to SEI formation and currently the main way to combat this is through the use of electrolyte additives. These additives have a higher breakdown voltage than the electrolyte. This means that the additive will preferentially decompose instead of the electrolyte, allowing </w:t>
      </w:r>
      <w:r w:rsidR="00C12399">
        <w:rPr>
          <w:rFonts w:ascii="Arial" w:hAnsi="Arial" w:cs="Arial"/>
        </w:rPr>
        <w:t xml:space="preserve">the electrolyte to </w:t>
      </w:r>
      <w:r w:rsidR="007D4D4D">
        <w:rPr>
          <w:rFonts w:ascii="Arial" w:hAnsi="Arial" w:cs="Arial"/>
        </w:rPr>
        <w:t>transport the Li unimpeded</w:t>
      </w:r>
      <w:r w:rsidRPr="0092670C">
        <w:rPr>
          <w:rFonts w:ascii="Arial" w:hAnsi="Arial" w:cs="Arial"/>
        </w:rPr>
        <w:t>. This is analogous to galvanisation of steel with the additive reacting with Li to keep the underlying electrolyte protected</w:t>
      </w:r>
      <w:r w:rsidR="004C640D" w:rsidRPr="0092670C">
        <w:rPr>
          <w:rFonts w:ascii="Arial" w:hAnsi="Arial" w:cs="Arial"/>
        </w:rPr>
        <w:t xml:space="preserve"> instead of zinc reacting with air to keep the </w:t>
      </w:r>
      <w:r w:rsidR="00B326D5" w:rsidRPr="0092670C">
        <w:rPr>
          <w:rFonts w:ascii="Arial" w:hAnsi="Arial" w:cs="Arial"/>
        </w:rPr>
        <w:t>steel protected</w:t>
      </w:r>
      <w:r w:rsidRPr="0092670C">
        <w:rPr>
          <w:rFonts w:ascii="Arial" w:hAnsi="Arial" w:cs="Arial"/>
        </w:rPr>
        <w:t>.</w:t>
      </w:r>
      <w:r w:rsidR="007D4D4D">
        <w:rPr>
          <w:rFonts w:ascii="Arial" w:hAnsi="Arial" w:cs="Arial"/>
        </w:rPr>
        <w:t xml:space="preserve"> </w:t>
      </w:r>
      <w:r w:rsidR="001F7F5C">
        <w:rPr>
          <w:rFonts w:ascii="Arial" w:hAnsi="Arial" w:cs="Arial"/>
        </w:rPr>
        <w:t>There are other electrolyte additives that</w:t>
      </w:r>
      <w:r w:rsidR="00BD72E4">
        <w:rPr>
          <w:rFonts w:ascii="Arial" w:hAnsi="Arial" w:cs="Arial"/>
        </w:rPr>
        <w:t xml:space="preserve"> have other functions such as flame retardants but these aren’t covered here</w:t>
      </w:r>
      <w:r w:rsidR="009058C3">
        <w:rPr>
          <w:rFonts w:ascii="Arial" w:hAnsi="Arial" w:cs="Arial"/>
        </w:rPr>
        <w:t xml:space="preserve"> </w:t>
      </w:r>
      <w:r w:rsidR="009058C3">
        <w:rPr>
          <w:rFonts w:ascii="Arial" w:hAnsi="Arial" w:cs="Arial"/>
        </w:rPr>
        <w:fldChar w:fldCharType="begin"/>
      </w:r>
      <w:r w:rsidR="00C10A8D">
        <w:rPr>
          <w:rFonts w:ascii="Arial" w:hAnsi="Arial" w:cs="Arial"/>
        </w:rPr>
        <w:instrText xml:space="preserve"> ADDIN EN.CITE &lt;EndNote&gt;&lt;Cite&gt;&lt;Author&gt;Zhang&lt;/Author&gt;&lt;Year&gt;2006&lt;/Year&gt;&lt;RecNum&gt;49&lt;/RecNum&gt;&lt;DisplayText&gt;[73]&lt;/DisplayText&gt;&lt;record&gt;&lt;rec-number&gt;49&lt;/rec-number&gt;&lt;foreign-keys&gt;&lt;key app="EN" db-id="5sa9s0e0r0d9fnexra7pr5xdwd5ztevx95s2" timestamp="1512656278"&gt;49&lt;/key&gt;&lt;/foreign-keys&gt;&lt;ref-type name="Journal Article"&gt;17&lt;/ref-type&gt;&lt;contributors&gt;&lt;authors&gt;&lt;author&gt;Zhang, Sheng Shui&lt;/author&gt;&lt;/authors&gt;&lt;/contributors&gt;&lt;titles&gt;&lt;title&gt;A review on electrolyte additives for lithium-ion batteries&lt;/title&gt;&lt;secondary-title&gt;Journal of Power Sources&lt;/secondary-title&gt;&lt;/titles&gt;&lt;periodical&gt;&lt;full-title&gt;Journal of Power Sources&lt;/full-title&gt;&lt;/periodical&gt;&lt;pages&gt;1379-1394&lt;/pages&gt;&lt;volume&gt;162&lt;/volume&gt;&lt;number&gt;2&lt;/number&gt;&lt;keywords&gt;&lt;keyword&gt;Electrolyte&lt;/keyword&gt;&lt;keyword&gt;Additive&lt;/keyword&gt;&lt;keyword&gt;Solid electrolyte interface&lt;/keyword&gt;&lt;keyword&gt;Overcharge&lt;/keyword&gt;&lt;keyword&gt;Li-ion battery&lt;/keyword&gt;&lt;/keywords&gt;&lt;dates&gt;&lt;year&gt;2006&lt;/year&gt;&lt;pub-dates&gt;&lt;date&gt;2006/11/22/&lt;/date&gt;&lt;/pub-dates&gt;&lt;/dates&gt;&lt;isbn&gt;0378-7753&lt;/isbn&gt;&lt;urls&gt;&lt;related-urls&gt;&lt;url&gt;http://www.sciencedirect.com/science/article/pii/S0378775306017538&lt;/url&gt;&lt;/related-urls&gt;&lt;/urls&gt;&lt;electronic-resource-num&gt;https://doi.org/10.1016/j.jpowsour.2006.07.074&lt;/electronic-resource-num&gt;&lt;/record&gt;&lt;/Cite&gt;&lt;/EndNote&gt;</w:instrText>
      </w:r>
      <w:r w:rsidR="009058C3">
        <w:rPr>
          <w:rFonts w:ascii="Arial" w:hAnsi="Arial" w:cs="Arial"/>
        </w:rPr>
        <w:fldChar w:fldCharType="separate"/>
      </w:r>
      <w:r w:rsidR="00C10A8D">
        <w:rPr>
          <w:rFonts w:ascii="Arial" w:hAnsi="Arial" w:cs="Arial"/>
          <w:noProof/>
        </w:rPr>
        <w:t>[73]</w:t>
      </w:r>
      <w:r w:rsidR="009058C3">
        <w:rPr>
          <w:rFonts w:ascii="Arial" w:hAnsi="Arial" w:cs="Arial"/>
        </w:rPr>
        <w:fldChar w:fldCharType="end"/>
      </w:r>
      <w:r w:rsidR="00BD72E4">
        <w:rPr>
          <w:rFonts w:ascii="Arial" w:hAnsi="Arial" w:cs="Arial"/>
        </w:rPr>
        <w:t xml:space="preserve">. </w:t>
      </w:r>
    </w:p>
    <w:p w14:paraId="670D03B1" w14:textId="2D6AE9AD" w:rsidR="003E14AA" w:rsidRPr="0092670C" w:rsidRDefault="003E14AA" w:rsidP="003E14AA">
      <w:pPr>
        <w:spacing w:line="360" w:lineRule="auto"/>
        <w:jc w:val="both"/>
        <w:rPr>
          <w:rFonts w:ascii="Arial" w:hAnsi="Arial" w:cs="Arial"/>
        </w:rPr>
      </w:pPr>
      <w:r w:rsidRPr="0092670C">
        <w:rPr>
          <w:rFonts w:ascii="Arial" w:hAnsi="Arial" w:cs="Arial"/>
        </w:rPr>
        <w:t>Most additives are designed to form one of the two SEI layers, although this isn’t to say that they don’t contribute to both layers. For example, vinylene carbonate (VC) is easily polymerised. This polymer then forms the uppermost layer of the SEI. CO</w:t>
      </w:r>
      <w:r w:rsidRPr="0092670C">
        <w:rPr>
          <w:rFonts w:ascii="Arial" w:hAnsi="Arial" w:cs="Arial"/>
          <w:vertAlign w:val="subscript"/>
        </w:rPr>
        <w:t>2</w:t>
      </w:r>
      <w:r w:rsidRPr="0092670C">
        <w:rPr>
          <w:rFonts w:ascii="Arial" w:hAnsi="Arial" w:cs="Arial"/>
        </w:rPr>
        <w:t xml:space="preserve"> was one of the first electrolyte additives used as it was thought to form Li</w:t>
      </w:r>
      <w:r w:rsidRPr="0092670C">
        <w:rPr>
          <w:rFonts w:ascii="Arial" w:hAnsi="Arial" w:cs="Arial"/>
          <w:vertAlign w:val="subscript"/>
        </w:rPr>
        <w:t>2</w:t>
      </w:r>
      <w:r w:rsidRPr="0092670C">
        <w:rPr>
          <w:rFonts w:ascii="Arial" w:hAnsi="Arial" w:cs="Arial"/>
        </w:rPr>
        <w:t>CO</w:t>
      </w:r>
      <w:r w:rsidRPr="0092670C">
        <w:rPr>
          <w:rFonts w:ascii="Arial" w:hAnsi="Arial" w:cs="Arial"/>
          <w:vertAlign w:val="subscript"/>
        </w:rPr>
        <w:t>3</w:t>
      </w:r>
      <w:r w:rsidR="005260F2" w:rsidRPr="0092670C">
        <w:rPr>
          <w:rFonts w:ascii="Arial" w:hAnsi="Arial" w:cs="Arial"/>
          <w:vertAlign w:val="subscript"/>
        </w:rPr>
        <w:t xml:space="preserve"> </w:t>
      </w:r>
      <w:r w:rsidRPr="0092670C">
        <w:rPr>
          <w:rFonts w:ascii="Arial" w:hAnsi="Arial" w:cs="Arial"/>
        </w:rPr>
        <w:fldChar w:fldCharType="begin"/>
      </w:r>
      <w:r w:rsidR="00C10A8D">
        <w:rPr>
          <w:rFonts w:ascii="Arial" w:hAnsi="Arial" w:cs="Arial"/>
        </w:rPr>
        <w:instrText xml:space="preserve"> ADDIN EN.CITE &lt;EndNote&gt;&lt;Cite&gt;&lt;Author&gt;Aurbach&lt;/Author&gt;&lt;Year&gt;1995&lt;/Year&gt;&lt;RecNum&gt;235&lt;/RecNum&gt;&lt;DisplayText&gt;[57]&lt;/DisplayText&gt;&lt;record&gt;&lt;rec-number&gt;235&lt;/rec-number&gt;&lt;foreign-keys&gt;&lt;key app="EN" db-id="5sa9s0e0r0d9fnexra7pr5xdwd5ztevx95s2" timestamp="1556802901"&gt;235&lt;/key&gt;&lt;/foreign-keys&gt;&lt;ref-type name="Journal Article"&gt;17&lt;/ref-type&gt;&lt;contributors&gt;&lt;authors&gt;&lt;author&gt;Aurbach, Doron&lt;/author&gt;&lt;author&gt;Ein</w:instrText>
      </w:r>
      <w:r w:rsidR="00C10A8D">
        <w:rPr>
          <w:rFonts w:ascii="Cambria Math" w:hAnsi="Cambria Math" w:cs="Cambria Math"/>
        </w:rPr>
        <w:instrText>‐</w:instrText>
      </w:r>
      <w:r w:rsidR="00C10A8D">
        <w:rPr>
          <w:rFonts w:ascii="Arial" w:hAnsi="Arial" w:cs="Arial"/>
        </w:rPr>
        <w:instrText>Eli, Yair&lt;/author&gt;&lt;author&gt;Markovsky, Boris&lt;/author&gt;&lt;author&gt;Zaban, Arie&lt;/author&gt;&lt;author&gt;Luski, S&lt;/author&gt;&lt;author&gt;Carmeli, Y&lt;/author&gt;&lt;author&gt;Yamin, H&lt;/author&gt;&lt;/authors&gt;&lt;/contributors&gt;&lt;titles&gt;&lt;title&gt;The study of electrolyte solutions based on ethylene and diethyl carbonates for rechargeable Li batteries II. Graphite electrodes&lt;/title&gt;&lt;secondary-title&gt;Journal of The Electrochemical Society&lt;/secondary-title&gt;&lt;/titles&gt;&lt;periodical&gt;&lt;full-title&gt;Journal of the Electrochemical Society&lt;/full-title&gt;&lt;abbr-1&gt;J. Electrochem. Soc.&lt;/abbr-1&gt;&lt;/periodical&gt;&lt;pages&gt;2882-2890&lt;/pages&gt;&lt;volume&gt;142&lt;/volume&gt;&lt;number&gt;9&lt;/number&gt;&lt;dates&gt;&lt;year&gt;1995&lt;/year&gt;&lt;/dates&gt;&lt;isbn&gt;0013-4651&lt;/isbn&gt;&lt;urls&gt;&lt;/urls&gt;&lt;/record&gt;&lt;/Cite&gt;&lt;/EndNote&gt;</w:instrText>
      </w:r>
      <w:r w:rsidRPr="0092670C">
        <w:rPr>
          <w:rFonts w:ascii="Arial" w:hAnsi="Arial" w:cs="Arial"/>
        </w:rPr>
        <w:fldChar w:fldCharType="separate"/>
      </w:r>
      <w:r w:rsidR="00C10A8D">
        <w:rPr>
          <w:rFonts w:ascii="Arial" w:hAnsi="Arial" w:cs="Arial"/>
          <w:noProof/>
        </w:rPr>
        <w:t>[57]</w:t>
      </w:r>
      <w:r w:rsidRPr="0092670C">
        <w:rPr>
          <w:rFonts w:ascii="Arial" w:hAnsi="Arial" w:cs="Arial"/>
        </w:rPr>
        <w:fldChar w:fldCharType="end"/>
      </w:r>
      <w:r w:rsidRPr="0092670C">
        <w:rPr>
          <w:rFonts w:ascii="Arial" w:hAnsi="Arial" w:cs="Arial"/>
        </w:rPr>
        <w:t xml:space="preserve">. </w:t>
      </w:r>
    </w:p>
    <w:p w14:paraId="16839E69" w14:textId="77777777" w:rsidR="003E14AA" w:rsidRPr="0092670C" w:rsidRDefault="003E14AA" w:rsidP="003E14AA">
      <w:pPr>
        <w:spacing w:line="360" w:lineRule="auto"/>
        <w:jc w:val="both"/>
        <w:rPr>
          <w:rFonts w:ascii="Arial" w:hAnsi="Arial" w:cs="Arial"/>
        </w:rPr>
      </w:pPr>
      <w:r w:rsidRPr="0092670C">
        <w:rPr>
          <w:rFonts w:ascii="Arial" w:hAnsi="Arial" w:cs="Arial"/>
        </w:rPr>
        <w:t>The current range of additives can be organised into several Sub-categories of additives:</w:t>
      </w:r>
    </w:p>
    <w:p w14:paraId="5260E2CF" w14:textId="4FD7663E" w:rsidR="003E14AA" w:rsidRPr="0092670C" w:rsidRDefault="003E14AA" w:rsidP="00F80BDA">
      <w:pPr>
        <w:pStyle w:val="Heading3"/>
        <w:rPr>
          <w:rFonts w:ascii="Arial" w:hAnsi="Arial" w:cs="Arial"/>
        </w:rPr>
      </w:pPr>
      <w:r w:rsidRPr="0092670C">
        <w:rPr>
          <w:rFonts w:ascii="Arial" w:hAnsi="Arial" w:cs="Arial"/>
        </w:rPr>
        <w:t xml:space="preserve"> </w:t>
      </w:r>
      <w:bookmarkStart w:id="47" w:name="_Toc82538724"/>
      <w:r w:rsidRPr="0092670C">
        <w:rPr>
          <w:rFonts w:ascii="Arial" w:hAnsi="Arial" w:cs="Arial"/>
        </w:rPr>
        <w:t>EC-based additives</w:t>
      </w:r>
      <w:bookmarkEnd w:id="47"/>
      <w:r w:rsidRPr="0092670C">
        <w:rPr>
          <w:rFonts w:ascii="Arial" w:hAnsi="Arial" w:cs="Arial"/>
        </w:rPr>
        <w:t xml:space="preserve"> </w:t>
      </w:r>
    </w:p>
    <w:p w14:paraId="69E9EFAC" w14:textId="77777777" w:rsidR="003E14AA" w:rsidRPr="0092670C" w:rsidRDefault="003E14AA" w:rsidP="003E14AA">
      <w:pPr>
        <w:spacing w:line="360" w:lineRule="auto"/>
        <w:jc w:val="both"/>
        <w:rPr>
          <w:rFonts w:ascii="Arial" w:hAnsi="Arial" w:cs="Arial"/>
        </w:rPr>
      </w:pPr>
      <w:r w:rsidRPr="0092670C">
        <w:rPr>
          <w:rFonts w:ascii="Arial" w:hAnsi="Arial" w:cs="Arial"/>
        </w:rPr>
        <w:t xml:space="preserve">These are functionalised ethylene carbonates that typically have been either halogenated or have an unsaturated C=C bond. EC already forms a solid SEI with a higher LUMO than linear carbonates due to the ring strain present. Functionalisation of the EC lowers the energy of the LUMO even further, making it susceptible to nucleophilic attack, with a resulting higher breakdown voltage. These nucleophilic attacks lead to the opening of the 5 member rings. Once the ring is opened a number of breakdown reactions can occur. </w:t>
      </w:r>
    </w:p>
    <w:p w14:paraId="4E9C7678" w14:textId="0B0AC334" w:rsidR="003E14AA" w:rsidRPr="0092670C" w:rsidRDefault="003E14AA" w:rsidP="003E14AA">
      <w:pPr>
        <w:spacing w:line="360" w:lineRule="auto"/>
        <w:jc w:val="both"/>
        <w:rPr>
          <w:rFonts w:ascii="Arial" w:hAnsi="Arial" w:cs="Arial"/>
        </w:rPr>
      </w:pPr>
      <w:r w:rsidRPr="0092670C">
        <w:rPr>
          <w:rFonts w:ascii="Arial" w:hAnsi="Arial" w:cs="Arial"/>
        </w:rPr>
        <w:t xml:space="preserve">The </w:t>
      </w:r>
      <w:r w:rsidR="00397623">
        <w:rPr>
          <w:rFonts w:ascii="Arial" w:hAnsi="Arial" w:cs="Arial"/>
        </w:rPr>
        <w:t>most commonly seen</w:t>
      </w:r>
      <w:r w:rsidRPr="0092670C">
        <w:rPr>
          <w:rFonts w:ascii="Arial" w:hAnsi="Arial" w:cs="Arial"/>
        </w:rPr>
        <w:t xml:space="preserve"> additives in this category are Vinylene carbonate and Fluoroethylene carbonate (FEC). VC is an unsaturated analogue of EC. This C=C bond is vulnerable to nucleophilic attack by Li. Li gives its electron to VC creating a carbon radical</w:t>
      </w:r>
      <w:r w:rsidR="004B1374" w:rsidRPr="0092670C">
        <w:rPr>
          <w:rFonts w:ascii="Arial" w:hAnsi="Arial" w:cs="Arial"/>
        </w:rPr>
        <w:t xml:space="preserve"> carbanion</w:t>
      </w:r>
      <w:r w:rsidRPr="0092670C">
        <w:rPr>
          <w:rFonts w:ascii="Arial" w:hAnsi="Arial" w:cs="Arial"/>
        </w:rPr>
        <w:t xml:space="preserve"> that then reacts with other VC monomers. This process is similar to the Atom transfer radical polymerization process used to create polymers industrially although this uses Cu(I) as the radical source instead of L</w:t>
      </w:r>
      <w:r w:rsidR="00002B31" w:rsidRPr="0092670C">
        <w:rPr>
          <w:rFonts w:ascii="Arial" w:hAnsi="Arial" w:cs="Arial"/>
        </w:rPr>
        <w:t>i</w:t>
      </w:r>
      <w:r w:rsidR="00003B3E">
        <w:rPr>
          <w:rFonts w:ascii="Arial" w:hAnsi="Arial" w:cs="Arial"/>
        </w:rPr>
        <w:t xml:space="preserve"> </w:t>
      </w:r>
      <w:r w:rsidR="00003B3E">
        <w:rPr>
          <w:rFonts w:ascii="Arial" w:hAnsi="Arial" w:cs="Arial"/>
        </w:rPr>
        <w:fldChar w:fldCharType="begin"/>
      </w:r>
      <w:r w:rsidR="00C10A8D">
        <w:rPr>
          <w:rFonts w:ascii="Arial" w:hAnsi="Arial" w:cs="Arial"/>
        </w:rPr>
        <w:instrText xml:space="preserve"> ADDIN EN.CITE &lt;EndNote&gt;&lt;Cite&gt;&lt;Author&gt;Jenkins&lt;/Author&gt;&lt;Year&gt;2009&lt;/Year&gt;&lt;RecNum&gt;376&lt;/RecNum&gt;&lt;DisplayText&gt;[74]&lt;/DisplayText&gt;&lt;record&gt;&lt;rec-number&gt;376&lt;/rec-number&gt;&lt;foreign-keys&gt;&lt;key app="EN" db-id="5sa9s0e0r0d9fnexra7pr5xdwd5ztevx95s2" timestamp="1631799219"&gt;376&lt;/key&gt;&lt;/foreign-keys&gt;&lt;ref-type name="Journal Article"&gt;17&lt;/ref-type&gt;&lt;contributors&gt;&lt;authors&gt;&lt;author&gt;Aubrey D. Jenkins&lt;/author&gt;&lt;author&gt;Richard G. Jones&lt;/author&gt;&lt;author&gt;Graeme Moad&lt;/author&gt;&lt;/authors&gt;&lt;/contributors&gt;&lt;titles&gt;&lt;title&gt;Terminology for reversible-deactivation radical polymerization previously called &amp;quot;controlled&amp;quot; radical or &amp;quot;living&amp;quot; radical polymerization (IUPAC Recommendations 2010)&lt;/title&gt;&lt;secondary-title&gt;Pure and Applied Chemistry&lt;/secondary-title&gt;&lt;/titles&gt;&lt;periodical&gt;&lt;full-title&gt;Pure and Applied Chemistry&lt;/full-title&gt;&lt;/periodical&gt;&lt;pages&gt;483-491&lt;/pages&gt;&lt;volume&gt;82&lt;/volume&gt;&lt;number&gt;2&lt;/number&gt;&lt;dates&gt;&lt;year&gt;2009&lt;/year&gt;&lt;/dates&gt;&lt;urls&gt;&lt;related-urls&gt;&lt;url&gt;https://doi.org/10.1351/PAC-REP-08-04-03&lt;/url&gt;&lt;/related-urls&gt;&lt;/urls&gt;&lt;electronic-resource-num&gt;doi:10.1351/PAC-REP-08-04-03&lt;/electronic-resource-num&gt;&lt;/record&gt;&lt;/Cite&gt;&lt;/EndNote&gt;</w:instrText>
      </w:r>
      <w:r w:rsidR="00003B3E">
        <w:rPr>
          <w:rFonts w:ascii="Arial" w:hAnsi="Arial" w:cs="Arial"/>
        </w:rPr>
        <w:fldChar w:fldCharType="separate"/>
      </w:r>
      <w:r w:rsidR="00C10A8D">
        <w:rPr>
          <w:rFonts w:ascii="Arial" w:hAnsi="Arial" w:cs="Arial"/>
          <w:noProof/>
        </w:rPr>
        <w:t>[74]</w:t>
      </w:r>
      <w:r w:rsidR="00003B3E">
        <w:rPr>
          <w:rFonts w:ascii="Arial" w:hAnsi="Arial" w:cs="Arial"/>
        </w:rPr>
        <w:fldChar w:fldCharType="end"/>
      </w:r>
      <w:r w:rsidRPr="0092670C">
        <w:rPr>
          <w:rFonts w:ascii="Arial" w:hAnsi="Arial" w:cs="Arial"/>
        </w:rPr>
        <w:t>. VC has been shown to reduce the irreversible capacity loss of the cell (Q</w:t>
      </w:r>
      <w:r w:rsidRPr="0092670C">
        <w:rPr>
          <w:rFonts w:ascii="Arial" w:hAnsi="Arial" w:cs="Arial"/>
          <w:vertAlign w:val="subscript"/>
        </w:rPr>
        <w:t>irr</w:t>
      </w:r>
      <w:r w:rsidRPr="0092670C">
        <w:rPr>
          <w:rFonts w:ascii="Arial" w:hAnsi="Arial" w:cs="Arial"/>
        </w:rPr>
        <w:t>), improve the cycling capacity, with a more pronounced increase at higher temperatures and supress excessive salt formation</w:t>
      </w:r>
      <w:r w:rsidR="00505D42" w:rsidRPr="0092670C">
        <w:rPr>
          <w:rFonts w:ascii="Arial" w:hAnsi="Arial" w:cs="Arial"/>
        </w:rPr>
        <w:t xml:space="preserve"> </w:t>
      </w:r>
      <w:r w:rsidRPr="0092670C">
        <w:rPr>
          <w:rFonts w:ascii="Arial" w:hAnsi="Arial" w:cs="Arial"/>
        </w:rPr>
        <w:fldChar w:fldCharType="begin">
          <w:fldData xml:space="preserve">PEVuZE5vdGU+PENpdGU+PEF1dGhvcj5Ib2xtZXM8L0F1dGhvcj48WWVhcj4xOTk3PC9ZZWFyPjxS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PEVuZE5vdGU+PENpdGU+PEF1dGhvcj5Ib2xtZXM8L0F1dGhvcj48WWVhcj4xOTk3PC9ZZWFyPjxS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[75-77]</w:t>
      </w:r>
      <w:r w:rsidRPr="0092670C">
        <w:rPr>
          <w:rFonts w:ascii="Arial" w:hAnsi="Arial" w:cs="Arial"/>
        </w:rPr>
        <w:fldChar w:fldCharType="end"/>
      </w:r>
      <w:r w:rsidRPr="0092670C">
        <w:rPr>
          <w:rFonts w:ascii="Arial" w:hAnsi="Arial" w:cs="Arial"/>
        </w:rPr>
        <w:t xml:space="preserve">. Aurbach </w:t>
      </w:r>
      <w:r w:rsidRPr="0092670C">
        <w:rPr>
          <w:rFonts w:ascii="Arial" w:hAnsi="Arial" w:cs="Arial"/>
          <w:i/>
        </w:rPr>
        <w:t xml:space="preserve">et al. </w:t>
      </w:r>
      <w:r w:rsidRPr="0092670C">
        <w:rPr>
          <w:rFonts w:ascii="Arial" w:hAnsi="Arial" w:cs="Arial"/>
        </w:rPr>
        <w:t>found that the use of VC reduced the resistance of the SEI (R</w:t>
      </w:r>
      <w:r w:rsidRPr="0092670C">
        <w:rPr>
          <w:rFonts w:ascii="Arial" w:hAnsi="Arial" w:cs="Arial"/>
          <w:vertAlign w:val="subscript"/>
        </w:rPr>
        <w:t>SEI</w:t>
      </w:r>
      <w:r w:rsidRPr="0092670C">
        <w:rPr>
          <w:rFonts w:ascii="Arial" w:hAnsi="Arial" w:cs="Arial"/>
        </w:rPr>
        <w:t>)</w:t>
      </w:r>
      <w:r w:rsidR="00505D4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&lt;EndNote&gt;&lt;Cite&gt;&lt;Author&gt;Aurbach&lt;/Author&gt;&lt;Year&gt;2002&lt;/Year&gt;&lt;RecNum&gt;254&lt;/RecNum&gt;&lt;DisplayText&gt;[77]&lt;/DisplayText&gt;&lt;record&gt;&lt;rec-number&gt;254&lt;/rec-number&gt;&lt;foreign-keys&gt;&lt;key app="EN" db-id="5sa9s0e0r0d9fnexra7pr5xdwd5ztevx95s2" timestamp="1558433732"&gt;254&lt;/key&gt;&lt;/foreign-keys&gt;&lt;ref-type name="Journal Article"&gt;17&lt;/ref-type&gt;&lt;contributors&gt;&lt;authors&gt;&lt;author&gt;Aurbach, D.&lt;/author&gt;&lt;author&gt;Gamolsky, K.&lt;/author&gt;&lt;author&gt;Markovsky, B.&lt;/author&gt;&lt;author&gt;Gofer, Y.&lt;/author&gt;&lt;author&gt;Schmidt, M.&lt;/author&gt;&lt;author&gt;Heider, U.&lt;/author&gt;&lt;/authors&gt;&lt;/contributors&gt;&lt;titles&gt;&lt;title&gt;On the use of vinylene carbonate (VC) as an additive to electrolyte solutions for Li-ion batteries&lt;/title&gt;&lt;secondary-title&gt;Electrochimica Acta&lt;/secondary-title&gt;&lt;/titles&gt;&lt;periodical&gt;&lt;full-title&gt;Electrochimica Acta&lt;/full-title&gt;&lt;/periodical&gt;&lt;pages&gt;1423-1439&lt;/pages&gt;&lt;volume&gt;47&lt;/volume&gt;&lt;number&gt;9&lt;/number&gt;&lt;keywords&gt;&lt;keyword&gt;Vinylene carbonate&lt;/keyword&gt;&lt;keyword&gt;Ethylene carbonate&lt;/keyword&gt;&lt;keyword&gt;Li-ion batteries&lt;/keyword&gt;&lt;/keywords&gt;&lt;dates&gt;&lt;year&gt;2002&lt;/year&gt;&lt;pub-dates&gt;&lt;date&gt;2002/02/15/&lt;/date&gt;&lt;/pub-dates&gt;&lt;/dates&gt;&lt;isbn&gt;0013-4686&lt;/isbn&gt;&lt;urls&gt;&lt;related-urls&gt;&lt;url&gt;http://www.sciencedirect.com/science/article/pii/S0013468601008581&lt;/url&gt;&lt;/related-urls&gt;&lt;/urls&gt;&lt;electronic-resource-num&gt;https://doi.org/10.1016/S0013-4686(01)00858-1&lt;/electronic-resource-num&gt;&lt;/record&gt;&lt;/Cite&gt;&lt;/EndNote&gt;</w:instrText>
      </w:r>
      <w:r w:rsidRPr="0092670C">
        <w:rPr>
          <w:rFonts w:ascii="Arial" w:hAnsi="Arial" w:cs="Arial"/>
        </w:rPr>
        <w:fldChar w:fldCharType="separate"/>
      </w:r>
      <w:r w:rsidR="00C10A8D">
        <w:rPr>
          <w:rFonts w:ascii="Arial" w:hAnsi="Arial" w:cs="Arial"/>
          <w:noProof/>
        </w:rPr>
        <w:t>[77]</w:t>
      </w:r>
      <w:r w:rsidRPr="0092670C">
        <w:rPr>
          <w:rFonts w:ascii="Arial" w:hAnsi="Arial" w:cs="Arial"/>
        </w:rPr>
        <w:fldChar w:fldCharType="end"/>
      </w:r>
      <w:r w:rsidRPr="0092670C">
        <w:rPr>
          <w:rFonts w:ascii="Arial" w:hAnsi="Arial" w:cs="Arial"/>
        </w:rPr>
        <w:t xml:space="preserve">. They attributed this to the formation of polymeric SEI coatings. These factors have made it a popular choice in research. It is extensively used in Si anode research as VC’s polymeric SEI helps to reduce the pulverisation of lithiated particles, instead keeping them bound together by absorbing some of the mechanical strain. </w:t>
      </w:r>
    </w:p>
    <w:p w14:paraId="6379C364" w14:textId="6DBD6851" w:rsidR="003E14AA" w:rsidRPr="0092670C" w:rsidRDefault="003E14AA" w:rsidP="003E14AA">
      <w:pPr>
        <w:spacing w:line="360" w:lineRule="auto"/>
        <w:jc w:val="both"/>
        <w:rPr>
          <w:rFonts w:ascii="Arial" w:hAnsi="Arial" w:cs="Arial"/>
        </w:rPr>
      </w:pPr>
      <w:r w:rsidRPr="0092670C">
        <w:rPr>
          <w:rFonts w:ascii="Arial" w:hAnsi="Arial" w:cs="Arial"/>
        </w:rPr>
        <w:t>FEC is another additive that has been used frequently. In initial papers it was used as an major electrolyte component as opposed to most additives that are used to less than 10% volume of the electrolyte</w:t>
      </w:r>
      <w:r w:rsidR="00505D4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&lt;EndNote&gt;&lt;Cite&gt;&lt;Author&gt;McMillan&lt;/Author&gt;&lt;Year&gt;1999&lt;/Year&gt;&lt;RecNum&gt;255&lt;/RecNum&gt;&lt;DisplayText&gt;[78]&lt;/DisplayText&gt;&lt;record&gt;&lt;rec-number&gt;255&lt;/rec-number&gt;&lt;foreign-keys&gt;&lt;key app="EN" db-id="5sa9s0e0r0d9fnexra7pr5xdwd5ztevx95s2" timestamp="1558441296"&gt;255&lt;/key&gt;&lt;/foreign-keys&gt;&lt;ref-type name="Journal Article"&gt;17&lt;/ref-type&gt;&lt;contributors&gt;&lt;authors&gt;&lt;author&gt;McMillan, Rod&lt;/author&gt;&lt;author&gt;Slegr, Helen&lt;/author&gt;&lt;author&gt;Shu, Z. X.&lt;/author&gt;&lt;author&gt;Wang, Weidong&lt;/author&gt;&lt;/authors&gt;&lt;/contributors&gt;&lt;titles&gt;&lt;title&gt;Fluoroethylene carbonate electrolyte and its use in lithium ion batteries with graphite anodes&lt;/title&gt;&lt;secondary-title&gt;Journal of Power Sources&lt;/secondary-title&gt;&lt;/titles&gt;&lt;periodical&gt;&lt;full-title&gt;Journal of Power Sources&lt;/full-title&gt;&lt;/periodical&gt;&lt;pages&gt;20-26&lt;/pages&gt;&lt;volume&gt;81-82&lt;/volume&gt;&lt;keywords&gt;&lt;keyword&gt;Fluoroethylene carbonate electrolyte&lt;/keyword&gt;&lt;keyword&gt;Lithium ion batteries&lt;/keyword&gt;&lt;keyword&gt;Graphite anodes&lt;/keyword&gt;&lt;/keywords&gt;&lt;dates&gt;&lt;year&gt;1999&lt;/year&gt;&lt;pub-dates&gt;&lt;date&gt;1999/09/01/&lt;/date&gt;&lt;/pub-dates&gt;&lt;/dates&gt;&lt;isbn&gt;0378-7753&lt;/isbn&gt;&lt;urls&gt;&lt;related-urls&gt;&lt;url&gt;http://www.sciencedirect.com/science/article/pii/S0378775398002018&lt;/url&gt;&lt;/related-urls&gt;&lt;/urls&gt;&lt;electronic-resource-num&gt;https://doi.org/10.1016/S0378-7753(98)00201-8&lt;/electronic-resource-num&gt;&lt;/record&gt;&lt;/Cite&gt;&lt;/EndNote&gt;</w:instrText>
      </w:r>
      <w:r w:rsidRPr="0092670C">
        <w:rPr>
          <w:rFonts w:ascii="Arial" w:hAnsi="Arial" w:cs="Arial"/>
        </w:rPr>
        <w:fldChar w:fldCharType="separate"/>
      </w:r>
      <w:r w:rsidR="00C10A8D">
        <w:rPr>
          <w:rFonts w:ascii="Arial" w:hAnsi="Arial" w:cs="Arial"/>
          <w:noProof/>
        </w:rPr>
        <w:t>[78]</w:t>
      </w:r>
      <w:r w:rsidRPr="0092670C">
        <w:rPr>
          <w:rFonts w:ascii="Arial" w:hAnsi="Arial" w:cs="Arial"/>
        </w:rPr>
        <w:fldChar w:fldCharType="end"/>
      </w:r>
      <w:r w:rsidRPr="0092670C">
        <w:rPr>
          <w:rFonts w:ascii="Arial" w:hAnsi="Arial" w:cs="Arial"/>
        </w:rPr>
        <w:t>. The group had initially tried chloroethylene carbonate, but this suffered from poor coulombic efficiency</w:t>
      </w:r>
      <w:r w:rsidR="00505D4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&lt;EndNote&gt;&lt;Cite&gt;&lt;Author&gt;Shu&lt;/Author&gt;&lt;Year&gt;1995&lt;/Year&gt;&lt;RecNum&gt;258&lt;/RecNum&gt;&lt;DisplayText&gt;[79]&lt;/DisplayText&gt;&lt;record&gt;&lt;rec-number&gt;258&lt;/rec-number&gt;&lt;foreign-keys&gt;&lt;key app="EN" db-id="5sa9s0e0r0d9fnexra7pr5xdwd5ztevx95s2" timestamp="1558456889"&gt;258&lt;/key&gt;&lt;/foreign-keys&gt;&lt;ref-type name="Journal Article"&gt;17&lt;/ref-type&gt;&lt;contributors&gt;&lt;authors&gt;&lt;author&gt;Shu, Z. X.&lt;/author&gt;&lt;author&gt;McMillan, R. S.&lt;/author&gt;&lt;author&gt;Murray, J. J.&lt;/author&gt;&lt;author&gt;Davidson, I. J.&lt;/author&gt;&lt;/authors&gt;&lt;/contributors&gt;&lt;titles&gt;&lt;title&gt;Use of Chloroethylene Carbonate as an Electrolyte Solvent for a Lithium Ion Battery Containing a Graphitic Anode&lt;/title&gt;&lt;secondary-title&gt;Journal of The Electrochemical Society&lt;/secondary-title&gt;&lt;/titles&gt;&lt;periodical&gt;&lt;full-title&gt;Journal of the Electrochemical Society&lt;/full-title&gt;&lt;abbr-1&gt;J. Electrochem. Soc.&lt;/abbr-1&gt;&lt;/periodical&gt;&lt;pages&gt;L161-L162&lt;/pages&gt;&lt;volume&gt;142&lt;/volume&gt;&lt;number&gt;9&lt;/number&gt;&lt;dates&gt;&lt;year&gt;1995&lt;/year&gt;&lt;pub-dates&gt;&lt;date&gt;September 1, 1995&lt;/date&gt;&lt;/pub-dates&gt;&lt;/dates&gt;&lt;urls&gt;&lt;related-urls&gt;&lt;url&gt;http://jes.ecsdl.org/content/142/9/L161.abstract&lt;/url&gt;&lt;/related-urls&gt;&lt;/urls&gt;&lt;electronic-resource-num&gt;10.1149/1.2048734&lt;/electronic-resource-num&gt;&lt;/record&gt;&lt;/Cite&gt;&lt;/EndNote&gt;</w:instrText>
      </w:r>
      <w:r w:rsidRPr="0092670C">
        <w:rPr>
          <w:rFonts w:ascii="Arial" w:hAnsi="Arial" w:cs="Arial"/>
        </w:rPr>
        <w:fldChar w:fldCharType="separate"/>
      </w:r>
      <w:r w:rsidR="00C10A8D">
        <w:rPr>
          <w:rFonts w:ascii="Arial" w:hAnsi="Arial" w:cs="Arial"/>
          <w:noProof/>
        </w:rPr>
        <w:t>[79]</w:t>
      </w:r>
      <w:r w:rsidRPr="0092670C">
        <w:rPr>
          <w:rFonts w:ascii="Arial" w:hAnsi="Arial" w:cs="Arial"/>
        </w:rPr>
        <w:fldChar w:fldCharType="end"/>
      </w:r>
      <w:r w:rsidRPr="0092670C">
        <w:rPr>
          <w:rFonts w:ascii="Arial" w:hAnsi="Arial" w:cs="Arial"/>
        </w:rPr>
        <w:t>. They Showed that FEC result in a cell with high capacity retention and coulombic efficiency, overcoming the issue they had with chloroethylene carbonate.</w:t>
      </w:r>
    </w:p>
    <w:p w14:paraId="5149BF73" w14:textId="088FA2D7" w:rsidR="003E14AA" w:rsidRPr="0092670C" w:rsidRDefault="003E14AA" w:rsidP="003E14AA">
      <w:pPr>
        <w:spacing w:line="360" w:lineRule="auto"/>
        <w:jc w:val="both"/>
        <w:rPr>
          <w:rFonts w:ascii="Arial" w:hAnsi="Arial" w:cs="Arial"/>
        </w:rPr>
      </w:pPr>
      <w:r w:rsidRPr="0092670C">
        <w:rPr>
          <w:rFonts w:ascii="Arial" w:hAnsi="Arial" w:cs="Arial"/>
        </w:rPr>
        <w:t>Other studies have shown that FEC can be used in far lower quantities, comparable with other additive loadings and still show improvements to performance</w:t>
      </w:r>
      <w:r w:rsidR="00505D4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&lt;EndNote&gt;&lt;Cite&gt;&lt;Author&gt;Markevich&lt;/Author&gt;&lt;Year&gt;2017&lt;/Year&gt;&lt;RecNum&gt;62&lt;/RecNum&gt;&lt;DisplayText&gt;[80]&lt;/DisplayText&gt;&lt;record&gt;&lt;rec-number&gt;62&lt;/rec-number&gt;&lt;foreign-keys&gt;&lt;key app="EN" db-id="5sa9s0e0r0d9fnexra7pr5xdwd5ztevx95s2" timestamp="1515148128"&gt;62&lt;/key&gt;&lt;/foreign-keys&gt;&lt;ref-type name="Journal Article"&gt;17&lt;/ref-type&gt;&lt;contributors&gt;&lt;authors&gt;&lt;author&gt;Markevich, Elena&lt;/author&gt;&lt;author&gt;Salitra, Gregory&lt;/author&gt;&lt;author&gt;Aurbach, Doron&lt;/author&gt;&lt;/authors&gt;&lt;/contributors&gt;&lt;titles&gt;&lt;title&gt;Fluoroethylene Carbonate as an Important Component for the Formation of an Effective Solid Electrolyte Interphase on Anodes and Cathodes for Advanced Li-Ion Batteries&lt;/title&gt;&lt;secondary-title&gt;ACS Energy Letters&lt;/secondary-title&gt;&lt;/titles&gt;&lt;periodical&gt;&lt;full-title&gt;Acs Energy Letters&lt;/full-title&gt;&lt;abbr-1&gt;ACS Energy Lett.&lt;/abbr-1&gt;&lt;/periodical&gt;&lt;pages&gt;1337-1345&lt;/pages&gt;&lt;volume&gt;2&lt;/volume&gt;&lt;number&gt;6&lt;/number&gt;&lt;dates&gt;&lt;year&gt;2017&lt;/year&gt;&lt;pub-dates&gt;&lt;date&gt;2017/06/09&lt;/date&gt;&lt;/pub-dates&gt;&lt;/dates&gt;&lt;publisher&gt;American Chemical Society&lt;/publisher&gt;&lt;urls&gt;&lt;related-urls&gt;&lt;url&gt;http://dx.doi.org/10.1021/acsenergylett.7b00163&lt;/url&gt;&lt;/related-urls&gt;&lt;/urls&gt;&lt;electronic-resource-num&gt;10.1021/acsenergylett.7b00163&lt;/electronic-resource-num&gt;&lt;/record&gt;&lt;/Cite&gt;&lt;/EndNote&gt;</w:instrText>
      </w:r>
      <w:r w:rsidRPr="0092670C">
        <w:rPr>
          <w:rFonts w:ascii="Arial" w:hAnsi="Arial" w:cs="Arial"/>
        </w:rPr>
        <w:fldChar w:fldCharType="separate"/>
      </w:r>
      <w:r w:rsidR="00C10A8D">
        <w:rPr>
          <w:rFonts w:ascii="Arial" w:hAnsi="Arial" w:cs="Arial"/>
          <w:noProof/>
        </w:rPr>
        <w:t>[80]</w:t>
      </w:r>
      <w:r w:rsidRPr="0092670C">
        <w:rPr>
          <w:rFonts w:ascii="Arial" w:hAnsi="Arial" w:cs="Arial"/>
        </w:rPr>
        <w:fldChar w:fldCharType="end"/>
      </w:r>
      <w:r w:rsidRPr="0092670C">
        <w:rPr>
          <w:rFonts w:ascii="Arial" w:hAnsi="Arial" w:cs="Arial"/>
        </w:rPr>
        <w:t xml:space="preserve">. Work by Kubota </w:t>
      </w:r>
      <w:r w:rsidRPr="0092670C">
        <w:rPr>
          <w:rFonts w:ascii="Arial" w:hAnsi="Arial" w:cs="Arial"/>
          <w:i/>
        </w:rPr>
        <w:t>et al.</w:t>
      </w:r>
      <w:r w:rsidRPr="0092670C">
        <w:rPr>
          <w:rFonts w:ascii="Arial" w:hAnsi="Arial" w:cs="Arial"/>
        </w:rPr>
        <w:t xml:space="preserve"> used XPS and TOF-SIMS to probe the SEI formed by FEC based electrolyte</w:t>
      </w:r>
      <w:r w:rsidR="00505D4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&lt;EndNote&gt;&lt;Cite&gt;&lt;Author&gt;Nakai&lt;/Author&gt;&lt;Year&gt;2011&lt;/Year&gt;&lt;RecNum&gt;256&lt;/RecNum&gt;&lt;DisplayText&gt;[81]&lt;/DisplayText&gt;&lt;record&gt;&lt;rec-number&gt;256&lt;/rec-number&gt;&lt;foreign-keys&gt;&lt;key app="EN" db-id="5sa9s0e0r0d9fnexra7pr5xdwd5ztevx95s2" timestamp="1558443776"&gt;256&lt;/key&gt;&lt;/foreign-keys&gt;&lt;ref-type name="Journal Article"&gt;17&lt;/ref-type&gt;&lt;contributors&gt;&lt;authors&gt;&lt;author&gt;Nakai, Hideki&lt;/author&gt;&lt;author&gt;Kubota, Tadahiko&lt;/author&gt;&lt;author&gt;Kita, Akinori&lt;/author&gt;&lt;author&gt;Kawashima, Atsumichi&lt;/author&gt;&lt;/authors&gt;&lt;/contributors&gt;&lt;titles&gt;&lt;title&gt;Investigation of the Solid Electrolyte Interphase Formed by Fluoroethylene Carbonate on Si Electrodes&lt;/title&gt;&lt;secondary-title&gt;Journal of The Electrochemical Society&lt;/secondary-title&gt;&lt;/titles&gt;&lt;periodical&gt;&lt;full-title&gt;Journal of the Electrochemical Society&lt;/full-title&gt;&lt;abbr-1&gt;J. Electrochem. Soc.&lt;/abbr-1&gt;&lt;/periodical&gt;&lt;pages&gt;A798-A801&lt;/pages&gt;&lt;volume&gt;158&lt;/volume&gt;&lt;number&gt;7&lt;/number&gt;&lt;dates&gt;&lt;year&gt;2011&lt;/year&gt;&lt;pub-dates&gt;&lt;date&gt;July 1, 2011&lt;/date&gt;&lt;/pub-dates&gt;&lt;/dates&gt;&lt;urls&gt;&lt;related-urls&gt;&lt;url&gt;http://jes.ecsdl.org/content/158/7/A798.abstract&lt;/url&gt;&lt;/related-urls&gt;&lt;/urls&gt;&lt;electronic-resource-num&gt;10.1149/1.3589300&lt;/electronic-resource-num&gt;&lt;/record&gt;&lt;/Cite&gt;&lt;/EndNote&gt;</w:instrText>
      </w:r>
      <w:r w:rsidRPr="0092670C">
        <w:rPr>
          <w:rFonts w:ascii="Arial" w:hAnsi="Arial" w:cs="Arial"/>
        </w:rPr>
        <w:fldChar w:fldCharType="separate"/>
      </w:r>
      <w:r w:rsidR="00C10A8D">
        <w:rPr>
          <w:rFonts w:ascii="Arial" w:hAnsi="Arial" w:cs="Arial"/>
          <w:noProof/>
        </w:rPr>
        <w:t>[81]</w:t>
      </w:r>
      <w:r w:rsidRPr="0092670C">
        <w:rPr>
          <w:rFonts w:ascii="Arial" w:hAnsi="Arial" w:cs="Arial"/>
        </w:rPr>
        <w:fldChar w:fldCharType="end"/>
      </w:r>
      <w:r w:rsidRPr="0092670C">
        <w:rPr>
          <w:rFonts w:ascii="Arial" w:hAnsi="Arial" w:cs="Arial"/>
        </w:rPr>
        <w:t xml:space="preserve">. The found that the FEC based SEI contained LiF and was thinner than the SEI from an EC based SEI. The FEC based SEI contained less oxygen and more carbon and fluorine than the EC based SEI. This more robust SEI helped to reduce the oxidation of Si. </w:t>
      </w:r>
      <w:r w:rsidR="001E46B8" w:rsidRPr="0092670C">
        <w:rPr>
          <w:rFonts w:ascii="Arial" w:hAnsi="Arial" w:cs="Arial"/>
        </w:rPr>
        <w:t xml:space="preserve">These factors ultimately led to an improvement </w:t>
      </w:r>
      <w:r w:rsidR="00C456D5" w:rsidRPr="0092670C">
        <w:rPr>
          <w:rFonts w:ascii="Arial" w:hAnsi="Arial" w:cs="Arial"/>
        </w:rPr>
        <w:t>in</w:t>
      </w:r>
      <w:r w:rsidR="00F814F3" w:rsidRPr="0092670C">
        <w:rPr>
          <w:rFonts w:ascii="Arial" w:hAnsi="Arial" w:cs="Arial"/>
        </w:rPr>
        <w:t xml:space="preserve"> </w:t>
      </w:r>
      <w:r w:rsidR="006E598F" w:rsidRPr="0092670C">
        <w:rPr>
          <w:rFonts w:ascii="Arial" w:hAnsi="Arial" w:cs="Arial"/>
        </w:rPr>
        <w:t xml:space="preserve">capacity retention </w:t>
      </w:r>
      <w:r w:rsidR="00565BDE" w:rsidRPr="0092670C">
        <w:rPr>
          <w:rFonts w:ascii="Arial" w:hAnsi="Arial" w:cs="Arial"/>
        </w:rPr>
        <w:t xml:space="preserve">and coulombic efficiency as seen in </w:t>
      </w:r>
      <w:r w:rsidR="00565BDE" w:rsidRPr="0092670C">
        <w:rPr>
          <w:rFonts w:ascii="Arial" w:hAnsi="Arial" w:cs="Arial"/>
        </w:rPr>
        <w:fldChar w:fldCharType="begin"/>
      </w:r>
      <w:r w:rsidR="00565BDE" w:rsidRPr="0092670C">
        <w:rPr>
          <w:rFonts w:ascii="Arial" w:hAnsi="Arial" w:cs="Arial"/>
        </w:rPr>
        <w:instrText xml:space="preserve"> REF _Ref30023048 \h  \* MERGEFORMAT </w:instrText>
      </w:r>
      <w:r w:rsidR="00565BDE" w:rsidRPr="0092670C">
        <w:rPr>
          <w:rFonts w:ascii="Arial" w:hAnsi="Arial" w:cs="Arial"/>
        </w:rPr>
      </w:r>
      <w:r w:rsidR="00565BDE"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13</w:t>
      </w:r>
      <w:r w:rsidR="00565BDE" w:rsidRPr="0092670C">
        <w:rPr>
          <w:rFonts w:ascii="Arial" w:hAnsi="Arial" w:cs="Arial"/>
        </w:rPr>
        <w:fldChar w:fldCharType="end"/>
      </w:r>
      <w:r w:rsidR="00565BDE" w:rsidRPr="0092670C">
        <w:rPr>
          <w:rFonts w:ascii="Arial" w:hAnsi="Arial" w:cs="Arial"/>
        </w:rPr>
        <w:t>.</w:t>
      </w:r>
      <w:r w:rsidR="00AB641D">
        <w:rPr>
          <w:rFonts w:ascii="Arial" w:hAnsi="Arial" w:cs="Arial"/>
        </w:rPr>
        <w:t xml:space="preserve"> The blue lines are the cells </w:t>
      </w:r>
      <w:r w:rsidR="001B40D6">
        <w:rPr>
          <w:rFonts w:ascii="Arial" w:hAnsi="Arial" w:cs="Arial"/>
        </w:rPr>
        <w:t xml:space="preserve">containing FEC and the red lines are cells </w:t>
      </w:r>
      <w:r w:rsidR="00A1547C">
        <w:rPr>
          <w:rFonts w:ascii="Arial" w:hAnsi="Arial" w:cs="Arial"/>
        </w:rPr>
        <w:t xml:space="preserve">without </w:t>
      </w:r>
      <w:r w:rsidR="00251B7F">
        <w:rPr>
          <w:rFonts w:ascii="Arial" w:hAnsi="Arial" w:cs="Arial"/>
        </w:rPr>
        <w:t>FEC</w:t>
      </w:r>
      <w:r w:rsidR="00A1547C">
        <w:rPr>
          <w:rFonts w:ascii="Arial" w:hAnsi="Arial" w:cs="Arial"/>
        </w:rPr>
        <w:t xml:space="preserve">. </w:t>
      </w:r>
    </w:p>
    <w:p w14:paraId="15427CBE" w14:textId="77777777" w:rsidR="003E14AA" w:rsidRPr="0092670C" w:rsidRDefault="003E14AA" w:rsidP="003E14AA">
      <w:pPr>
        <w:keepNext/>
        <w:jc w:val="center"/>
        <w:rPr>
          <w:rFonts w:ascii="Arial" w:hAnsi="Arial" w:cs="Arial"/>
        </w:rPr>
      </w:pPr>
      <w:r w:rsidRPr="0092670C">
        <w:rPr>
          <w:rFonts w:ascii="Arial" w:hAnsi="Arial" w:cs="Arial"/>
          <w:noProof/>
        </w:rPr>
        <w:drawing>
          <wp:inline distT="0" distB="0" distL="0" distR="0" wp14:anchorId="6826D8FA" wp14:editId="355EEF2C">
            <wp:extent cx="5257800" cy="2394728"/>
            <wp:effectExtent l="0" t="0" r="0" b="5715"/>
            <wp:docPr id="3075" name="Picture 3">
              <a:extLst xmlns:a="http://schemas.openxmlformats.org/drawingml/2006/main">
                <a:ext uri="{FF2B5EF4-FFF2-40B4-BE49-F238E27FC236}">
                  <a16:creationId xmlns:a16="http://schemas.microsoft.com/office/drawing/2014/main" id="{9790FD4E-532F-4950-A734-AB39F9DFB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9790FD4E-532F-4950-A734-AB39F9DFBDD9}"/>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5467" cy="2402774"/>
                    </a:xfrm>
                    <a:prstGeom prst="rect">
                      <a:avLst/>
                    </a:prstGeom>
                    <a:noFill/>
                    <a:ln>
                      <a:noFill/>
                    </a:ln>
                    <a:effectLst/>
                  </pic:spPr>
                </pic:pic>
              </a:graphicData>
            </a:graphic>
          </wp:inline>
        </w:drawing>
      </w:r>
    </w:p>
    <w:p w14:paraId="32B82FF5" w14:textId="7ECFE985" w:rsidR="003E14AA" w:rsidRPr="0092670C" w:rsidRDefault="003E14AA" w:rsidP="003E14AA">
      <w:pPr>
        <w:spacing w:after="200" w:line="240" w:lineRule="auto"/>
        <w:jc w:val="center"/>
        <w:rPr>
          <w:rFonts w:ascii="Arial" w:hAnsi="Arial" w:cs="Arial"/>
          <w:i/>
          <w:iCs/>
          <w:color w:val="44546A" w:themeColor="text2"/>
          <w:sz w:val="20"/>
          <w:szCs w:val="20"/>
        </w:rPr>
      </w:pPr>
      <w:bookmarkStart w:id="48" w:name="_Ref30023048"/>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13</w:t>
      </w:r>
      <w:r w:rsidR="00356A26">
        <w:rPr>
          <w:rFonts w:ascii="Arial" w:hAnsi="Arial" w:cs="Arial"/>
          <w:i/>
          <w:iCs/>
          <w:color w:val="44546A" w:themeColor="text2"/>
          <w:sz w:val="20"/>
          <w:szCs w:val="20"/>
        </w:rPr>
        <w:fldChar w:fldCharType="end"/>
      </w:r>
      <w:bookmarkEnd w:id="48"/>
      <w:r w:rsidRPr="0092670C">
        <w:rPr>
          <w:rFonts w:ascii="Arial" w:hAnsi="Arial" w:cs="Arial"/>
          <w:i/>
          <w:iCs/>
          <w:color w:val="44546A" w:themeColor="text2"/>
          <w:sz w:val="20"/>
          <w:szCs w:val="20"/>
        </w:rPr>
        <w:t>: graphs showing the improved electrochemical performance of an FEC based SEI Vs. an EC based one</w:t>
      </w:r>
      <w:r w:rsidR="00B97230">
        <w:rPr>
          <w:rFonts w:ascii="Arial" w:hAnsi="Arial" w:cs="Arial"/>
          <w:i/>
          <w:iCs/>
          <w:color w:val="44546A" w:themeColor="text2"/>
          <w:sz w:val="20"/>
          <w:szCs w:val="20"/>
        </w:rPr>
        <w:t xml:space="preserve"> </w:t>
      </w:r>
      <w:r w:rsidRPr="0092670C">
        <w:rPr>
          <w:rFonts w:ascii="Arial" w:hAnsi="Arial" w:cs="Arial"/>
          <w:i/>
          <w:iCs/>
          <w:color w:val="44546A" w:themeColor="text2"/>
          <w:sz w:val="20"/>
          <w:szCs w:val="20"/>
        </w:rPr>
        <w:fldChar w:fldCharType="begin"/>
      </w:r>
      <w:r w:rsidR="00C10A8D">
        <w:rPr>
          <w:rFonts w:ascii="Arial" w:hAnsi="Arial" w:cs="Arial"/>
          <w:i/>
          <w:iCs/>
          <w:color w:val="44546A" w:themeColor="text2"/>
          <w:sz w:val="20"/>
          <w:szCs w:val="20"/>
        </w:rPr>
        <w:instrText xml:space="preserve"> ADDIN EN.CITE &lt;EndNote&gt;&lt;Cite&gt;&lt;Author&gt;Nakai&lt;/Author&gt;&lt;Year&gt;2011&lt;/Year&gt;&lt;RecNum&gt;256&lt;/RecNum&gt;&lt;DisplayText&gt;[81]&lt;/DisplayText&gt;&lt;record&gt;&lt;rec-number&gt;256&lt;/rec-number&gt;&lt;foreign-keys&gt;&lt;key app="EN" db-id="5sa9s0e0r0d9fnexra7pr5xdwd5ztevx95s2" timestamp="1558443776"&gt;256&lt;/key&gt;&lt;/foreign-keys&gt;&lt;ref-type name="Journal Article"&gt;17&lt;/ref-type&gt;&lt;contributors&gt;&lt;authors&gt;&lt;author&gt;Nakai, Hideki&lt;/author&gt;&lt;author&gt;Kubota, Tadahiko&lt;/author&gt;&lt;author&gt;Kita, Akinori&lt;/author&gt;&lt;author&gt;Kawashima, Atsumichi&lt;/author&gt;&lt;/authors&gt;&lt;/contributors&gt;&lt;titles&gt;&lt;title&gt;Investigation of the Solid Electrolyte Interphase Formed by Fluoroethylene Carbonate on Si Electrodes&lt;/title&gt;&lt;secondary-title&gt;Journal of The Electrochemical Society&lt;/secondary-title&gt;&lt;/titles&gt;&lt;periodical&gt;&lt;full-title&gt;Journal of the Electrochemical Society&lt;/full-title&gt;&lt;abbr-1&gt;J. Electrochem. Soc.&lt;/abbr-1&gt;&lt;/periodical&gt;&lt;pages&gt;A798-A801&lt;/pages&gt;&lt;volume&gt;158&lt;/volume&gt;&lt;number&gt;7&lt;/number&gt;&lt;dates&gt;&lt;year&gt;2011&lt;/year&gt;&lt;pub-dates&gt;&lt;date&gt;July 1, 2011&lt;/date&gt;&lt;/pub-dates&gt;&lt;/dates&gt;&lt;urls&gt;&lt;related-urls&gt;&lt;url&gt;http://jes.ecsdl.org/content/158/7/A798.abstract&lt;/url&gt;&lt;/related-urls&gt;&lt;/urls&gt;&lt;electronic-resource-num&gt;10.1149/1.3589300&lt;/electronic-resource-num&gt;&lt;/record&gt;&lt;/Cite&gt;&lt;/EndNote&gt;</w:instrText>
      </w:r>
      <w:r w:rsidRPr="0092670C">
        <w:rPr>
          <w:rFonts w:ascii="Arial" w:hAnsi="Arial" w:cs="Arial"/>
          <w:i/>
          <w:iCs/>
          <w:color w:val="44546A" w:themeColor="text2"/>
          <w:sz w:val="20"/>
          <w:szCs w:val="20"/>
        </w:rPr>
        <w:fldChar w:fldCharType="separate"/>
      </w:r>
      <w:r w:rsidR="00C10A8D">
        <w:rPr>
          <w:rFonts w:ascii="Arial" w:hAnsi="Arial" w:cs="Arial"/>
          <w:i/>
          <w:iCs/>
          <w:noProof/>
          <w:color w:val="44546A" w:themeColor="text2"/>
          <w:sz w:val="20"/>
          <w:szCs w:val="20"/>
        </w:rPr>
        <w:t>[81]</w:t>
      </w:r>
      <w:r w:rsidRPr="0092670C">
        <w:rPr>
          <w:rFonts w:ascii="Arial" w:hAnsi="Arial" w:cs="Arial"/>
          <w:i/>
          <w:iCs/>
          <w:color w:val="44546A" w:themeColor="text2"/>
          <w:sz w:val="20"/>
          <w:szCs w:val="20"/>
        </w:rPr>
        <w:fldChar w:fldCharType="end"/>
      </w:r>
      <w:r w:rsidR="00B97230">
        <w:rPr>
          <w:rFonts w:ascii="Arial" w:hAnsi="Arial" w:cs="Arial"/>
          <w:i/>
          <w:iCs/>
          <w:color w:val="44546A" w:themeColor="text2"/>
          <w:sz w:val="20"/>
          <w:szCs w:val="20"/>
        </w:rPr>
        <w:t>.</w:t>
      </w:r>
    </w:p>
    <w:p w14:paraId="5F14A6EA" w14:textId="7FCDC8E1" w:rsidR="003E14AA" w:rsidRPr="0092670C" w:rsidRDefault="003E14AA" w:rsidP="003E14AA">
      <w:pPr>
        <w:spacing w:line="360" w:lineRule="auto"/>
        <w:jc w:val="both"/>
        <w:rPr>
          <w:rFonts w:ascii="Arial" w:hAnsi="Arial" w:cs="Arial"/>
        </w:rPr>
      </w:pPr>
      <w:r w:rsidRPr="0092670C">
        <w:rPr>
          <w:rFonts w:ascii="Arial" w:hAnsi="Arial" w:cs="Arial"/>
        </w:rPr>
        <w:t xml:space="preserve">Due </w:t>
      </w:r>
      <w:r w:rsidR="00895FEF" w:rsidRPr="0092670C">
        <w:rPr>
          <w:rFonts w:ascii="Arial" w:hAnsi="Arial" w:cs="Arial"/>
        </w:rPr>
        <w:t>t</w:t>
      </w:r>
      <w:r w:rsidRPr="0092670C">
        <w:rPr>
          <w:rFonts w:ascii="Arial" w:hAnsi="Arial" w:cs="Arial"/>
        </w:rPr>
        <w:t>o the popularity of both VC and FEC there has been a debate as to which is more effective at forming a robust SEI. Giebeler</w:t>
      </w:r>
      <w:r w:rsidR="00DC51A4">
        <w:rPr>
          <w:rFonts w:ascii="Arial" w:hAnsi="Arial" w:cs="Arial"/>
        </w:rPr>
        <w:t xml:space="preserve"> and co-workers</w:t>
      </w:r>
      <w:r w:rsidRPr="0092670C">
        <w:rPr>
          <w:rFonts w:ascii="Arial" w:hAnsi="Arial" w:cs="Arial"/>
        </w:rPr>
        <w:t xml:space="preserve"> tried to answer this question with regards to Si anodes</w:t>
      </w:r>
      <w:r w:rsidR="006F4436" w:rsidRPr="0092670C">
        <w:rPr>
          <w:rFonts w:ascii="Arial" w:hAnsi="Arial" w:cs="Arial"/>
        </w:rPr>
        <w:t>,</w:t>
      </w:r>
      <w:r w:rsidRPr="0092670C">
        <w:rPr>
          <w:rFonts w:ascii="Arial" w:hAnsi="Arial" w:cs="Arial"/>
        </w:rPr>
        <w:t xml:space="preserve"> as additives are essential for Si to cycle effectively</w:t>
      </w:r>
      <w:r w:rsidR="00505D42"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&lt;EndNote&gt;&lt;Cite&gt;&lt;Author&gt;Jaumann&lt;/Author&gt;&lt;Year&gt;2017&lt;/Year&gt;&lt;RecNum&gt;257&lt;/RecNum&gt;&lt;DisplayText&gt;[82]&lt;/DisplayText&gt;&lt;record&gt;&lt;rec-number&gt;257&lt;/rec-number&gt;&lt;foreign-keys&gt;&lt;key app="EN" db-id="5sa9s0e0r0d9fnexra7pr5xdwd5ztevx95s2" timestamp="1558453558"&gt;257&lt;/key&gt;&lt;/foreign-keys&gt;&lt;ref-type name="Journal Article"&gt;17&lt;/ref-type&gt;&lt;contributors&gt;&lt;authors&gt;&lt;author&gt;Jaumann, Tony&lt;/author&gt;&lt;author&gt;Balach, Juan&lt;/author&gt;&lt;author&gt;Langklotz, Ulrike&lt;/author&gt;&lt;author&gt;Sauchuk, Viktar&lt;/author&gt;&lt;author&gt;Fritsch, Marco&lt;/author&gt;&lt;author&gt;Michaelis, Alexander&lt;/author&gt;&lt;author&gt;Teltevskij, Valerij&lt;/author&gt;&lt;author&gt;Mikhailova, Daria&lt;/author&gt;&lt;author&gt;Oswald, Steffen&lt;/author&gt;&lt;author&gt;Klose, Markus&lt;/author&gt;&lt;author&gt;Stephani, Guenter&lt;/author&gt;&lt;author&gt;Hauser, Ralf&lt;/author&gt;&lt;author&gt;Eckert, Jürgen&lt;/author&gt;&lt;author&gt;Giebeler, Lars&lt;/author&gt;&lt;/authors&gt;&lt;/contributors&gt;&lt;titles&gt;&lt;title&gt;Lifetime vs. rate capability: Understanding the role of FEC and VC in high-energy Li-ion batteries with nano-silicon anodes&lt;/title&gt;&lt;secondary-title&gt;Energy Storage Materials&lt;/secondary-title&gt;&lt;/titles&gt;&lt;periodical&gt;&lt;full-title&gt;Energy Storage Materials&lt;/full-title&gt;&lt;/periodical&gt;&lt;pages&gt;26-35&lt;/pages&gt;&lt;volume&gt;6&lt;/volume&gt;&lt;keywords&gt;&lt;keyword&gt;FEC&lt;/keyword&gt;&lt;keyword&gt;VC&lt;/keyword&gt;&lt;keyword&gt;Silicon anode&lt;/keyword&gt;&lt;keyword&gt;Li-ion battery&lt;/keyword&gt;&lt;/keywords&gt;&lt;dates&gt;&lt;year&gt;2017&lt;/year&gt;&lt;pub-dates&gt;&lt;date&gt;2017/01/01/&lt;/date&gt;&lt;/pub-dates&gt;&lt;/dates&gt;&lt;isbn&gt;2405-8297&lt;/isbn&gt;&lt;urls&gt;&lt;related-urls&gt;&lt;url&gt;http://www.sciencedirect.com/science/article/pii/S2405829716301404&lt;/url&gt;&lt;/related-urls&gt;&lt;/urls&gt;&lt;electronic-resource-num&gt;https://doi.org/10.1016/j.ensm.2016.08.002&lt;/electronic-resource-num&gt;&lt;/record&gt;&lt;/Cite&gt;&lt;/EndNote&gt;</w:instrText>
      </w:r>
      <w:r w:rsidRPr="0092670C">
        <w:rPr>
          <w:rFonts w:ascii="Arial" w:hAnsi="Arial" w:cs="Arial"/>
        </w:rPr>
        <w:fldChar w:fldCharType="separate"/>
      </w:r>
      <w:r w:rsidR="00C10A8D">
        <w:rPr>
          <w:rFonts w:ascii="Arial" w:hAnsi="Arial" w:cs="Arial"/>
          <w:noProof/>
        </w:rPr>
        <w:t>[82]</w:t>
      </w:r>
      <w:r w:rsidRPr="0092670C">
        <w:rPr>
          <w:rFonts w:ascii="Arial" w:hAnsi="Arial" w:cs="Arial"/>
        </w:rPr>
        <w:fldChar w:fldCharType="end"/>
      </w:r>
      <w:r w:rsidRPr="0092670C">
        <w:rPr>
          <w:rFonts w:ascii="Arial" w:hAnsi="Arial" w:cs="Arial"/>
        </w:rPr>
        <w:t xml:space="preserve">. They found that for Si anodes VC was a more effective additive. They claimed that this was due to the inflexibility of the FEC based SEI with its LiF nanocrystals cracking during the lithiation process. </w:t>
      </w:r>
      <w:r w:rsidR="00144897" w:rsidRPr="0092670C">
        <w:rPr>
          <w:rFonts w:ascii="Arial" w:hAnsi="Arial" w:cs="Arial"/>
        </w:rPr>
        <w:t>However</w:t>
      </w:r>
      <w:r w:rsidRPr="0092670C">
        <w:rPr>
          <w:rFonts w:ascii="Arial" w:hAnsi="Arial" w:cs="Arial"/>
        </w:rPr>
        <w:t xml:space="preserve">, the presence of the LiF reduced the </w:t>
      </w:r>
      <w:r w:rsidR="001D0E9F" w:rsidRPr="0092670C">
        <w:rPr>
          <w:rFonts w:ascii="Arial" w:hAnsi="Arial" w:cs="Arial"/>
        </w:rPr>
        <w:t>resistance of the SEI (</w:t>
      </w:r>
      <w:r w:rsidRPr="0092670C">
        <w:rPr>
          <w:rFonts w:ascii="Arial" w:hAnsi="Arial" w:cs="Arial"/>
        </w:rPr>
        <w:t>R</w:t>
      </w:r>
      <w:r w:rsidRPr="0092670C">
        <w:rPr>
          <w:rFonts w:ascii="Arial" w:hAnsi="Arial" w:cs="Arial"/>
          <w:vertAlign w:val="subscript"/>
        </w:rPr>
        <w:t>SEI</w:t>
      </w:r>
      <w:r w:rsidR="001D0E9F" w:rsidRPr="0092670C">
        <w:rPr>
          <w:rFonts w:ascii="Arial" w:hAnsi="Arial" w:cs="Arial"/>
        </w:rPr>
        <w:t xml:space="preserve">) </w:t>
      </w:r>
      <w:r w:rsidRPr="0092670C">
        <w:rPr>
          <w:rFonts w:ascii="Arial" w:hAnsi="Arial" w:cs="Arial"/>
        </w:rPr>
        <w:t xml:space="preserve">which the authors suggested would help for high power applications. The composition of both polymeric, upper layers was comparable with both consisting of polycarbonates. In graphite anodes the volume change for lithiation is far smaller than it is for Si (≈9% </w:t>
      </w:r>
      <w:r w:rsidR="00144897" w:rsidRPr="0092670C">
        <w:rPr>
          <w:rFonts w:ascii="Arial" w:hAnsi="Arial" w:cs="Arial"/>
        </w:rPr>
        <w:t>v</w:t>
      </w:r>
      <w:r w:rsidRPr="0092670C">
        <w:rPr>
          <w:rFonts w:ascii="Arial" w:hAnsi="Arial" w:cs="Arial"/>
        </w:rPr>
        <w:t>s. 400%) which means that the issue of LiF cracking isn’t a factor. With this in mind for graphite anodes FEC will most likely be the better performer, due to its highly conductive LiF initial layer and polycarbonate top layer</w:t>
      </w:r>
      <w:r w:rsidR="00A478C3">
        <w:rPr>
          <w:rFonts w:ascii="Arial" w:hAnsi="Arial" w:cs="Arial"/>
        </w:rPr>
        <w:t xml:space="preserve"> </w:t>
      </w:r>
      <w:r w:rsidR="00A478C3">
        <w:rPr>
          <w:rFonts w:ascii="Arial" w:hAnsi="Arial" w:cs="Arial"/>
        </w:rPr>
        <w:fldChar w:fldCharType="begin"/>
      </w:r>
      <w:r w:rsidR="004F0EC3">
        <w:rPr>
          <w:rFonts w:ascii="Arial" w:hAnsi="Arial" w:cs="Arial"/>
        </w:rPr>
        <w:instrText xml:space="preserve"> ADDIN EN.CITE &lt;EndNote&gt;&lt;Cite&gt;&lt;Author&gt;Harlow&lt;/Author&gt;&lt;Year&gt;2019&lt;/Year&gt;&lt;RecNum&gt;3&lt;/RecNum&gt;&lt;DisplayText&gt;[5]&lt;/DisplayText&gt;&lt;record&gt;&lt;rec-number&gt;3&lt;/rec-number&gt;&lt;foreign-keys&gt;&lt;key app="EN" db-id="s90w2xrvxpdeevezztipsv0rrexvavv0swpa" timestamp="1631727852"&gt;3&lt;/key&gt;&lt;/foreign-keys&gt;&lt;ref-type name="Journal Article"&gt;17&lt;/ref-type&gt;&lt;contributors&gt;&lt;authors&gt;&lt;author&gt;Harlow, Jessie E.&lt;/author&gt;&lt;author&gt;Ma, Xiaowei&lt;/author&gt;&lt;author&gt;Li, Jing&lt;/author&gt;&lt;author&gt;Logan, Eric&lt;/author&gt;&lt;author&gt;Liu, Yulong&lt;/author&gt;&lt;author&gt;Zhang, Ning&lt;/author&gt;&lt;author&gt;Ma, Lin&lt;/author&gt;&lt;author&gt;Glazier, Stephen L.&lt;/author&gt;&lt;author&gt;Cormier, Marc M. E.&lt;/author&gt;&lt;author&gt;Genovese, Matthew&lt;/author&gt;&lt;author&gt;Buteau, Samuel&lt;/author&gt;&lt;author&gt;Cameron, Andrew&lt;/author&gt;&lt;author&gt;Stark, Jamie E.&lt;/author&gt;&lt;author&gt;Dahn, J. R.&lt;/author&gt;&lt;/authors&gt;&lt;/contributors&gt;&lt;titles&gt;&lt;title&gt;A Wide Range of Testing Results on an Excellent Lithium-Ion Cell Chemistry to be used as Benchmarks for New Battery Technologies&lt;/title&gt;&lt;secondary-title&gt;Journal of The Electrochemical Society&lt;/secondary-title&gt;&lt;/titles&gt;&lt;pages&gt;A3031-A3044&lt;/pages&gt;&lt;volume&gt;166&lt;/volume&gt;&lt;number&gt;13&lt;/number&gt;&lt;dates&gt;&lt;year&gt;2019&lt;/year&gt;&lt;pub-dates&gt;&lt;date&gt;January 1, 2019&lt;/date&gt;&lt;/pub-dates&gt;&lt;/dates&gt;&lt;urls&gt;&lt;related-urls&gt;&lt;url&gt;http://jes.ecsdl.org/content/166/13/A3031.abstract&lt;/url&gt;&lt;/related-urls&gt;&lt;/urls&gt;&lt;electronic-resource-num&gt;10.1149/2.0981913jes&lt;/electronic-resource-num&gt;&lt;/record&gt;&lt;/Cite&gt;&lt;/EndNote&gt;</w:instrText>
      </w:r>
      <w:r w:rsidR="00A478C3">
        <w:rPr>
          <w:rFonts w:ascii="Arial" w:hAnsi="Arial" w:cs="Arial"/>
        </w:rPr>
        <w:fldChar w:fldCharType="separate"/>
      </w:r>
      <w:r w:rsidR="004F0EC3">
        <w:rPr>
          <w:rFonts w:ascii="Arial" w:hAnsi="Arial" w:cs="Arial"/>
          <w:noProof/>
        </w:rPr>
        <w:t>[5]</w:t>
      </w:r>
      <w:r w:rsidR="00A478C3">
        <w:rPr>
          <w:rFonts w:ascii="Arial" w:hAnsi="Arial" w:cs="Arial"/>
        </w:rPr>
        <w:fldChar w:fldCharType="end"/>
      </w:r>
      <w:r w:rsidRPr="0092670C">
        <w:rPr>
          <w:rFonts w:ascii="Arial" w:hAnsi="Arial" w:cs="Arial"/>
        </w:rPr>
        <w:t xml:space="preserve">. </w:t>
      </w:r>
    </w:p>
    <w:p w14:paraId="365441D7" w14:textId="157A306B" w:rsidR="003E14AA" w:rsidRPr="0092670C" w:rsidRDefault="003E14AA" w:rsidP="00F80BDA">
      <w:pPr>
        <w:pStyle w:val="Heading3"/>
        <w:rPr>
          <w:rFonts w:ascii="Arial" w:hAnsi="Arial" w:cs="Arial"/>
        </w:rPr>
      </w:pPr>
      <w:bookmarkStart w:id="49" w:name="_Toc82538725"/>
      <w:r w:rsidRPr="0092670C">
        <w:rPr>
          <w:rFonts w:ascii="Arial" w:hAnsi="Arial" w:cs="Arial"/>
        </w:rPr>
        <w:t>Sulphites</w:t>
      </w:r>
      <w:bookmarkEnd w:id="49"/>
      <w:r w:rsidRPr="0092670C">
        <w:rPr>
          <w:rFonts w:ascii="Arial" w:hAnsi="Arial" w:cs="Arial"/>
        </w:rPr>
        <w:t xml:space="preserve"> </w:t>
      </w:r>
    </w:p>
    <w:p w14:paraId="596E9EFC" w14:textId="274A77FE" w:rsidR="003E14AA" w:rsidRPr="0092670C" w:rsidRDefault="003E14AA" w:rsidP="003E14AA">
      <w:pPr>
        <w:spacing w:line="360" w:lineRule="auto"/>
        <w:jc w:val="both"/>
        <w:rPr>
          <w:rFonts w:ascii="Arial" w:hAnsi="Arial" w:cs="Arial"/>
        </w:rPr>
      </w:pPr>
      <w:r w:rsidRPr="0092670C">
        <w:rPr>
          <w:rFonts w:ascii="Arial" w:hAnsi="Arial" w:cs="Arial"/>
        </w:rPr>
        <w:t>These compounds all contain SO</w:t>
      </w:r>
      <w:r w:rsidRPr="0092670C">
        <w:rPr>
          <w:rFonts w:ascii="Arial" w:hAnsi="Arial" w:cs="Arial"/>
          <w:vertAlign w:val="subscript"/>
        </w:rPr>
        <w:t>3</w:t>
      </w:r>
      <w:r w:rsidRPr="0092670C">
        <w:rPr>
          <w:rFonts w:ascii="Arial" w:hAnsi="Arial" w:cs="Arial"/>
        </w:rPr>
        <w:t xml:space="preserve"> groups. Most sulphites additives are analogues of the organic electrolyte components. Ethylene sulphite was first shown to improve the performance of LiMn</w:t>
      </w:r>
      <w:r w:rsidRPr="0092670C">
        <w:rPr>
          <w:rFonts w:ascii="Arial" w:hAnsi="Arial" w:cs="Arial"/>
          <w:vertAlign w:val="subscript"/>
        </w:rPr>
        <w:t>2</w:t>
      </w:r>
      <w:r w:rsidRPr="0092670C">
        <w:rPr>
          <w:rFonts w:ascii="Arial" w:hAnsi="Arial" w:cs="Arial"/>
        </w:rPr>
        <w:t>O</w:t>
      </w:r>
      <w:r w:rsidRPr="0092670C">
        <w:rPr>
          <w:rFonts w:ascii="Arial" w:hAnsi="Arial" w:cs="Arial"/>
          <w:vertAlign w:val="subscript"/>
        </w:rPr>
        <w:t>4</w:t>
      </w:r>
      <w:r w:rsidRPr="0092670C">
        <w:rPr>
          <w:rFonts w:ascii="Arial" w:hAnsi="Arial" w:cs="Arial"/>
        </w:rPr>
        <w:t xml:space="preserve"> which is a cathode material, which was attributed to their high oxidation stability</w:t>
      </w:r>
      <w:r w:rsidR="00D729F3"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&lt;EndNote&gt;&lt;Cite&gt;&lt;Author&gt;Wrodnigg&lt;/Author&gt;&lt;Year&gt;1999&lt;/Year&gt;&lt;RecNum&gt;260&lt;/RecNum&gt;&lt;DisplayText&gt;[83]&lt;/DisplayText&gt;&lt;record&gt;&lt;rec-number&gt;260&lt;/rec-number&gt;&lt;foreign-keys&gt;&lt;key app="EN" db-id="5sa9s0e0r0d9fnexra7pr5xdwd5ztevx95s2" timestamp="1558690228"&gt;260&lt;/key&gt;&lt;/foreign-keys&gt;&lt;ref-type name="Journal Article"&gt;17&lt;/ref-type&gt;&lt;contributors&gt;&lt;authors&gt;&lt;author&gt;Wrodnigg, Gerhard H.&lt;/author&gt;&lt;author&gt;Besenhard, Jürgen O.&lt;/author&gt;&lt;author&gt;Winter, Martin&lt;/author&gt;&lt;/authors&gt;&lt;/contributors&gt;&lt;titles&gt;&lt;title&gt;Ethylene Sulfite as Electrolyte Additive for Lithium</w:instrText>
      </w:r>
      <w:r w:rsidR="00C10A8D">
        <w:rPr>
          <w:rFonts w:ascii="Cambria Math" w:hAnsi="Cambria Math" w:cs="Cambria Math"/>
        </w:rPr>
        <w:instrText>‐</w:instrText>
      </w:r>
      <w:r w:rsidR="00C10A8D">
        <w:rPr>
          <w:rFonts w:ascii="Arial" w:hAnsi="Arial" w:cs="Arial"/>
        </w:rPr>
        <w:instrText>Ion Cells with Graphitic Anodes&lt;/title&gt;&lt;secondary-title&gt;Journal of The Electrochemical Society&lt;/secondary-title&gt;&lt;/titles&gt;&lt;periodical&gt;&lt;full-title&gt;Journal of the Electrochemical Society&lt;/full-title&gt;&lt;abbr-1&gt;J. Electrochem. Soc.&lt;/abbr-1&gt;&lt;/periodical&gt;&lt;pages&gt;470-472&lt;/pages&gt;&lt;volume&gt;146&lt;/volume&gt;&lt;number&gt;2&lt;/number&gt;&lt;dates&gt;&lt;year&gt;1999&lt;/year&gt;&lt;pub-dates&gt;&lt;date&gt;February 1, 1999&lt;/date&gt;&lt;/pub-dates&gt;&lt;/dates&gt;&lt;urls&gt;&lt;related-urls&gt;&lt;url&gt;http://jes.ecsdl.org/content/146/2/470.abstract&lt;/url&gt;&lt;/related-urls&gt;&lt;/urls&gt;&lt;electronic-resource-num&gt;10.1149/1.1391630&lt;/electronic-resource-num&gt;&lt;/record&gt;&lt;/Cite&gt;&lt;/EndNote&gt;</w:instrText>
      </w:r>
      <w:r w:rsidRPr="0092670C">
        <w:rPr>
          <w:rFonts w:ascii="Arial" w:hAnsi="Arial" w:cs="Arial"/>
        </w:rPr>
        <w:fldChar w:fldCharType="separate"/>
      </w:r>
      <w:r w:rsidR="00C10A8D">
        <w:rPr>
          <w:rFonts w:ascii="Arial" w:hAnsi="Arial" w:cs="Arial"/>
          <w:noProof/>
        </w:rPr>
        <w:t>[83]</w:t>
      </w:r>
      <w:r w:rsidRPr="0092670C">
        <w:rPr>
          <w:rFonts w:ascii="Arial" w:hAnsi="Arial" w:cs="Arial"/>
        </w:rPr>
        <w:fldChar w:fldCharType="end"/>
      </w:r>
      <w:r w:rsidRPr="0092670C">
        <w:rPr>
          <w:rFonts w:ascii="Arial" w:hAnsi="Arial" w:cs="Arial"/>
        </w:rPr>
        <w:t xml:space="preserve">. They also found that they can help to supress PC co-intercalation in graphite anodes. This was only an initial finding and they didn’t elaborate on these results or suggest a mechanism. Yu </w:t>
      </w:r>
      <w:r w:rsidRPr="0092670C">
        <w:rPr>
          <w:rFonts w:ascii="Arial" w:hAnsi="Arial" w:cs="Arial"/>
          <w:i/>
        </w:rPr>
        <w:t xml:space="preserve">et al. </w:t>
      </w:r>
      <w:r w:rsidRPr="0092670C">
        <w:rPr>
          <w:rFonts w:ascii="Arial" w:hAnsi="Arial" w:cs="Arial"/>
        </w:rPr>
        <w:t>recorded the physical properties of the four carbonate analogues: Ethylene sulphite</w:t>
      </w:r>
      <w:r w:rsidR="00AD6308" w:rsidRPr="0092670C">
        <w:rPr>
          <w:rFonts w:ascii="Arial" w:hAnsi="Arial" w:cs="Arial"/>
        </w:rPr>
        <w:t xml:space="preserve"> </w:t>
      </w:r>
      <w:r w:rsidR="001B6625" w:rsidRPr="0092670C">
        <w:rPr>
          <w:rFonts w:ascii="Arial" w:hAnsi="Arial" w:cs="Arial"/>
        </w:rPr>
        <w:t>(ES)</w:t>
      </w:r>
      <w:r w:rsidRPr="0092670C">
        <w:rPr>
          <w:rFonts w:ascii="Arial" w:hAnsi="Arial" w:cs="Arial"/>
        </w:rPr>
        <w:t>, propylene sulphite</w:t>
      </w:r>
      <w:r w:rsidR="00AD6308" w:rsidRPr="0092670C">
        <w:rPr>
          <w:rFonts w:ascii="Arial" w:hAnsi="Arial" w:cs="Arial"/>
        </w:rPr>
        <w:t xml:space="preserve"> (PS)</w:t>
      </w:r>
      <w:r w:rsidRPr="0092670C">
        <w:rPr>
          <w:rFonts w:ascii="Arial" w:hAnsi="Arial" w:cs="Arial"/>
        </w:rPr>
        <w:t>, dimethyl sulphite</w:t>
      </w:r>
      <w:r w:rsidR="00AD6308" w:rsidRPr="0092670C">
        <w:rPr>
          <w:rFonts w:ascii="Arial" w:hAnsi="Arial" w:cs="Arial"/>
        </w:rPr>
        <w:t xml:space="preserve"> (DMS)</w:t>
      </w:r>
      <w:r w:rsidRPr="0092670C">
        <w:rPr>
          <w:rFonts w:ascii="Arial" w:hAnsi="Arial" w:cs="Arial"/>
        </w:rPr>
        <w:t xml:space="preserve"> and diethylene sulphite</w:t>
      </w:r>
      <w:r w:rsidR="00AD6308" w:rsidRPr="0092670C">
        <w:rPr>
          <w:rFonts w:ascii="Arial" w:hAnsi="Arial" w:cs="Arial"/>
        </w:rPr>
        <w:t xml:space="preserve"> (DES)</w:t>
      </w:r>
      <w:r w:rsidR="00D729F3"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&lt;EndNote&gt;&lt;Cite&gt;&lt;Author&gt;Yu&lt;/Author&gt;&lt;Year&gt;2006&lt;/Year&gt;&lt;RecNum&gt;259&lt;/RecNum&gt;&lt;DisplayText&gt;[84]&lt;/DisplayText&gt;&lt;record&gt;&lt;rec-number&gt;259&lt;/rec-number&gt;&lt;foreign-keys&gt;&lt;key app="EN" db-id="5sa9s0e0r0d9fnexra7pr5xdwd5ztevx95s2" timestamp="1558633639"&gt;259&lt;/key&gt;&lt;/foreign-keys&gt;&lt;ref-type name="Journal Article"&gt;17&lt;/ref-type&gt;&lt;contributors&gt;&lt;authors&gt;&lt;author&gt;Yu, Bi Tao&lt;/author&gt;&lt;author&gt;Qiu, Wei Hua&lt;/author&gt;&lt;author&gt;Li, Fu Shen&lt;/author&gt;&lt;author&gt;Cheng, Li&lt;/author&gt;&lt;/authors&gt;&lt;/contributors&gt;&lt;titles&gt;&lt;title&gt;A study on sulfites for lithium-ion battery electrolytes&lt;/title&gt;&lt;secondary-title&gt;Journal of Power Sources&lt;/secondary-title&gt;&lt;/titles&gt;&lt;periodical&gt;&lt;full-title&gt;Journal of Power Sources&lt;/full-title&gt;&lt;/periodical&gt;&lt;pages&gt;1373-1378&lt;/pages&gt;&lt;volume&gt;158&lt;/volume&gt;&lt;number&gt;2&lt;/number&gt;&lt;keywords&gt;&lt;keyword&gt;Lithium-ion battery&lt;/keyword&gt;&lt;keyword&gt;Electrolyte&lt;/keyword&gt;&lt;keyword&gt;Organic sulfites&lt;/keyword&gt;&lt;keyword&gt;Additives&lt;/keyword&gt;&lt;keyword&gt;Solvent&lt;/keyword&gt;&lt;/keywords&gt;&lt;dates&gt;&lt;year&gt;2006&lt;/year&gt;&lt;pub-dates&gt;&lt;date&gt;2006/08/25/&lt;/date&gt;&lt;/pub-dates&gt;&lt;/dates&gt;&lt;isbn&gt;0378-7753&lt;/isbn&gt;&lt;urls&gt;&lt;related-urls&gt;&lt;url&gt;http://www.sciencedirect.com/science/article/pii/S0378775305014084&lt;/url&gt;&lt;/related-urls&gt;&lt;/urls&gt;&lt;electronic-resource-num&gt;https://doi.org/10.1016/j.jpowsour.2005.10.033&lt;/electronic-resource-num&gt;&lt;/record&gt;&lt;/Cite&gt;&lt;/EndNote&gt;</w:instrText>
      </w:r>
      <w:r w:rsidRPr="0092670C">
        <w:rPr>
          <w:rFonts w:ascii="Arial" w:hAnsi="Arial" w:cs="Arial"/>
        </w:rPr>
        <w:fldChar w:fldCharType="separate"/>
      </w:r>
      <w:r w:rsidR="00C10A8D">
        <w:rPr>
          <w:rFonts w:ascii="Arial" w:hAnsi="Arial" w:cs="Arial"/>
          <w:noProof/>
        </w:rPr>
        <w:t>[84]</w:t>
      </w:r>
      <w:r w:rsidRPr="0092670C">
        <w:rPr>
          <w:rFonts w:ascii="Arial" w:hAnsi="Arial" w:cs="Arial"/>
        </w:rPr>
        <w:fldChar w:fldCharType="end"/>
      </w:r>
      <w:r w:rsidRPr="0092670C">
        <w:rPr>
          <w:rFonts w:ascii="Arial" w:hAnsi="Arial" w:cs="Arial"/>
        </w:rPr>
        <w:t>. They found that they had wider liquid ranges and higher flash points than their carbonate analogues. This gave them good potential as electrolytes because the high melting point of EC (36°C) limits the low temperature window for current batteries. The high flash point improves the safety of the cell, which is especially important given the recent spate of electric car fires that have affected the industry</w:t>
      </w:r>
      <w:r w:rsidR="00D729F3"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&lt;EndNote&gt;&lt;Cite&gt;&lt;Author&gt;David Stringer &lt;/Author&gt;&lt;Year&gt;2019&lt;/Year&gt;&lt;RecNum&gt;261&lt;/RecNum&gt;&lt;DisplayText&gt;[85]&lt;/DisplayText&gt;&lt;record&gt;&lt;rec-number&gt;261&lt;/rec-number&gt;&lt;foreign-keys&gt;&lt;key app="EN" db-id="5sa9s0e0r0d9fnexra7pr5xdwd5ztevx95s2" timestamp="1558695047"&gt;261&lt;/key&gt;&lt;/foreign-keys&gt;&lt;ref-type name="Web Page"&gt;12&lt;/ref-type&gt;&lt;contributors&gt;&lt;authors&gt;&lt;author&gt;David Stringer , Jie Ma , and Jinshan Hong&lt;/author&gt;&lt;/authors&gt;&lt;/contributors&gt;&lt;titles&gt;&lt;title&gt;Tesla Fires Sound Alarms About Electric-Car Battery Safety&lt;/title&gt;&lt;/titles&gt;&lt;volume&gt;2019&lt;/volume&gt;&lt;number&gt;24/05/19&lt;/number&gt;&lt;dates&gt;&lt;year&gt;2019&lt;/year&gt;&lt;/dates&gt;&lt;publisher&gt;Bloomberg&lt;/publisher&gt;&lt;urls&gt;&lt;related-urls&gt;&lt;url&gt;https://www.bloomberg.com/news/articles/2019-05-16/tesla-fires-sound-alarms-about-safety-of-electric-car-batteries&lt;/url&gt;&lt;/related-urls&gt;&lt;/urls&gt;&lt;/record&gt;&lt;/Cite&gt;&lt;/EndNote&gt;</w:instrText>
      </w:r>
      <w:r w:rsidRPr="0092670C">
        <w:rPr>
          <w:rFonts w:ascii="Arial" w:hAnsi="Arial" w:cs="Arial"/>
        </w:rPr>
        <w:fldChar w:fldCharType="separate"/>
      </w:r>
      <w:r w:rsidR="00C10A8D">
        <w:rPr>
          <w:rFonts w:ascii="Arial" w:hAnsi="Arial" w:cs="Arial"/>
          <w:noProof/>
        </w:rPr>
        <w:t>[85]</w:t>
      </w:r>
      <w:r w:rsidRPr="0092670C">
        <w:rPr>
          <w:rFonts w:ascii="Arial" w:hAnsi="Arial" w:cs="Arial"/>
        </w:rPr>
        <w:fldChar w:fldCharType="end"/>
      </w:r>
      <w:r w:rsidRPr="0092670C">
        <w:rPr>
          <w:rFonts w:ascii="Arial" w:hAnsi="Arial" w:cs="Arial"/>
        </w:rPr>
        <w:t>. As well as recording the physical properties of the sulphites they also tested them electrochemically. They showed that the presence of as little as 0.3% of ethylene sulphite could improve coulombic efficiency of full cells</w:t>
      </w:r>
      <w:r w:rsidR="00D729F3"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&lt;EndNote&gt;&lt;Cite&gt;&lt;Author&gt;Yu&lt;/Author&gt;&lt;Year&gt;2006&lt;/Year&gt;&lt;RecNum&gt;259&lt;/RecNum&gt;&lt;DisplayText&gt;[84]&lt;/DisplayText&gt;&lt;record&gt;&lt;rec-number&gt;259&lt;/rec-number&gt;&lt;foreign-keys&gt;&lt;key app="EN" db-id="5sa9s0e0r0d9fnexra7pr5xdwd5ztevx95s2" timestamp="1558633639"&gt;259&lt;/key&gt;&lt;/foreign-keys&gt;&lt;ref-type name="Journal Article"&gt;17&lt;/ref-type&gt;&lt;contributors&gt;&lt;authors&gt;&lt;author&gt;Yu, Bi Tao&lt;/author&gt;&lt;author&gt;Qiu, Wei Hua&lt;/author&gt;&lt;author&gt;Li, Fu Shen&lt;/author&gt;&lt;author&gt;Cheng, Li&lt;/author&gt;&lt;/authors&gt;&lt;/contributors&gt;&lt;titles&gt;&lt;title&gt;A study on sulfites for lithium-ion battery electrolytes&lt;/title&gt;&lt;secondary-title&gt;Journal of Power Sources&lt;/secondary-title&gt;&lt;/titles&gt;&lt;periodical&gt;&lt;full-title&gt;Journal of Power Sources&lt;/full-title&gt;&lt;/periodical&gt;&lt;pages&gt;1373-1378&lt;/pages&gt;&lt;volume&gt;158&lt;/volume&gt;&lt;number&gt;2&lt;/number&gt;&lt;keywords&gt;&lt;keyword&gt;Lithium-ion battery&lt;/keyword&gt;&lt;keyword&gt;Electrolyte&lt;/keyword&gt;&lt;keyword&gt;Organic sulfites&lt;/keyword&gt;&lt;keyword&gt;Additives&lt;/keyword&gt;&lt;keyword&gt;Solvent&lt;/keyword&gt;&lt;/keywords&gt;&lt;dates&gt;&lt;year&gt;2006&lt;/year&gt;&lt;pub-dates&gt;&lt;date&gt;2006/08/25/&lt;/date&gt;&lt;/pub-dates&gt;&lt;/dates&gt;&lt;isbn&gt;0378-7753&lt;/isbn&gt;&lt;urls&gt;&lt;related-urls&gt;&lt;url&gt;http://www.sciencedirect.com/science/article/pii/S0378775305014084&lt;/url&gt;&lt;/related-urls&gt;&lt;/urls&gt;&lt;electronic-resource-num&gt;https://doi.org/10.1016/j.jpowsour.2005.10.033&lt;/electronic-resource-num&gt;&lt;/record&gt;&lt;/Cite&gt;&lt;/EndNote&gt;</w:instrText>
      </w:r>
      <w:r w:rsidRPr="0092670C">
        <w:rPr>
          <w:rFonts w:ascii="Arial" w:hAnsi="Arial" w:cs="Arial"/>
        </w:rPr>
        <w:fldChar w:fldCharType="separate"/>
      </w:r>
      <w:r w:rsidR="00C10A8D">
        <w:rPr>
          <w:rFonts w:ascii="Arial" w:hAnsi="Arial" w:cs="Arial"/>
          <w:noProof/>
        </w:rPr>
        <w:t>[84]</w:t>
      </w:r>
      <w:r w:rsidRPr="0092670C">
        <w:rPr>
          <w:rFonts w:ascii="Arial" w:hAnsi="Arial" w:cs="Arial"/>
        </w:rPr>
        <w:fldChar w:fldCharType="end"/>
      </w:r>
      <w:r w:rsidRPr="0092670C">
        <w:rPr>
          <w:rFonts w:ascii="Arial" w:hAnsi="Arial" w:cs="Arial"/>
        </w:rPr>
        <w:t xml:space="preserve">. Using CV, they identified two peaks at 0.6 and 1.5 volts during the first discharge that they attributed to ethylene sulphite decomposition. </w:t>
      </w:r>
    </w:p>
    <w:p w14:paraId="03D60723" w14:textId="2CBE7F98" w:rsidR="003E14AA" w:rsidRPr="0092670C" w:rsidRDefault="003E14AA" w:rsidP="003E14AA">
      <w:pPr>
        <w:spacing w:line="360" w:lineRule="auto"/>
        <w:jc w:val="both"/>
        <w:rPr>
          <w:rFonts w:ascii="Arial" w:hAnsi="Arial" w:cs="Arial"/>
        </w:rPr>
      </w:pPr>
      <w:r w:rsidRPr="0092670C">
        <w:rPr>
          <w:rFonts w:ascii="Arial" w:hAnsi="Arial" w:cs="Arial"/>
        </w:rPr>
        <w:t>The main sulphite SEI components are Li</w:t>
      </w:r>
      <w:r w:rsidRPr="0092670C">
        <w:rPr>
          <w:rFonts w:ascii="Arial" w:hAnsi="Arial" w:cs="Arial"/>
          <w:vertAlign w:val="subscript"/>
        </w:rPr>
        <w:t>2</w:t>
      </w:r>
      <w:r w:rsidRPr="0092670C">
        <w:rPr>
          <w:rFonts w:ascii="Arial" w:hAnsi="Arial" w:cs="Arial"/>
        </w:rPr>
        <w:t>SO</w:t>
      </w:r>
      <w:r w:rsidRPr="0092670C">
        <w:rPr>
          <w:rFonts w:ascii="Arial" w:hAnsi="Arial" w:cs="Arial"/>
          <w:vertAlign w:val="subscript"/>
        </w:rPr>
        <w:t>3</w:t>
      </w:r>
      <w:r w:rsidRPr="0092670C">
        <w:rPr>
          <w:rFonts w:ascii="Arial" w:hAnsi="Arial" w:cs="Arial"/>
        </w:rPr>
        <w:t xml:space="preserve"> and (RSO</w:t>
      </w:r>
      <w:r w:rsidRPr="0092670C">
        <w:rPr>
          <w:rFonts w:ascii="Arial" w:hAnsi="Arial" w:cs="Arial"/>
          <w:vertAlign w:val="subscript"/>
        </w:rPr>
        <w:t>3</w:t>
      </w:r>
      <w:r w:rsidRPr="0092670C">
        <w:rPr>
          <w:rFonts w:ascii="Arial" w:hAnsi="Arial" w:cs="Arial"/>
        </w:rPr>
        <w:t>Li)</w:t>
      </w:r>
      <w:r w:rsidRPr="0092670C">
        <w:rPr>
          <w:rFonts w:ascii="Arial" w:hAnsi="Arial" w:cs="Arial"/>
          <w:vertAlign w:val="subscript"/>
        </w:rPr>
        <w:t>2</w:t>
      </w:r>
      <w:r w:rsidRPr="0092670C">
        <w:rPr>
          <w:rFonts w:ascii="Arial" w:hAnsi="Arial" w:cs="Arial"/>
        </w:rPr>
        <w:t>, analogous to the Li</w:t>
      </w:r>
      <w:r w:rsidRPr="0092670C">
        <w:rPr>
          <w:rFonts w:ascii="Arial" w:hAnsi="Arial" w:cs="Arial"/>
          <w:vertAlign w:val="subscript"/>
        </w:rPr>
        <w:t>2</w:t>
      </w:r>
      <w:r w:rsidRPr="0092670C">
        <w:rPr>
          <w:rFonts w:ascii="Arial" w:hAnsi="Arial" w:cs="Arial"/>
        </w:rPr>
        <w:t>CO</w:t>
      </w:r>
      <w:r w:rsidRPr="0092670C">
        <w:rPr>
          <w:rFonts w:ascii="Arial" w:hAnsi="Arial" w:cs="Arial"/>
          <w:vertAlign w:val="subscript"/>
        </w:rPr>
        <w:t>3</w:t>
      </w:r>
      <w:r w:rsidRPr="0092670C">
        <w:rPr>
          <w:rFonts w:ascii="Arial" w:hAnsi="Arial" w:cs="Arial"/>
        </w:rPr>
        <w:t xml:space="preserve"> and (ROCO</w:t>
      </w:r>
      <w:r w:rsidRPr="0092670C">
        <w:rPr>
          <w:rFonts w:ascii="Arial" w:hAnsi="Arial" w:cs="Arial"/>
          <w:vertAlign w:val="subscript"/>
        </w:rPr>
        <w:t>2</w:t>
      </w:r>
      <w:r w:rsidRPr="0092670C">
        <w:rPr>
          <w:rFonts w:ascii="Arial" w:hAnsi="Arial" w:cs="Arial"/>
        </w:rPr>
        <w:t>Li)</w:t>
      </w:r>
      <w:r w:rsidRPr="0092670C">
        <w:rPr>
          <w:rFonts w:ascii="Arial" w:hAnsi="Arial" w:cs="Arial"/>
          <w:vertAlign w:val="subscript"/>
        </w:rPr>
        <w:t>2</w:t>
      </w:r>
      <w:r w:rsidRPr="0092670C">
        <w:rPr>
          <w:rFonts w:ascii="Arial" w:hAnsi="Arial" w:cs="Arial"/>
        </w:rPr>
        <w:t xml:space="preserve"> formed in organic electrolytes</w:t>
      </w:r>
      <w:r w:rsidR="00D729F3"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&lt;EndNote&gt;&lt;Cite&gt;&lt;Author&gt;Haregewoin&lt;/Author&gt;&lt;Year&gt;2016&lt;/Year&gt;&lt;RecNum&gt;177&lt;/RecNum&gt;&lt;DisplayText&gt;[86]&lt;/DisplayText&gt;&lt;record&gt;&lt;rec-number&gt;177&lt;/rec-number&gt;&lt;foreign-keys&gt;&lt;key app="EN" db-id="5sa9s0e0r0d9fnexra7pr5xdwd5ztevx95s2" timestamp="1551098102"&gt;177&lt;/key&gt;&lt;/foreign-keys&gt;&lt;ref-type name="Journal Article"&gt;17&lt;/ref-type&gt;&lt;contributors&gt;&lt;authors&gt;&lt;author&gt;Haregewoin, Atetegeb Meazah&lt;/author&gt;&lt;author&gt;Wotango, Aselefech Sorsa&lt;/author&gt;&lt;author&gt;Hwang, Bing-Joe&lt;/author&gt;&lt;/authors&gt;&lt;/contributors&gt;&lt;titles&gt;&lt;title&gt;Electrolyte additives for lithium ion battery electrodes: progress and perspectives&lt;/title&gt;&lt;secondary-title&gt;Energy Environ. Sci.&lt;/secondary-title&gt;&lt;/titles&gt;&lt;periodical&gt;&lt;full-title&gt;Energy Environ. Sci.&lt;/full-title&gt;&lt;/periodical&gt;&lt;pages&gt;1955-1988&lt;/pages&gt;&lt;volume&gt;9&lt;/volume&gt;&lt;number&gt;6&lt;/number&gt;&lt;dates&gt;&lt;year&gt;2016&lt;/year&gt;&lt;/dates&gt;&lt;publisher&gt;Royal Society of Chemistry (RSC)&lt;/publisher&gt;&lt;isbn&gt;1754-5692&lt;/isbn&gt;&lt;urls&gt;&lt;related-urls&gt;&lt;url&gt;https://dx.doi.org/10.1039/c6ee00123h&lt;/url&gt;&lt;/related-urls&gt;&lt;pdf-urls&gt;&lt;url&gt;file://C:\Users\danie\Downloads\kopernio\Haregewoin-2016-Electrolyte-additives-for-lithium-i.pdf&lt;/url&gt;&lt;/pdf-urls&gt;&lt;/urls&gt;&lt;electronic-resource-num&gt;10.1039/c6ee00123h&lt;/electronic-resource-num&gt;&lt;/record&gt;&lt;/Cite&gt;&lt;/EndNote&gt;</w:instrText>
      </w:r>
      <w:r w:rsidRPr="0092670C">
        <w:rPr>
          <w:rFonts w:ascii="Arial" w:hAnsi="Arial" w:cs="Arial"/>
        </w:rPr>
        <w:fldChar w:fldCharType="separate"/>
      </w:r>
      <w:r w:rsidR="00C10A8D">
        <w:rPr>
          <w:rFonts w:ascii="Arial" w:hAnsi="Arial" w:cs="Arial"/>
          <w:noProof/>
        </w:rPr>
        <w:t>[86]</w:t>
      </w:r>
      <w:r w:rsidRPr="0092670C">
        <w:rPr>
          <w:rFonts w:ascii="Arial" w:hAnsi="Arial" w:cs="Arial"/>
        </w:rPr>
        <w:fldChar w:fldCharType="end"/>
      </w:r>
      <w:r w:rsidRPr="0092670C">
        <w:rPr>
          <w:rFonts w:ascii="Arial" w:hAnsi="Arial" w:cs="Arial"/>
        </w:rPr>
        <w:t>. Computational investigations</w:t>
      </w:r>
      <w:r w:rsidR="00C21677" w:rsidRPr="0092670C">
        <w:rPr>
          <w:rFonts w:ascii="Arial" w:hAnsi="Arial" w:cs="Arial"/>
        </w:rPr>
        <w:t xml:space="preserve"> were conducted</w:t>
      </w:r>
      <w:r w:rsidRPr="0092670C">
        <w:rPr>
          <w:rFonts w:ascii="Arial" w:hAnsi="Arial" w:cs="Arial"/>
        </w:rPr>
        <w:t xml:space="preserve"> by Leggesse and Jiang on PS. They found that the breakdown voltage</w:t>
      </w:r>
      <w:r w:rsidR="00C21677" w:rsidRPr="0092670C">
        <w:rPr>
          <w:rFonts w:ascii="Arial" w:hAnsi="Arial" w:cs="Arial"/>
        </w:rPr>
        <w:t xml:space="preserve"> of PS</w:t>
      </w:r>
      <w:r w:rsidRPr="0092670C">
        <w:rPr>
          <w:rFonts w:ascii="Arial" w:hAnsi="Arial" w:cs="Arial"/>
        </w:rPr>
        <w:t xml:space="preserve"> is higher than that of PC highlighting its potential as an additive. The breakdown happens in a similar manner to PC with the PS becoming reduced leading to ring opening. This radical can then either dimerise or decompose further into Li</w:t>
      </w:r>
      <w:r w:rsidRPr="0092670C">
        <w:rPr>
          <w:rFonts w:ascii="Arial" w:hAnsi="Arial" w:cs="Arial"/>
          <w:vertAlign w:val="subscript"/>
        </w:rPr>
        <w:t>2</w:t>
      </w:r>
      <w:r w:rsidRPr="0092670C">
        <w:rPr>
          <w:rFonts w:ascii="Arial" w:hAnsi="Arial" w:cs="Arial"/>
        </w:rPr>
        <w:t>SO</w:t>
      </w:r>
      <w:r w:rsidRPr="0092670C">
        <w:rPr>
          <w:rFonts w:ascii="Arial" w:hAnsi="Arial" w:cs="Arial"/>
          <w:vertAlign w:val="subscript"/>
        </w:rPr>
        <w:t>3</w:t>
      </w:r>
      <w:r w:rsidRPr="0092670C">
        <w:rPr>
          <w:rFonts w:ascii="Arial" w:hAnsi="Arial" w:cs="Arial"/>
        </w:rPr>
        <w:t xml:space="preserve">. This is important as these are the products that have been found experimentally. Zhang </w:t>
      </w:r>
      <w:r w:rsidRPr="0092670C">
        <w:rPr>
          <w:rFonts w:ascii="Arial" w:hAnsi="Arial" w:cs="Arial"/>
          <w:i/>
        </w:rPr>
        <w:t>et al</w:t>
      </w:r>
      <w:r w:rsidRPr="0092670C">
        <w:rPr>
          <w:rFonts w:ascii="Arial" w:hAnsi="Arial" w:cs="Arial"/>
        </w:rPr>
        <w:t>. compared the SEI formation process of PS with VC</w:t>
      </w:r>
      <w:r w:rsidR="008D3FB4"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&lt;EndNote&gt;&lt;Cite&gt;&lt;Author&gt;Zhang&lt;/Author&gt;&lt;Year&gt;2015&lt;/Year&gt;&lt;RecNum&gt;211&lt;/RecNum&gt;&lt;DisplayText&gt;[87]&lt;/DisplayText&gt;&lt;record&gt;&lt;rec-number&gt;211&lt;/rec-number&gt;&lt;foreign-keys&gt;&lt;key app="EN" db-id="5sa9s0e0r0d9fnexra7pr5xdwd5ztevx95s2" timestamp="1554904921"&gt;211&lt;/key&gt;&lt;/foreign-keys&gt;&lt;ref-type name="Journal Article"&gt;17&lt;/ref-type&gt;&lt;contributors&gt;&lt;authors&gt;&lt;author&gt;Zhang, Bo&lt;/author&gt;&lt;author&gt;Metzger, Michael&lt;/author&gt;&lt;author&gt;Solchenbach, Sophie&lt;/author&gt;&lt;author&gt;Payne, Martin&lt;/author&gt;&lt;author&gt;Meini, Stefano&lt;/author&gt;&lt;author&gt;Gasteiger, Hubert A.&lt;/author&gt;&lt;author&gt;Garsuch, Arnd&lt;/author&gt;&lt;author&gt;Lucht, Brett L.&lt;/author&gt;&lt;/authors&gt;&lt;/contributors&gt;&lt;titles&gt;&lt;title&gt;Role of 1,3-Propane Sultone and Vinylene Carbonate in Solid Electrolyte Interface Formation and Gas Generation&lt;/title&gt;&lt;secondary-title&gt;The Journal of Physical Chemistry C&lt;/secondary-title&gt;&lt;/titles&gt;&lt;periodical&gt;&lt;full-title&gt;The Journal of Physical Chemistry C&lt;/full-title&gt;&lt;/periodical&gt;&lt;pages&gt;11337-11348&lt;/pages&gt;&lt;volume&gt;119&lt;/volume&gt;&lt;number&gt;21&lt;/number&gt;&lt;dates&gt;&lt;year&gt;2015&lt;/year&gt;&lt;pub-dates&gt;&lt;date&gt;2015/05/28&lt;/date&gt;&lt;/pub-dates&gt;&lt;/dates&gt;&lt;publisher&gt;American Chemical Society&lt;/publisher&gt;&lt;isbn&gt;1932-7447&lt;/isbn&gt;&lt;urls&gt;&lt;related-urls&gt;&lt;url&gt;https://doi.org/10.1021/acs.jpcc.5b00072&lt;/url&gt;&lt;/related-urls&gt;&lt;/urls&gt;&lt;electronic-resource-num&gt;10.1021/acs.jpcc.5b00072&lt;/electronic-resource-num&gt;&lt;/record&gt;&lt;/Cite&gt;&lt;/EndNote&gt;</w:instrText>
      </w:r>
      <w:r w:rsidRPr="0092670C">
        <w:rPr>
          <w:rFonts w:ascii="Arial" w:hAnsi="Arial" w:cs="Arial"/>
        </w:rPr>
        <w:fldChar w:fldCharType="separate"/>
      </w:r>
      <w:r w:rsidR="00C10A8D">
        <w:rPr>
          <w:rFonts w:ascii="Arial" w:hAnsi="Arial" w:cs="Arial"/>
          <w:noProof/>
        </w:rPr>
        <w:t>[87]</w:t>
      </w:r>
      <w:r w:rsidRPr="0092670C">
        <w:rPr>
          <w:rFonts w:ascii="Arial" w:hAnsi="Arial" w:cs="Arial"/>
        </w:rPr>
        <w:fldChar w:fldCharType="end"/>
      </w:r>
      <w:r w:rsidRPr="0092670C">
        <w:rPr>
          <w:rFonts w:ascii="Arial" w:hAnsi="Arial" w:cs="Arial"/>
        </w:rPr>
        <w:t>. They found that the PS film had a lower impedance than that of the VC based one. This could be attributed to the presence of RSO</w:t>
      </w:r>
      <w:r w:rsidRPr="0092670C">
        <w:rPr>
          <w:rFonts w:ascii="Arial" w:hAnsi="Arial" w:cs="Arial"/>
          <w:vertAlign w:val="subscript"/>
        </w:rPr>
        <w:t>3</w:t>
      </w:r>
      <w:r w:rsidRPr="0092670C">
        <w:rPr>
          <w:rFonts w:ascii="Arial" w:hAnsi="Arial" w:cs="Arial"/>
        </w:rPr>
        <w:t>Li that can help to conduct Li ions in a similar manner to Li</w:t>
      </w:r>
      <w:r w:rsidRPr="0092670C">
        <w:rPr>
          <w:rFonts w:ascii="Arial" w:hAnsi="Arial" w:cs="Arial"/>
          <w:vertAlign w:val="subscript"/>
        </w:rPr>
        <w:t>2</w:t>
      </w:r>
      <w:r w:rsidRPr="0092670C">
        <w:rPr>
          <w:rFonts w:ascii="Arial" w:hAnsi="Arial" w:cs="Arial"/>
        </w:rPr>
        <w:t>CO</w:t>
      </w:r>
      <w:r w:rsidRPr="0092670C">
        <w:rPr>
          <w:rFonts w:ascii="Arial" w:hAnsi="Arial" w:cs="Arial"/>
          <w:vertAlign w:val="subscript"/>
        </w:rPr>
        <w:t>3</w:t>
      </w:r>
      <w:r w:rsidR="008D3FB4" w:rsidRPr="0092670C">
        <w:rPr>
          <w:rFonts w:ascii="Arial" w:hAnsi="Arial" w:cs="Arial"/>
          <w:vertAlign w:val="subscript"/>
        </w:rPr>
        <w:t xml:space="preserve"> </w:t>
      </w:r>
      <w:r w:rsidRPr="0092670C">
        <w:rPr>
          <w:rFonts w:ascii="Arial" w:hAnsi="Arial" w:cs="Arial"/>
        </w:rPr>
        <w:fldChar w:fldCharType="begin"/>
      </w:r>
      <w:r w:rsidR="00C10A8D">
        <w:rPr>
          <w:rFonts w:ascii="Arial" w:hAnsi="Arial" w:cs="Arial"/>
        </w:rPr>
        <w:instrText xml:space="preserve"> ADDIN EN.CITE &lt;EndNote&gt;&lt;Cite&gt;&lt;Author&gt;Shi&lt;/Author&gt;&lt;Year&gt;2012&lt;/Year&gt;&lt;RecNum&gt;244&lt;/RecNum&gt;&lt;DisplayText&gt;[68]&lt;/DisplayText&gt;&lt;record&gt;&lt;rec-number&gt;244&lt;/rec-number&gt;&lt;foreign-keys&gt;&lt;key app="EN" db-id="5sa9s0e0r0d9fnexra7pr5xdwd5ztevx95s2" timestamp="1558017383"&gt;244&lt;/key&gt;&lt;/foreign-keys&gt;&lt;ref-type name="Journal Article"&gt;17&lt;/ref-type&gt;&lt;contributors&gt;&lt;authors&gt;&lt;author&gt;Shi, Siqi&lt;/author&gt;&lt;author&gt;Lu, Peng&lt;/author&gt;&lt;author&gt;Liu, Zhongyi&lt;/author&gt;&lt;author&gt;Qi, Yue&lt;/author&gt;&lt;author&gt;Hector, Louis G.&lt;/author&gt;&lt;author&gt;Li, Hong&lt;/author&gt;&lt;author&gt;Harris, Stephen J.&lt;/author&gt;&lt;/authors&gt;&lt;/contributors&gt;&lt;titles&gt;&lt;title&gt;Direct Calculation of Li-Ion Transport in the Solid Electrolyte Interphase&lt;/title&gt;&lt;secondary-title&gt;Journal of the American Chemical Society&lt;/secondary-title&gt;&lt;/titles&gt;&lt;periodical&gt;&lt;full-title&gt;Journal of the American Chemical Society&lt;/full-title&gt;&lt;/periodical&gt;&lt;pages&gt;15476-15487&lt;/pages&gt;&lt;volume&gt;134&lt;/volume&gt;&lt;number&gt;37&lt;/number&gt;&lt;dates&gt;&lt;year&gt;2012&lt;/year&gt;&lt;pub-dates&gt;&lt;date&gt;2012/09/19&lt;/date&gt;&lt;/pub-dates&gt;&lt;/dates&gt;&lt;publisher&gt;American Chemical Society&lt;/publisher&gt;&lt;isbn&gt;0002-7863&lt;/isbn&gt;&lt;urls&gt;&lt;related-urls&gt;&lt;url&gt;https://doi.org/10.1021/ja305366r&lt;/url&gt;&lt;/related-urls&gt;&lt;/urls&gt;&lt;electronic-resource-num&gt;10.1021/ja305366r&lt;/electronic-resource-num&gt;&lt;/record&gt;&lt;/Cite&gt;&lt;/EndNote&gt;</w:instrText>
      </w:r>
      <w:r w:rsidRPr="0092670C">
        <w:rPr>
          <w:rFonts w:ascii="Arial" w:hAnsi="Arial" w:cs="Arial"/>
        </w:rPr>
        <w:fldChar w:fldCharType="separate"/>
      </w:r>
      <w:r w:rsidR="00C10A8D">
        <w:rPr>
          <w:rFonts w:ascii="Arial" w:hAnsi="Arial" w:cs="Arial"/>
          <w:noProof/>
        </w:rPr>
        <w:t>[68]</w:t>
      </w:r>
      <w:r w:rsidRPr="0092670C">
        <w:rPr>
          <w:rFonts w:ascii="Arial" w:hAnsi="Arial" w:cs="Arial"/>
        </w:rPr>
        <w:fldChar w:fldCharType="end"/>
      </w:r>
      <w:r w:rsidRPr="0092670C">
        <w:rPr>
          <w:rFonts w:ascii="Arial" w:hAnsi="Arial" w:cs="Arial"/>
        </w:rPr>
        <w:t>. They found that combining both VC and PS results in the good conductivity of the SEI associated with PS coupled with the durability of a VC based SEI. They also found that both additives reduce ethylene evolution significantly</w:t>
      </w:r>
      <w:r w:rsidR="0058227E" w:rsidRPr="0092670C">
        <w:rPr>
          <w:rFonts w:ascii="Arial" w:hAnsi="Arial" w:cs="Arial"/>
        </w:rPr>
        <w:t xml:space="preserve"> which ties in with the reduction pathways seen in </w:t>
      </w:r>
      <w:r w:rsidR="0058227E" w:rsidRPr="0092670C">
        <w:rPr>
          <w:rFonts w:ascii="Arial" w:hAnsi="Arial" w:cs="Arial"/>
        </w:rPr>
        <w:fldChar w:fldCharType="begin"/>
      </w:r>
      <w:r w:rsidR="0058227E" w:rsidRPr="0092670C">
        <w:rPr>
          <w:rFonts w:ascii="Arial" w:hAnsi="Arial" w:cs="Arial"/>
        </w:rPr>
        <w:instrText xml:space="preserve"> REF _Ref30623742 \h  \* MERGEFORMAT </w:instrText>
      </w:r>
      <w:r w:rsidR="0058227E" w:rsidRPr="0092670C">
        <w:rPr>
          <w:rFonts w:ascii="Arial" w:hAnsi="Arial" w:cs="Arial"/>
        </w:rPr>
      </w:r>
      <w:r w:rsidR="0058227E"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14</w:t>
      </w:r>
      <w:r w:rsidR="0058227E" w:rsidRPr="0092670C">
        <w:rPr>
          <w:rFonts w:ascii="Arial" w:hAnsi="Arial" w:cs="Arial"/>
        </w:rPr>
        <w:fldChar w:fldCharType="end"/>
      </w:r>
      <w:r w:rsidRPr="0092670C">
        <w:rPr>
          <w:rFonts w:ascii="Arial" w:hAnsi="Arial" w:cs="Arial"/>
        </w:rPr>
        <w:t xml:space="preserve">. </w:t>
      </w:r>
    </w:p>
    <w:p w14:paraId="44DC782C" w14:textId="77777777" w:rsidR="003E14AA" w:rsidRPr="0092670C" w:rsidRDefault="003E14AA" w:rsidP="003E14AA">
      <w:pPr>
        <w:keepNext/>
        <w:jc w:val="center"/>
        <w:rPr>
          <w:rFonts w:ascii="Arial" w:hAnsi="Arial" w:cs="Arial"/>
        </w:rPr>
      </w:pPr>
      <w:r w:rsidRPr="0092670C">
        <w:rPr>
          <w:rFonts w:ascii="Arial" w:hAnsi="Arial" w:cs="Arial"/>
          <w:noProof/>
        </w:rPr>
        <w:drawing>
          <wp:inline distT="0" distB="0" distL="0" distR="0" wp14:anchorId="160A4A99" wp14:editId="23DC7A5E">
            <wp:extent cx="3067050" cy="2738482"/>
            <wp:effectExtent l="0" t="0" r="0" b="5080"/>
            <wp:docPr id="1" name="Picture 1" descr="https://pubs.acs.org/appl/literatum/publisher/achs/journals/content/jpccck/2015/jpccck.2015.119.issue-21/acs.jpcc.5b00072/20150521/images/large/jp-2015-00072m_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bs.acs.org/appl/literatum/publisher/achs/journals/content/jpccck/2015/jpccck.2015.119.issue-21/acs.jpcc.5b00072/20150521/images/large/jp-2015-00072m_000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95365" cy="2763763"/>
                    </a:xfrm>
                    <a:prstGeom prst="rect">
                      <a:avLst/>
                    </a:prstGeom>
                    <a:noFill/>
                    <a:ln>
                      <a:noFill/>
                    </a:ln>
                  </pic:spPr>
                </pic:pic>
              </a:graphicData>
            </a:graphic>
          </wp:inline>
        </w:drawing>
      </w:r>
    </w:p>
    <w:p w14:paraId="58FAFB23" w14:textId="3976D1F2" w:rsidR="003E14AA" w:rsidRPr="00B97230" w:rsidRDefault="003E14AA" w:rsidP="003E14AA">
      <w:pPr>
        <w:spacing w:after="200" w:line="240" w:lineRule="auto"/>
        <w:jc w:val="center"/>
        <w:rPr>
          <w:rFonts w:ascii="Arial" w:hAnsi="Arial" w:cs="Arial"/>
          <w:i/>
          <w:iCs/>
          <w:color w:val="44546A" w:themeColor="text2"/>
          <w:sz w:val="20"/>
          <w:szCs w:val="20"/>
        </w:rPr>
      </w:pPr>
      <w:bookmarkStart w:id="50" w:name="_Ref30623742"/>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14</w:t>
      </w:r>
      <w:r w:rsidR="00356A26">
        <w:rPr>
          <w:rFonts w:ascii="Arial" w:hAnsi="Arial" w:cs="Arial"/>
          <w:i/>
          <w:iCs/>
          <w:color w:val="44546A" w:themeColor="text2"/>
          <w:sz w:val="20"/>
          <w:szCs w:val="20"/>
        </w:rPr>
        <w:fldChar w:fldCharType="end"/>
      </w:r>
      <w:bookmarkEnd w:id="50"/>
      <w:r w:rsidRPr="00B97230">
        <w:rPr>
          <w:rFonts w:ascii="Arial" w:hAnsi="Arial" w:cs="Arial"/>
          <w:i/>
          <w:iCs/>
          <w:color w:val="44546A" w:themeColor="text2"/>
          <w:sz w:val="20"/>
          <w:szCs w:val="20"/>
        </w:rPr>
        <w:t xml:space="preserve">: Comparison between the reduction pathways of different additives </w:t>
      </w:r>
      <w:r w:rsidRPr="00B97230">
        <w:rPr>
          <w:rFonts w:ascii="Arial" w:hAnsi="Arial" w:cs="Arial"/>
          <w:i/>
          <w:iCs/>
          <w:color w:val="44546A" w:themeColor="text2"/>
          <w:sz w:val="20"/>
          <w:szCs w:val="20"/>
        </w:rPr>
        <w:fldChar w:fldCharType="begin"/>
      </w:r>
      <w:r w:rsidR="00C10A8D">
        <w:rPr>
          <w:rFonts w:ascii="Arial" w:hAnsi="Arial" w:cs="Arial"/>
          <w:i/>
          <w:iCs/>
          <w:color w:val="44546A" w:themeColor="text2"/>
          <w:sz w:val="20"/>
          <w:szCs w:val="20"/>
        </w:rPr>
        <w:instrText xml:space="preserve"> ADDIN EN.CITE &lt;EndNote&gt;&lt;Cite&gt;&lt;Author&gt;Zhang&lt;/Author&gt;&lt;Year&gt;2015&lt;/Year&gt;&lt;RecNum&gt;211&lt;/RecNum&gt;&lt;DisplayText&gt;[87]&lt;/DisplayText&gt;&lt;record&gt;&lt;rec-number&gt;211&lt;/rec-number&gt;&lt;foreign-keys&gt;&lt;key app="EN" db-id="5sa9s0e0r0d9fnexra7pr5xdwd5ztevx95s2" timestamp="1554904921"&gt;211&lt;/key&gt;&lt;/foreign-keys&gt;&lt;ref-type name="Journal Article"&gt;17&lt;/ref-type&gt;&lt;contributors&gt;&lt;authors&gt;&lt;author&gt;Zhang, Bo&lt;/author&gt;&lt;author&gt;Metzger, Michael&lt;/author&gt;&lt;author&gt;Solchenbach, Sophie&lt;/author&gt;&lt;author&gt;Payne, Martin&lt;/author&gt;&lt;author&gt;Meini, Stefano&lt;/author&gt;&lt;author&gt;Gasteiger, Hubert A.&lt;/author&gt;&lt;author&gt;Garsuch, Arnd&lt;/author&gt;&lt;author&gt;Lucht, Brett L.&lt;/author&gt;&lt;/authors&gt;&lt;/contributors&gt;&lt;titles&gt;&lt;title&gt;Role of 1,3-Propane Sultone and Vinylene Carbonate in Solid Electrolyte Interface Formation and Gas Generation&lt;/title&gt;&lt;secondary-title&gt;The Journal of Physical Chemistry C&lt;/secondary-title&gt;&lt;/titles&gt;&lt;periodical&gt;&lt;full-title&gt;The Journal of Physical Chemistry C&lt;/full-title&gt;&lt;/periodical&gt;&lt;pages&gt;11337-11348&lt;/pages&gt;&lt;volume&gt;119&lt;/volume&gt;&lt;number&gt;21&lt;/number&gt;&lt;dates&gt;&lt;year&gt;2015&lt;/year&gt;&lt;pub-dates&gt;&lt;date&gt;2015/05/28&lt;/date&gt;&lt;/pub-dates&gt;&lt;/dates&gt;&lt;publisher&gt;American Chemical Society&lt;/publisher&gt;&lt;isbn&gt;1932-7447&lt;/isbn&gt;&lt;urls&gt;&lt;related-urls&gt;&lt;url&gt;https://doi.org/10.1021/acs.jpcc.5b00072&lt;/url&gt;&lt;/related-urls&gt;&lt;/urls&gt;&lt;electronic-resource-num&gt;10.1021/acs.jpcc.5b00072&lt;/electronic-resource-num&gt;&lt;/record&gt;&lt;/Cite&gt;&lt;/EndNote&gt;</w:instrText>
      </w:r>
      <w:r w:rsidRPr="00B97230">
        <w:rPr>
          <w:rFonts w:ascii="Arial" w:hAnsi="Arial" w:cs="Arial"/>
          <w:i/>
          <w:iCs/>
          <w:color w:val="44546A" w:themeColor="text2"/>
          <w:sz w:val="20"/>
          <w:szCs w:val="20"/>
        </w:rPr>
        <w:fldChar w:fldCharType="separate"/>
      </w:r>
      <w:r w:rsidR="00C10A8D">
        <w:rPr>
          <w:rFonts w:ascii="Arial" w:hAnsi="Arial" w:cs="Arial"/>
          <w:i/>
          <w:iCs/>
          <w:noProof/>
          <w:color w:val="44546A" w:themeColor="text2"/>
          <w:sz w:val="20"/>
          <w:szCs w:val="20"/>
        </w:rPr>
        <w:t>[87]</w:t>
      </w:r>
      <w:r w:rsidRPr="00B97230">
        <w:rPr>
          <w:rFonts w:ascii="Arial" w:hAnsi="Arial" w:cs="Arial"/>
          <w:i/>
          <w:iCs/>
          <w:color w:val="44546A" w:themeColor="text2"/>
          <w:sz w:val="20"/>
          <w:szCs w:val="20"/>
        </w:rPr>
        <w:fldChar w:fldCharType="end"/>
      </w:r>
      <w:r w:rsidR="006E2F57" w:rsidRPr="00B97230">
        <w:rPr>
          <w:rFonts w:ascii="Arial" w:hAnsi="Arial" w:cs="Arial"/>
          <w:i/>
          <w:iCs/>
          <w:color w:val="44546A" w:themeColor="text2"/>
          <w:sz w:val="20"/>
          <w:szCs w:val="20"/>
        </w:rPr>
        <w:t>.</w:t>
      </w:r>
    </w:p>
    <w:p w14:paraId="2F814EAC" w14:textId="39649EB2" w:rsidR="003E14AA" w:rsidRPr="0092670C" w:rsidRDefault="003E14AA" w:rsidP="00F80BDA">
      <w:pPr>
        <w:pStyle w:val="Heading3"/>
        <w:rPr>
          <w:rFonts w:ascii="Arial" w:hAnsi="Arial" w:cs="Arial"/>
        </w:rPr>
      </w:pPr>
      <w:r w:rsidRPr="0092670C">
        <w:rPr>
          <w:rFonts w:ascii="Arial" w:hAnsi="Arial" w:cs="Arial"/>
        </w:rPr>
        <w:t xml:space="preserve"> </w:t>
      </w:r>
      <w:bookmarkStart w:id="51" w:name="_Toc82538726"/>
      <w:r w:rsidR="00AE713A">
        <w:rPr>
          <w:rFonts w:ascii="Arial" w:hAnsi="Arial" w:cs="Arial"/>
        </w:rPr>
        <w:t>Other additives</w:t>
      </w:r>
      <w:bookmarkEnd w:id="51"/>
    </w:p>
    <w:p w14:paraId="293CDCFB" w14:textId="3CFA97CB" w:rsidR="003E14AA" w:rsidRPr="0092670C" w:rsidRDefault="003E14AA" w:rsidP="00AE713A">
      <w:pPr>
        <w:spacing w:line="360" w:lineRule="auto"/>
        <w:jc w:val="both"/>
        <w:rPr>
          <w:rFonts w:ascii="Arial" w:hAnsi="Arial" w:cs="Arial"/>
        </w:rPr>
      </w:pPr>
      <w:r w:rsidRPr="0092670C">
        <w:rPr>
          <w:rFonts w:ascii="Arial" w:hAnsi="Arial" w:cs="Arial"/>
        </w:rPr>
        <w:t>A wide range of boron compounds</w:t>
      </w:r>
      <w:r w:rsidR="00F12F70">
        <w:rPr>
          <w:rFonts w:ascii="Arial" w:hAnsi="Arial" w:cs="Arial"/>
        </w:rPr>
        <w:t xml:space="preserve"> such as B</w:t>
      </w:r>
      <w:r w:rsidR="00F12F70" w:rsidRPr="00F12F70">
        <w:rPr>
          <w:rFonts w:ascii="Arial" w:hAnsi="Arial" w:cs="Arial"/>
          <w:vertAlign w:val="subscript"/>
        </w:rPr>
        <w:t>2</w:t>
      </w:r>
      <w:r w:rsidR="00F12F70">
        <w:rPr>
          <w:rFonts w:ascii="Arial" w:hAnsi="Arial" w:cs="Arial"/>
        </w:rPr>
        <w:t>O</w:t>
      </w:r>
      <w:r w:rsidR="00F12F70" w:rsidRPr="00F12F70">
        <w:rPr>
          <w:rFonts w:ascii="Arial" w:hAnsi="Arial" w:cs="Arial"/>
          <w:vertAlign w:val="subscript"/>
        </w:rPr>
        <w:t>3</w:t>
      </w:r>
      <w:r w:rsidRPr="0092670C">
        <w:rPr>
          <w:rFonts w:ascii="Arial" w:hAnsi="Arial" w:cs="Arial"/>
        </w:rPr>
        <w:t xml:space="preserve"> have been utilised as additives from inorganic boron trioxide to organic Lithium boro-organic salts</w:t>
      </w:r>
      <w:r w:rsidR="004019DD"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&lt;EndNote&gt;&lt;Cite&gt;&lt;Author&gt;Mao&lt;/Author&gt;&lt;Year&gt;1999&lt;/Year&gt;&lt;RecNum&gt;216&lt;/RecNum&gt;&lt;DisplayText&gt;[88, 89]&lt;/DisplayText&gt;&lt;record&gt;&lt;rec-number&gt;216&lt;/rec-number&gt;&lt;foreign-keys&gt;&lt;key app="EN" db-id="5sa9s0e0r0d9fnexra7pr5xdwd5ztevx95s2" timestamp="1554992247"&gt;216&lt;/key&gt;&lt;/foreign-keys&gt;&lt;ref-type name="Generic"&gt;13&lt;/ref-type&gt;&lt;contributors&gt;&lt;authors&gt;&lt;author&gt;Mao, Huanyu&lt;/author&gt;&lt;author&gt;Reimers, Jan Naess&lt;/author&gt;&lt;/authors&gt;&lt;/contributors&gt;&lt;titles&gt;&lt;title&gt;Use of B2 O3 additive in non-aqueous rechargeable lithium batteries&lt;/title&gt;&lt;/titles&gt;&lt;dates&gt;&lt;year&gt;1999&lt;/year&gt;&lt;/dates&gt;&lt;publisher&gt;Google Patents&lt;/publisher&gt;&lt;urls&gt;&lt;/urls&gt;&lt;/record&gt;&lt;/Cite&gt;&lt;Cite&gt;&lt;Author&gt;Aurbach&lt;/Author&gt;&lt;Year&gt;2004&lt;/Year&gt;&lt;RecNum&gt;217&lt;/RecNum&gt;&lt;record&gt;&lt;rec-number&gt;217&lt;/rec-number&gt;&lt;foreign-keys&gt;&lt;key app="EN" db-id="5sa9s0e0r0d9fnexra7pr5xdwd5ztevx95s2" timestamp="1554992385"&gt;217&lt;/key&gt;&lt;/foreign-keys&gt;&lt;ref-type name="Journal Article"&gt;17&lt;/ref-type&gt;&lt;contributors&gt;&lt;authors&gt;&lt;author&gt;Aurbach, D.&lt;/author&gt;&lt;author&gt;Gnanaraj, J. S.&lt;/author&gt;&lt;author&gt;Geissler, W.&lt;/author&gt;&lt;author&gt;Schmidt, M.&lt;/author&gt;&lt;/authors&gt;&lt;/contributors&gt;&lt;titles&gt;&lt;title&gt;Vinylene Carbonate and Li Salicylatoborate as Additives in LiPF3 (  CF 2 CF 3 ) 3 Solutions for Rechargeable Li-Ion Batteries&lt;/title&gt;&lt;secondary-title&gt;Journal of The Electrochemical Society&lt;/secondary-title&gt;&lt;/titles&gt;&lt;periodical&gt;&lt;full-title&gt;Journal of the Electrochemical Society&lt;/full-title&gt;&lt;abbr-1&gt;J. Electrochem. Soc.&lt;/abbr-1&gt;&lt;/periodical&gt;&lt;pages&gt;A23-A30&lt;/pages&gt;&lt;volume&gt;151&lt;/volume&gt;&lt;number&gt;1&lt;/number&gt;&lt;dates&gt;&lt;year&gt;2004&lt;/year&gt;&lt;pub-dates&gt;&lt;date&gt;January 1, 2004&lt;/date&gt;&lt;/pub-dates&gt;&lt;/dates&gt;&lt;urls&gt;&lt;related-urls&gt;&lt;url&gt;http://jes.ecsdl.org/content/151/1/A23.abstract&lt;/url&gt;&lt;/related-urls&gt;&lt;/urls&gt;&lt;electronic-resource-num&gt;10.1149/1.1631820&lt;/electronic-resource-num&gt;&lt;/record&gt;&lt;/Cite&gt;&lt;/EndNote&gt;</w:instrText>
      </w:r>
      <w:r w:rsidRPr="0092670C">
        <w:rPr>
          <w:rFonts w:ascii="Arial" w:hAnsi="Arial" w:cs="Arial"/>
        </w:rPr>
        <w:fldChar w:fldCharType="separate"/>
      </w:r>
      <w:r w:rsidR="00C10A8D">
        <w:rPr>
          <w:rFonts w:ascii="Arial" w:hAnsi="Arial" w:cs="Arial"/>
          <w:noProof/>
        </w:rPr>
        <w:t>[88, 89]</w:t>
      </w:r>
      <w:r w:rsidRPr="0092670C">
        <w:rPr>
          <w:rFonts w:ascii="Arial" w:hAnsi="Arial" w:cs="Arial"/>
        </w:rPr>
        <w:fldChar w:fldCharType="end"/>
      </w:r>
      <w:r w:rsidRPr="0092670C">
        <w:rPr>
          <w:rFonts w:ascii="Arial" w:hAnsi="Arial" w:cs="Arial"/>
        </w:rPr>
        <w:t>. Boron compounds have been found to increase the rate capabilities of cells as well as improve their performance in low temperatures</w:t>
      </w:r>
      <w:r w:rsidR="008D3FB4"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&lt;EndNote&gt;&lt;Cite&gt;&lt;Author&gt;Contestabile&lt;/Author&gt;&lt;Year&gt;2003&lt;/Year&gt;&lt;RecNum&gt;218&lt;/RecNum&gt;&lt;DisplayText&gt;[90]&lt;/DisplayText&gt;&lt;record&gt;&lt;rec-number&gt;218&lt;/rec-number&gt;&lt;foreign-keys&gt;&lt;key app="EN" db-id="5sa9s0e0r0d9fnexra7pr5xdwd5ztevx95s2" timestamp="1554992846"&gt;218&lt;/key&gt;&lt;/foreign-keys&gt;&lt;ref-type name="Journal Article"&gt;17&lt;/ref-type&gt;&lt;contributors&gt;&lt;authors&gt;&lt;author&gt;Contestabile, M.&lt;/author&gt;&lt;author&gt;Morselli, M.&lt;/author&gt;&lt;author&gt;Paraventi, R.&lt;/author&gt;&lt;author&gt;Neat, R. J.&lt;/author&gt;&lt;/authors&gt;&lt;/contributors&gt;&lt;titles&gt;&lt;title&gt;A comparative study on the effect of electrolyte/additives on the performance of ICP383562 Li-ion polymer (soft-pack) cells&lt;/title&gt;&lt;secondary-title&gt;Journal of Power Sources&lt;/secondary-title&gt;&lt;/titles&gt;&lt;periodical&gt;&lt;full-title&gt;Journal of Power Sources&lt;/full-title&gt;&lt;/periodical&gt;&lt;pages&gt;943-947&lt;/pages&gt;&lt;volume&gt;119-121&lt;/volume&gt;&lt;keywords&gt;&lt;keyword&gt;Lithium-ion polymer cell&lt;/keyword&gt;&lt;keyword&gt;Electrolyte additives&lt;/keyword&gt;&lt;keyword&gt;Vinylene carbonate&lt;/keyword&gt;&lt;keyword&gt;Organic borates&lt;/keyword&gt;&lt;keyword&gt;Cycle life&lt;/keyword&gt;&lt;/keywords&gt;&lt;dates&gt;&lt;year&gt;2003&lt;/year&gt;&lt;pub-dates&gt;&lt;date&gt;2003/06/01/&lt;/date&gt;&lt;/pub-dates&gt;&lt;/dates&gt;&lt;isbn&gt;0378-7753&lt;/isbn&gt;&lt;urls&gt;&lt;related-urls&gt;&lt;url&gt;http://www.sciencedirect.com/science/article/pii/S0378775303002921&lt;/url&gt;&lt;/related-urls&gt;&lt;/urls&gt;&lt;electronic-resource-num&gt;https://doi.org/10.1016/S0378-7753(03)00292-1&lt;/electronic-resource-num&gt;&lt;/record&gt;&lt;/Cite&gt;&lt;/EndNote&gt;</w:instrText>
      </w:r>
      <w:r w:rsidRPr="0092670C">
        <w:rPr>
          <w:rFonts w:ascii="Arial" w:hAnsi="Arial" w:cs="Arial"/>
        </w:rPr>
        <w:fldChar w:fldCharType="separate"/>
      </w:r>
      <w:r w:rsidR="00C10A8D">
        <w:rPr>
          <w:rFonts w:ascii="Arial" w:hAnsi="Arial" w:cs="Arial"/>
          <w:noProof/>
        </w:rPr>
        <w:t>[90]</w:t>
      </w:r>
      <w:r w:rsidRPr="0092670C">
        <w:rPr>
          <w:rFonts w:ascii="Arial" w:hAnsi="Arial" w:cs="Arial"/>
        </w:rPr>
        <w:fldChar w:fldCharType="end"/>
      </w:r>
      <w:r w:rsidRPr="0092670C">
        <w:rPr>
          <w:rFonts w:ascii="Arial" w:hAnsi="Arial" w:cs="Arial"/>
        </w:rPr>
        <w:t>. XPS data has shown the presence of O-B-O bonds in the SEI when boron compounds were used as an additive</w:t>
      </w:r>
      <w:r w:rsidR="008D3FB4"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&lt;EndNote&gt;&lt;Cite&gt;&lt;Author&gt;Xu&lt;/Author&gt;&lt;Year&gt;2003&lt;/Year&gt;&lt;RecNum&gt;219&lt;/RecNum&gt;&lt;DisplayText&gt;[91]&lt;/DisplayText&gt;&lt;record&gt;&lt;rec-number&gt;219&lt;/rec-number&gt;&lt;foreign-keys&gt;&lt;key app="EN" db-id="5sa9s0e0r0d9fnexra7pr5xdwd5ztevx95s2" timestamp="1554994135"&gt;219&lt;/key&gt;&lt;/foreign-keys&gt;&lt;ref-type name="Journal Article"&gt;17&lt;/ref-type&gt;&lt;contributors&gt;&lt;authors&gt;&lt;author&gt;Xu, Kang&lt;/author&gt;&lt;author&gt;Lee, Unchul&lt;/author&gt;&lt;author&gt;Zhang, Shengshui&lt;/author&gt;&lt;author&gt;Wood, Mark&lt;/author&gt;&lt;author&gt;Jow, T. Richard&lt;/author&gt;&lt;/authors&gt;&lt;/contributors&gt;&lt;titles&gt;&lt;title&gt;Chemical Analysis of Graphite/Electrolyte Interface Formed in LiBOB-Based Electrolytes&lt;/title&gt;&lt;secondary-title&gt;Electrochemical and Solid-State Letters&lt;/secondary-title&gt;&lt;/titles&gt;&lt;periodical&gt;&lt;full-title&gt;Electrochemical and Solid-State Letters&lt;/full-title&gt;&lt;/periodical&gt;&lt;pages&gt;A144-A148&lt;/pages&gt;&lt;volume&gt;6&lt;/volume&gt;&lt;number&gt;7&lt;/number&gt;&lt;dates&gt;&lt;year&gt;2003&lt;/year&gt;&lt;pub-dates&gt;&lt;date&gt;July 1, 2003&lt;/date&gt;&lt;/pub-dates&gt;&lt;/dates&gt;&lt;urls&gt;&lt;related-urls&gt;&lt;url&gt;http://esl.ecsdl.org/content/6/7/A144.abstract&lt;/url&gt;&lt;/related-urls&gt;&lt;/urls&gt;&lt;electronic-resource-num&gt;10.1149/1.1576049&lt;/electronic-resource-num&gt;&lt;/record&gt;&lt;/Cite&gt;&lt;/EndNote&gt;</w:instrText>
      </w:r>
      <w:r w:rsidRPr="0092670C">
        <w:rPr>
          <w:rFonts w:ascii="Arial" w:hAnsi="Arial" w:cs="Arial"/>
        </w:rPr>
        <w:fldChar w:fldCharType="separate"/>
      </w:r>
      <w:r w:rsidR="00C10A8D">
        <w:rPr>
          <w:rFonts w:ascii="Arial" w:hAnsi="Arial" w:cs="Arial"/>
          <w:noProof/>
        </w:rPr>
        <w:t>[91]</w:t>
      </w:r>
      <w:r w:rsidRPr="0092670C">
        <w:rPr>
          <w:rFonts w:ascii="Arial" w:hAnsi="Arial" w:cs="Arial"/>
        </w:rPr>
        <w:fldChar w:fldCharType="end"/>
      </w:r>
      <w:r w:rsidRPr="0092670C">
        <w:rPr>
          <w:rFonts w:ascii="Arial" w:hAnsi="Arial" w:cs="Arial"/>
        </w:rPr>
        <w:t xml:space="preserve">. This was attributed to the boron reacting with the lithium salts to further oligomerisation. Boron compounds, whilst useful stabilising the SEI on the anode </w:t>
      </w:r>
      <w:bookmarkStart w:id="52" w:name="_Hlk83284533"/>
      <w:r w:rsidRPr="0092670C">
        <w:rPr>
          <w:rFonts w:ascii="Arial" w:hAnsi="Arial" w:cs="Arial"/>
        </w:rPr>
        <w:t xml:space="preserve">can </w:t>
      </w:r>
      <w:r w:rsidR="0034337D">
        <w:rPr>
          <w:rFonts w:ascii="Arial" w:hAnsi="Arial" w:cs="Arial"/>
        </w:rPr>
        <w:t xml:space="preserve">also help cathode performance by suppressing metal dissolution </w:t>
      </w:r>
      <w:bookmarkEnd w:id="52"/>
      <w:r w:rsidR="0034337D">
        <w:rPr>
          <w:rFonts w:ascii="Arial" w:hAnsi="Arial" w:cs="Arial"/>
        </w:rPr>
        <w:fldChar w:fldCharType="begin"/>
      </w:r>
      <w:r w:rsidR="0034337D">
        <w:rPr>
          <w:rFonts w:ascii="Arial" w:hAnsi="Arial" w:cs="Arial"/>
        </w:rPr>
        <w:instrText xml:space="preserve"> ADDIN EN.CITE &lt;EndNote&gt;&lt;Cite&gt;&lt;Author&gt;Abeywardana&lt;/Author&gt;&lt;Year&gt;2019&lt;/Year&gt;&lt;RecNum&gt;380&lt;/RecNum&gt;&lt;DisplayText&gt;[92]&lt;/DisplayText&gt;&lt;record&gt;&lt;rec-number&gt;380&lt;/rec-number&gt;&lt;foreign-keys&gt;&lt;key app="EN" db-id="5sa9s0e0r0d9fnexra7pr5xdwd5ztevx95s2" timestamp="1632388394"&gt;380&lt;/key&gt;&lt;/foreign-keys&gt;&lt;ref-type name="Journal Article"&gt;17&lt;/ref-type&gt;&lt;contributors&gt;&lt;authors&gt;&lt;author&gt;Abeywardana, Maheeka Yapa&lt;/author&gt;&lt;author&gt;Laszczynski, Nina&lt;/author&gt;&lt;author&gt;Kuenzel, Matthias&lt;/author&gt;&lt;author&gt;Bresser, Dominic&lt;/author&gt;&lt;author&gt;Passerini, Stefano&lt;/author&gt;&lt;author&gt;Lucht, Brett&lt;/author&gt;&lt;/authors&gt;&lt;secondary-authors&gt;&lt;author&gt;Mohamedi, Mohamed&lt;/author&gt;&lt;/secondary-authors&gt;&lt;/contributors&gt;&lt;titles&gt;&lt;title&gt;Increased Cycling Performance of Li-Ion Batteries by Phosphoric Acid Modified LiNi&amp;lt;sub&amp;gt;0.5&amp;lt;/sub&amp;gt;Mn&amp;lt;sub&amp;gt;1.5&amp;lt;/sub&amp;gt;O&amp;lt;sub&amp;gt;4&amp;lt;/sub&amp;gt; Cathodes in the Presence of LiBOB&lt;/title&gt;&lt;secondary-title&gt;International Journal of Electrochemistry&lt;/secondary-title&gt;&lt;/titles&gt;&lt;periodical&gt;&lt;full-title&gt;International Journal of Electrochemistry&lt;/full-title&gt;&lt;/periodical&gt;&lt;pages&gt;8636540&lt;/pages&gt;&lt;volume&gt;2019&lt;/volume&gt;&lt;dates&gt;&lt;year&gt;2019&lt;/year&gt;&lt;pub-dates&gt;&lt;date&gt;2019/07/04&lt;/date&gt;&lt;/pub-dates&gt;&lt;/dates&gt;&lt;publisher&gt;Hindawi&lt;/publisher&gt;&lt;isbn&gt;2090-3529&lt;/isbn&gt;&lt;urls&gt;&lt;related-urls&gt;&lt;url&gt;https://doi.org/10.1155/2019/8636540&lt;/url&gt;&lt;/related-urls&gt;&lt;/urls&gt;&lt;electronic-resource-num&gt;10.1155/2019/8636540&lt;/electronic-resource-num&gt;&lt;/record&gt;&lt;/Cite&gt;&lt;/EndNote&gt;</w:instrText>
      </w:r>
      <w:r w:rsidR="0034337D">
        <w:rPr>
          <w:rFonts w:ascii="Arial" w:hAnsi="Arial" w:cs="Arial"/>
        </w:rPr>
        <w:fldChar w:fldCharType="separate"/>
      </w:r>
      <w:r w:rsidR="0034337D">
        <w:rPr>
          <w:rFonts w:ascii="Arial" w:hAnsi="Arial" w:cs="Arial"/>
          <w:noProof/>
        </w:rPr>
        <w:t>[92]</w:t>
      </w:r>
      <w:r w:rsidR="0034337D">
        <w:rPr>
          <w:rFonts w:ascii="Arial" w:hAnsi="Arial" w:cs="Arial"/>
        </w:rPr>
        <w:fldChar w:fldCharType="end"/>
      </w:r>
      <w:r w:rsidR="0034337D">
        <w:rPr>
          <w:rFonts w:ascii="Arial" w:hAnsi="Arial" w:cs="Arial"/>
        </w:rPr>
        <w:t>.</w:t>
      </w:r>
    </w:p>
    <w:p w14:paraId="1EF654A4" w14:textId="0710E60E" w:rsidR="003E14AA" w:rsidRPr="0092670C" w:rsidRDefault="003E14AA" w:rsidP="003E14AA">
      <w:pPr>
        <w:spacing w:line="360" w:lineRule="auto"/>
        <w:jc w:val="both"/>
        <w:rPr>
          <w:rFonts w:ascii="Arial" w:hAnsi="Arial" w:cs="Arial"/>
        </w:rPr>
      </w:pPr>
      <w:r w:rsidRPr="0092670C">
        <w:rPr>
          <w:rFonts w:ascii="Arial" w:hAnsi="Arial" w:cs="Arial"/>
        </w:rPr>
        <w:t>Maleimide</w:t>
      </w:r>
      <w:r w:rsidR="0058227E" w:rsidRPr="0092670C">
        <w:rPr>
          <w:rFonts w:ascii="Arial" w:hAnsi="Arial" w:cs="Arial"/>
        </w:rPr>
        <w:t xml:space="preserve">, the structure of which can be seen in </w:t>
      </w:r>
      <w:r w:rsidR="0058227E" w:rsidRPr="0092670C">
        <w:rPr>
          <w:rFonts w:ascii="Arial" w:hAnsi="Arial" w:cs="Arial"/>
        </w:rPr>
        <w:fldChar w:fldCharType="begin"/>
      </w:r>
      <w:r w:rsidR="0058227E" w:rsidRPr="0092670C">
        <w:rPr>
          <w:rFonts w:ascii="Arial" w:hAnsi="Arial" w:cs="Arial"/>
        </w:rPr>
        <w:instrText xml:space="preserve"> REF _Ref30623943 \h  \* MERGEFORMAT </w:instrText>
      </w:r>
      <w:r w:rsidR="0058227E" w:rsidRPr="0092670C">
        <w:rPr>
          <w:rFonts w:ascii="Arial" w:hAnsi="Arial" w:cs="Arial"/>
        </w:rPr>
      </w:r>
      <w:r w:rsidR="0058227E"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15</w:t>
      </w:r>
      <w:r w:rsidR="0058227E" w:rsidRPr="0092670C">
        <w:rPr>
          <w:rFonts w:ascii="Arial" w:hAnsi="Arial" w:cs="Arial"/>
        </w:rPr>
        <w:fldChar w:fldCharType="end"/>
      </w:r>
      <w:r w:rsidR="0058227E" w:rsidRPr="0092670C">
        <w:rPr>
          <w:rFonts w:ascii="Arial" w:hAnsi="Arial" w:cs="Arial"/>
        </w:rPr>
        <w:t xml:space="preserve"> and its</w:t>
      </w:r>
      <w:r w:rsidRPr="0092670C">
        <w:rPr>
          <w:rFonts w:ascii="Arial" w:hAnsi="Arial" w:cs="Arial"/>
        </w:rPr>
        <w:t xml:space="preserve"> derivatives form thin polymeric films as an SEI in a similar manner to VC. Most additives are highly delocalised systems that make them ideal for atom transfer radical polymerisation. Wang </w:t>
      </w:r>
      <w:r w:rsidRPr="0092670C">
        <w:rPr>
          <w:rFonts w:ascii="Arial" w:hAnsi="Arial" w:cs="Arial"/>
          <w:i/>
        </w:rPr>
        <w:t>et al.</w:t>
      </w:r>
      <w:r w:rsidRPr="0092670C">
        <w:rPr>
          <w:rFonts w:ascii="Arial" w:hAnsi="Arial" w:cs="Arial"/>
        </w:rPr>
        <w:t xml:space="preserve"> reported that these films improved the reversible capacity of the graphite</w:t>
      </w:r>
      <w:r w:rsidR="004019DD" w:rsidRPr="0092670C">
        <w:rPr>
          <w:rFonts w:ascii="Arial" w:hAnsi="Arial" w:cs="Arial"/>
        </w:rPr>
        <w:t xml:space="preserve"> </w:t>
      </w:r>
      <w:r w:rsidRPr="0092670C">
        <w:rPr>
          <w:rFonts w:ascii="Arial" w:hAnsi="Arial" w:cs="Arial"/>
        </w:rPr>
        <w:fldChar w:fldCharType="begin">
          <w:fldData xml:space="preserve">PEVuZE5vdGU+PENpdGU+PEF1dGhvcj5XYW5nPC9BdXRob3I+PFllYXI+MjAxMzwvWWVhcj48UmVj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PEVuZE5vdGU+PENpdGU+PEF1dGhvcj5XYW5nPC9BdXRob3I+PFllYXI+MjAxMzwvWWVhcj48UmVj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[93, 94]</w:t>
      </w:r>
      <w:r w:rsidRPr="0092670C">
        <w:rPr>
          <w:rFonts w:ascii="Arial" w:hAnsi="Arial" w:cs="Arial"/>
        </w:rPr>
        <w:fldChar w:fldCharType="end"/>
      </w:r>
      <w:r w:rsidRPr="0092670C">
        <w:rPr>
          <w:rFonts w:ascii="Arial" w:hAnsi="Arial" w:cs="Arial"/>
        </w:rPr>
        <w:t xml:space="preserve">. </w:t>
      </w:r>
    </w:p>
    <w:p w14:paraId="6B19C7AE" w14:textId="7F4F21BF" w:rsidR="003E14AA" w:rsidRPr="0092670C" w:rsidRDefault="0067644A" w:rsidP="003E14AA">
      <w:pPr>
        <w:keepNext/>
        <w:jc w:val="center"/>
        <w:rPr>
          <w:rFonts w:ascii="Arial" w:hAnsi="Arial" w:cs="Arial"/>
        </w:rPr>
      </w:pPr>
      <w:r w:rsidRPr="0092670C">
        <w:rPr>
          <w:rFonts w:ascii="Arial" w:hAnsi="Arial" w:cs="Arial"/>
          <w:noProof/>
        </w:rPr>
      </w:r>
      <w:r w:rsidR="0067644A" w:rsidRPr="0092670C">
        <w:rPr>
          <w:rFonts w:ascii="Arial" w:hAnsi="Arial" w:cs="Arial"/>
          <w:noProof/>
        </w:rPr>
        <w:object w:dxaOrig="2336" w:dyaOrig="1256" w14:anchorId="7CBD255B">
          <v:shape id="_x0000_i1040" type="#_x0000_t75" style="width:119.9pt;height:60.1pt" o:ole="">
            <v:imagedata r:id="rId59" o:title=""/>
          </v:shape>
          <o:OLEObject Type="Embed" ProgID="ChemDraw.Document.6.0" ShapeID="_x0000_i1040" DrawAspect="Content" ObjectID="_1700733929" r:id="rId60"/>
        </w:object>
      </w:r>
    </w:p>
    <w:p w14:paraId="5B0FB3DC" w14:textId="79AA3BF3" w:rsidR="003E14AA" w:rsidRPr="00AE713A" w:rsidRDefault="003E14AA" w:rsidP="00AE713A">
      <w:pPr>
        <w:spacing w:after="200" w:line="240" w:lineRule="auto"/>
        <w:jc w:val="center"/>
        <w:rPr>
          <w:rFonts w:ascii="Arial" w:hAnsi="Arial" w:cs="Arial"/>
          <w:i/>
          <w:iCs/>
          <w:color w:val="44546A" w:themeColor="text2"/>
          <w:sz w:val="20"/>
          <w:szCs w:val="20"/>
        </w:rPr>
      </w:pPr>
      <w:bookmarkStart w:id="53" w:name="_Ref30623943"/>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15</w:t>
      </w:r>
      <w:r w:rsidR="00356A26">
        <w:rPr>
          <w:rFonts w:ascii="Arial" w:hAnsi="Arial" w:cs="Arial"/>
          <w:i/>
          <w:iCs/>
          <w:color w:val="44546A" w:themeColor="text2"/>
          <w:sz w:val="20"/>
          <w:szCs w:val="20"/>
        </w:rPr>
        <w:fldChar w:fldCharType="end"/>
      </w:r>
      <w:bookmarkEnd w:id="53"/>
      <w:r w:rsidRPr="00B97230">
        <w:rPr>
          <w:rFonts w:ascii="Arial" w:hAnsi="Arial" w:cs="Arial"/>
          <w:i/>
          <w:iCs/>
          <w:color w:val="44546A" w:themeColor="text2"/>
          <w:sz w:val="20"/>
          <w:szCs w:val="20"/>
        </w:rPr>
        <w:t>: Maleimide</w:t>
      </w:r>
      <w:r w:rsidR="0075298B" w:rsidRPr="00B97230">
        <w:rPr>
          <w:rFonts w:ascii="Arial" w:hAnsi="Arial" w:cs="Arial"/>
          <w:i/>
          <w:iCs/>
          <w:color w:val="44546A" w:themeColor="text2"/>
          <w:sz w:val="20"/>
          <w:szCs w:val="20"/>
        </w:rPr>
        <w:t xml:space="preserve"> structure</w:t>
      </w:r>
      <w:r w:rsidR="006E2F57" w:rsidRPr="00B97230">
        <w:rPr>
          <w:rFonts w:ascii="Arial" w:hAnsi="Arial" w:cs="Arial"/>
          <w:i/>
          <w:iCs/>
          <w:color w:val="44546A" w:themeColor="text2"/>
          <w:sz w:val="20"/>
          <w:szCs w:val="20"/>
        </w:rPr>
        <w:t>.</w:t>
      </w:r>
    </w:p>
    <w:p w14:paraId="6DD64569" w14:textId="72F478BA" w:rsidR="003E14AA" w:rsidRPr="0092670C" w:rsidRDefault="003E14AA" w:rsidP="00AE713A">
      <w:pPr>
        <w:spacing w:line="360" w:lineRule="auto"/>
        <w:jc w:val="both"/>
        <w:rPr>
          <w:rFonts w:ascii="Arial" w:hAnsi="Arial" w:cs="Arial"/>
        </w:rPr>
      </w:pPr>
      <w:r w:rsidRPr="0092670C">
        <w:rPr>
          <w:rFonts w:ascii="Arial" w:hAnsi="Arial" w:cs="Arial"/>
        </w:rPr>
        <w:t>Glycolide is a commonly used monomer unit for ring opening copolymerisation with other common monomers such as lactic acid to form (poly(lactic-co-glycolic acid) which is used in the biomedical field</w:t>
      </w:r>
      <w:r w:rsidR="004019D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&lt;EndNote&gt;&lt;Cite&gt;&lt;Author&gt;Pavot&lt;/Author&gt;&lt;Year&gt;2014&lt;/Year&gt;&lt;RecNum&gt;214&lt;/RecNum&gt;&lt;DisplayText&gt;[95]&lt;/DisplayText&gt;&lt;record&gt;&lt;rec-number&gt;214&lt;/rec-number&gt;&lt;foreign-keys&gt;&lt;key app="EN" db-id="5sa9s0e0r0d9fnexra7pr5xdwd5ztevx95s2" timestamp="1554916376"&gt;214&lt;/key&gt;&lt;/foreign-keys&gt;&lt;ref-type name="Journal Article"&gt;17&lt;/ref-type&gt;&lt;contributors&gt;&lt;authors&gt;&lt;author&gt;Vincent Pavot&lt;/author&gt;&lt;author&gt;Morgane Berthet&lt;/author&gt;&lt;author&gt;Julien Rességuier&lt;/author&gt;&lt;author&gt;Sophie Legaz&lt;/author&gt;&lt;author&gt;Nadège Handké&lt;/author&gt;&lt;author&gt;Sarah C Gilbert&lt;/author&gt;&lt;author&gt;Stéphane Paul&lt;/author&gt;&lt;author&gt;Bernard Verrier&lt;/author&gt;&lt;/authors&gt;&lt;/contributors&gt;&lt;titles&gt;&lt;title&gt;Poly(lactic acid) and poly(lactic-co-glycolic acid) particles as versatile carrier platforms for vaccine delivery&lt;/title&gt;&lt;secondary-title&gt;Nanomedicine&lt;/secondary-title&gt;&lt;/titles&gt;&lt;periodical&gt;&lt;full-title&gt;Nanomedicine&lt;/full-title&gt;&lt;/periodical&gt;&lt;pages&gt;2703-2718&lt;/pages&gt;&lt;volume&gt;9&lt;/volume&gt;&lt;number&gt;17&lt;/number&gt;&lt;keywords&gt;&lt;keyword&gt;adjuvants,biodegradable,controlled release,immune response,particles,PLA,PLGA,vaccine delivery&lt;/keyword&gt;&lt;/keywords&gt;&lt;dates&gt;&lt;year&gt;2014&lt;/year&gt;&lt;/dates&gt;&lt;accession-num&gt;25529572&lt;/accession-num&gt;&lt;urls&gt;&lt;related-urls&gt;&lt;url&gt;https://www.futuremedicine.com/doi/abs/10.2217/nnm.14.156&lt;/url&gt;&lt;/related-urls&gt;&lt;/urls&gt;&lt;electronic-resource-num&gt;10.2217/nnm.14.156&lt;/electronic-resource-num&gt;&lt;/record&gt;&lt;/Cite&gt;&lt;/EndNote&gt;</w:instrText>
      </w:r>
      <w:r w:rsidRPr="0092670C">
        <w:rPr>
          <w:rFonts w:ascii="Arial" w:hAnsi="Arial" w:cs="Arial"/>
        </w:rPr>
        <w:fldChar w:fldCharType="separate"/>
      </w:r>
      <w:r w:rsidR="0034337D">
        <w:rPr>
          <w:rFonts w:ascii="Arial" w:hAnsi="Arial" w:cs="Arial"/>
          <w:noProof/>
        </w:rPr>
        <w:t>[95]</w:t>
      </w:r>
      <w:r w:rsidRPr="0092670C">
        <w:rPr>
          <w:rFonts w:ascii="Arial" w:hAnsi="Arial" w:cs="Arial"/>
        </w:rPr>
        <w:fldChar w:fldCharType="end"/>
      </w:r>
      <w:r w:rsidRPr="0092670C">
        <w:rPr>
          <w:rFonts w:ascii="Arial" w:hAnsi="Arial" w:cs="Arial"/>
        </w:rPr>
        <w:t>.  Polyglycolide aren’t used frequently due to its tendency to hydrolyse. In a LIB this isn’t an issue however due the lack of water. Gylcolide and several of its derivatives were used in cells and their performance compared against VC</w:t>
      </w:r>
      <w:r w:rsidR="004019D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&lt;EndNote&gt;&lt;Cite&gt;&lt;Author&gt;Jeon&lt;/Author&gt;&lt;Year&gt;2012&lt;/Year&gt;&lt;RecNum&gt;215&lt;/RecNum&gt;&lt;DisplayText&gt;[96]&lt;/DisplayText&gt;&lt;record&gt;&lt;rec-number&gt;215&lt;/rec-number&gt;&lt;foreign-keys&gt;&lt;key app="EN" db-id="5sa9s0e0r0d9fnexra7pr5xdwd5ztevx95s2" timestamp="1554917246"&gt;215&lt;/key&gt;&lt;/foreign-keys&gt;&lt;ref-type name="Journal Article"&gt;17&lt;/ref-type&gt;&lt;contributors&gt;&lt;authors&gt;&lt;author&gt;Jeon, Jongho&lt;/author&gt;&lt;author&gt;Yoon, Soojin&lt;/author&gt;&lt;author&gt;Park, Taeyoon&lt;/author&gt;&lt;author&gt;Cho, Jeong-Ju&lt;/author&gt;&lt;author&gt;Kang, Sunwoo&lt;/author&gt;&lt;author&gt;Han, Young-Kyu&lt;/author&gt;&lt;author&gt;Lee, Hochun&lt;/author&gt;&lt;/authors&gt;&lt;/contributors&gt;&lt;titles&gt;&lt;title&gt;Tuning glycolide as an SEI-forming additive for thermally robust Li-ion batteries&lt;/title&gt;&lt;/titles&gt;&lt;pages&gt;21003&lt;/pages&gt;&lt;volume&gt;22&lt;/volume&gt;&lt;number&gt;39&lt;/number&gt;&lt;dates&gt;&lt;year&gt;2012&lt;/year&gt;&lt;/dates&gt;&lt;publisher&gt;Royal Society of Chemistry (RSC)&lt;/publisher&gt;&lt;isbn&gt;0959-9428&lt;/isbn&gt;&lt;urls&gt;&lt;related-urls&gt;&lt;url&gt;https://dx.doi.org/10.1039/C2JM34191C&lt;/url&gt;&lt;/related-urls&gt;&lt;pdf-urls&gt;&lt;url&gt;file://C:\Users\danie\Downloads\kopernio\Jeon-2012-Tuning-glycolide-as-an-sei-forming-.pdf&lt;/url&gt;&lt;/pdf-urls&gt;&lt;/urls&gt;&lt;electronic-resource-num&gt;10.1039/c2jm34191c&lt;/electronic-resource-num&gt;&lt;/record&gt;&lt;/Cite&gt;&lt;/EndNote&gt;</w:instrText>
      </w:r>
      <w:r w:rsidRPr="0092670C">
        <w:rPr>
          <w:rFonts w:ascii="Arial" w:hAnsi="Arial" w:cs="Arial"/>
        </w:rPr>
        <w:fldChar w:fldCharType="separate"/>
      </w:r>
      <w:r w:rsidR="0034337D">
        <w:rPr>
          <w:rFonts w:ascii="Arial" w:hAnsi="Arial" w:cs="Arial"/>
          <w:noProof/>
        </w:rPr>
        <w:t>[96]</w:t>
      </w:r>
      <w:r w:rsidRPr="0092670C">
        <w:rPr>
          <w:rFonts w:ascii="Arial" w:hAnsi="Arial" w:cs="Arial"/>
        </w:rPr>
        <w:fldChar w:fldCharType="end"/>
      </w:r>
      <w:r w:rsidRPr="0092670C">
        <w:rPr>
          <w:rFonts w:ascii="Arial" w:hAnsi="Arial" w:cs="Arial"/>
        </w:rPr>
        <w:t xml:space="preserve">. </w:t>
      </w:r>
      <w:r w:rsidR="0077031C">
        <w:rPr>
          <w:rFonts w:ascii="Arial" w:hAnsi="Arial" w:cs="Arial"/>
        </w:rPr>
        <w:t>It was</w:t>
      </w:r>
      <w:r w:rsidRPr="0092670C">
        <w:rPr>
          <w:rFonts w:ascii="Arial" w:hAnsi="Arial" w:cs="Arial"/>
        </w:rPr>
        <w:t xml:space="preserve"> found that increasing methylation of the glycoside improves the heat tolerance of the cells. </w:t>
      </w:r>
      <w:r w:rsidR="00AA0DD9">
        <w:rPr>
          <w:rFonts w:ascii="Arial" w:hAnsi="Arial" w:cs="Arial"/>
        </w:rPr>
        <w:t>T</w:t>
      </w:r>
      <w:r w:rsidRPr="0092670C">
        <w:rPr>
          <w:rFonts w:ascii="Arial" w:hAnsi="Arial" w:cs="Arial"/>
        </w:rPr>
        <w:t>heir lower capacity when compared with VC</w:t>
      </w:r>
      <w:r w:rsidR="00AA0DD9">
        <w:rPr>
          <w:rFonts w:ascii="Arial" w:hAnsi="Arial" w:cs="Arial"/>
        </w:rPr>
        <w:t xml:space="preserve"> means that they have not become popular additives. </w:t>
      </w:r>
    </w:p>
    <w:p w14:paraId="5031C661" w14:textId="1B671A7F" w:rsidR="003E14AA" w:rsidRPr="0092670C" w:rsidRDefault="003E14AA" w:rsidP="003E14AA">
      <w:pPr>
        <w:spacing w:line="360" w:lineRule="auto"/>
        <w:jc w:val="both"/>
        <w:rPr>
          <w:rFonts w:ascii="Arial" w:hAnsi="Arial" w:cs="Arial"/>
        </w:rPr>
      </w:pPr>
      <w:r w:rsidRPr="0092670C">
        <w:rPr>
          <w:rFonts w:ascii="Arial" w:hAnsi="Arial" w:cs="Arial"/>
        </w:rPr>
        <w:t>Pyridine is an aromatic compound with a nitrogen atom that can be used to form an adduct with Lewis acids. The two most common adducts for use as battery additives are pyridine boron trifluoride (PBF) and pyridine phosphorus pentafluoride (PPF). These adducts have been shown to improve the charge retention at both higher temperatures and higher cell voltages</w:t>
      </w:r>
      <w:r w:rsidR="004019D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&lt;EndNote&gt;&lt;Cite&gt;&lt;Author&gt;Nie&lt;/Author&gt;&lt;Year&gt;2015&lt;/Year&gt;&lt;RecNum&gt;225&lt;/RecNum&gt;&lt;DisplayText&gt;[97]&lt;/DisplayText&gt;&lt;record&gt;&lt;rec-number&gt;225&lt;/rec-number&gt;&lt;foreign-keys&gt;&lt;key app="EN" db-id="5sa9s0e0r0d9fnexra7pr5xdwd5ztevx95s2" timestamp="1555330704"&gt;225&lt;/key&gt;&lt;/foreign-keys&gt;&lt;ref-type name="Journal Article"&gt;17&lt;/ref-type&gt;&lt;contributors&gt;&lt;authors&gt;&lt;author&gt;Nie, Mengyun&lt;/author&gt;&lt;author&gt;Xia, Jian&lt;/author&gt;&lt;author&gt;Dahn, J. R.&lt;/author&gt;&lt;/authors&gt;&lt;/contributors&gt;&lt;titles&gt;&lt;title&gt;Development of Pyridine-Boron Trifluoride Electrolyte Additives for Lithium-Ion Batteries&lt;/title&gt;&lt;secondary-title&gt;Journal of The Electrochemical Society&lt;/secondary-title&gt;&lt;/titles&gt;&lt;periodical&gt;&lt;full-title&gt;Journal of the Electrochemical Society&lt;/full-title&gt;&lt;abbr-1&gt;J. Electrochem. Soc.&lt;/abbr-1&gt;&lt;/periodical&gt;&lt;pages&gt;A1186-A1195&lt;/pages&gt;&lt;volume&gt;162&lt;/volume&gt;&lt;number&gt;7&lt;/number&gt;&lt;dates&gt;&lt;year&gt;2015&lt;/year&gt;&lt;pub-dates&gt;&lt;date&gt;January 1, 2015&lt;/date&gt;&lt;/pub-dates&gt;&lt;/dates&gt;&lt;urls&gt;&lt;related-urls&gt;&lt;url&gt;http://jes.ecsdl.org/content/162/7/A1186.abstract&lt;/url&gt;&lt;/related-urls&gt;&lt;/urls&gt;&lt;electronic-resource-num&gt;10.1149/2.0271507jes&lt;/electronic-resource-num&gt;&lt;/record&gt;&lt;/Cite&gt;&lt;/EndNote&gt;</w:instrText>
      </w:r>
      <w:r w:rsidRPr="0092670C">
        <w:rPr>
          <w:rFonts w:ascii="Arial" w:hAnsi="Arial" w:cs="Arial"/>
        </w:rPr>
        <w:fldChar w:fldCharType="separate"/>
      </w:r>
      <w:r w:rsidR="0034337D">
        <w:rPr>
          <w:rFonts w:ascii="Arial" w:hAnsi="Arial" w:cs="Arial"/>
          <w:noProof/>
        </w:rPr>
        <w:t>[97]</w:t>
      </w:r>
      <w:r w:rsidRPr="0092670C">
        <w:rPr>
          <w:rFonts w:ascii="Arial" w:hAnsi="Arial" w:cs="Arial"/>
        </w:rPr>
        <w:fldChar w:fldCharType="end"/>
      </w:r>
      <w:r w:rsidRPr="0092670C">
        <w:rPr>
          <w:rFonts w:ascii="Arial" w:hAnsi="Arial" w:cs="Arial"/>
        </w:rPr>
        <w:t>. Increasing the temperature window for cells will be important going forward as electric vehicles are subjected to harsh weather conditions over longer periods of time. The higher voltage tolerance is vital for developing new cathode materials, such as LiCoPO</w:t>
      </w:r>
      <w:r w:rsidRPr="0092670C">
        <w:rPr>
          <w:rFonts w:ascii="Arial" w:hAnsi="Arial" w:cs="Arial"/>
          <w:vertAlign w:val="subscript"/>
        </w:rPr>
        <w:t>4</w:t>
      </w:r>
      <w:r w:rsidRPr="0092670C">
        <w:rPr>
          <w:rFonts w:ascii="Arial" w:hAnsi="Arial" w:cs="Arial"/>
        </w:rPr>
        <w:t>, as raising the cell voltage is currently one of the most promising routes to increasing energy density</w:t>
      </w:r>
      <w:r w:rsidR="004019DD" w:rsidRPr="0092670C">
        <w:rPr>
          <w:rFonts w:ascii="Arial" w:hAnsi="Arial" w:cs="Arial"/>
        </w:rPr>
        <w:t xml:space="preserve"> </w:t>
      </w:r>
      <w:r w:rsidRPr="0092670C">
        <w:rPr>
          <w:rFonts w:ascii="Arial" w:hAnsi="Arial" w:cs="Arial"/>
        </w:rPr>
        <w:fldChar w:fldCharType="begin">
          <w:fldData xml:space="preserve">PEVuZE5vdGU+PENpdGU+PEF1dGhvcj5BbWluZTwvQXV0aG9yPjxZZWFyPjIwMDA8L1llYXI+PFJl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PEVuZE5vdGU+PENpdGU+PEF1dGhvcj5BbWluZTwvQXV0aG9yPjxZZWFyPjIwMDA8L1llYXI+PFJl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[98, 99]</w:t>
      </w:r>
      <w:r w:rsidRPr="0092670C">
        <w:rPr>
          <w:rFonts w:ascii="Arial" w:hAnsi="Arial" w:cs="Arial"/>
        </w:rPr>
        <w:fldChar w:fldCharType="end"/>
      </w:r>
      <w:r w:rsidRPr="0092670C">
        <w:rPr>
          <w:rFonts w:ascii="Arial" w:hAnsi="Arial" w:cs="Arial"/>
        </w:rPr>
        <w:t xml:space="preserve">. </w:t>
      </w:r>
    </w:p>
    <w:p w14:paraId="20944D2F" w14:textId="2DD15D6F" w:rsidR="003E14AA" w:rsidRPr="0092670C" w:rsidRDefault="003E14AA" w:rsidP="003E14AA">
      <w:pPr>
        <w:spacing w:line="360" w:lineRule="auto"/>
        <w:jc w:val="both"/>
        <w:rPr>
          <w:rFonts w:ascii="Arial" w:hAnsi="Arial" w:cs="Arial"/>
        </w:rPr>
      </w:pPr>
      <w:r w:rsidRPr="0092670C">
        <w:rPr>
          <w:rFonts w:ascii="Arial" w:hAnsi="Arial" w:cs="Arial"/>
        </w:rPr>
        <w:t xml:space="preserve">An extensive study was conducted by Hall </w:t>
      </w:r>
      <w:r w:rsidRPr="0092670C">
        <w:rPr>
          <w:rFonts w:ascii="Arial" w:hAnsi="Arial" w:cs="Arial"/>
          <w:i/>
          <w:iCs/>
        </w:rPr>
        <w:t>et al.</w:t>
      </w:r>
      <w:r w:rsidRPr="0092670C">
        <w:rPr>
          <w:rFonts w:ascii="Arial" w:hAnsi="Arial" w:cs="Arial"/>
        </w:rPr>
        <w:t xml:space="preserve"> into the decomposition of these pyridine adducts as they are very different to the EC-based electrolytes</w:t>
      </w:r>
      <w:r w:rsidR="004019D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&lt;EndNote&gt;&lt;Cite&gt;&lt;Author&gt;Hall&lt;/Author&gt;&lt;Year&gt;2016&lt;/Year&gt;&lt;RecNum&gt;329&lt;/RecNum&gt;&lt;DisplayText&gt;[100]&lt;/DisplayText&gt;&lt;record&gt;&lt;rec-number&gt;329&lt;/rec-number&gt;&lt;foreign-keys&gt;&lt;key app="EN" db-id="5sa9s0e0r0d9fnexra7pr5xdwd5ztevx95s2" timestamp="1562333607"&gt;329&lt;/key&gt;&lt;/foreign-keys&gt;&lt;ref-type name="Journal Article"&gt;17&lt;/ref-type&gt;&lt;contributors&gt;&lt;authors&gt;&lt;author&gt;Hall, David S.&lt;/author&gt;&lt;author&gt;Nie, Mengyun&lt;/author&gt;&lt;author&gt;D. Ellis, Leah&lt;/author&gt;&lt;author&gt;Glazier, Stephen L.&lt;/author&gt;&lt;author&gt;Hyatt, Sarah&lt;/author&gt;&lt;author&gt;Petibon, Rémi&lt;/author&gt;&lt;author&gt;Xiao, Ang&lt;/author&gt;&lt;author&gt;Lamanna, W. M.&lt;/author&gt;&lt;author&gt;Smith, Kiah&lt;/author&gt;&lt;author&gt;Hill, I. G.&lt;/author&gt;&lt;author&gt;Dahn, J. R.&lt;/author&gt;&lt;/authors&gt;&lt;/contributors&gt;&lt;titles&gt;&lt;title&gt;Surface-Electrolyte Interphase Formation in Lithium-Ion Cells Containing Pyridine Adduct Additives&lt;/title&gt;&lt;secondary-title&gt;Journal of The Electrochemical Society&lt;/secondary-title&gt;&lt;/titles&gt;&lt;periodical&gt;&lt;full-title&gt;Journal of the Electrochemical Society&lt;/full-title&gt;&lt;abbr-1&gt;J. Electrochem. Soc.&lt;/abbr-1&gt;&lt;/periodical&gt;&lt;pages&gt;A773-A780&lt;/pages&gt;&lt;volume&gt;163&lt;/volume&gt;&lt;number&gt;5&lt;/number&gt;&lt;dates&gt;&lt;year&gt;2016&lt;/year&gt;&lt;pub-dates&gt;&lt;date&gt;January 1, 2016&lt;/date&gt;&lt;/pub-dates&gt;&lt;/dates&gt;&lt;urls&gt;&lt;related-urls&gt;&lt;url&gt;http://jes.ecsdl.org/content/163/5/A773.abstract&lt;/url&gt;&lt;/related-urls&gt;&lt;/urls&gt;&lt;electronic-resource-num&gt;10.1149/2.1091605jes&lt;/electronic-resource-num&gt;&lt;/record&gt;&lt;/Cite&gt;&lt;/EndNote&gt;</w:instrText>
      </w:r>
      <w:r w:rsidRPr="0092670C">
        <w:rPr>
          <w:rFonts w:ascii="Arial" w:hAnsi="Arial" w:cs="Arial"/>
        </w:rPr>
        <w:fldChar w:fldCharType="separate"/>
      </w:r>
      <w:r w:rsidR="0034337D">
        <w:rPr>
          <w:rFonts w:ascii="Arial" w:hAnsi="Arial" w:cs="Arial"/>
          <w:noProof/>
        </w:rPr>
        <w:t>[100]</w:t>
      </w:r>
      <w:r w:rsidRPr="0092670C">
        <w:rPr>
          <w:rFonts w:ascii="Arial" w:hAnsi="Arial" w:cs="Arial"/>
        </w:rPr>
        <w:fldChar w:fldCharType="end"/>
      </w:r>
      <w:r w:rsidRPr="0092670C">
        <w:rPr>
          <w:rFonts w:ascii="Arial" w:hAnsi="Arial" w:cs="Arial"/>
        </w:rPr>
        <w:t>. Using a combination of computational and experimental techniques they found that Li causes the pyridine to dimerise to 4,4’ -[Li</w:t>
      </w:r>
      <w:r w:rsidRPr="0092670C">
        <w:rPr>
          <w:rFonts w:ascii="Arial" w:hAnsi="Arial" w:cs="Arial"/>
          <w:vertAlign w:val="subscript"/>
        </w:rPr>
        <w:t>2</w:t>
      </w:r>
      <w:r w:rsidRPr="0092670C">
        <w:rPr>
          <w:rFonts w:ascii="Arial" w:hAnsi="Arial" w:cs="Arial"/>
        </w:rPr>
        <w:t>(PBF)</w:t>
      </w:r>
      <w:r w:rsidRPr="0092670C">
        <w:rPr>
          <w:rFonts w:ascii="Arial" w:hAnsi="Arial" w:cs="Arial"/>
          <w:vertAlign w:val="subscript"/>
        </w:rPr>
        <w:t>2</w:t>
      </w:r>
      <w:r w:rsidRPr="0092670C">
        <w:rPr>
          <w:rFonts w:ascii="Arial" w:hAnsi="Arial" w:cs="Arial"/>
        </w:rPr>
        <w:t>] and</w:t>
      </w:r>
      <w:r w:rsidR="00DC14B3">
        <w:rPr>
          <w:rFonts w:ascii="Arial" w:hAnsi="Arial" w:cs="Arial"/>
        </w:rPr>
        <w:t xml:space="preserve"> </w:t>
      </w:r>
      <w:r w:rsidRPr="0092670C">
        <w:rPr>
          <w:rFonts w:ascii="Arial" w:hAnsi="Arial" w:cs="Arial"/>
        </w:rPr>
        <w:t>4,4’-[Li</w:t>
      </w:r>
      <w:r w:rsidRPr="0092670C">
        <w:rPr>
          <w:rFonts w:ascii="Arial" w:hAnsi="Arial" w:cs="Arial"/>
          <w:vertAlign w:val="subscript"/>
        </w:rPr>
        <w:t>2</w:t>
      </w:r>
      <w:r w:rsidRPr="0092670C">
        <w:rPr>
          <w:rFonts w:ascii="Arial" w:hAnsi="Arial" w:cs="Arial"/>
        </w:rPr>
        <w:t>(PPF)</w:t>
      </w:r>
      <w:r w:rsidRPr="0092670C">
        <w:rPr>
          <w:rFonts w:ascii="Arial" w:hAnsi="Arial" w:cs="Arial"/>
          <w:vertAlign w:val="subscript"/>
        </w:rPr>
        <w:t>2</w:t>
      </w:r>
      <w:r w:rsidRPr="0092670C">
        <w:rPr>
          <w:rFonts w:ascii="Arial" w:hAnsi="Arial" w:cs="Arial"/>
        </w:rPr>
        <w:t>]. The decomposition reactions of PBF and PPF begin at 1.3 and 1.4</w:t>
      </w:r>
      <w:r w:rsidR="006E2F57">
        <w:rPr>
          <w:rFonts w:ascii="Arial" w:hAnsi="Arial" w:cs="Arial"/>
        </w:rPr>
        <w:t xml:space="preserve"> </w:t>
      </w:r>
      <w:r w:rsidRPr="0092670C">
        <w:rPr>
          <w:rFonts w:ascii="Arial" w:hAnsi="Arial" w:cs="Arial"/>
        </w:rPr>
        <w:t>V Vs. Li/Li</w:t>
      </w:r>
      <w:r w:rsidRPr="0092670C">
        <w:rPr>
          <w:rFonts w:ascii="Arial" w:hAnsi="Arial" w:cs="Arial"/>
          <w:vertAlign w:val="superscript"/>
        </w:rPr>
        <w:t>+</w:t>
      </w:r>
      <w:r w:rsidRPr="0092670C">
        <w:rPr>
          <w:rFonts w:ascii="Arial" w:hAnsi="Arial" w:cs="Arial"/>
        </w:rPr>
        <w:t xml:space="preserve"> respectively, which is significantly higher than EC (≈0.8</w:t>
      </w:r>
      <w:r w:rsidR="006E2F57">
        <w:rPr>
          <w:rFonts w:ascii="Arial" w:hAnsi="Arial" w:cs="Arial"/>
        </w:rPr>
        <w:t xml:space="preserve"> </w:t>
      </w:r>
      <w:r w:rsidRPr="0092670C">
        <w:rPr>
          <w:rFonts w:ascii="Arial" w:hAnsi="Arial" w:cs="Arial"/>
        </w:rPr>
        <w:t xml:space="preserve">V), making them ideal as an additive. This decomposition also doesn’t release any gaseous products as confirmed by GC-MS which is ideal as the need to de-gas the batteries is diminished.    </w:t>
      </w:r>
    </w:p>
    <w:p w14:paraId="7461C4A9" w14:textId="633087D0" w:rsidR="003E14AA" w:rsidRPr="0092670C" w:rsidRDefault="003E14AA" w:rsidP="003E14AA">
      <w:pPr>
        <w:spacing w:line="360" w:lineRule="auto"/>
        <w:jc w:val="both"/>
        <w:rPr>
          <w:rFonts w:ascii="Arial" w:hAnsi="Arial" w:cs="Arial"/>
        </w:rPr>
      </w:pPr>
      <w:r w:rsidRPr="0092670C">
        <w:rPr>
          <w:rFonts w:ascii="Arial" w:hAnsi="Arial" w:cs="Arial"/>
        </w:rPr>
        <w:t>There are many other classes, but these are the most frequently used in the literature. In Theory any molecule with a breakdown voltage higher than the electrolyte could be used although whether this would improve the performance of the cell would be questionable</w:t>
      </w:r>
      <w:r w:rsidR="00111B0D"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&lt;EndNote&gt;&lt;Cite&gt;&lt;Author&gt;Zhang&lt;/Author&gt;&lt;Year&gt;2006&lt;/Year&gt;&lt;RecNum&gt;49&lt;/RecNum&gt;&lt;DisplayText&gt;[73]&lt;/DisplayText&gt;&lt;record&gt;&lt;rec-number&gt;49&lt;/rec-number&gt;&lt;foreign-keys&gt;&lt;key app="EN" db-id="5sa9s0e0r0d9fnexra7pr5xdwd5ztevx95s2" timestamp="1512656278"&gt;49&lt;/key&gt;&lt;/foreign-keys&gt;&lt;ref-type name="Journal Article"&gt;17&lt;/ref-type&gt;&lt;contributors&gt;&lt;authors&gt;&lt;author&gt;Zhang, Sheng Shui&lt;/author&gt;&lt;/authors&gt;&lt;/contributors&gt;&lt;titles&gt;&lt;title&gt;A review on electrolyte additives for lithium-ion batteries&lt;/title&gt;&lt;secondary-title&gt;Journal of Power Sources&lt;/secondary-title&gt;&lt;/titles&gt;&lt;periodical&gt;&lt;full-title&gt;Journal of Power Sources&lt;/full-title&gt;&lt;/periodical&gt;&lt;pages&gt;1379-1394&lt;/pages&gt;&lt;volume&gt;162&lt;/volume&gt;&lt;number&gt;2&lt;/number&gt;&lt;keywords&gt;&lt;keyword&gt;Electrolyte&lt;/keyword&gt;&lt;keyword&gt;Additive&lt;/keyword&gt;&lt;keyword&gt;Solid electrolyte interface&lt;/keyword&gt;&lt;keyword&gt;Overcharge&lt;/keyword&gt;&lt;keyword&gt;Li-ion battery&lt;/keyword&gt;&lt;/keywords&gt;&lt;dates&gt;&lt;year&gt;2006&lt;/year&gt;&lt;pub-dates&gt;&lt;date&gt;2006/11/22/&lt;/date&gt;&lt;/pub-dates&gt;&lt;/dates&gt;&lt;isbn&gt;0378-7753&lt;/isbn&gt;&lt;urls&gt;&lt;related-urls&gt;&lt;url&gt;http://www.sciencedirect.com/science/article/pii/S0378775306017538&lt;/url&gt;&lt;/related-urls&gt;&lt;/urls&gt;&lt;electronic-resource-num&gt;https://doi.org/10.1016/j.jpowsour.2006.07.074&lt;/electronic-resource-num&gt;&lt;/record&gt;&lt;/Cite&gt;&lt;/EndNote&gt;</w:instrText>
      </w:r>
      <w:r w:rsidRPr="0092670C">
        <w:rPr>
          <w:rFonts w:ascii="Arial" w:hAnsi="Arial" w:cs="Arial"/>
        </w:rPr>
        <w:fldChar w:fldCharType="separate"/>
      </w:r>
      <w:r w:rsidR="00C10A8D">
        <w:rPr>
          <w:rFonts w:ascii="Arial" w:hAnsi="Arial" w:cs="Arial"/>
          <w:noProof/>
        </w:rPr>
        <w:t>[73]</w:t>
      </w:r>
      <w:r w:rsidRPr="0092670C">
        <w:rPr>
          <w:rFonts w:ascii="Arial" w:hAnsi="Arial" w:cs="Arial"/>
        </w:rPr>
        <w:fldChar w:fldCharType="end"/>
      </w:r>
      <w:r w:rsidRPr="0092670C">
        <w:rPr>
          <w:rFonts w:ascii="Arial" w:hAnsi="Arial" w:cs="Arial"/>
        </w:rPr>
        <w:t xml:space="preserve">. The most commonly used additives for SEI formation are still VC and FEC academically, despite being some of the earliest additives. This is most likely due to their predictable results and </w:t>
      </w:r>
      <w:r w:rsidR="00B97230" w:rsidRPr="0092670C">
        <w:rPr>
          <w:rFonts w:ascii="Arial" w:hAnsi="Arial" w:cs="Arial"/>
        </w:rPr>
        <w:t>well-known</w:t>
      </w:r>
      <w:r w:rsidRPr="0092670C">
        <w:rPr>
          <w:rFonts w:ascii="Arial" w:hAnsi="Arial" w:cs="Arial"/>
        </w:rPr>
        <w:t xml:space="preserve"> dosages for improving performance.</w:t>
      </w:r>
    </w:p>
    <w:p w14:paraId="65C27743" w14:textId="77777777" w:rsidR="003E14AA" w:rsidRPr="0092670C" w:rsidRDefault="003E14AA" w:rsidP="00F80BDA">
      <w:pPr>
        <w:pStyle w:val="Heading2"/>
        <w:rPr>
          <w:rFonts w:ascii="Arial" w:hAnsi="Arial" w:cs="Arial"/>
        </w:rPr>
      </w:pPr>
      <w:bookmarkStart w:id="54" w:name="_Toc82538727"/>
      <w:r w:rsidRPr="0092670C">
        <w:rPr>
          <w:rFonts w:ascii="Arial" w:hAnsi="Arial" w:cs="Arial"/>
        </w:rPr>
        <w:t>Formation cycling</w:t>
      </w:r>
      <w:bookmarkEnd w:id="54"/>
    </w:p>
    <w:p w14:paraId="70662685" w14:textId="1F3B2259" w:rsidR="003E14AA" w:rsidRPr="0092670C" w:rsidRDefault="003E14AA" w:rsidP="003E14AA">
      <w:pPr>
        <w:spacing w:line="360" w:lineRule="auto"/>
        <w:jc w:val="both"/>
        <w:rPr>
          <w:rFonts w:ascii="Arial" w:hAnsi="Arial" w:cs="Arial"/>
        </w:rPr>
      </w:pPr>
      <w:r w:rsidRPr="0092670C">
        <w:rPr>
          <w:rFonts w:ascii="Arial" w:hAnsi="Arial" w:cs="Arial"/>
        </w:rPr>
        <w:t>As the SEI is so vital to cell performance and safety it is vital that this process is carried out in the factory before they reach consumers hands</w:t>
      </w:r>
      <w:r w:rsidR="00CB4984">
        <w:rPr>
          <w:rFonts w:ascii="Arial" w:hAnsi="Arial" w:cs="Arial"/>
        </w:rPr>
        <w:t xml:space="preserve"> to remove the </w:t>
      </w:r>
      <w:r w:rsidR="0083103E">
        <w:rPr>
          <w:rFonts w:ascii="Arial" w:hAnsi="Arial" w:cs="Arial"/>
        </w:rPr>
        <w:t>excess gas formed and ensure that it has be performed correctly.</w:t>
      </w:r>
      <w:r w:rsidRPr="0092670C">
        <w:rPr>
          <w:rFonts w:ascii="Arial" w:hAnsi="Arial" w:cs="Arial"/>
        </w:rPr>
        <w:t xml:space="preserve"> The SEI is created industrially using a process known as formation cycling. Formation cycling involves cycling the cell at a low C-rate</w:t>
      </w:r>
      <w:r w:rsidR="00167874" w:rsidRPr="0092670C">
        <w:rPr>
          <w:rFonts w:ascii="Arial" w:hAnsi="Arial" w:cs="Arial"/>
        </w:rPr>
        <w:t xml:space="preserve"> (for more information on C-rates see </w:t>
      </w:r>
      <w:r w:rsidR="002E3E0E" w:rsidRPr="0092670C">
        <w:rPr>
          <w:rFonts w:ascii="Arial" w:hAnsi="Arial" w:cs="Arial"/>
        </w:rPr>
        <w:t xml:space="preserve">section </w:t>
      </w:r>
      <w:r w:rsidR="00BC41B7" w:rsidRPr="0092670C">
        <w:rPr>
          <w:rFonts w:ascii="Arial" w:hAnsi="Arial" w:cs="Arial"/>
        </w:rPr>
        <w:fldChar w:fldCharType="begin"/>
      </w:r>
      <w:r w:rsidR="00BC41B7" w:rsidRPr="0092670C">
        <w:rPr>
          <w:rFonts w:ascii="Arial" w:hAnsi="Arial" w:cs="Arial"/>
        </w:rPr>
        <w:instrText xml:space="preserve"> REF _Ref26822110 \r \h </w:instrText>
      </w:r>
      <w:r w:rsidR="00BC41B7" w:rsidRPr="0092670C">
        <w:rPr>
          <w:rFonts w:ascii="Arial" w:hAnsi="Arial" w:cs="Arial"/>
        </w:rPr>
      </w:r>
      <w:r w:rsidR="00BC41B7" w:rsidRPr="0092670C">
        <w:rPr>
          <w:rFonts w:ascii="Arial" w:hAnsi="Arial" w:cs="Arial"/>
        </w:rPr>
        <w:fldChar w:fldCharType="separate"/>
      </w:r>
      <w:r w:rsidR="007342C8">
        <w:rPr>
          <w:rFonts w:ascii="Arial" w:hAnsi="Arial" w:cs="Arial"/>
        </w:rPr>
        <w:t>2.3</w:t>
      </w:r>
      <w:r w:rsidR="00BC41B7" w:rsidRPr="0092670C">
        <w:rPr>
          <w:rFonts w:ascii="Arial" w:hAnsi="Arial" w:cs="Arial"/>
        </w:rPr>
        <w:fldChar w:fldCharType="end"/>
      </w:r>
      <w:r w:rsidR="002E3E0E" w:rsidRPr="0092670C">
        <w:rPr>
          <w:rFonts w:ascii="Arial" w:hAnsi="Arial" w:cs="Arial"/>
        </w:rPr>
        <w:t>)</w:t>
      </w:r>
      <w:r w:rsidRPr="0092670C">
        <w:rPr>
          <w:rFonts w:ascii="Arial" w:hAnsi="Arial" w:cs="Arial"/>
        </w:rPr>
        <w:t xml:space="preserve"> for a few cycles</w:t>
      </w:r>
      <w:r w:rsidR="00167874" w:rsidRPr="0092670C">
        <w:rPr>
          <w:rFonts w:ascii="Arial" w:hAnsi="Arial" w:cs="Arial"/>
        </w:rPr>
        <w:t>,</w:t>
      </w:r>
      <w:r w:rsidRPr="0092670C">
        <w:rPr>
          <w:rFonts w:ascii="Arial" w:hAnsi="Arial" w:cs="Arial"/>
        </w:rPr>
        <w:t xml:space="preserve"> typically </w:t>
      </w:r>
      <w:r w:rsidR="00167874" w:rsidRPr="0092670C">
        <w:rPr>
          <w:rFonts w:ascii="Arial" w:hAnsi="Arial" w:cs="Arial"/>
        </w:rPr>
        <w:t xml:space="preserve">between </w:t>
      </w:r>
      <w:r w:rsidRPr="0092670C">
        <w:rPr>
          <w:rFonts w:ascii="Arial" w:hAnsi="Arial" w:cs="Arial"/>
        </w:rPr>
        <w:t>3</w:t>
      </w:r>
      <w:r w:rsidR="00167874" w:rsidRPr="0092670C">
        <w:rPr>
          <w:rFonts w:ascii="Arial" w:hAnsi="Arial" w:cs="Arial"/>
        </w:rPr>
        <w:t xml:space="preserve"> and </w:t>
      </w:r>
      <w:r w:rsidRPr="0092670C">
        <w:rPr>
          <w:rFonts w:ascii="Arial" w:hAnsi="Arial" w:cs="Arial"/>
        </w:rPr>
        <w:t>5. The</w:t>
      </w:r>
      <w:r w:rsidR="00E21A9F" w:rsidRPr="0092670C">
        <w:rPr>
          <w:rFonts w:ascii="Arial" w:hAnsi="Arial" w:cs="Arial"/>
        </w:rPr>
        <w:t xml:space="preserve"> formation cycle </w:t>
      </w:r>
      <w:r w:rsidR="004614D8" w:rsidRPr="0092670C">
        <w:rPr>
          <w:rFonts w:ascii="Arial" w:hAnsi="Arial" w:cs="Arial"/>
        </w:rPr>
        <w:t xml:space="preserve">ensures that a stable SEI has been created </w:t>
      </w:r>
      <w:r w:rsidR="000B0FBD" w:rsidRPr="0092670C">
        <w:rPr>
          <w:rFonts w:ascii="Arial" w:hAnsi="Arial" w:cs="Arial"/>
        </w:rPr>
        <w:t xml:space="preserve">so </w:t>
      </w:r>
      <w:r w:rsidR="004614D8" w:rsidRPr="0092670C">
        <w:rPr>
          <w:rFonts w:ascii="Arial" w:hAnsi="Arial" w:cs="Arial"/>
        </w:rPr>
        <w:t>that</w:t>
      </w:r>
      <w:r w:rsidR="000B0FBD" w:rsidRPr="0092670C">
        <w:rPr>
          <w:rFonts w:ascii="Arial" w:hAnsi="Arial" w:cs="Arial"/>
        </w:rPr>
        <w:t xml:space="preserve"> the cell is safe and</w:t>
      </w:r>
      <w:r w:rsidR="004614D8" w:rsidRPr="0092670C">
        <w:rPr>
          <w:rFonts w:ascii="Arial" w:hAnsi="Arial" w:cs="Arial"/>
        </w:rPr>
        <w:t xml:space="preserve"> can </w:t>
      </w:r>
      <w:r w:rsidR="000B0FBD" w:rsidRPr="0092670C">
        <w:rPr>
          <w:rFonts w:ascii="Arial" w:hAnsi="Arial" w:cs="Arial"/>
        </w:rPr>
        <w:t>be</w:t>
      </w:r>
      <w:r w:rsidRPr="0092670C">
        <w:rPr>
          <w:rFonts w:ascii="Arial" w:hAnsi="Arial" w:cs="Arial"/>
        </w:rPr>
        <w:t xml:space="preserve"> sent to customers. This process is one of the most expensive and time consuming steps during the battery manufacturing process</w:t>
      </w:r>
      <w:r w:rsidR="001D7021" w:rsidRPr="0092670C">
        <w:rPr>
          <w:rFonts w:ascii="Arial" w:hAnsi="Arial" w:cs="Arial"/>
        </w:rPr>
        <w:t xml:space="preserve"> as can be seen in </w:t>
      </w:r>
      <w:r w:rsidR="001D7021" w:rsidRPr="0092670C">
        <w:rPr>
          <w:rFonts w:ascii="Arial" w:hAnsi="Arial" w:cs="Arial"/>
        </w:rPr>
        <w:fldChar w:fldCharType="begin"/>
      </w:r>
      <w:r w:rsidR="001D7021" w:rsidRPr="0092670C">
        <w:rPr>
          <w:rFonts w:ascii="Arial" w:hAnsi="Arial" w:cs="Arial"/>
        </w:rPr>
        <w:instrText xml:space="preserve"> REF _Ref30624166 \h  \* MERGEFORMAT </w:instrText>
      </w:r>
      <w:r w:rsidR="001D7021" w:rsidRPr="0092670C">
        <w:rPr>
          <w:rFonts w:ascii="Arial" w:hAnsi="Arial" w:cs="Arial"/>
        </w:rPr>
      </w:r>
      <w:r w:rsidR="001D7021"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16</w:t>
      </w:r>
      <w:r w:rsidR="001D7021" w:rsidRPr="0092670C">
        <w:rPr>
          <w:rFonts w:ascii="Arial" w:hAnsi="Arial" w:cs="Arial"/>
        </w:rPr>
        <w:fldChar w:fldCharType="end"/>
      </w:r>
      <w:r w:rsidRPr="0092670C">
        <w:rPr>
          <w:rFonts w:ascii="Arial" w:hAnsi="Arial" w:cs="Arial"/>
        </w:rPr>
        <w:t>, costing up to $7.5/</w:t>
      </w:r>
      <w:r w:rsidR="006E2F57">
        <w:rPr>
          <w:rFonts w:ascii="Arial" w:hAnsi="Arial" w:cs="Arial"/>
        </w:rPr>
        <w:t xml:space="preserve"> </w:t>
      </w:r>
      <w:r w:rsidRPr="0092670C">
        <w:rPr>
          <w:rFonts w:ascii="Arial" w:hAnsi="Arial" w:cs="Arial"/>
        </w:rPr>
        <w:t>kWh and requiring up to 3 weeks</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&lt;EndNote&gt;&lt;Cite&gt;&lt;Author&gt;Wood&lt;/Author&gt;&lt;Year&gt;2015&lt;/Year&gt;&lt;RecNum&gt;167&lt;/RecNum&gt;&lt;DisplayText&gt;[101]&lt;/DisplayText&gt;&lt;record&gt;&lt;rec-number&gt;167&lt;/rec-number&gt;&lt;foreign-keys&gt;&lt;key app="EN" db-id="5sa9s0e0r0d9fnexra7pr5xdwd5ztevx95s2" timestamp="1550165465"&gt;167&lt;/key&gt;&lt;/foreign-keys&gt;&lt;ref-type name="Journal Article"&gt;17&lt;/ref-type&gt;&lt;contributors&gt;&lt;authors&gt;&lt;author&gt;Wood, David L.&lt;/author&gt;&lt;author&gt;Li, Jianlin&lt;/author&gt;&lt;author&gt;Daniel, Claus&lt;/author&gt;&lt;/authors&gt;&lt;/contributors&gt;&lt;titles&gt;&lt;title&gt;Prospects for reducing the processing cost of lithium ion batteries&lt;/title&gt;&lt;secondary-title&gt;Journal of Power Sources&lt;/secondary-title&gt;&lt;/titles&gt;&lt;periodical&gt;&lt;full-title&gt;Journal of Power Sources&lt;/full-title&gt;&lt;/periodical&gt;&lt;pages&gt;234-242&lt;/pages&gt;&lt;volume&gt;275&lt;/volume&gt;&lt;keywords&gt;&lt;keyword&gt;Lithium-ion battery&lt;/keyword&gt;&lt;keyword&gt;Cost reduction study&lt;/keyword&gt;&lt;keyword&gt;Electrode processing&lt;/keyword&gt;&lt;keyword&gt;Aqueous colloidal chemistry&lt;/keyword&gt;&lt;keyword&gt;Thick electrodes&lt;/keyword&gt;&lt;keyword&gt;Formation cycle&lt;/keyword&gt;&lt;/keywords&gt;&lt;dates&gt;&lt;year&gt;2015&lt;/year&gt;&lt;pub-dates&gt;&lt;date&gt;2015/02/01/&lt;/date&gt;&lt;/pub-dates&gt;&lt;/dates&gt;&lt;isbn&gt;0378-7753&lt;/isbn&gt;&lt;urls&gt;&lt;related-urls&gt;&lt;url&gt;http://www.sciencedirect.com/science/article/pii/S037877531401845X&lt;/url&gt;&lt;/related-urls&gt;&lt;/urls&gt;&lt;electronic-resource-num&gt;https://doi.org/10.1016/j.jpowsour.2014.11.019&lt;/electronic-resource-num&gt;&lt;/record&gt;&lt;/Cite&gt;&lt;/EndNote&gt;</w:instrText>
      </w:r>
      <w:r w:rsidRPr="0092670C">
        <w:rPr>
          <w:rFonts w:ascii="Arial" w:hAnsi="Arial" w:cs="Arial"/>
        </w:rPr>
        <w:fldChar w:fldCharType="separate"/>
      </w:r>
      <w:r w:rsidR="0034337D">
        <w:rPr>
          <w:rFonts w:ascii="Arial" w:hAnsi="Arial" w:cs="Arial"/>
          <w:noProof/>
        </w:rPr>
        <w:t>[101]</w:t>
      </w:r>
      <w:r w:rsidRPr="0092670C">
        <w:rPr>
          <w:rFonts w:ascii="Arial" w:hAnsi="Arial" w:cs="Arial"/>
        </w:rPr>
        <w:fldChar w:fldCharType="end"/>
      </w:r>
      <w:r w:rsidRPr="0092670C">
        <w:rPr>
          <w:rFonts w:ascii="Arial" w:hAnsi="Arial" w:cs="Arial"/>
        </w:rPr>
        <w:t>. Such an added expense makes it harder to increase production of cells and lower the energy requirements. Some attempts have been made to try to reduce the time required  but these still require several days to complete</w:t>
      </w:r>
      <w:r w:rsidR="00807446" w:rsidRPr="0092670C">
        <w:rPr>
          <w:rFonts w:ascii="Arial" w:hAnsi="Arial" w:cs="Arial"/>
        </w:rPr>
        <w:t xml:space="preserve"> </w:t>
      </w:r>
      <w:r w:rsidRPr="0092670C">
        <w:rPr>
          <w:rFonts w:ascii="Arial" w:hAnsi="Arial" w:cs="Arial"/>
        </w:rPr>
        <w:fldChar w:fldCharType="begin"/>
      </w:r>
      <w:r w:rsidR="004F0EC3">
        <w:rPr>
          <w:rFonts w:ascii="Arial" w:hAnsi="Arial" w:cs="Arial"/>
        </w:rPr>
        <w:instrText xml:space="preserve"> ADDIN EN.CITE &lt;EndNote&gt;&lt;Cite&gt;&lt;Author&gt;An&lt;/Author&gt;&lt;Year&gt;2017&lt;/Year&gt;&lt;RecNum&gt;148&lt;/RecNum&gt;&lt;DisplayText&gt;[2]&lt;/DisplayText&gt;&lt;record&gt;&lt;rec-number&gt;148&lt;/rec-number&gt;&lt;foreign-keys&gt;&lt;key app="EN" db-id="5sa9s0e0r0d9fnexra7pr5xdwd5ztevx95s2" timestamp="1537352359"&gt;148&lt;/key&gt;&lt;/foreign-keys&gt;&lt;ref-type name="Journal Article"&gt;17&lt;/ref-type&gt;&lt;contributors&gt;&lt;authors&gt;&lt;author&gt;An, Seong Jin&lt;/author&gt;&lt;author&gt;Li, Jianlin&lt;/author&gt;&lt;author&gt;Du, Zhijia&lt;/author&gt;&lt;author&gt;Daniel, Claus&lt;/author&gt;&lt;author&gt;Wood, David L.&lt;/author&gt;&lt;/authors&gt;&lt;/contributors&gt;&lt;titles&gt;&lt;title&gt;Fast formation cycling for lithium ion batteries&lt;/title&gt;&lt;secondary-title&gt;Journal of Power Sources&lt;/secondary-title&gt;&lt;/titles&gt;&lt;periodical&gt;&lt;full-title&gt;Journal of Power Sources&lt;/full-title&gt;&lt;/periodical&gt;&lt;pages&gt;846-852&lt;/pages&gt;&lt;volume&gt;342&lt;/volume&gt;&lt;keywords&gt;&lt;keyword&gt;Lithium-ion battery&lt;/keyword&gt;&lt;keyword&gt;Fast formation&lt;/keyword&gt;&lt;keyword&gt;Cycle life&lt;/keyword&gt;&lt;keyword&gt;Resistance&lt;/keyword&gt;&lt;keyword&gt;Full pouch-cell&lt;/keyword&gt;&lt;keyword&gt;Solid electrolyte interphase&lt;/keyword&gt;&lt;/keywords&gt;&lt;dates&gt;&lt;year&gt;2017&lt;/year&gt;&lt;pub-dates&gt;&lt;date&gt;2017/02/28/&lt;/date&gt;&lt;/pub-dates&gt;&lt;/dates&gt;&lt;isbn&gt;0378-7753&lt;/isbn&gt;&lt;urls&gt;&lt;related-urls&gt;&lt;url&gt;http://www.sciencedirect.com/science/article/pii/S0378775317300113&lt;/url&gt;&lt;/related-urls&gt;&lt;/urls&gt;&lt;electronic-resource-num&gt;https://doi.org/10.1016/j.jpowsour.2017.01.011&lt;/electronic-resource-num&gt;&lt;/record&gt;&lt;/Cite&gt;&lt;/EndNote&gt;</w:instrText>
      </w:r>
      <w:r w:rsidRPr="0092670C">
        <w:rPr>
          <w:rFonts w:ascii="Arial" w:hAnsi="Arial" w:cs="Arial"/>
        </w:rPr>
        <w:fldChar w:fldCharType="separate"/>
      </w:r>
      <w:r w:rsidR="004F0EC3">
        <w:rPr>
          <w:rFonts w:ascii="Arial" w:hAnsi="Arial" w:cs="Arial"/>
          <w:noProof/>
        </w:rPr>
        <w:t>[2]</w:t>
      </w:r>
      <w:r w:rsidRPr="0092670C">
        <w:rPr>
          <w:rFonts w:ascii="Arial" w:hAnsi="Arial" w:cs="Arial"/>
        </w:rPr>
        <w:fldChar w:fldCharType="end"/>
      </w:r>
      <w:r w:rsidRPr="0092670C">
        <w:rPr>
          <w:rFonts w:ascii="Arial" w:hAnsi="Arial" w:cs="Arial"/>
        </w:rPr>
        <w:t xml:space="preserve">.   Any reductions beyond this will help to further reduce costs and improve output but these aren’t forthcoming without a move to new SEI formation strategies. </w:t>
      </w:r>
    </w:p>
    <w:p w14:paraId="19E0ACB6" w14:textId="609CFA08" w:rsidR="003E14AA" w:rsidRPr="0092670C" w:rsidRDefault="00CD784C" w:rsidP="003E14AA">
      <w:pPr>
        <w:keepNext/>
        <w:jc w:val="center"/>
        <w:rPr>
          <w:rFonts w:ascii="Arial" w:hAnsi="Arial" w:cs="Arial"/>
        </w:rPr>
      </w:pPr>
      <w:r w:rsidRPr="0092670C">
        <w:rPr>
          <w:rFonts w:ascii="Arial" w:hAnsi="Arial" w:cs="Arial"/>
        </w:rPr>
        <w:t xml:space="preserve"> </w:t>
      </w:r>
      <w:r w:rsidRPr="0092670C">
        <w:rPr>
          <w:rFonts w:ascii="Arial" w:hAnsi="Arial" w:cs="Arial"/>
          <w:noProof/>
        </w:rPr>
        <w:drawing>
          <wp:inline distT="0" distB="0" distL="0" distR="0" wp14:anchorId="6F5A5FC3" wp14:editId="239EFDC7">
            <wp:extent cx="4236720" cy="253386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72128" cy="2555039"/>
                    </a:xfrm>
                    <a:prstGeom prst="rect">
                      <a:avLst/>
                    </a:prstGeom>
                    <a:noFill/>
                    <a:ln>
                      <a:noFill/>
                    </a:ln>
                  </pic:spPr>
                </pic:pic>
              </a:graphicData>
            </a:graphic>
          </wp:inline>
        </w:drawing>
      </w:r>
    </w:p>
    <w:p w14:paraId="5B4E8746" w14:textId="4201F564" w:rsidR="003E14AA" w:rsidRPr="00B97230" w:rsidRDefault="003E14AA" w:rsidP="003E14AA">
      <w:pPr>
        <w:spacing w:after="200" w:line="240" w:lineRule="auto"/>
        <w:jc w:val="center"/>
        <w:rPr>
          <w:rFonts w:ascii="Arial" w:hAnsi="Arial" w:cs="Arial"/>
          <w:i/>
          <w:iCs/>
          <w:color w:val="44546A" w:themeColor="text2"/>
          <w:sz w:val="20"/>
          <w:szCs w:val="20"/>
        </w:rPr>
      </w:pPr>
      <w:bookmarkStart w:id="55" w:name="_Ref30624166"/>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16</w:t>
      </w:r>
      <w:r w:rsidR="00356A26">
        <w:rPr>
          <w:rFonts w:ascii="Arial" w:hAnsi="Arial" w:cs="Arial"/>
          <w:i/>
          <w:iCs/>
          <w:color w:val="44546A" w:themeColor="text2"/>
          <w:sz w:val="20"/>
          <w:szCs w:val="20"/>
        </w:rPr>
        <w:fldChar w:fldCharType="end"/>
      </w:r>
      <w:bookmarkEnd w:id="55"/>
      <w:r w:rsidRPr="00B97230">
        <w:rPr>
          <w:rFonts w:ascii="Arial" w:hAnsi="Arial" w:cs="Arial"/>
          <w:i/>
          <w:iCs/>
          <w:color w:val="44546A" w:themeColor="text2"/>
          <w:sz w:val="20"/>
          <w:szCs w:val="20"/>
        </w:rPr>
        <w:t xml:space="preserve">: A breakdown of associated costs for batteries with the wetting and formation cycling process costing almost as much as the electrolyte </w:t>
      </w:r>
      <w:r w:rsidRPr="00B97230">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&lt;EndNote&gt;&lt;Cite&gt;&lt;Author&gt;Wood&lt;/Author&gt;&lt;Year&gt;2015&lt;/Year&gt;&lt;RecNum&gt;167&lt;/RecNum&gt;&lt;DisplayText&gt;[101]&lt;/DisplayText&gt;&lt;record&gt;&lt;rec-number&gt;167&lt;/rec-number&gt;&lt;foreign-keys&gt;&lt;key app="EN" db-id="5sa9s0e0r0d9fnexra7pr5xdwd5ztevx95s2" timestamp="1550165465"&gt;167&lt;/key&gt;&lt;/foreign-keys&gt;&lt;ref-type name="Journal Article"&gt;17&lt;/ref-type&gt;&lt;contributors&gt;&lt;authors&gt;&lt;author&gt;Wood, David L.&lt;/author&gt;&lt;author&gt;Li, Jianlin&lt;/author&gt;&lt;author&gt;Daniel, Claus&lt;/author&gt;&lt;/authors&gt;&lt;/contributors&gt;&lt;titles&gt;&lt;title&gt;Prospects for reducing the processing cost of lithium ion batteries&lt;/title&gt;&lt;secondary-title&gt;Journal of Power Sources&lt;/secondary-title&gt;&lt;/titles&gt;&lt;periodical&gt;&lt;full-title&gt;Journal of Power Sources&lt;/full-title&gt;&lt;/periodical&gt;&lt;pages&gt;234-242&lt;/pages&gt;&lt;volume&gt;275&lt;/volume&gt;&lt;keywords&gt;&lt;keyword&gt;Lithium-ion battery&lt;/keyword&gt;&lt;keyword&gt;Cost reduction study&lt;/keyword&gt;&lt;keyword&gt;Electrode processing&lt;/keyword&gt;&lt;keyword&gt;Aqueous colloidal chemistry&lt;/keyword&gt;&lt;keyword&gt;Thick electrodes&lt;/keyword&gt;&lt;keyword&gt;Formation cycle&lt;/keyword&gt;&lt;/keywords&gt;&lt;dates&gt;&lt;year&gt;2015&lt;/year&gt;&lt;pub-dates&gt;&lt;date&gt;2015/02/01/&lt;/date&gt;&lt;/pub-dates&gt;&lt;/dates&gt;&lt;isbn&gt;0378-7753&lt;/isbn&gt;&lt;urls&gt;&lt;related-urls&gt;&lt;url&gt;http://www.sciencedirect.com/science/article/pii/S037877531401845X&lt;/url&gt;&lt;/related-urls&gt;&lt;/urls&gt;&lt;electronic-resource-num&gt;https://doi.org/10.1016/j.jpowsour.2014.11.019&lt;/electronic-resource-num&gt;&lt;/record&gt;&lt;/Cite&gt;&lt;/EndNote&gt;</w:instrText>
      </w:r>
      <w:r w:rsidRPr="00B97230">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[101]</w:t>
      </w:r>
      <w:r w:rsidRPr="00B97230">
        <w:rPr>
          <w:rFonts w:ascii="Arial" w:hAnsi="Arial" w:cs="Arial"/>
          <w:i/>
          <w:iCs/>
          <w:color w:val="44546A" w:themeColor="text2"/>
          <w:sz w:val="20"/>
          <w:szCs w:val="20"/>
        </w:rPr>
        <w:fldChar w:fldCharType="end"/>
      </w:r>
      <w:r w:rsidR="00057858" w:rsidRPr="00B97230">
        <w:rPr>
          <w:rFonts w:ascii="Arial" w:hAnsi="Arial" w:cs="Arial"/>
          <w:i/>
          <w:iCs/>
          <w:color w:val="44546A" w:themeColor="text2"/>
          <w:sz w:val="20"/>
          <w:szCs w:val="20"/>
        </w:rPr>
        <w:t>.</w:t>
      </w:r>
    </w:p>
    <w:p w14:paraId="6EA87B5E" w14:textId="0686D29C" w:rsidR="003E14AA" w:rsidRPr="0092670C" w:rsidRDefault="003E14AA" w:rsidP="003E14AA">
      <w:pPr>
        <w:spacing w:line="360" w:lineRule="auto"/>
        <w:jc w:val="both"/>
        <w:rPr>
          <w:rFonts w:ascii="Arial" w:hAnsi="Arial" w:cs="Arial"/>
        </w:rPr>
      </w:pPr>
      <w:r w:rsidRPr="0092670C">
        <w:rPr>
          <w:rFonts w:ascii="Arial" w:hAnsi="Arial" w:cs="Arial"/>
        </w:rPr>
        <w:t xml:space="preserve">As formation cycling is an industrial process that is taken as a standard process during cell cycling there is a dearth of literature on this important topic. A reason for this may be due to research being directed at proprietary formation cycling techniques instead of for publication. One publication of note is the work by An </w:t>
      </w:r>
      <w:r w:rsidRPr="0092670C">
        <w:rPr>
          <w:rFonts w:ascii="Arial" w:hAnsi="Arial" w:cs="Arial"/>
          <w:i/>
          <w:iCs/>
        </w:rPr>
        <w:t xml:space="preserve">et al. </w:t>
      </w:r>
      <w:r w:rsidRPr="0092670C">
        <w:rPr>
          <w:rFonts w:ascii="Arial" w:hAnsi="Arial" w:cs="Arial"/>
        </w:rPr>
        <w:t>who found that as the main role of formation cycling is to form the SEI then the battery doesn’t need to cycle through its whole voltage range</w:t>
      </w:r>
      <w:r w:rsidR="00807446" w:rsidRPr="0092670C">
        <w:rPr>
          <w:rFonts w:ascii="Arial" w:hAnsi="Arial" w:cs="Arial"/>
        </w:rPr>
        <w:t xml:space="preserve"> </w:t>
      </w:r>
      <w:r w:rsidRPr="0092670C">
        <w:rPr>
          <w:rFonts w:ascii="Arial" w:hAnsi="Arial" w:cs="Arial"/>
        </w:rPr>
        <w:fldChar w:fldCharType="begin"/>
      </w:r>
      <w:r w:rsidR="004F0EC3">
        <w:rPr>
          <w:rFonts w:ascii="Arial" w:hAnsi="Arial" w:cs="Arial"/>
        </w:rPr>
        <w:instrText xml:space="preserve"> ADDIN EN.CITE &lt;EndNote&gt;&lt;Cite&gt;&lt;Author&gt;An&lt;/Author&gt;&lt;Year&gt;2017&lt;/Year&gt;&lt;RecNum&gt;148&lt;/RecNum&gt;&lt;DisplayText&gt;[2]&lt;/DisplayText&gt;&lt;record&gt;&lt;rec-number&gt;148&lt;/rec-number&gt;&lt;foreign-keys&gt;&lt;key app="EN" db-id="5sa9s0e0r0d9fnexra7pr5xdwd5ztevx95s2" timestamp="1537352359"&gt;148&lt;/key&gt;&lt;/foreign-keys&gt;&lt;ref-type name="Journal Article"&gt;17&lt;/ref-type&gt;&lt;contributors&gt;&lt;authors&gt;&lt;author&gt;An, Seong Jin&lt;/author&gt;&lt;author&gt;Li, Jianlin&lt;/author&gt;&lt;author&gt;Du, Zhijia&lt;/author&gt;&lt;author&gt;Daniel, Claus&lt;/author&gt;&lt;author&gt;Wood, David L.&lt;/author&gt;&lt;/authors&gt;&lt;/contributors&gt;&lt;titles&gt;&lt;title&gt;Fast formation cycling for lithium ion batteries&lt;/title&gt;&lt;secondary-title&gt;Journal of Power Sources&lt;/secondary-title&gt;&lt;/titles&gt;&lt;periodical&gt;&lt;full-title&gt;Journal of Power Sources&lt;/full-title&gt;&lt;/periodical&gt;&lt;pages&gt;846-852&lt;/pages&gt;&lt;volume&gt;342&lt;/volume&gt;&lt;keywords&gt;&lt;keyword&gt;Lithium-ion battery&lt;/keyword&gt;&lt;keyword&gt;Fast formation&lt;/keyword&gt;&lt;keyword&gt;Cycle life&lt;/keyword&gt;&lt;keyword&gt;Resistance&lt;/keyword&gt;&lt;keyword&gt;Full pouch-cell&lt;/keyword&gt;&lt;keyword&gt;Solid electrolyte interphase&lt;/keyword&gt;&lt;/keywords&gt;&lt;dates&gt;&lt;year&gt;2017&lt;/year&gt;&lt;pub-dates&gt;&lt;date&gt;2017/02/28/&lt;/date&gt;&lt;/pub-dates&gt;&lt;/dates&gt;&lt;isbn&gt;0378-7753&lt;/isbn&gt;&lt;urls&gt;&lt;related-urls&gt;&lt;url&gt;http://www.sciencedirect.com/science/article/pii/S0378775317300113&lt;/url&gt;&lt;/related-urls&gt;&lt;/urls&gt;&lt;electronic-resource-num&gt;https://doi.org/10.1016/j.jpowsour.2017.01.011&lt;/electronic-resource-num&gt;&lt;/record&gt;&lt;/Cite&gt;&lt;/EndNote&gt;</w:instrText>
      </w:r>
      <w:r w:rsidRPr="0092670C">
        <w:rPr>
          <w:rFonts w:ascii="Arial" w:hAnsi="Arial" w:cs="Arial"/>
        </w:rPr>
        <w:fldChar w:fldCharType="separate"/>
      </w:r>
      <w:r w:rsidR="004F0EC3">
        <w:rPr>
          <w:rFonts w:ascii="Arial" w:hAnsi="Arial" w:cs="Arial"/>
          <w:noProof/>
        </w:rPr>
        <w:t>[2]</w:t>
      </w:r>
      <w:r w:rsidRPr="0092670C">
        <w:rPr>
          <w:rFonts w:ascii="Arial" w:hAnsi="Arial" w:cs="Arial"/>
        </w:rPr>
        <w:fldChar w:fldCharType="end"/>
      </w:r>
      <w:r w:rsidRPr="0092670C">
        <w:rPr>
          <w:rFonts w:ascii="Arial" w:hAnsi="Arial" w:cs="Arial"/>
        </w:rPr>
        <w:t>. Instead it just needs to change a few hundred mV to facilitate further SEI formation</w:t>
      </w:r>
      <w:r w:rsidR="001D7021" w:rsidRPr="0092670C">
        <w:rPr>
          <w:rFonts w:ascii="Arial" w:hAnsi="Arial" w:cs="Arial"/>
        </w:rPr>
        <w:t xml:space="preserve"> and the new cycling profiles are seen in </w:t>
      </w:r>
      <w:r w:rsidR="001D7021" w:rsidRPr="0092670C">
        <w:rPr>
          <w:rFonts w:ascii="Arial" w:hAnsi="Arial" w:cs="Arial"/>
        </w:rPr>
        <w:fldChar w:fldCharType="begin"/>
      </w:r>
      <w:r w:rsidR="001D7021" w:rsidRPr="0092670C">
        <w:rPr>
          <w:rFonts w:ascii="Arial" w:hAnsi="Arial" w:cs="Arial"/>
        </w:rPr>
        <w:instrText xml:space="preserve"> REF _Ref30624395 \h  \* MERGEFORMAT </w:instrText>
      </w:r>
      <w:r w:rsidR="001D7021" w:rsidRPr="0092670C">
        <w:rPr>
          <w:rFonts w:ascii="Arial" w:hAnsi="Arial" w:cs="Arial"/>
        </w:rPr>
      </w:r>
      <w:r w:rsidR="001D7021"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17</w:t>
      </w:r>
      <w:r w:rsidR="001D7021" w:rsidRPr="0092670C">
        <w:rPr>
          <w:rFonts w:ascii="Arial" w:hAnsi="Arial" w:cs="Arial"/>
        </w:rPr>
        <w:fldChar w:fldCharType="end"/>
      </w:r>
      <w:r w:rsidRPr="0092670C">
        <w:rPr>
          <w:rFonts w:ascii="Arial" w:hAnsi="Arial" w:cs="Arial"/>
        </w:rPr>
        <w:t xml:space="preserve">. This also reduces the </w:t>
      </w:r>
      <w:r w:rsidR="002F2E81">
        <w:rPr>
          <w:rFonts w:ascii="Arial" w:hAnsi="Arial" w:cs="Arial"/>
        </w:rPr>
        <w:t>stress on the cathode</w:t>
      </w:r>
      <w:r w:rsidRPr="0092670C">
        <w:rPr>
          <w:rFonts w:ascii="Arial" w:hAnsi="Arial" w:cs="Arial"/>
        </w:rPr>
        <w:t>. By using this new regime, the time required for formation cycling at C/10 reduces from 107 to 42</w:t>
      </w:r>
      <w:r w:rsidR="00057858">
        <w:rPr>
          <w:rFonts w:ascii="Arial" w:hAnsi="Arial" w:cs="Arial"/>
        </w:rPr>
        <w:t xml:space="preserve"> </w:t>
      </w:r>
      <w:r w:rsidRPr="0092670C">
        <w:rPr>
          <w:rFonts w:ascii="Arial" w:hAnsi="Arial" w:cs="Arial"/>
        </w:rPr>
        <w:t xml:space="preserve">hrs which is a substantial reduction. This process also requires less electricity due to comparatively limited amount of charging required.  </w:t>
      </w:r>
    </w:p>
    <w:p w14:paraId="5091B76A" w14:textId="77777777" w:rsidR="003E14AA" w:rsidRPr="0092670C" w:rsidRDefault="003E14AA" w:rsidP="003E14AA">
      <w:pPr>
        <w:keepNext/>
        <w:spacing w:line="360" w:lineRule="auto"/>
        <w:jc w:val="center"/>
        <w:rPr>
          <w:rFonts w:ascii="Arial" w:hAnsi="Arial" w:cs="Arial"/>
        </w:rPr>
      </w:pPr>
      <w:r w:rsidRPr="0092670C">
        <w:rPr>
          <w:rFonts w:ascii="Arial" w:hAnsi="Arial" w:cs="Arial"/>
          <w:noProof/>
        </w:rPr>
        <w:drawing>
          <wp:inline distT="0" distB="0" distL="0" distR="0" wp14:anchorId="7094C023" wp14:editId="7A7CCC83">
            <wp:extent cx="3270027" cy="2476500"/>
            <wp:effectExtent l="0" t="0" r="6985" b="0"/>
            <wp:docPr id="8" name="Picture 8" descr="https://ars.els-cdn.com/content/image/1-s2.0-S0378775317300113-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378775317300113-gr2.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257" t="1365" r="51475" b="1685"/>
                    <a:stretch/>
                  </pic:blipFill>
                  <pic:spPr bwMode="auto">
                    <a:xfrm>
                      <a:off x="0" y="0"/>
                      <a:ext cx="3411782" cy="2583856"/>
                    </a:xfrm>
                    <a:prstGeom prst="rect">
                      <a:avLst/>
                    </a:prstGeom>
                    <a:noFill/>
                    <a:ln>
                      <a:noFill/>
                    </a:ln>
                    <a:extLst>
                      <a:ext uri="{53640926-AAD7-44D8-BBD7-CCE9431645EC}">
                        <a14:shadowObscured xmlns:a14="http://schemas.microsoft.com/office/drawing/2010/main"/>
                      </a:ext>
                    </a:extLst>
                  </pic:spPr>
                </pic:pic>
              </a:graphicData>
            </a:graphic>
          </wp:inline>
        </w:drawing>
      </w:r>
    </w:p>
    <w:p w14:paraId="17FBE2BF" w14:textId="456105A5" w:rsidR="003E14AA" w:rsidRPr="00B97230" w:rsidRDefault="003E14AA" w:rsidP="00773FD9">
      <w:pPr>
        <w:spacing w:after="200" w:line="240" w:lineRule="auto"/>
        <w:jc w:val="center"/>
        <w:rPr>
          <w:rFonts w:ascii="Arial" w:hAnsi="Arial" w:cs="Arial"/>
          <w:i/>
          <w:iCs/>
          <w:sz w:val="24"/>
          <w:szCs w:val="24"/>
        </w:rPr>
        <w:sectPr w:rsidR="003E14AA" w:rsidRPr="00B97230" w:rsidSect="00493782">
          <w:headerReference w:type="default" r:id="rId63"/>
          <w:footerReference w:type="default" r:id="rId64"/>
          <w:pgSz w:w="11906" w:h="16838"/>
          <w:pgMar w:top="1134" w:right="1134" w:bottom="1134" w:left="2268" w:header="708" w:footer="708" w:gutter="0"/>
          <w:cols w:space="708"/>
          <w:docGrid w:linePitch="360"/>
        </w:sectPr>
      </w:pPr>
      <w:bookmarkStart w:id="56" w:name="_Ref30624395"/>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17</w:t>
      </w:r>
      <w:r w:rsidR="00356A26">
        <w:rPr>
          <w:rFonts w:ascii="Arial" w:hAnsi="Arial" w:cs="Arial"/>
          <w:i/>
          <w:iCs/>
          <w:color w:val="44546A" w:themeColor="text2"/>
          <w:sz w:val="20"/>
          <w:szCs w:val="20"/>
        </w:rPr>
        <w:fldChar w:fldCharType="end"/>
      </w:r>
      <w:bookmarkEnd w:id="56"/>
      <w:r w:rsidRPr="00B97230">
        <w:rPr>
          <w:rFonts w:ascii="Arial" w:hAnsi="Arial" w:cs="Arial"/>
          <w:i/>
          <w:iCs/>
          <w:color w:val="44546A" w:themeColor="text2"/>
          <w:sz w:val="20"/>
          <w:szCs w:val="20"/>
        </w:rPr>
        <w:t xml:space="preserve">: Formation cycling profiles showing the reduction in time required with the new regime </w:t>
      </w:r>
      <w:r w:rsidRPr="00B97230">
        <w:rPr>
          <w:rFonts w:ascii="Arial" w:hAnsi="Arial" w:cs="Arial"/>
          <w:i/>
          <w:iCs/>
          <w:color w:val="44546A" w:themeColor="text2"/>
          <w:sz w:val="20"/>
          <w:szCs w:val="20"/>
        </w:rPr>
        <w:fldChar w:fldCharType="begin"/>
      </w:r>
      <w:r w:rsidR="004F0EC3">
        <w:rPr>
          <w:rFonts w:ascii="Arial" w:hAnsi="Arial" w:cs="Arial"/>
          <w:i/>
          <w:iCs/>
          <w:color w:val="44546A" w:themeColor="text2"/>
          <w:sz w:val="20"/>
          <w:szCs w:val="20"/>
        </w:rPr>
        <w:instrText xml:space="preserve"> ADDIN EN.CITE &lt;EndNote&gt;&lt;Cite&gt;&lt;Author&gt;An&lt;/Author&gt;&lt;Year&gt;2017&lt;/Year&gt;&lt;RecNum&gt;148&lt;/RecNum&gt;&lt;DisplayText&gt;[2]&lt;/DisplayText&gt;&lt;record&gt;&lt;rec-number&gt;148&lt;/rec-number&gt;&lt;foreign-keys&gt;&lt;key app="EN" db-id="5sa9s0e0r0d9fnexra7pr5xdwd5ztevx95s2" timestamp="1537352359"&gt;148&lt;/key&gt;&lt;/foreign-keys&gt;&lt;ref-type name="Journal Article"&gt;17&lt;/ref-type&gt;&lt;contributors&gt;&lt;authors&gt;&lt;author&gt;An, Seong Jin&lt;/author&gt;&lt;author&gt;Li, Jianlin&lt;/author&gt;&lt;author&gt;Du, Zhijia&lt;/author&gt;&lt;author&gt;Daniel, Claus&lt;/author&gt;&lt;author&gt;Wood, David L.&lt;/author&gt;&lt;/authors&gt;&lt;/contributors&gt;&lt;titles&gt;&lt;title&gt;Fast formation cycling for lithium ion batteries&lt;/title&gt;&lt;secondary-title&gt;Journal of Power Sources&lt;/secondary-title&gt;&lt;/titles&gt;&lt;periodical&gt;&lt;full-title&gt;Journal of Power Sources&lt;/full-title&gt;&lt;/periodical&gt;&lt;pages&gt;846-852&lt;/pages&gt;&lt;volume&gt;342&lt;/volume&gt;&lt;keywords&gt;&lt;keyword&gt;Lithium-ion battery&lt;/keyword&gt;&lt;keyword&gt;Fast formation&lt;/keyword&gt;&lt;keyword&gt;Cycle life&lt;/keyword&gt;&lt;keyword&gt;Resistance&lt;/keyword&gt;&lt;keyword&gt;Full pouch-cell&lt;/keyword&gt;&lt;keyword&gt;Solid electrolyte interphase&lt;/keyword&gt;&lt;/keywords&gt;&lt;dates&gt;&lt;year&gt;2017&lt;/year&gt;&lt;pub-dates&gt;&lt;date&gt;2017/02/28/&lt;/date&gt;&lt;/pub-dates&gt;&lt;/dates&gt;&lt;isbn&gt;0378-7753&lt;/isbn&gt;&lt;urls&gt;&lt;related-urls&gt;&lt;url&gt;http://www.sciencedirect.com/science/article/pii/S0378775317300113&lt;/url&gt;&lt;/related-urls&gt;&lt;/urls&gt;&lt;electronic-resource-num&gt;https://doi.org/10.1016/j.jpowsour.2017.01.011&lt;/electronic-resource-num&gt;&lt;/record&gt;&lt;/Cite&gt;&lt;/EndNote&gt;</w:instrText>
      </w:r>
      <w:r w:rsidRPr="00B97230">
        <w:rPr>
          <w:rFonts w:ascii="Arial" w:hAnsi="Arial" w:cs="Arial"/>
          <w:i/>
          <w:iCs/>
          <w:color w:val="44546A" w:themeColor="text2"/>
          <w:sz w:val="20"/>
          <w:szCs w:val="20"/>
        </w:rPr>
        <w:fldChar w:fldCharType="separate"/>
      </w:r>
      <w:r w:rsidR="004F0EC3">
        <w:rPr>
          <w:rFonts w:ascii="Arial" w:hAnsi="Arial" w:cs="Arial"/>
          <w:i/>
          <w:iCs/>
          <w:noProof/>
          <w:color w:val="44546A" w:themeColor="text2"/>
          <w:sz w:val="20"/>
          <w:szCs w:val="20"/>
        </w:rPr>
        <w:t>[2]</w:t>
      </w:r>
      <w:r w:rsidRPr="00B97230">
        <w:rPr>
          <w:rFonts w:ascii="Arial" w:hAnsi="Arial" w:cs="Arial"/>
          <w:i/>
          <w:iCs/>
          <w:color w:val="44546A" w:themeColor="text2"/>
          <w:sz w:val="20"/>
          <w:szCs w:val="20"/>
        </w:rPr>
        <w:fldChar w:fldCharType="end"/>
      </w:r>
      <w:r w:rsidR="00057858" w:rsidRPr="00B97230">
        <w:rPr>
          <w:rFonts w:ascii="Arial" w:hAnsi="Arial" w:cs="Arial"/>
          <w:i/>
          <w:iCs/>
          <w:color w:val="44546A" w:themeColor="text2"/>
          <w:sz w:val="20"/>
          <w:szCs w:val="20"/>
        </w:rPr>
        <w:t>.</w:t>
      </w:r>
    </w:p>
    <w:p w14:paraId="69FECA85" w14:textId="0C72445B" w:rsidR="00B26076" w:rsidRPr="00B97230" w:rsidRDefault="00B26076" w:rsidP="00B26076">
      <w:pPr>
        <w:pStyle w:val="Caption"/>
        <w:keepNext/>
        <w:rPr>
          <w:rFonts w:ascii="Arial" w:hAnsi="Arial" w:cs="Arial"/>
          <w:sz w:val="20"/>
          <w:szCs w:val="20"/>
        </w:rPr>
      </w:pPr>
      <w:r w:rsidRPr="00B97230">
        <w:rPr>
          <w:rFonts w:ascii="Arial" w:hAnsi="Arial" w:cs="Arial"/>
          <w:sz w:val="20"/>
          <w:szCs w:val="20"/>
        </w:rPr>
        <w:t xml:space="preserve">Table </w:t>
      </w:r>
      <w:r w:rsidR="004F6B49" w:rsidRPr="00B97230">
        <w:rPr>
          <w:rFonts w:ascii="Arial" w:hAnsi="Arial" w:cs="Arial"/>
          <w:sz w:val="20"/>
          <w:szCs w:val="20"/>
        </w:rPr>
        <w:fldChar w:fldCharType="begin"/>
      </w:r>
      <w:r w:rsidR="004F6B49" w:rsidRPr="00B97230">
        <w:rPr>
          <w:rFonts w:ascii="Arial" w:hAnsi="Arial" w:cs="Arial"/>
          <w:sz w:val="20"/>
          <w:szCs w:val="20"/>
        </w:rPr>
        <w:instrText xml:space="preserve"> STYLEREF 1 \s </w:instrText>
      </w:r>
      <w:r w:rsidR="004F6B49" w:rsidRPr="00B97230">
        <w:rPr>
          <w:rFonts w:ascii="Arial" w:hAnsi="Arial" w:cs="Arial"/>
          <w:sz w:val="20"/>
          <w:szCs w:val="20"/>
        </w:rPr>
        <w:fldChar w:fldCharType="separate"/>
      </w:r>
      <w:r w:rsidR="007342C8">
        <w:rPr>
          <w:rFonts w:ascii="Arial" w:hAnsi="Arial" w:cs="Arial"/>
          <w:noProof/>
          <w:sz w:val="20"/>
          <w:szCs w:val="20"/>
        </w:rPr>
        <w:t>1</w:t>
      </w:r>
      <w:r w:rsidR="004F6B49" w:rsidRPr="00B97230">
        <w:rPr>
          <w:rFonts w:ascii="Arial" w:hAnsi="Arial" w:cs="Arial"/>
          <w:sz w:val="20"/>
          <w:szCs w:val="20"/>
        </w:rPr>
        <w:fldChar w:fldCharType="end"/>
      </w:r>
      <w:r w:rsidR="004F6B49" w:rsidRPr="00B97230">
        <w:rPr>
          <w:rFonts w:ascii="Arial" w:hAnsi="Arial" w:cs="Arial"/>
          <w:sz w:val="20"/>
          <w:szCs w:val="20"/>
        </w:rPr>
        <w:noBreakHyphen/>
      </w:r>
      <w:r w:rsidR="004F6B49" w:rsidRPr="00B97230">
        <w:rPr>
          <w:rFonts w:ascii="Arial" w:hAnsi="Arial" w:cs="Arial"/>
          <w:sz w:val="20"/>
          <w:szCs w:val="20"/>
        </w:rPr>
        <w:fldChar w:fldCharType="begin"/>
      </w:r>
      <w:r w:rsidR="004F6B49" w:rsidRPr="00B97230">
        <w:rPr>
          <w:rFonts w:ascii="Arial" w:hAnsi="Arial" w:cs="Arial"/>
          <w:sz w:val="20"/>
          <w:szCs w:val="20"/>
        </w:rPr>
        <w:instrText xml:space="preserve"> SEQ Table \* ARABIC \s 1 </w:instrText>
      </w:r>
      <w:r w:rsidR="004F6B49" w:rsidRPr="00B97230">
        <w:rPr>
          <w:rFonts w:ascii="Arial" w:hAnsi="Arial" w:cs="Arial"/>
          <w:sz w:val="20"/>
          <w:szCs w:val="20"/>
        </w:rPr>
        <w:fldChar w:fldCharType="separate"/>
      </w:r>
      <w:r w:rsidR="007342C8">
        <w:rPr>
          <w:rFonts w:ascii="Arial" w:hAnsi="Arial" w:cs="Arial"/>
          <w:noProof/>
          <w:sz w:val="20"/>
          <w:szCs w:val="20"/>
        </w:rPr>
        <w:t>2</w:t>
      </w:r>
      <w:r w:rsidR="004F6B49" w:rsidRPr="00B97230">
        <w:rPr>
          <w:rFonts w:ascii="Arial" w:hAnsi="Arial" w:cs="Arial"/>
          <w:sz w:val="20"/>
          <w:szCs w:val="20"/>
        </w:rPr>
        <w:fldChar w:fldCharType="end"/>
      </w:r>
      <w:r w:rsidRPr="00B97230">
        <w:rPr>
          <w:rFonts w:ascii="Arial" w:hAnsi="Arial" w:cs="Arial"/>
          <w:sz w:val="20"/>
          <w:szCs w:val="20"/>
        </w:rPr>
        <w:t>: List of common electrolyte additives and some of their select chemical properties</w:t>
      </w:r>
      <w:r w:rsidR="00057858" w:rsidRPr="00B97230">
        <w:rPr>
          <w:rFonts w:ascii="Arial" w:hAnsi="Arial" w:cs="Arial"/>
          <w:sz w:val="20"/>
          <w:szCs w:val="20"/>
        </w:rPr>
        <w:t>.</w:t>
      </w:r>
    </w:p>
    <w:tbl>
      <w:tblPr>
        <w:tblStyle w:val="TableGrid3"/>
        <w:tblW w:w="13755" w:type="dxa"/>
        <w:tblInd w:w="-714" w:type="dxa"/>
        <w:tblLayout w:type="fixed"/>
        <w:tblLook w:val="04A0" w:firstRow="1" w:lastRow="0" w:firstColumn="1" w:lastColumn="0" w:noHBand="0" w:noVBand="1"/>
      </w:tblPr>
      <w:tblGrid>
        <w:gridCol w:w="2132"/>
        <w:gridCol w:w="4252"/>
        <w:gridCol w:w="993"/>
        <w:gridCol w:w="1134"/>
        <w:gridCol w:w="992"/>
        <w:gridCol w:w="992"/>
        <w:gridCol w:w="1843"/>
        <w:gridCol w:w="1417"/>
      </w:tblGrid>
      <w:tr w:rsidR="00B26076" w:rsidRPr="0092670C" w14:paraId="61DEC6BB" w14:textId="77777777" w:rsidTr="00B26076">
        <w:trPr>
          <w:tblHeader/>
        </w:trPr>
        <w:tc>
          <w:tcPr>
            <w:tcW w:w="2132" w:type="dxa"/>
            <w:tcBorders>
              <w:top w:val="single" w:sz="4" w:space="0" w:color="auto"/>
              <w:left w:val="nil"/>
              <w:bottom w:val="single" w:sz="4" w:space="0" w:color="auto"/>
              <w:right w:val="nil"/>
            </w:tcBorders>
          </w:tcPr>
          <w:p w14:paraId="4C278C1C" w14:textId="77777777" w:rsidR="003E14AA" w:rsidRPr="0092670C" w:rsidRDefault="003E14AA" w:rsidP="00B9047F">
            <w:pPr>
              <w:rPr>
                <w:rFonts w:ascii="Arial" w:hAnsi="Arial" w:cs="Arial"/>
                <w:sz w:val="18"/>
                <w:szCs w:val="18"/>
              </w:rPr>
            </w:pPr>
            <w:r w:rsidRPr="0092670C">
              <w:rPr>
                <w:rFonts w:ascii="Arial" w:hAnsi="Arial" w:cs="Arial"/>
                <w:sz w:val="18"/>
                <w:szCs w:val="18"/>
              </w:rPr>
              <w:t>Name</w:t>
            </w:r>
          </w:p>
          <w:p w14:paraId="35368A89" w14:textId="11FD6517" w:rsidR="00A6475E" w:rsidRPr="0092670C" w:rsidRDefault="00A6475E" w:rsidP="00B9047F">
            <w:pPr>
              <w:rPr>
                <w:rFonts w:ascii="Arial" w:hAnsi="Arial" w:cs="Arial"/>
                <w:sz w:val="18"/>
                <w:szCs w:val="18"/>
              </w:rPr>
            </w:pPr>
            <w:r w:rsidRPr="0092670C">
              <w:rPr>
                <w:rFonts w:ascii="Arial" w:hAnsi="Arial" w:cs="Arial"/>
                <w:sz w:val="18"/>
                <w:szCs w:val="18"/>
              </w:rPr>
              <w:t>(</w:t>
            </w:r>
            <w:r w:rsidR="00C71465" w:rsidRPr="0092670C">
              <w:rPr>
                <w:rFonts w:ascii="Arial" w:hAnsi="Arial" w:cs="Arial"/>
                <w:sz w:val="18"/>
                <w:szCs w:val="18"/>
              </w:rPr>
              <w:t>abbreviations)</w:t>
            </w:r>
          </w:p>
        </w:tc>
        <w:tc>
          <w:tcPr>
            <w:tcW w:w="4252" w:type="dxa"/>
            <w:tcBorders>
              <w:top w:val="single" w:sz="4" w:space="0" w:color="auto"/>
              <w:left w:val="nil"/>
              <w:bottom w:val="single" w:sz="4" w:space="0" w:color="auto"/>
              <w:right w:val="nil"/>
            </w:tcBorders>
          </w:tcPr>
          <w:p w14:paraId="086D8440" w14:textId="77777777" w:rsidR="003E14AA" w:rsidRPr="0092670C" w:rsidRDefault="003E14AA" w:rsidP="00B9047F">
            <w:pPr>
              <w:rPr>
                <w:rFonts w:ascii="Arial" w:hAnsi="Arial" w:cs="Arial"/>
                <w:sz w:val="18"/>
                <w:szCs w:val="18"/>
              </w:rPr>
            </w:pPr>
            <w:r w:rsidRPr="0092670C">
              <w:rPr>
                <w:rFonts w:ascii="Arial" w:hAnsi="Arial" w:cs="Arial"/>
                <w:sz w:val="18"/>
                <w:szCs w:val="18"/>
              </w:rPr>
              <w:t>Structure</w:t>
            </w:r>
          </w:p>
        </w:tc>
        <w:tc>
          <w:tcPr>
            <w:tcW w:w="993" w:type="dxa"/>
            <w:tcBorders>
              <w:top w:val="single" w:sz="4" w:space="0" w:color="auto"/>
              <w:left w:val="nil"/>
              <w:bottom w:val="single" w:sz="4" w:space="0" w:color="auto"/>
              <w:right w:val="nil"/>
            </w:tcBorders>
          </w:tcPr>
          <w:p w14:paraId="6C77383E" w14:textId="77777777" w:rsidR="003E14AA" w:rsidRPr="0092670C" w:rsidRDefault="003E14AA" w:rsidP="00B9047F">
            <w:pPr>
              <w:rPr>
                <w:rFonts w:ascii="Arial" w:hAnsi="Arial" w:cs="Arial"/>
                <w:sz w:val="18"/>
                <w:szCs w:val="18"/>
              </w:rPr>
            </w:pPr>
            <w:r w:rsidRPr="0092670C">
              <w:rPr>
                <w:rFonts w:ascii="Arial" w:hAnsi="Arial" w:cs="Arial"/>
                <w:sz w:val="18"/>
                <w:szCs w:val="18"/>
              </w:rPr>
              <w:t>MW</w:t>
            </w:r>
          </w:p>
        </w:tc>
        <w:tc>
          <w:tcPr>
            <w:tcW w:w="1134" w:type="dxa"/>
            <w:tcBorders>
              <w:top w:val="single" w:sz="4" w:space="0" w:color="auto"/>
              <w:left w:val="nil"/>
              <w:bottom w:val="single" w:sz="4" w:space="0" w:color="auto"/>
              <w:right w:val="nil"/>
            </w:tcBorders>
          </w:tcPr>
          <w:p w14:paraId="34B5926E" w14:textId="5EA23368" w:rsidR="003E14AA" w:rsidRPr="0092670C" w:rsidRDefault="003E14AA" w:rsidP="00B9047F">
            <w:pPr>
              <w:rPr>
                <w:rFonts w:ascii="Arial" w:hAnsi="Arial" w:cs="Arial"/>
                <w:sz w:val="18"/>
                <w:szCs w:val="18"/>
              </w:rPr>
            </w:pPr>
            <w:r w:rsidRPr="0092670C">
              <w:rPr>
                <w:rFonts w:ascii="Arial" w:hAnsi="Arial" w:cs="Arial"/>
                <w:sz w:val="18"/>
                <w:szCs w:val="18"/>
              </w:rPr>
              <w:t>m.p.</w:t>
            </w:r>
            <w:r w:rsidR="00486B71" w:rsidRPr="0092670C">
              <w:rPr>
                <w:rFonts w:ascii="Arial" w:hAnsi="Arial" w:cs="Arial"/>
                <w:sz w:val="18"/>
                <w:szCs w:val="18"/>
              </w:rPr>
              <w:t xml:space="preserve"> (°C)</w:t>
            </w:r>
            <w:r w:rsidRPr="0092670C">
              <w:rPr>
                <w:rFonts w:ascii="Arial" w:hAnsi="Arial" w:cs="Arial"/>
                <w:sz w:val="18"/>
                <w:szCs w:val="18"/>
              </w:rPr>
              <w:t xml:space="preserve"> </w:t>
            </w:r>
          </w:p>
        </w:tc>
        <w:tc>
          <w:tcPr>
            <w:tcW w:w="992" w:type="dxa"/>
            <w:tcBorders>
              <w:top w:val="single" w:sz="4" w:space="0" w:color="auto"/>
              <w:left w:val="nil"/>
              <w:bottom w:val="single" w:sz="4" w:space="0" w:color="auto"/>
              <w:right w:val="nil"/>
            </w:tcBorders>
          </w:tcPr>
          <w:p w14:paraId="34BF5769" w14:textId="3E41AF4B" w:rsidR="003E14AA" w:rsidRPr="0092670C" w:rsidRDefault="003E14AA" w:rsidP="00B9047F">
            <w:pPr>
              <w:rPr>
                <w:rFonts w:ascii="Arial" w:hAnsi="Arial" w:cs="Arial"/>
                <w:sz w:val="18"/>
                <w:szCs w:val="18"/>
              </w:rPr>
            </w:pPr>
            <w:r w:rsidRPr="0092670C">
              <w:rPr>
                <w:rFonts w:ascii="Arial" w:hAnsi="Arial" w:cs="Arial"/>
                <w:sz w:val="18"/>
                <w:szCs w:val="18"/>
              </w:rPr>
              <w:t>b.p.</w:t>
            </w:r>
            <w:r w:rsidR="00486B71" w:rsidRPr="0092670C">
              <w:rPr>
                <w:rFonts w:ascii="Arial" w:hAnsi="Arial" w:cs="Arial"/>
                <w:sz w:val="18"/>
                <w:szCs w:val="18"/>
              </w:rPr>
              <w:t xml:space="preserve"> (°C)</w:t>
            </w:r>
          </w:p>
        </w:tc>
        <w:tc>
          <w:tcPr>
            <w:tcW w:w="992" w:type="dxa"/>
            <w:tcBorders>
              <w:top w:val="single" w:sz="4" w:space="0" w:color="auto"/>
              <w:left w:val="nil"/>
              <w:bottom w:val="single" w:sz="4" w:space="0" w:color="auto"/>
              <w:right w:val="nil"/>
            </w:tcBorders>
          </w:tcPr>
          <w:p w14:paraId="2B891BA1" w14:textId="77777777" w:rsidR="003E14AA" w:rsidRPr="0092670C" w:rsidRDefault="003E14AA" w:rsidP="00B9047F">
            <w:pPr>
              <w:rPr>
                <w:rFonts w:ascii="Arial" w:hAnsi="Arial" w:cs="Arial"/>
                <w:sz w:val="18"/>
                <w:szCs w:val="18"/>
              </w:rPr>
            </w:pPr>
            <w:r w:rsidRPr="0092670C">
              <w:rPr>
                <w:rFonts w:ascii="Arial" w:hAnsi="Arial" w:cs="Arial"/>
                <w:sz w:val="18"/>
                <w:szCs w:val="18"/>
              </w:rPr>
              <w:t>ε</w:t>
            </w:r>
          </w:p>
        </w:tc>
        <w:tc>
          <w:tcPr>
            <w:tcW w:w="1843" w:type="dxa"/>
            <w:tcBorders>
              <w:top w:val="single" w:sz="4" w:space="0" w:color="auto"/>
              <w:left w:val="nil"/>
              <w:bottom w:val="single" w:sz="4" w:space="0" w:color="auto"/>
              <w:right w:val="nil"/>
            </w:tcBorders>
          </w:tcPr>
          <w:p w14:paraId="45F5CA14" w14:textId="77777777" w:rsidR="003E14AA" w:rsidRPr="0092670C" w:rsidRDefault="003E14AA" w:rsidP="00B9047F">
            <w:pPr>
              <w:rPr>
                <w:rFonts w:ascii="Arial" w:hAnsi="Arial" w:cs="Arial"/>
                <w:sz w:val="18"/>
                <w:szCs w:val="18"/>
              </w:rPr>
            </w:pPr>
            <w:r w:rsidRPr="0092670C">
              <w:rPr>
                <w:rFonts w:ascii="Arial" w:hAnsi="Arial" w:cs="Arial"/>
                <w:sz w:val="18"/>
                <w:szCs w:val="18"/>
              </w:rPr>
              <w:t>Breakdown voltage/ V</w:t>
            </w:r>
          </w:p>
        </w:tc>
        <w:tc>
          <w:tcPr>
            <w:tcW w:w="1417" w:type="dxa"/>
            <w:tcBorders>
              <w:top w:val="single" w:sz="4" w:space="0" w:color="auto"/>
              <w:left w:val="nil"/>
              <w:bottom w:val="single" w:sz="4" w:space="0" w:color="auto"/>
              <w:right w:val="nil"/>
            </w:tcBorders>
          </w:tcPr>
          <w:p w14:paraId="01562BE6" w14:textId="7F849F4F" w:rsidR="003E14AA" w:rsidRPr="0092670C" w:rsidRDefault="00A6475E" w:rsidP="00B9047F">
            <w:pPr>
              <w:rPr>
                <w:rFonts w:ascii="Arial" w:hAnsi="Arial" w:cs="Arial"/>
                <w:sz w:val="18"/>
                <w:szCs w:val="18"/>
              </w:rPr>
            </w:pPr>
            <w:r w:rsidRPr="0092670C">
              <w:rPr>
                <w:rFonts w:ascii="Arial" w:hAnsi="Arial" w:cs="Arial"/>
                <w:sz w:val="18"/>
                <w:szCs w:val="18"/>
              </w:rPr>
              <w:t xml:space="preserve">Typical </w:t>
            </w:r>
            <w:r w:rsidR="003E14AA" w:rsidRPr="0092670C">
              <w:rPr>
                <w:rFonts w:ascii="Arial" w:hAnsi="Arial" w:cs="Arial"/>
                <w:sz w:val="18"/>
                <w:szCs w:val="18"/>
              </w:rPr>
              <w:t>loading</w:t>
            </w:r>
          </w:p>
        </w:tc>
      </w:tr>
      <w:tr w:rsidR="00B26076" w:rsidRPr="0092670C" w14:paraId="605DA8FE" w14:textId="77777777" w:rsidTr="00B26076">
        <w:tc>
          <w:tcPr>
            <w:tcW w:w="2132" w:type="dxa"/>
            <w:tcBorders>
              <w:top w:val="single" w:sz="4" w:space="0" w:color="auto"/>
              <w:left w:val="nil"/>
              <w:bottom w:val="nil"/>
              <w:right w:val="nil"/>
            </w:tcBorders>
          </w:tcPr>
          <w:p w14:paraId="3A7AEC45" w14:textId="77777777" w:rsidR="003E14AA" w:rsidRPr="0092670C" w:rsidRDefault="003E14AA" w:rsidP="00B9047F">
            <w:pPr>
              <w:rPr>
                <w:rFonts w:ascii="Arial" w:hAnsi="Arial" w:cs="Arial"/>
                <w:sz w:val="18"/>
                <w:szCs w:val="18"/>
              </w:rPr>
            </w:pPr>
            <w:r w:rsidRPr="0092670C">
              <w:rPr>
                <w:rFonts w:ascii="Arial" w:hAnsi="Arial" w:cs="Arial"/>
                <w:sz w:val="18"/>
                <w:szCs w:val="18"/>
              </w:rPr>
              <w:t>EC-based additives</w:t>
            </w:r>
          </w:p>
        </w:tc>
        <w:tc>
          <w:tcPr>
            <w:tcW w:w="4252" w:type="dxa"/>
            <w:tcBorders>
              <w:top w:val="single" w:sz="4" w:space="0" w:color="auto"/>
              <w:left w:val="nil"/>
              <w:bottom w:val="nil"/>
              <w:right w:val="nil"/>
            </w:tcBorders>
          </w:tcPr>
          <w:p w14:paraId="18C6ED6F" w14:textId="77777777" w:rsidR="003E14AA" w:rsidRPr="0092670C" w:rsidRDefault="003E14AA" w:rsidP="00B9047F">
            <w:pPr>
              <w:rPr>
                <w:rFonts w:ascii="Arial" w:hAnsi="Arial" w:cs="Arial"/>
                <w:sz w:val="18"/>
                <w:szCs w:val="18"/>
              </w:rPr>
            </w:pPr>
          </w:p>
        </w:tc>
        <w:tc>
          <w:tcPr>
            <w:tcW w:w="993" w:type="dxa"/>
            <w:tcBorders>
              <w:top w:val="single" w:sz="4" w:space="0" w:color="auto"/>
              <w:left w:val="nil"/>
              <w:bottom w:val="nil"/>
              <w:right w:val="nil"/>
            </w:tcBorders>
          </w:tcPr>
          <w:p w14:paraId="228F710D" w14:textId="77777777" w:rsidR="003E14AA" w:rsidRPr="0092670C" w:rsidRDefault="003E14AA" w:rsidP="00B9047F">
            <w:pPr>
              <w:rPr>
                <w:rFonts w:ascii="Arial" w:hAnsi="Arial" w:cs="Arial"/>
                <w:sz w:val="18"/>
                <w:szCs w:val="18"/>
              </w:rPr>
            </w:pPr>
          </w:p>
        </w:tc>
        <w:tc>
          <w:tcPr>
            <w:tcW w:w="1134" w:type="dxa"/>
            <w:tcBorders>
              <w:top w:val="single" w:sz="4" w:space="0" w:color="auto"/>
              <w:left w:val="nil"/>
              <w:bottom w:val="nil"/>
              <w:right w:val="nil"/>
            </w:tcBorders>
          </w:tcPr>
          <w:p w14:paraId="73F0BC43" w14:textId="77777777" w:rsidR="003E14AA" w:rsidRPr="0092670C" w:rsidRDefault="003E14AA" w:rsidP="00B9047F">
            <w:pPr>
              <w:rPr>
                <w:rFonts w:ascii="Arial" w:hAnsi="Arial" w:cs="Arial"/>
                <w:sz w:val="18"/>
                <w:szCs w:val="18"/>
              </w:rPr>
            </w:pPr>
          </w:p>
        </w:tc>
        <w:tc>
          <w:tcPr>
            <w:tcW w:w="992" w:type="dxa"/>
            <w:tcBorders>
              <w:top w:val="single" w:sz="4" w:space="0" w:color="auto"/>
              <w:left w:val="nil"/>
              <w:bottom w:val="nil"/>
              <w:right w:val="nil"/>
            </w:tcBorders>
          </w:tcPr>
          <w:p w14:paraId="75734D8C" w14:textId="77777777" w:rsidR="003E14AA" w:rsidRPr="0092670C" w:rsidRDefault="003E14AA" w:rsidP="00B9047F">
            <w:pPr>
              <w:rPr>
                <w:rFonts w:ascii="Arial" w:hAnsi="Arial" w:cs="Arial"/>
                <w:sz w:val="18"/>
                <w:szCs w:val="18"/>
              </w:rPr>
            </w:pPr>
          </w:p>
        </w:tc>
        <w:tc>
          <w:tcPr>
            <w:tcW w:w="992" w:type="dxa"/>
            <w:tcBorders>
              <w:top w:val="single" w:sz="4" w:space="0" w:color="auto"/>
              <w:left w:val="nil"/>
              <w:bottom w:val="nil"/>
              <w:right w:val="nil"/>
            </w:tcBorders>
          </w:tcPr>
          <w:p w14:paraId="6372F3C3" w14:textId="77777777" w:rsidR="003E14AA" w:rsidRPr="0092670C" w:rsidRDefault="003E14AA" w:rsidP="00B9047F">
            <w:pPr>
              <w:rPr>
                <w:rFonts w:ascii="Arial" w:hAnsi="Arial" w:cs="Arial"/>
                <w:sz w:val="18"/>
                <w:szCs w:val="18"/>
              </w:rPr>
            </w:pPr>
          </w:p>
        </w:tc>
        <w:tc>
          <w:tcPr>
            <w:tcW w:w="1843" w:type="dxa"/>
            <w:tcBorders>
              <w:top w:val="single" w:sz="4" w:space="0" w:color="auto"/>
              <w:left w:val="nil"/>
              <w:bottom w:val="nil"/>
              <w:right w:val="nil"/>
            </w:tcBorders>
          </w:tcPr>
          <w:p w14:paraId="4BFE5C13" w14:textId="77777777" w:rsidR="003E14AA" w:rsidRPr="0092670C" w:rsidRDefault="003E14AA" w:rsidP="00B9047F">
            <w:pPr>
              <w:rPr>
                <w:rFonts w:ascii="Arial" w:hAnsi="Arial" w:cs="Arial"/>
                <w:sz w:val="18"/>
                <w:szCs w:val="18"/>
              </w:rPr>
            </w:pPr>
          </w:p>
        </w:tc>
        <w:tc>
          <w:tcPr>
            <w:tcW w:w="1417" w:type="dxa"/>
            <w:tcBorders>
              <w:top w:val="single" w:sz="4" w:space="0" w:color="auto"/>
              <w:left w:val="nil"/>
              <w:bottom w:val="nil"/>
              <w:right w:val="nil"/>
            </w:tcBorders>
          </w:tcPr>
          <w:p w14:paraId="781F35BE" w14:textId="77777777" w:rsidR="003E14AA" w:rsidRPr="0092670C" w:rsidRDefault="003E14AA" w:rsidP="00B9047F">
            <w:pPr>
              <w:rPr>
                <w:rFonts w:ascii="Arial" w:hAnsi="Arial" w:cs="Arial"/>
                <w:sz w:val="18"/>
                <w:szCs w:val="18"/>
              </w:rPr>
            </w:pPr>
          </w:p>
        </w:tc>
      </w:tr>
      <w:tr w:rsidR="00B26076" w:rsidRPr="0092670C" w14:paraId="5955E373" w14:textId="77777777" w:rsidTr="00B26076">
        <w:tc>
          <w:tcPr>
            <w:tcW w:w="2132" w:type="dxa"/>
            <w:tcBorders>
              <w:top w:val="nil"/>
              <w:left w:val="nil"/>
              <w:bottom w:val="nil"/>
              <w:right w:val="nil"/>
            </w:tcBorders>
          </w:tcPr>
          <w:p w14:paraId="0428F291" w14:textId="77777777" w:rsidR="003E14AA" w:rsidRPr="0092670C" w:rsidRDefault="003E14AA" w:rsidP="00B9047F">
            <w:pPr>
              <w:rPr>
                <w:rFonts w:ascii="Arial" w:hAnsi="Arial" w:cs="Arial"/>
                <w:sz w:val="18"/>
                <w:szCs w:val="18"/>
              </w:rPr>
            </w:pPr>
            <w:r w:rsidRPr="0092670C">
              <w:rPr>
                <w:rFonts w:ascii="Arial" w:hAnsi="Arial" w:cs="Arial"/>
                <w:sz w:val="18"/>
                <w:szCs w:val="18"/>
              </w:rPr>
              <w:t>Fluoroethylene carbonate (FEC)</w:t>
            </w:r>
          </w:p>
        </w:tc>
        <w:tc>
          <w:tcPr>
            <w:tcW w:w="4252" w:type="dxa"/>
            <w:tcBorders>
              <w:top w:val="nil"/>
              <w:left w:val="nil"/>
              <w:bottom w:val="nil"/>
              <w:right w:val="nil"/>
            </w:tcBorders>
          </w:tcPr>
          <w:p w14:paraId="31EE536F" w14:textId="6C7A0C46"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215" w:dyaOrig="1308" w14:anchorId="65138B20">
                <v:shape id="_x0000_i1041" type="#_x0000_t75" style="width:96.1pt;height:60.1pt" o:ole="">
                  <v:imagedata r:id="rId65" o:title=""/>
                </v:shape>
                <o:OLEObject Type="Embed" ProgID="ChemDraw.Document.6.0" ShapeID="_x0000_i1041" DrawAspect="Content" ObjectID="_1700733930" r:id="rId66"/>
              </w:object>
            </w:r>
          </w:p>
        </w:tc>
        <w:tc>
          <w:tcPr>
            <w:tcW w:w="993" w:type="dxa"/>
            <w:tcBorders>
              <w:top w:val="nil"/>
              <w:left w:val="nil"/>
              <w:bottom w:val="nil"/>
              <w:right w:val="nil"/>
            </w:tcBorders>
          </w:tcPr>
          <w:p w14:paraId="1F0389FD" w14:textId="77777777" w:rsidR="003E14AA" w:rsidRPr="0092670C" w:rsidRDefault="003E14AA" w:rsidP="00B9047F">
            <w:pPr>
              <w:rPr>
                <w:rFonts w:ascii="Arial" w:hAnsi="Arial" w:cs="Arial"/>
                <w:sz w:val="18"/>
                <w:szCs w:val="18"/>
              </w:rPr>
            </w:pPr>
            <w:r w:rsidRPr="0092670C">
              <w:rPr>
                <w:rFonts w:ascii="Arial" w:hAnsi="Arial" w:cs="Arial"/>
                <w:sz w:val="18"/>
                <w:szCs w:val="18"/>
              </w:rPr>
              <w:t>106.05</w:t>
            </w:r>
          </w:p>
        </w:tc>
        <w:tc>
          <w:tcPr>
            <w:tcW w:w="1134" w:type="dxa"/>
            <w:tcBorders>
              <w:top w:val="nil"/>
              <w:left w:val="nil"/>
              <w:bottom w:val="nil"/>
              <w:right w:val="nil"/>
            </w:tcBorders>
          </w:tcPr>
          <w:p w14:paraId="65D17F62" w14:textId="77777777" w:rsidR="003E14AA" w:rsidRPr="0092670C" w:rsidRDefault="003E14AA" w:rsidP="00B9047F">
            <w:pPr>
              <w:rPr>
                <w:rFonts w:ascii="Arial" w:hAnsi="Arial" w:cs="Arial"/>
                <w:sz w:val="18"/>
                <w:szCs w:val="18"/>
              </w:rPr>
            </w:pPr>
            <w:r w:rsidRPr="0092670C">
              <w:rPr>
                <w:rFonts w:ascii="Arial" w:hAnsi="Arial" w:cs="Arial"/>
                <w:sz w:val="18"/>
                <w:szCs w:val="18"/>
              </w:rPr>
              <w:t>18-23</w:t>
            </w:r>
          </w:p>
        </w:tc>
        <w:tc>
          <w:tcPr>
            <w:tcW w:w="992" w:type="dxa"/>
            <w:tcBorders>
              <w:top w:val="nil"/>
              <w:left w:val="nil"/>
              <w:bottom w:val="nil"/>
              <w:right w:val="nil"/>
            </w:tcBorders>
          </w:tcPr>
          <w:p w14:paraId="3110AF97" w14:textId="77777777" w:rsidR="003E14AA" w:rsidRPr="0092670C" w:rsidRDefault="003E14AA" w:rsidP="00B9047F">
            <w:pPr>
              <w:rPr>
                <w:rFonts w:ascii="Arial" w:hAnsi="Arial" w:cs="Arial"/>
                <w:sz w:val="18"/>
                <w:szCs w:val="18"/>
              </w:rPr>
            </w:pPr>
            <w:r w:rsidRPr="0092670C">
              <w:rPr>
                <w:rFonts w:ascii="Arial" w:hAnsi="Arial" w:cs="Arial"/>
                <w:sz w:val="18"/>
                <w:szCs w:val="18"/>
              </w:rPr>
              <w:t>212</w:t>
            </w:r>
          </w:p>
        </w:tc>
        <w:tc>
          <w:tcPr>
            <w:tcW w:w="992" w:type="dxa"/>
            <w:tcBorders>
              <w:top w:val="nil"/>
              <w:left w:val="nil"/>
              <w:bottom w:val="nil"/>
              <w:right w:val="nil"/>
            </w:tcBorders>
          </w:tcPr>
          <w:p w14:paraId="682CF74A" w14:textId="5FAE3AC7" w:rsidR="003E14AA" w:rsidRPr="0092670C" w:rsidRDefault="003E14AA" w:rsidP="00B9047F">
            <w:pPr>
              <w:rPr>
                <w:rFonts w:ascii="Arial" w:hAnsi="Arial" w:cs="Arial"/>
                <w:sz w:val="18"/>
                <w:szCs w:val="18"/>
              </w:rPr>
            </w:pPr>
            <w:r w:rsidRPr="0092670C">
              <w:rPr>
                <w:rFonts w:ascii="Arial" w:hAnsi="Arial" w:cs="Arial"/>
                <w:sz w:val="18"/>
                <w:szCs w:val="18"/>
              </w:rPr>
              <w:t>107</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&lt;EndNote&gt;&lt;Cite&gt;&lt;Author&gt;Ohtake&lt;/Author&gt;&lt;Year&gt;2008&lt;/Year&gt;&lt;RecNum&gt;221&lt;/RecNum&gt;&lt;DisplayText&gt;[102]&lt;/DisplayText&gt;&lt;record&gt;&lt;rec-number&gt;221&lt;/rec-number&gt;&lt;foreign-keys&gt;&lt;key app="EN" db-id="5sa9s0e0r0d9fnexra7pr5xdwd5ztevx95s2" timestamp="1555319508"&gt;221&lt;/key&gt;&lt;/foreign-keys&gt;&lt;ref-type name="Conference Proceedings"&gt;10&lt;/ref-type&gt;&lt;contributors&gt;&lt;authors&gt;&lt;author&gt;Ohtake, Manabu&lt;/author&gt;&lt;author&gt;Takimoto, K&lt;/author&gt;&lt;author&gt;Nanbu, N&lt;/author&gt;&lt;author&gt;Takehara, M&lt;/author&gt;&lt;author&gt;Ue, M&lt;/author&gt;&lt;author&gt;Sasaki, Y&lt;/author&gt;&lt;/authors&gt;&lt;/contributors&gt;&lt;titles&gt;&lt;title&gt;Physical properties of fluorinated cyclic carbonates for secondary lithium batteries&lt;/title&gt;&lt;secondary-title&gt;214th ECS Meeting&lt;/secondary-title&gt;&lt;/titles&gt;&lt;dates&gt;&lt;year&gt;2008&lt;/year&gt;&lt;/dates&gt;&lt;publisher&gt;Citeseer&lt;/publisher&gt;&lt;urls&gt;&lt;/urls&gt;&lt;/record&gt;&lt;/Cite&gt;&lt;/EndNote&gt;</w:instrText>
            </w:r>
            <w:r w:rsidRPr="0092670C">
              <w:rPr>
                <w:rFonts w:ascii="Arial" w:hAnsi="Arial" w:cs="Arial"/>
                <w:sz w:val="18"/>
                <w:szCs w:val="18"/>
              </w:rPr>
              <w:fldChar w:fldCharType="separate"/>
            </w:r>
            <w:r w:rsidR="0034337D">
              <w:rPr>
                <w:rFonts w:ascii="Arial" w:hAnsi="Arial" w:cs="Arial"/>
                <w:noProof/>
                <w:sz w:val="18"/>
                <w:szCs w:val="18"/>
              </w:rPr>
              <w:t>[102]</w:t>
            </w:r>
            <w:r w:rsidRPr="0092670C">
              <w:rPr>
                <w:rFonts w:ascii="Arial" w:hAnsi="Arial" w:cs="Arial"/>
                <w:sz w:val="18"/>
                <w:szCs w:val="18"/>
              </w:rPr>
              <w:fldChar w:fldCharType="end"/>
            </w:r>
          </w:p>
        </w:tc>
        <w:tc>
          <w:tcPr>
            <w:tcW w:w="1843" w:type="dxa"/>
            <w:tcBorders>
              <w:top w:val="nil"/>
              <w:left w:val="nil"/>
              <w:bottom w:val="nil"/>
              <w:right w:val="nil"/>
            </w:tcBorders>
          </w:tcPr>
          <w:p w14:paraId="2017BE02" w14:textId="4716558E" w:rsidR="003E14AA" w:rsidRPr="0092670C" w:rsidRDefault="003E14AA" w:rsidP="00B9047F">
            <w:pPr>
              <w:rPr>
                <w:rFonts w:ascii="Arial" w:hAnsi="Arial" w:cs="Arial"/>
                <w:sz w:val="18"/>
                <w:szCs w:val="18"/>
              </w:rPr>
            </w:pPr>
            <w:r w:rsidRPr="0092670C">
              <w:rPr>
                <w:rFonts w:ascii="Arial" w:hAnsi="Arial" w:cs="Arial"/>
                <w:sz w:val="18"/>
                <w:szCs w:val="18"/>
              </w:rPr>
              <w:t>0.9-2.25</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&lt;EndNote&gt;&lt;Cite&gt;&lt;Author&gt;Delp&lt;/Author&gt;&lt;Year&gt;2016&lt;/Year&gt;&lt;RecNum&gt;337&lt;/RecNum&gt;&lt;DisplayText&gt;[49]&lt;/DisplayText&gt;&lt;record&gt;&lt;rec-number&gt;337&lt;/rec-number&gt;&lt;foreign-keys&gt;&lt;key app="EN" db-id="5sa9s0e0r0d9fnexra7pr5xdwd5ztevx95s2" timestamp="1563290360"&gt;337&lt;/key&gt;&lt;/foreign-keys&gt;&lt;ref-type name="Journal Article"&gt;17&lt;/ref-type&gt;&lt;contributors&gt;&lt;authors&gt;&lt;author&gt;Delp, Samuel A&lt;/author&gt;&lt;author&gt;Borodin, Oleg&lt;/author&gt;&lt;author&gt;Olguin, Marco&lt;/author&gt;&lt;author&gt;Eisner, Claire G&lt;/author&gt;&lt;author&gt;Allen, Joshua L&lt;/author&gt;&lt;author&gt;Jow, T Richard&lt;/author&gt;&lt;/authors&gt;&lt;/contributors&gt;&lt;titles&gt;&lt;title&gt;Importance of reduction and oxidation stability of high voltage electrolytes and additives&lt;/title&gt;&lt;secondary-title&gt;Electrochimica Acta&lt;/secondary-title&gt;&lt;/titles&gt;&lt;periodical&gt;&lt;full-title&gt;Electrochimica Acta&lt;/full-title&gt;&lt;/periodical&gt;&lt;pages&gt;498-510&lt;/pages&gt;&lt;volume&gt;209&lt;/volume&gt;&lt;dates&gt;&lt;year&gt;2016&lt;/year&gt;&lt;/dates&gt;&lt;isbn&gt;0013-4686&lt;/isbn&gt;&lt;urls&gt;&lt;/urls&gt;&lt;/record&gt;&lt;/Cite&gt;&lt;/EndNote&gt;</w:instrText>
            </w:r>
            <w:r w:rsidRPr="0092670C">
              <w:rPr>
                <w:rFonts w:ascii="Arial" w:hAnsi="Arial" w:cs="Arial"/>
                <w:sz w:val="18"/>
                <w:szCs w:val="18"/>
              </w:rPr>
              <w:fldChar w:fldCharType="separate"/>
            </w:r>
            <w:r w:rsidR="00C10A8D">
              <w:rPr>
                <w:rFonts w:ascii="Arial" w:hAnsi="Arial" w:cs="Arial"/>
                <w:noProof/>
                <w:sz w:val="18"/>
                <w:szCs w:val="18"/>
              </w:rPr>
              <w:t>[49]</w:t>
            </w:r>
            <w:r w:rsidRPr="0092670C">
              <w:rPr>
                <w:rFonts w:ascii="Arial" w:hAnsi="Arial" w:cs="Arial"/>
                <w:sz w:val="18"/>
                <w:szCs w:val="18"/>
              </w:rPr>
              <w:fldChar w:fldCharType="end"/>
            </w:r>
          </w:p>
        </w:tc>
        <w:tc>
          <w:tcPr>
            <w:tcW w:w="1417" w:type="dxa"/>
            <w:tcBorders>
              <w:top w:val="nil"/>
              <w:left w:val="nil"/>
              <w:bottom w:val="nil"/>
              <w:right w:val="nil"/>
            </w:tcBorders>
          </w:tcPr>
          <w:p w14:paraId="49E10A53" w14:textId="77777777" w:rsidR="003E14AA" w:rsidRPr="0092670C" w:rsidRDefault="003E14AA" w:rsidP="00B9047F">
            <w:pPr>
              <w:rPr>
                <w:rFonts w:ascii="Arial" w:hAnsi="Arial" w:cs="Arial"/>
                <w:sz w:val="18"/>
                <w:szCs w:val="18"/>
              </w:rPr>
            </w:pPr>
            <w:r w:rsidRPr="0092670C">
              <w:rPr>
                <w:rFonts w:ascii="Arial" w:hAnsi="Arial" w:cs="Arial"/>
                <w:sz w:val="18"/>
                <w:szCs w:val="18"/>
              </w:rPr>
              <w:t>2-10%</w:t>
            </w:r>
          </w:p>
        </w:tc>
      </w:tr>
      <w:tr w:rsidR="00B26076" w:rsidRPr="0092670C" w14:paraId="09BA5195" w14:textId="77777777" w:rsidTr="00B26076">
        <w:tc>
          <w:tcPr>
            <w:tcW w:w="2132" w:type="dxa"/>
            <w:tcBorders>
              <w:top w:val="nil"/>
              <w:left w:val="nil"/>
              <w:bottom w:val="nil"/>
              <w:right w:val="nil"/>
            </w:tcBorders>
          </w:tcPr>
          <w:p w14:paraId="4F038FB0" w14:textId="77777777" w:rsidR="003E14AA" w:rsidRPr="0092670C" w:rsidRDefault="003E14AA" w:rsidP="00B9047F">
            <w:pPr>
              <w:rPr>
                <w:rFonts w:ascii="Arial" w:hAnsi="Arial" w:cs="Arial"/>
                <w:sz w:val="18"/>
                <w:szCs w:val="18"/>
              </w:rPr>
            </w:pPr>
            <w:r w:rsidRPr="0092670C">
              <w:rPr>
                <w:rFonts w:ascii="Arial" w:hAnsi="Arial" w:cs="Arial"/>
                <w:sz w:val="18"/>
                <w:szCs w:val="18"/>
              </w:rPr>
              <w:t>Vinylene carbonate (VC)</w:t>
            </w:r>
          </w:p>
        </w:tc>
        <w:tc>
          <w:tcPr>
            <w:tcW w:w="4252" w:type="dxa"/>
            <w:tcBorders>
              <w:top w:val="nil"/>
              <w:left w:val="nil"/>
              <w:bottom w:val="nil"/>
              <w:right w:val="nil"/>
            </w:tcBorders>
          </w:tcPr>
          <w:p w14:paraId="56AC35C4" w14:textId="3FE8BFF8"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1699" w:dyaOrig="1162" w14:anchorId="39CD3972">
                <v:shape id="_x0000_i1042" type="#_x0000_t75" style="width:1in;height:54pt" o:ole="">
                  <v:imagedata r:id="rId67" o:title=""/>
                </v:shape>
                <o:OLEObject Type="Embed" ProgID="ChemDraw.Document.6.0" ShapeID="_x0000_i1042" DrawAspect="Content" ObjectID="_1700733931" r:id="rId68"/>
              </w:object>
            </w:r>
          </w:p>
        </w:tc>
        <w:tc>
          <w:tcPr>
            <w:tcW w:w="993" w:type="dxa"/>
            <w:tcBorders>
              <w:top w:val="nil"/>
              <w:left w:val="nil"/>
              <w:bottom w:val="nil"/>
              <w:right w:val="nil"/>
            </w:tcBorders>
          </w:tcPr>
          <w:p w14:paraId="27979073" w14:textId="77777777" w:rsidR="003E14AA" w:rsidRPr="0092670C" w:rsidRDefault="003E14AA" w:rsidP="00B9047F">
            <w:pPr>
              <w:rPr>
                <w:rFonts w:ascii="Arial" w:hAnsi="Arial" w:cs="Arial"/>
                <w:sz w:val="18"/>
                <w:szCs w:val="18"/>
              </w:rPr>
            </w:pPr>
            <w:r w:rsidRPr="0092670C">
              <w:rPr>
                <w:rFonts w:ascii="Arial" w:hAnsi="Arial" w:cs="Arial"/>
                <w:sz w:val="18"/>
                <w:szCs w:val="18"/>
              </w:rPr>
              <w:t>86.05</w:t>
            </w:r>
          </w:p>
        </w:tc>
        <w:tc>
          <w:tcPr>
            <w:tcW w:w="1134" w:type="dxa"/>
            <w:tcBorders>
              <w:top w:val="nil"/>
              <w:left w:val="nil"/>
              <w:bottom w:val="nil"/>
              <w:right w:val="nil"/>
            </w:tcBorders>
          </w:tcPr>
          <w:p w14:paraId="7C8D42FF" w14:textId="77777777" w:rsidR="003E14AA" w:rsidRPr="0092670C" w:rsidRDefault="003E14AA" w:rsidP="00B9047F">
            <w:pPr>
              <w:rPr>
                <w:rFonts w:ascii="Arial" w:hAnsi="Arial" w:cs="Arial"/>
                <w:sz w:val="18"/>
                <w:szCs w:val="18"/>
              </w:rPr>
            </w:pPr>
            <w:r w:rsidRPr="0092670C">
              <w:rPr>
                <w:rFonts w:ascii="Arial" w:hAnsi="Arial" w:cs="Arial"/>
                <w:sz w:val="18"/>
                <w:szCs w:val="18"/>
              </w:rPr>
              <w:t>22</w:t>
            </w:r>
          </w:p>
        </w:tc>
        <w:tc>
          <w:tcPr>
            <w:tcW w:w="992" w:type="dxa"/>
            <w:tcBorders>
              <w:top w:val="nil"/>
              <w:left w:val="nil"/>
              <w:bottom w:val="nil"/>
              <w:right w:val="nil"/>
            </w:tcBorders>
          </w:tcPr>
          <w:p w14:paraId="52502BD1" w14:textId="77777777" w:rsidR="003E14AA" w:rsidRPr="0092670C" w:rsidRDefault="003E14AA" w:rsidP="00B9047F">
            <w:pPr>
              <w:rPr>
                <w:rFonts w:ascii="Arial" w:hAnsi="Arial" w:cs="Arial"/>
                <w:sz w:val="18"/>
                <w:szCs w:val="18"/>
              </w:rPr>
            </w:pPr>
            <w:r w:rsidRPr="0092670C">
              <w:rPr>
                <w:rFonts w:ascii="Arial" w:hAnsi="Arial" w:cs="Arial"/>
                <w:sz w:val="18"/>
                <w:szCs w:val="18"/>
              </w:rPr>
              <w:t>178</w:t>
            </w:r>
          </w:p>
        </w:tc>
        <w:tc>
          <w:tcPr>
            <w:tcW w:w="992" w:type="dxa"/>
            <w:tcBorders>
              <w:top w:val="nil"/>
              <w:left w:val="nil"/>
              <w:bottom w:val="nil"/>
              <w:right w:val="nil"/>
            </w:tcBorders>
          </w:tcPr>
          <w:p w14:paraId="68ADE271" w14:textId="4A1C5748" w:rsidR="003E14AA" w:rsidRPr="0092670C" w:rsidRDefault="003E14AA" w:rsidP="00B9047F">
            <w:pPr>
              <w:rPr>
                <w:rFonts w:ascii="Arial" w:hAnsi="Arial" w:cs="Arial"/>
                <w:sz w:val="18"/>
                <w:szCs w:val="18"/>
              </w:rPr>
            </w:pPr>
            <w:r w:rsidRPr="0092670C">
              <w:rPr>
                <w:rFonts w:ascii="Arial" w:hAnsi="Arial" w:cs="Arial"/>
                <w:sz w:val="18"/>
                <w:szCs w:val="18"/>
              </w:rPr>
              <w:t>126</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&lt;EndNote&gt;&lt;Cite&gt;&lt;Author&gt;Väli&lt;/Author&gt;&lt;Year&gt;2016&lt;/Year&gt;&lt;RecNum&gt;222&lt;/RecNum&gt;&lt;DisplayText&gt;[103]&lt;/DisplayText&gt;&lt;record&gt;&lt;rec-number&gt;222&lt;/rec-number&gt;&lt;foreign-keys&gt;&lt;key app="EN" db-id="5sa9s0e0r0d9fnexra7pr5xdwd5ztevx95s2" timestamp="1555320611"&gt;222&lt;/key&gt;&lt;/foreign-keys&gt;&lt;ref-type name="Journal Article"&gt;17&lt;/ref-type&gt;&lt;contributors&gt;&lt;authors&gt;&lt;author&gt;Väli, R.&lt;/author&gt;&lt;author&gt;Jänes, A.&lt;/author&gt;&lt;author&gt;Lust, E.&lt;/author&gt;&lt;/authors&gt;&lt;/contributors&gt;&lt;titles&gt;&lt;title&gt;Vinylene Carbonate as Co-Solvent for Low-Temperature Mixed Electrolyte Based Supercapacitors&lt;/title&gt;&lt;secondary-title&gt;Journal of The Electrochemical Society&lt;/secondary-title&gt;&lt;/titles&gt;&lt;periodical&gt;&lt;full-title&gt;Journal of the Electrochemical Society&lt;/full-title&gt;&lt;abbr-1&gt;J. Electrochem. Soc.&lt;/abbr-1&gt;&lt;/periodical&gt;&lt;pages&gt;A851-A857&lt;/pages&gt;&lt;volume&gt;163&lt;/volume&gt;&lt;number&gt;6&lt;/number&gt;&lt;dates&gt;&lt;year&gt;2016&lt;/year&gt;&lt;pub-dates&gt;&lt;date&gt;January 1, 2016&lt;/date&gt;&lt;/pub-dates&gt;&lt;/dates&gt;&lt;urls&gt;&lt;related-urls&gt;&lt;url&gt;http://jes.ecsdl.org/content/163/6/A851.abstract&lt;/url&gt;&lt;/related-urls&gt;&lt;/urls&gt;&lt;electronic-resource-num&gt;10.1149/2.0541606jes&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[103]</w:t>
            </w:r>
            <w:r w:rsidRPr="0092670C">
              <w:rPr>
                <w:rFonts w:ascii="Arial" w:hAnsi="Arial" w:cs="Arial"/>
                <w:sz w:val="18"/>
                <w:szCs w:val="18"/>
              </w:rPr>
              <w:fldChar w:fldCharType="end"/>
            </w:r>
          </w:p>
        </w:tc>
        <w:tc>
          <w:tcPr>
            <w:tcW w:w="1843" w:type="dxa"/>
            <w:tcBorders>
              <w:top w:val="nil"/>
              <w:left w:val="nil"/>
              <w:bottom w:val="nil"/>
              <w:right w:val="nil"/>
            </w:tcBorders>
          </w:tcPr>
          <w:p w14:paraId="71D4EA01" w14:textId="1C760C96" w:rsidR="003E14AA" w:rsidRPr="0092670C" w:rsidRDefault="003E14AA" w:rsidP="00B9047F">
            <w:pPr>
              <w:rPr>
                <w:rFonts w:ascii="Arial" w:hAnsi="Arial" w:cs="Arial"/>
                <w:sz w:val="18"/>
                <w:szCs w:val="18"/>
              </w:rPr>
            </w:pPr>
            <w:r w:rsidRPr="0092670C">
              <w:rPr>
                <w:rFonts w:ascii="Arial" w:hAnsi="Arial" w:cs="Arial"/>
                <w:sz w:val="18"/>
                <w:szCs w:val="18"/>
              </w:rPr>
              <w:t>1.4</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&lt;EndNote&gt;&lt;Cite&gt;&lt;Author&gt;Zhang&lt;/Author&gt;&lt;Year&gt;2001&lt;/Year&gt;&lt;RecNum&gt;60&lt;/RecNum&gt;&lt;DisplayText&gt;[60]&lt;/DisplayText&gt;&lt;record&gt;&lt;rec-number&gt;60&lt;/rec-number&gt;&lt;foreign-keys&gt;&lt;key app="EN" db-id="5sa9s0e0r0d9fnexra7pr5xdwd5ztevx95s2" timestamp="1514902587"&gt;60&lt;/key&gt;&lt;/foreign-keys&gt;&lt;ref-type name="Journal Article"&gt;17&lt;/ref-type&gt;&lt;contributors&gt;&lt;authors&gt;&lt;author&gt;Zhang, Xuerong&lt;/author&gt;&lt;author&gt;Kostecki, Robert&lt;/author&gt;&lt;author&gt;Richardson, Thomas J.&lt;/author&gt;&lt;author&gt;Pugh, James K.&lt;/author&gt;&lt;author&gt;Ross, Philip N.&lt;/author&gt;&lt;/authors&gt;&lt;/contributors&gt;&lt;titles&gt;&lt;title&gt;Electrochemical and Infrared Studies of the Reduction of Organic Carbonates&lt;/title&gt;&lt;secondary-title&gt;Journal of The Electrochemical Society&lt;/secondary-title&gt;&lt;/titles&gt;&lt;periodical&gt;&lt;full-title&gt;Journal of the Electrochemical Society&lt;/full-title&gt;&lt;abbr-1&gt;J. Electrochem. Soc.&lt;/abbr-1&gt;&lt;/periodical&gt;&lt;pages&gt;A1341-A1345&lt;/pages&gt;&lt;volume&gt;148&lt;/volume&gt;&lt;number&gt;12&lt;/number&gt;&lt;dates&gt;&lt;year&gt;2001&lt;/year&gt;&lt;pub-dates&gt;&lt;date&gt;December 1, 2001&lt;/date&gt;&lt;/pub-dates&gt;&lt;/dates&gt;&lt;urls&gt;&lt;related-urls&gt;&lt;url&gt;http://jes.ecsdl.org/content/148/12/A1341.abstract&lt;/url&gt;&lt;/related-urls&gt;&lt;/urls&gt;&lt;electronic-resource-num&gt;10.1149/1.1415547&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[60]</w:t>
            </w:r>
            <w:r w:rsidRPr="0092670C">
              <w:rPr>
                <w:rFonts w:ascii="Arial" w:hAnsi="Arial" w:cs="Arial"/>
                <w:sz w:val="18"/>
                <w:szCs w:val="18"/>
              </w:rPr>
              <w:fldChar w:fldCharType="end"/>
            </w:r>
          </w:p>
        </w:tc>
        <w:tc>
          <w:tcPr>
            <w:tcW w:w="1417" w:type="dxa"/>
            <w:tcBorders>
              <w:top w:val="nil"/>
              <w:left w:val="nil"/>
              <w:bottom w:val="nil"/>
              <w:right w:val="nil"/>
            </w:tcBorders>
          </w:tcPr>
          <w:p w14:paraId="10222A38" w14:textId="77777777" w:rsidR="003E14AA" w:rsidRPr="0092670C" w:rsidRDefault="003E14AA" w:rsidP="00B9047F">
            <w:pPr>
              <w:rPr>
                <w:rFonts w:ascii="Arial" w:hAnsi="Arial" w:cs="Arial"/>
                <w:sz w:val="18"/>
                <w:szCs w:val="18"/>
              </w:rPr>
            </w:pPr>
            <w:r w:rsidRPr="0092670C">
              <w:rPr>
                <w:rFonts w:ascii="Arial" w:hAnsi="Arial" w:cs="Arial"/>
                <w:sz w:val="18"/>
                <w:szCs w:val="18"/>
              </w:rPr>
              <w:t>2-10%</w:t>
            </w:r>
          </w:p>
        </w:tc>
      </w:tr>
      <w:tr w:rsidR="00B26076" w:rsidRPr="0092670C" w14:paraId="14CB6DF7" w14:textId="77777777" w:rsidTr="00B26076">
        <w:tc>
          <w:tcPr>
            <w:tcW w:w="2132" w:type="dxa"/>
            <w:tcBorders>
              <w:top w:val="nil"/>
              <w:left w:val="nil"/>
              <w:bottom w:val="nil"/>
              <w:right w:val="nil"/>
            </w:tcBorders>
          </w:tcPr>
          <w:p w14:paraId="4BD86D30" w14:textId="77777777" w:rsidR="003E14AA" w:rsidRPr="0092670C" w:rsidRDefault="003E14AA" w:rsidP="00B9047F">
            <w:pPr>
              <w:rPr>
                <w:rFonts w:ascii="Arial" w:hAnsi="Arial" w:cs="Arial"/>
                <w:sz w:val="18"/>
                <w:szCs w:val="18"/>
              </w:rPr>
            </w:pPr>
            <w:r w:rsidRPr="0092670C">
              <w:rPr>
                <w:rFonts w:ascii="Arial" w:hAnsi="Arial" w:cs="Arial"/>
                <w:sz w:val="18"/>
                <w:szCs w:val="18"/>
              </w:rPr>
              <w:t>Vinyl ethylene carbonate (VEC)</w:t>
            </w:r>
          </w:p>
        </w:tc>
        <w:tc>
          <w:tcPr>
            <w:tcW w:w="4252" w:type="dxa"/>
            <w:tcBorders>
              <w:top w:val="nil"/>
              <w:left w:val="nil"/>
              <w:bottom w:val="nil"/>
              <w:right w:val="nil"/>
            </w:tcBorders>
          </w:tcPr>
          <w:p w14:paraId="48E19CC9" w14:textId="0AF63D80"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736" w:dyaOrig="1205" w14:anchorId="112196B2">
                <v:shape id="_x0000_i1043" type="#_x0000_t75" style="width:132.1pt;height:54pt" o:ole="">
                  <v:imagedata r:id="rId69" o:title=""/>
                </v:shape>
                <o:OLEObject Type="Embed" ProgID="ChemDraw.Document.6.0" ShapeID="_x0000_i1043" DrawAspect="Content" ObjectID="_1700733932" r:id="rId70"/>
              </w:object>
            </w:r>
          </w:p>
        </w:tc>
        <w:tc>
          <w:tcPr>
            <w:tcW w:w="993" w:type="dxa"/>
            <w:tcBorders>
              <w:top w:val="nil"/>
              <w:left w:val="nil"/>
              <w:bottom w:val="nil"/>
              <w:right w:val="nil"/>
            </w:tcBorders>
          </w:tcPr>
          <w:p w14:paraId="12489667" w14:textId="77777777" w:rsidR="003E14AA" w:rsidRPr="0092670C" w:rsidRDefault="003E14AA" w:rsidP="00B9047F">
            <w:pPr>
              <w:rPr>
                <w:rFonts w:ascii="Arial" w:hAnsi="Arial" w:cs="Arial"/>
                <w:sz w:val="18"/>
                <w:szCs w:val="18"/>
              </w:rPr>
            </w:pPr>
            <w:r w:rsidRPr="0092670C">
              <w:rPr>
                <w:rFonts w:ascii="Arial" w:hAnsi="Arial" w:cs="Arial"/>
                <w:sz w:val="18"/>
                <w:szCs w:val="18"/>
              </w:rPr>
              <w:t>114.10</w:t>
            </w:r>
          </w:p>
        </w:tc>
        <w:tc>
          <w:tcPr>
            <w:tcW w:w="1134" w:type="dxa"/>
            <w:tcBorders>
              <w:top w:val="nil"/>
              <w:left w:val="nil"/>
              <w:bottom w:val="nil"/>
              <w:right w:val="nil"/>
            </w:tcBorders>
          </w:tcPr>
          <w:p w14:paraId="05BE968F" w14:textId="6AEDA706" w:rsidR="003E14AA" w:rsidRPr="0092670C" w:rsidRDefault="00307FCB"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7BA294B5" w14:textId="77777777" w:rsidR="003E14AA" w:rsidRPr="0092670C" w:rsidRDefault="003E14AA" w:rsidP="00B9047F">
            <w:pPr>
              <w:rPr>
                <w:rFonts w:ascii="Arial" w:hAnsi="Arial" w:cs="Arial"/>
                <w:sz w:val="18"/>
                <w:szCs w:val="18"/>
              </w:rPr>
            </w:pPr>
            <w:r w:rsidRPr="0092670C">
              <w:rPr>
                <w:rFonts w:ascii="Arial" w:hAnsi="Arial" w:cs="Arial"/>
                <w:sz w:val="18"/>
                <w:szCs w:val="18"/>
              </w:rPr>
              <w:t>237</w:t>
            </w:r>
          </w:p>
        </w:tc>
        <w:tc>
          <w:tcPr>
            <w:tcW w:w="992" w:type="dxa"/>
            <w:tcBorders>
              <w:top w:val="nil"/>
              <w:left w:val="nil"/>
              <w:bottom w:val="nil"/>
              <w:right w:val="nil"/>
            </w:tcBorders>
          </w:tcPr>
          <w:p w14:paraId="272FDCC4" w14:textId="55339629" w:rsidR="003E14AA" w:rsidRPr="0092670C" w:rsidRDefault="00307FCB"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72350C2A" w14:textId="58FB8647" w:rsidR="003E14AA" w:rsidRPr="0092670C" w:rsidRDefault="003E14AA" w:rsidP="00B9047F">
            <w:pPr>
              <w:rPr>
                <w:rFonts w:ascii="Arial" w:hAnsi="Arial" w:cs="Arial"/>
                <w:sz w:val="18"/>
                <w:szCs w:val="18"/>
              </w:rPr>
            </w:pPr>
            <w:r w:rsidRPr="0092670C">
              <w:rPr>
                <w:rFonts w:ascii="Arial" w:hAnsi="Arial" w:cs="Arial"/>
                <w:sz w:val="18"/>
                <w:szCs w:val="18"/>
              </w:rPr>
              <w:t>2.2</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&lt;EndNote&gt;&lt;Cite&gt;&lt;Author&gt;Vollmer&lt;/Author&gt;&lt;Year&gt;2004&lt;/Year&gt;&lt;RecNum&gt;339&lt;/RecNum&gt;&lt;DisplayText&gt;[104]&lt;/DisplayText&gt;&lt;record&gt;&lt;rec-number&gt;339&lt;/rec-number&gt;&lt;foreign-keys&gt;&lt;key app="EN" db-id="5sa9s0e0r0d9fnexra7pr5xdwd5ztevx95s2" timestamp="1563290909"&gt;339&lt;/key&gt;&lt;/foreign-keys&gt;&lt;ref-type name="Journal Article"&gt;17&lt;/ref-type&gt;&lt;contributors&gt;&lt;authors&gt;&lt;author&gt;Vollmer, James M&lt;/author&gt;&lt;author&gt;Curtiss, Larry A&lt;/author&gt;&lt;author&gt;Vissers, Donald R&lt;/author&gt;&lt;author&gt;Amine, Khalil&lt;/author&gt;&lt;/authors&gt;&lt;/contributors&gt;&lt;titles&gt;&lt;title&gt;Reduction mechanisms of ethylene, propylene, and vinylethylene carbonates a quantum chemical study&lt;/title&gt;&lt;secondary-title&gt;Journal of The Electrochemical Society&lt;/secondary-title&gt;&lt;/titles&gt;&lt;periodical&gt;&lt;full-title&gt;Journal of the Electrochemical Society&lt;/full-title&gt;&lt;abbr-1&gt;J. Electrochem. Soc.&lt;/abbr-1&gt;&lt;/periodical&gt;&lt;pages&gt;A178-A183&lt;/pages&gt;&lt;volume&gt;151&lt;/volume&gt;&lt;number&gt;1&lt;/number&gt;&lt;dates&gt;&lt;year&gt;2004&lt;/year&gt;&lt;/dates&gt;&lt;isbn&gt;0013-4651&lt;/isbn&gt;&lt;urls&gt;&lt;/urls&gt;&lt;/record&gt;&lt;/Cite&gt;&lt;/EndNote&gt;</w:instrText>
            </w:r>
            <w:r w:rsidRPr="0092670C">
              <w:rPr>
                <w:rFonts w:ascii="Arial" w:hAnsi="Arial" w:cs="Arial"/>
                <w:sz w:val="18"/>
                <w:szCs w:val="18"/>
              </w:rPr>
              <w:fldChar w:fldCharType="separate"/>
            </w:r>
            <w:r w:rsidR="0034337D">
              <w:rPr>
                <w:rFonts w:ascii="Arial" w:hAnsi="Arial" w:cs="Arial"/>
                <w:noProof/>
                <w:sz w:val="18"/>
                <w:szCs w:val="18"/>
              </w:rPr>
              <w:t>[104]</w:t>
            </w:r>
            <w:r w:rsidRPr="0092670C">
              <w:rPr>
                <w:rFonts w:ascii="Arial" w:hAnsi="Arial" w:cs="Arial"/>
                <w:sz w:val="18"/>
                <w:szCs w:val="18"/>
              </w:rPr>
              <w:fldChar w:fldCharType="end"/>
            </w:r>
          </w:p>
        </w:tc>
        <w:tc>
          <w:tcPr>
            <w:tcW w:w="1417" w:type="dxa"/>
            <w:tcBorders>
              <w:top w:val="nil"/>
              <w:left w:val="nil"/>
              <w:bottom w:val="nil"/>
              <w:right w:val="nil"/>
            </w:tcBorders>
          </w:tcPr>
          <w:p w14:paraId="7820939A" w14:textId="56B671C5" w:rsidR="003E14AA" w:rsidRPr="0092670C" w:rsidRDefault="003E14AA" w:rsidP="00B9047F">
            <w:pPr>
              <w:rPr>
                <w:rFonts w:ascii="Arial" w:hAnsi="Arial" w:cs="Arial"/>
                <w:sz w:val="18"/>
                <w:szCs w:val="18"/>
              </w:rPr>
            </w:pPr>
            <w:r w:rsidRPr="0092670C">
              <w:rPr>
                <w:rFonts w:ascii="Arial" w:hAnsi="Arial" w:cs="Arial"/>
                <w:sz w:val="18"/>
                <w:szCs w:val="18"/>
              </w:rPr>
              <w:t>1%</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&lt;EndNote&gt;&lt;Cite&gt;&lt;Author&gt;Shim&lt;/Author&gt;&lt;Year&gt;2007&lt;/Year&gt;&lt;RecNum&gt;223&lt;/RecNum&gt;&lt;DisplayText&gt;[105]&lt;/DisplayText&gt;&lt;record&gt;&lt;rec-number&gt;223&lt;/rec-number&gt;&lt;foreign-keys&gt;&lt;key app="EN" db-id="5sa9s0e0r0d9fnexra7pr5xdwd5ztevx95s2" timestamp="1555324357"&gt;223&lt;/key&gt;&lt;/foreign-keys&gt;&lt;ref-type name="Journal Article"&gt;17&lt;/ref-type&gt;&lt;contributors&gt;&lt;authors&gt;&lt;author&gt;Shim, Eun-Gi&lt;/author&gt;&lt;author&gt;Nam, Tae-Heum&lt;/author&gt;&lt;author&gt;Kim, Jung-Gu&lt;/author&gt;&lt;author&gt;Kim, Hyun-Soo&lt;/author&gt;&lt;author&gt;Moon, Seong-In&lt;/author&gt;&lt;/authors&gt;&lt;/contributors&gt;&lt;titles&gt;&lt;title&gt;Effect of vinyl acetate plus vinylene carbonate and vinyl ethylene carbonate plus biphenyl as electrolyte additives on the electrochemical performance of Li-ion batteries&lt;/title&gt;&lt;secondary-title&gt;Electrochimica Acta&lt;/secondary-title&gt;&lt;/titles&gt;&lt;periodical&gt;&lt;full-title&gt;Electrochimica Acta&lt;/full-title&gt;&lt;/periodical&gt;&lt;pages&gt;650-656&lt;/pages&gt;&lt;volume&gt;53&lt;/volume&gt;&lt;number&gt;2&lt;/number&gt;&lt;keywords&gt;&lt;keyword&gt;Electrolyte additives&lt;/keyword&gt;&lt;keyword&gt;Vinyl acetate&lt;/keyword&gt;&lt;keyword&gt;Vinylene carbonate&lt;/keyword&gt;&lt;keyword&gt;Vinyl ethylene carbonate&lt;/keyword&gt;&lt;keyword&gt;Biphenyl&lt;/keyword&gt;&lt;/keywords&gt;&lt;dates&gt;&lt;year&gt;2007&lt;/year&gt;&lt;pub-dates&gt;&lt;date&gt;2007/12/01/&lt;/date&gt;&lt;/pub-dates&gt;&lt;/dates&gt;&lt;isbn&gt;0013-4686&lt;/isbn&gt;&lt;urls&gt;&lt;related-urls&gt;&lt;url&gt;http://www.sciencedirect.com/science/article/pii/S0013468607009024&lt;/url&gt;&lt;/related-urls&gt;&lt;/urls&gt;&lt;electronic-resource-num&gt;https://doi.org/10.1016/j.electacta.2007.07.026&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[105]</w:t>
            </w:r>
            <w:r w:rsidRPr="0092670C">
              <w:rPr>
                <w:rFonts w:ascii="Arial" w:hAnsi="Arial" w:cs="Arial"/>
                <w:sz w:val="18"/>
                <w:szCs w:val="18"/>
              </w:rPr>
              <w:fldChar w:fldCharType="end"/>
            </w:r>
          </w:p>
        </w:tc>
      </w:tr>
      <w:tr w:rsidR="00B26076" w:rsidRPr="0092670C" w14:paraId="384C684D" w14:textId="77777777" w:rsidTr="00B26076">
        <w:tc>
          <w:tcPr>
            <w:tcW w:w="2132" w:type="dxa"/>
            <w:tcBorders>
              <w:top w:val="nil"/>
              <w:left w:val="nil"/>
              <w:bottom w:val="nil"/>
              <w:right w:val="nil"/>
            </w:tcBorders>
          </w:tcPr>
          <w:p w14:paraId="5B464950" w14:textId="77777777" w:rsidR="003E14AA" w:rsidRPr="0092670C" w:rsidRDefault="003E14AA" w:rsidP="00B9047F">
            <w:pPr>
              <w:rPr>
                <w:rFonts w:ascii="Arial" w:hAnsi="Arial" w:cs="Arial"/>
                <w:sz w:val="18"/>
                <w:szCs w:val="18"/>
              </w:rPr>
            </w:pPr>
            <w:r w:rsidRPr="0092670C">
              <w:rPr>
                <w:rFonts w:ascii="Arial" w:hAnsi="Arial" w:cs="Arial"/>
                <w:sz w:val="18"/>
                <w:szCs w:val="18"/>
              </w:rPr>
              <w:t>1, 3-benzodioxol-2-one (BO)</w:t>
            </w:r>
          </w:p>
        </w:tc>
        <w:tc>
          <w:tcPr>
            <w:tcW w:w="4252" w:type="dxa"/>
            <w:tcBorders>
              <w:top w:val="nil"/>
              <w:left w:val="nil"/>
              <w:bottom w:val="nil"/>
              <w:right w:val="nil"/>
            </w:tcBorders>
          </w:tcPr>
          <w:p w14:paraId="32775ED3" w14:textId="7736425B"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717" w:dyaOrig="1291" w14:anchorId="509EDAB1">
                <v:shape id="_x0000_i1044" type="#_x0000_t75" style="width:119.9pt;height:54pt" o:ole="">
                  <v:imagedata r:id="rId71" o:title=""/>
                </v:shape>
                <o:OLEObject Type="Embed" ProgID="ChemDraw.Document.6.0" ShapeID="_x0000_i1044" DrawAspect="Content" ObjectID="_1700733933" r:id="rId72"/>
              </w:object>
            </w:r>
          </w:p>
        </w:tc>
        <w:tc>
          <w:tcPr>
            <w:tcW w:w="993" w:type="dxa"/>
            <w:tcBorders>
              <w:top w:val="nil"/>
              <w:left w:val="nil"/>
              <w:bottom w:val="nil"/>
              <w:right w:val="nil"/>
            </w:tcBorders>
          </w:tcPr>
          <w:p w14:paraId="287D998C" w14:textId="77777777" w:rsidR="003E14AA" w:rsidRPr="0092670C" w:rsidRDefault="003E14AA" w:rsidP="00B9047F">
            <w:pPr>
              <w:rPr>
                <w:rFonts w:ascii="Arial" w:hAnsi="Arial" w:cs="Arial"/>
                <w:sz w:val="18"/>
                <w:szCs w:val="18"/>
              </w:rPr>
            </w:pPr>
            <w:r w:rsidRPr="0092670C">
              <w:rPr>
                <w:rFonts w:ascii="Arial" w:hAnsi="Arial" w:cs="Arial"/>
                <w:sz w:val="18"/>
                <w:szCs w:val="18"/>
              </w:rPr>
              <w:t>136.11</w:t>
            </w:r>
          </w:p>
        </w:tc>
        <w:tc>
          <w:tcPr>
            <w:tcW w:w="1134" w:type="dxa"/>
            <w:tcBorders>
              <w:top w:val="nil"/>
              <w:left w:val="nil"/>
              <w:bottom w:val="nil"/>
              <w:right w:val="nil"/>
            </w:tcBorders>
          </w:tcPr>
          <w:p w14:paraId="757861FA" w14:textId="77777777" w:rsidR="003E14AA" w:rsidRPr="0092670C" w:rsidRDefault="003E14AA" w:rsidP="00B9047F">
            <w:pPr>
              <w:rPr>
                <w:rFonts w:ascii="Arial" w:hAnsi="Arial" w:cs="Arial"/>
                <w:sz w:val="18"/>
                <w:szCs w:val="18"/>
              </w:rPr>
            </w:pPr>
            <w:r w:rsidRPr="0092670C">
              <w:rPr>
                <w:rFonts w:ascii="Arial" w:hAnsi="Arial" w:cs="Arial"/>
                <w:sz w:val="18"/>
                <w:szCs w:val="18"/>
              </w:rPr>
              <w:t>116</w:t>
            </w:r>
          </w:p>
        </w:tc>
        <w:tc>
          <w:tcPr>
            <w:tcW w:w="992" w:type="dxa"/>
            <w:tcBorders>
              <w:top w:val="nil"/>
              <w:left w:val="nil"/>
              <w:bottom w:val="nil"/>
              <w:right w:val="nil"/>
            </w:tcBorders>
          </w:tcPr>
          <w:p w14:paraId="2653B706" w14:textId="77777777" w:rsidR="003E14AA" w:rsidRPr="0092670C" w:rsidRDefault="003E14AA" w:rsidP="00B9047F">
            <w:pPr>
              <w:rPr>
                <w:rFonts w:ascii="Arial" w:hAnsi="Arial" w:cs="Arial"/>
                <w:sz w:val="18"/>
                <w:szCs w:val="18"/>
              </w:rPr>
            </w:pPr>
            <w:r w:rsidRPr="0092670C">
              <w:rPr>
                <w:rFonts w:ascii="Arial" w:hAnsi="Arial" w:cs="Arial"/>
                <w:sz w:val="18"/>
                <w:szCs w:val="18"/>
              </w:rPr>
              <w:t>180.8</w:t>
            </w:r>
          </w:p>
        </w:tc>
        <w:tc>
          <w:tcPr>
            <w:tcW w:w="992" w:type="dxa"/>
            <w:tcBorders>
              <w:top w:val="nil"/>
              <w:left w:val="nil"/>
              <w:bottom w:val="nil"/>
              <w:right w:val="nil"/>
            </w:tcBorders>
          </w:tcPr>
          <w:p w14:paraId="74A116C0" w14:textId="28DEAA64" w:rsidR="003E14AA" w:rsidRPr="0092670C" w:rsidRDefault="00307FCB"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62F2BF15" w14:textId="438F3D71" w:rsidR="003E14AA" w:rsidRPr="0092670C" w:rsidRDefault="003E14AA" w:rsidP="00B9047F">
            <w:pPr>
              <w:rPr>
                <w:rFonts w:ascii="Arial" w:hAnsi="Arial" w:cs="Arial"/>
                <w:sz w:val="18"/>
                <w:szCs w:val="18"/>
              </w:rPr>
            </w:pPr>
            <w:r w:rsidRPr="0092670C">
              <w:rPr>
                <w:rFonts w:ascii="Arial" w:hAnsi="Arial" w:cs="Arial"/>
                <w:sz w:val="18"/>
                <w:szCs w:val="18"/>
              </w:rPr>
              <w:t>&gt; PC</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&lt;EndNote&gt;&lt;Cite&gt;&lt;Author&gt;Xing&lt;/Author&gt;&lt;Year&gt;2009&lt;/Year&gt;&lt;RecNum&gt;340&lt;/RecNum&gt;&lt;DisplayText&gt;[106]&lt;/DisplayText&gt;&lt;record&gt;&lt;rec-number&gt;340&lt;/rec-number&gt;&lt;foreign-keys&gt;&lt;key app="EN" db-id="5sa9s0e0r0d9fnexra7pr5xdwd5ztevx95s2" timestamp="1563290992"&gt;340&lt;/key&gt;&lt;/foreign-keys&gt;&lt;ref-type name="Journal Article"&gt;17&lt;/ref-type&gt;&lt;contributors&gt;&lt;authors&gt;&lt;author&gt;Xing, LD&lt;/author&gt;&lt;author&gt;Wang, CY&lt;/author&gt;&lt;author&gt;Xu, MQ&lt;/author&gt;&lt;author&gt;Li, WS&lt;/author&gt;&lt;author&gt;Cai, ZP&lt;/author&gt;&lt;/authors&gt;&lt;/contributors&gt;&lt;titles&gt;&lt;title&gt;Theoretical study on reduction mechanism of 1, 3-benzodioxol-2-one for the formation of solid electrolyte interface on anode of lithium ion battery&lt;/title&gt;&lt;secondary-title&gt;Journal of Power Sources&lt;/secondary-title&gt;&lt;/titles&gt;&lt;periodical&gt;&lt;full-title&gt;Journal of Power Sources&lt;/full-title&gt;&lt;/periodical&gt;&lt;pages&gt;689-692&lt;/pages&gt;&lt;volume&gt;189&lt;/volume&gt;&lt;number&gt;1&lt;/number&gt;&lt;dates&gt;&lt;year&gt;2009&lt;/year&gt;&lt;/dates&gt;&lt;isbn&gt;0378-7753&lt;/isbn&gt;&lt;urls&gt;&lt;/urls&gt;&lt;/record&gt;&lt;/Cite&gt;&lt;/EndNote&gt;</w:instrText>
            </w:r>
            <w:r w:rsidRPr="0092670C">
              <w:rPr>
                <w:rFonts w:ascii="Arial" w:hAnsi="Arial" w:cs="Arial"/>
                <w:sz w:val="18"/>
                <w:szCs w:val="18"/>
              </w:rPr>
              <w:fldChar w:fldCharType="separate"/>
            </w:r>
            <w:r w:rsidR="0034337D">
              <w:rPr>
                <w:rFonts w:ascii="Arial" w:hAnsi="Arial" w:cs="Arial"/>
                <w:noProof/>
                <w:sz w:val="18"/>
                <w:szCs w:val="18"/>
              </w:rPr>
              <w:t>[106]</w:t>
            </w:r>
            <w:r w:rsidRPr="0092670C">
              <w:rPr>
                <w:rFonts w:ascii="Arial" w:hAnsi="Arial" w:cs="Arial"/>
                <w:sz w:val="18"/>
                <w:szCs w:val="18"/>
              </w:rPr>
              <w:fldChar w:fldCharType="end"/>
            </w:r>
          </w:p>
        </w:tc>
        <w:tc>
          <w:tcPr>
            <w:tcW w:w="1417" w:type="dxa"/>
            <w:tcBorders>
              <w:top w:val="nil"/>
              <w:left w:val="nil"/>
              <w:bottom w:val="nil"/>
              <w:right w:val="nil"/>
            </w:tcBorders>
          </w:tcPr>
          <w:p w14:paraId="159961DF" w14:textId="6948D170" w:rsidR="003E14AA" w:rsidRPr="0092670C" w:rsidRDefault="003E14AA" w:rsidP="00B9047F">
            <w:pPr>
              <w:rPr>
                <w:rFonts w:ascii="Arial" w:hAnsi="Arial" w:cs="Arial"/>
                <w:sz w:val="18"/>
                <w:szCs w:val="18"/>
              </w:rPr>
            </w:pPr>
            <w:r w:rsidRPr="0092670C">
              <w:rPr>
                <w:rFonts w:ascii="Arial" w:hAnsi="Arial" w:cs="Arial"/>
                <w:sz w:val="18"/>
                <w:szCs w:val="18"/>
              </w:rPr>
              <w:t>2wt.%</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&lt;EndNote&gt;&lt;Cite&gt;&lt;Author&gt;Wang&lt;/Author&gt;&lt;Year&gt;1998&lt;/Year&gt;&lt;RecNum&gt;232&lt;/RecNum&gt;&lt;DisplayText&gt;[107]&lt;/DisplayText&gt;&lt;record&gt;&lt;rec-number&gt;232&lt;/rec-number&gt;&lt;foreign-keys&gt;&lt;key app="EN" db-id="5sa9s0e0r0d9fnexra7pr5xdwd5ztevx95s2" timestamp="1555431897"&gt;232&lt;/key&gt;&lt;/foreign-keys&gt;&lt;ref-type name="Journal Article"&gt;17&lt;/ref-type&gt;&lt;contributors&gt;&lt;authors&gt;&lt;author&gt;Wang, Congxiao&lt;/author&gt;&lt;author&gt;Nakamura, Hiroyoshi&lt;/author&gt;&lt;author&gt;Komatsu, Hiroshi&lt;/author&gt;&lt;author&gt;Yoshio, Masaki&lt;/author&gt;&lt;author&gt;Yoshitake, Hideya&lt;/author&gt;&lt;/authors&gt;&lt;/contributors&gt;&lt;titles&gt;&lt;title&gt;Electrochemical behaviour of a graphite electrode in propylene carbonate and 1,3-benzodioxol-2-one based electrolyte system&lt;/title&gt;&lt;secondary-title&gt;Journal of Power Sources&lt;/secondary-title&gt;&lt;/titles&gt;&lt;periodical&gt;&lt;full-title&gt;Journal of Power Sources&lt;/full-title&gt;&lt;/periodical&gt;&lt;pages&gt;142-145&lt;/pages&gt;&lt;volume&gt;74&lt;/volume&gt;&lt;number&gt;1&lt;/number&gt;&lt;keywords&gt;&lt;keyword&gt;Graphite&lt;/keyword&gt;&lt;keyword&gt;Lithium&lt;/keyword&gt;&lt;keyword&gt;Lithium-ion batteries&lt;/keyword&gt;&lt;keyword&gt;Intercalation&lt;/keyword&gt;&lt;keyword&gt;Propylene carbonate&lt;/keyword&gt;&lt;keyword&gt;1,3-Benzodioxol-2-one&lt;/keyword&gt;&lt;/keywords&gt;&lt;dates&gt;&lt;year&gt;1998&lt;/year&gt;&lt;pub-dates&gt;&lt;date&gt;1998/07/15/&lt;/date&gt;&lt;/pub-dates&gt;&lt;/dates&gt;&lt;isbn&gt;0378-7753&lt;/isbn&gt;&lt;urls&gt;&lt;related-urls&gt;&lt;url&gt;http://www.sciencedirect.com/science/article/pii/S0378775398000172&lt;/url&gt;&lt;/related-urls&gt;&lt;/urls&gt;&lt;electronic-resource-num&gt;https://doi.org/10.1016/S0378-7753(98)00017-2&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[107]</w:t>
            </w:r>
            <w:r w:rsidRPr="0092670C">
              <w:rPr>
                <w:rFonts w:ascii="Arial" w:hAnsi="Arial" w:cs="Arial"/>
                <w:sz w:val="18"/>
                <w:szCs w:val="18"/>
              </w:rPr>
              <w:fldChar w:fldCharType="end"/>
            </w:r>
          </w:p>
        </w:tc>
      </w:tr>
      <w:tr w:rsidR="00B26076" w:rsidRPr="0092670C" w14:paraId="56A9CE28" w14:textId="77777777" w:rsidTr="00B26076">
        <w:tc>
          <w:tcPr>
            <w:tcW w:w="2132" w:type="dxa"/>
            <w:tcBorders>
              <w:top w:val="nil"/>
              <w:left w:val="nil"/>
              <w:bottom w:val="nil"/>
              <w:right w:val="nil"/>
            </w:tcBorders>
          </w:tcPr>
          <w:p w14:paraId="664A25F7" w14:textId="77777777" w:rsidR="003E14AA" w:rsidRPr="0092670C" w:rsidRDefault="003E14AA" w:rsidP="00B9047F">
            <w:pPr>
              <w:rPr>
                <w:rFonts w:ascii="Arial" w:hAnsi="Arial" w:cs="Arial"/>
                <w:sz w:val="18"/>
                <w:szCs w:val="18"/>
              </w:rPr>
            </w:pPr>
            <w:r w:rsidRPr="0092670C">
              <w:rPr>
                <w:rFonts w:ascii="Arial" w:hAnsi="Arial" w:cs="Arial"/>
                <w:sz w:val="18"/>
                <w:szCs w:val="18"/>
              </w:rPr>
              <w:t>Sulphites</w:t>
            </w:r>
          </w:p>
        </w:tc>
        <w:tc>
          <w:tcPr>
            <w:tcW w:w="4252" w:type="dxa"/>
            <w:tcBorders>
              <w:top w:val="nil"/>
              <w:left w:val="nil"/>
              <w:bottom w:val="nil"/>
              <w:right w:val="nil"/>
            </w:tcBorders>
          </w:tcPr>
          <w:p w14:paraId="459F6652" w14:textId="77777777" w:rsidR="003E14AA" w:rsidRPr="0092670C" w:rsidRDefault="003E14AA" w:rsidP="00B9047F">
            <w:pPr>
              <w:rPr>
                <w:rFonts w:ascii="Arial" w:hAnsi="Arial" w:cs="Arial"/>
                <w:sz w:val="18"/>
                <w:szCs w:val="18"/>
              </w:rPr>
            </w:pPr>
          </w:p>
        </w:tc>
        <w:tc>
          <w:tcPr>
            <w:tcW w:w="993" w:type="dxa"/>
            <w:tcBorders>
              <w:top w:val="nil"/>
              <w:left w:val="nil"/>
              <w:bottom w:val="nil"/>
              <w:right w:val="nil"/>
            </w:tcBorders>
          </w:tcPr>
          <w:p w14:paraId="0F253FB8" w14:textId="77777777" w:rsidR="003E14AA" w:rsidRPr="0092670C" w:rsidRDefault="003E14AA" w:rsidP="00B9047F">
            <w:pPr>
              <w:rPr>
                <w:rFonts w:ascii="Arial" w:hAnsi="Arial" w:cs="Arial"/>
                <w:sz w:val="18"/>
                <w:szCs w:val="18"/>
              </w:rPr>
            </w:pPr>
          </w:p>
        </w:tc>
        <w:tc>
          <w:tcPr>
            <w:tcW w:w="1134" w:type="dxa"/>
            <w:tcBorders>
              <w:top w:val="nil"/>
              <w:left w:val="nil"/>
              <w:bottom w:val="nil"/>
              <w:right w:val="nil"/>
            </w:tcBorders>
          </w:tcPr>
          <w:p w14:paraId="230A26D9"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578124BA"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106AE1DE" w14:textId="77777777" w:rsidR="003E14AA" w:rsidRPr="0092670C" w:rsidRDefault="003E14AA" w:rsidP="00B9047F">
            <w:pPr>
              <w:rPr>
                <w:rFonts w:ascii="Arial" w:hAnsi="Arial" w:cs="Arial"/>
                <w:sz w:val="18"/>
                <w:szCs w:val="18"/>
              </w:rPr>
            </w:pPr>
          </w:p>
        </w:tc>
        <w:tc>
          <w:tcPr>
            <w:tcW w:w="1843" w:type="dxa"/>
            <w:tcBorders>
              <w:top w:val="nil"/>
              <w:left w:val="nil"/>
              <w:bottom w:val="nil"/>
              <w:right w:val="nil"/>
            </w:tcBorders>
          </w:tcPr>
          <w:p w14:paraId="6F67C382" w14:textId="77777777" w:rsidR="003E14AA" w:rsidRPr="0092670C" w:rsidRDefault="003E14AA" w:rsidP="00B9047F">
            <w:pPr>
              <w:rPr>
                <w:rFonts w:ascii="Arial" w:hAnsi="Arial" w:cs="Arial"/>
                <w:sz w:val="18"/>
                <w:szCs w:val="18"/>
              </w:rPr>
            </w:pPr>
          </w:p>
        </w:tc>
        <w:tc>
          <w:tcPr>
            <w:tcW w:w="1417" w:type="dxa"/>
            <w:tcBorders>
              <w:top w:val="nil"/>
              <w:left w:val="nil"/>
              <w:bottom w:val="nil"/>
              <w:right w:val="nil"/>
            </w:tcBorders>
          </w:tcPr>
          <w:p w14:paraId="7AC44577" w14:textId="77777777" w:rsidR="003E14AA" w:rsidRPr="0092670C" w:rsidRDefault="003E14AA" w:rsidP="00B9047F">
            <w:pPr>
              <w:rPr>
                <w:rFonts w:ascii="Arial" w:hAnsi="Arial" w:cs="Arial"/>
                <w:sz w:val="18"/>
                <w:szCs w:val="18"/>
              </w:rPr>
            </w:pPr>
          </w:p>
        </w:tc>
      </w:tr>
      <w:tr w:rsidR="00B26076" w:rsidRPr="0092670C" w14:paraId="5FD551D9" w14:textId="77777777" w:rsidTr="00B26076">
        <w:tc>
          <w:tcPr>
            <w:tcW w:w="2132" w:type="dxa"/>
            <w:tcBorders>
              <w:top w:val="nil"/>
              <w:left w:val="nil"/>
              <w:bottom w:val="nil"/>
              <w:right w:val="nil"/>
            </w:tcBorders>
          </w:tcPr>
          <w:p w14:paraId="4B56ABF9" w14:textId="77777777" w:rsidR="003E14AA" w:rsidRPr="0092670C" w:rsidRDefault="003E14AA" w:rsidP="00B9047F">
            <w:pPr>
              <w:rPr>
                <w:rFonts w:ascii="Arial" w:hAnsi="Arial" w:cs="Arial"/>
                <w:sz w:val="18"/>
                <w:szCs w:val="18"/>
              </w:rPr>
            </w:pPr>
            <w:r w:rsidRPr="0092670C">
              <w:rPr>
                <w:rFonts w:ascii="Arial" w:hAnsi="Arial" w:cs="Arial"/>
                <w:sz w:val="18"/>
                <w:szCs w:val="18"/>
              </w:rPr>
              <w:t>Ethylene sulphite (ES)</w:t>
            </w:r>
          </w:p>
        </w:tc>
        <w:tc>
          <w:tcPr>
            <w:tcW w:w="4252" w:type="dxa"/>
            <w:tcBorders>
              <w:top w:val="nil"/>
              <w:left w:val="nil"/>
              <w:bottom w:val="nil"/>
              <w:right w:val="nil"/>
            </w:tcBorders>
          </w:tcPr>
          <w:p w14:paraId="57104852" w14:textId="0197DB81"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1704" w:dyaOrig="1205" w14:anchorId="7938A2B2">
                <v:shape id="_x0000_i1045" type="#_x0000_t75" style="width:1in;height:54pt" o:ole="">
                  <v:imagedata r:id="rId73" o:title=""/>
                </v:shape>
                <o:OLEObject Type="Embed" ProgID="ChemDraw.Document.6.0" ShapeID="_x0000_i1045" DrawAspect="Content" ObjectID="_1700733934" r:id="rId74"/>
              </w:object>
            </w:r>
          </w:p>
        </w:tc>
        <w:tc>
          <w:tcPr>
            <w:tcW w:w="993" w:type="dxa"/>
            <w:tcBorders>
              <w:top w:val="nil"/>
              <w:left w:val="nil"/>
              <w:bottom w:val="nil"/>
              <w:right w:val="nil"/>
            </w:tcBorders>
          </w:tcPr>
          <w:p w14:paraId="26B35BF7" w14:textId="77777777" w:rsidR="003E14AA" w:rsidRPr="0092670C" w:rsidRDefault="003E14AA" w:rsidP="00B9047F">
            <w:pPr>
              <w:rPr>
                <w:rFonts w:ascii="Arial" w:hAnsi="Arial" w:cs="Arial"/>
                <w:sz w:val="18"/>
                <w:szCs w:val="18"/>
              </w:rPr>
            </w:pPr>
            <w:r w:rsidRPr="0092670C">
              <w:rPr>
                <w:rFonts w:ascii="Arial" w:hAnsi="Arial" w:cs="Arial"/>
                <w:sz w:val="18"/>
                <w:szCs w:val="18"/>
              </w:rPr>
              <w:t>108.12</w:t>
            </w:r>
          </w:p>
        </w:tc>
        <w:tc>
          <w:tcPr>
            <w:tcW w:w="1134" w:type="dxa"/>
            <w:tcBorders>
              <w:top w:val="nil"/>
              <w:left w:val="nil"/>
              <w:bottom w:val="nil"/>
              <w:right w:val="nil"/>
            </w:tcBorders>
          </w:tcPr>
          <w:p w14:paraId="49DBD4F8" w14:textId="77777777" w:rsidR="003E14AA" w:rsidRPr="0092670C" w:rsidRDefault="003E14AA" w:rsidP="00B9047F">
            <w:pPr>
              <w:rPr>
                <w:rFonts w:ascii="Arial" w:hAnsi="Arial" w:cs="Arial"/>
                <w:sz w:val="18"/>
                <w:szCs w:val="18"/>
              </w:rPr>
            </w:pPr>
            <w:r w:rsidRPr="0092670C">
              <w:rPr>
                <w:rFonts w:ascii="Arial" w:hAnsi="Arial" w:cs="Arial"/>
                <w:sz w:val="18"/>
                <w:szCs w:val="18"/>
              </w:rPr>
              <w:t>-17</w:t>
            </w:r>
          </w:p>
          <w:p w14:paraId="1185F774" w14:textId="77053962" w:rsidR="003E14AA" w:rsidRPr="0092670C" w:rsidRDefault="003E14AA" w:rsidP="00B9047F">
            <w:pPr>
              <w:rPr>
                <w:rFonts w:ascii="Arial" w:hAnsi="Arial" w:cs="Arial"/>
                <w:sz w:val="18"/>
                <w:szCs w:val="18"/>
              </w:rPr>
            </w:pP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&lt;EndNote&gt;&lt;Cite&gt;&lt;Author&gt;Ping&lt;/Author&gt;&lt;Year&gt;2011&lt;/Year&gt;&lt;RecNum&gt;224&lt;/RecNum&gt;&lt;DisplayText&gt;[108]&lt;/DisplayText&gt;&lt;record&gt;&lt;rec-number&gt;224&lt;/rec-number&gt;&lt;foreign-keys&gt;&lt;key app="EN" db-id="5sa9s0e0r0d9fnexra7pr5xdwd5ztevx95s2" timestamp="1555329011"&gt;224&lt;/key&gt;&lt;/foreign-keys&gt;&lt;ref-type name="Journal Article"&gt;17&lt;/ref-type&gt;&lt;contributors&gt;&lt;authors&gt;&lt;author&gt;Ping, Ping&lt;/author&gt;&lt;author&gt;Wang, Qingsong&lt;/author&gt;&lt;author&gt;Sun, Jinhua&lt;/author&gt;&lt;author&gt;Feng, Xuyong&lt;/author&gt;&lt;author&gt;Chen, Chunhua&lt;/author&gt;&lt;/authors&gt;&lt;/contributors&gt;&lt;titles&gt;&lt;title&gt;Effect of sulfites on the performance of LiBOB/γ-butyrolactone electrolytes&lt;/title&gt;&lt;secondary-title&gt;Journal of Power Sources&lt;/secondary-title&gt;&lt;/titles&gt;&lt;periodical&gt;&lt;full-title&gt;Journal of Power Sources&lt;/full-title&gt;&lt;/periodical&gt;&lt;pages&gt;776-783&lt;/pages&gt;&lt;volume&gt;196&lt;/volume&gt;&lt;number&gt;2&lt;/number&gt;&lt;keywords&gt;&lt;keyword&gt;Lithium ion battery&lt;/keyword&gt;&lt;keyword&gt;sulfite&lt;/keyword&gt;&lt;keyword&gt;γ-Butyrolactone&lt;/keyword&gt;&lt;keyword&gt;Lithium bis(oxalate)borate&lt;/keyword&gt;&lt;/keywords&gt;&lt;dates&gt;&lt;year&gt;2011&lt;/year&gt;&lt;pub-dates&gt;&lt;date&gt;2011/01/15/&lt;/date&gt;&lt;/pub-dates&gt;&lt;/dates&gt;&lt;isbn&gt;0378-7753&lt;/isbn&gt;&lt;urls&gt;&lt;related-urls&gt;&lt;url&gt;http://www.sciencedirect.com/science/article/pii/S0378775310012875&lt;/url&gt;&lt;/related-urls&gt;&lt;/urls&gt;&lt;electronic-resource-num&gt;https://doi.org/10.1016/j.jpowsour.2010.07.064&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[108]</w:t>
            </w:r>
            <w:r w:rsidRPr="0092670C">
              <w:rPr>
                <w:rFonts w:ascii="Arial" w:hAnsi="Arial" w:cs="Arial"/>
                <w:sz w:val="18"/>
                <w:szCs w:val="18"/>
              </w:rPr>
              <w:fldChar w:fldCharType="end"/>
            </w:r>
          </w:p>
        </w:tc>
        <w:tc>
          <w:tcPr>
            <w:tcW w:w="992" w:type="dxa"/>
            <w:tcBorders>
              <w:top w:val="nil"/>
              <w:left w:val="nil"/>
              <w:bottom w:val="nil"/>
              <w:right w:val="nil"/>
            </w:tcBorders>
          </w:tcPr>
          <w:p w14:paraId="5B72C9F2" w14:textId="77777777" w:rsidR="003E14AA" w:rsidRPr="0092670C" w:rsidRDefault="003E14AA" w:rsidP="00B9047F">
            <w:pPr>
              <w:rPr>
                <w:rFonts w:ascii="Arial" w:hAnsi="Arial" w:cs="Arial"/>
                <w:sz w:val="18"/>
                <w:szCs w:val="18"/>
              </w:rPr>
            </w:pPr>
            <w:r w:rsidRPr="0092670C">
              <w:rPr>
                <w:rFonts w:ascii="Arial" w:hAnsi="Arial" w:cs="Arial"/>
                <w:sz w:val="18"/>
                <w:szCs w:val="18"/>
              </w:rPr>
              <w:t>159.1</w:t>
            </w:r>
          </w:p>
        </w:tc>
        <w:tc>
          <w:tcPr>
            <w:tcW w:w="992" w:type="dxa"/>
            <w:tcBorders>
              <w:top w:val="nil"/>
              <w:left w:val="nil"/>
              <w:bottom w:val="nil"/>
              <w:right w:val="nil"/>
            </w:tcBorders>
          </w:tcPr>
          <w:p w14:paraId="5DBA3A94" w14:textId="77EDBCC1" w:rsidR="003E14AA" w:rsidRPr="0092670C" w:rsidRDefault="00307FCB"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4C662EA9" w14:textId="0D5E57D2" w:rsidR="003E14AA" w:rsidRPr="0092670C" w:rsidRDefault="003E14AA" w:rsidP="00B9047F">
            <w:pPr>
              <w:rPr>
                <w:rFonts w:ascii="Arial" w:hAnsi="Arial" w:cs="Arial"/>
                <w:sz w:val="18"/>
                <w:szCs w:val="18"/>
              </w:rPr>
            </w:pPr>
            <w:r w:rsidRPr="0092670C">
              <w:rPr>
                <w:rFonts w:ascii="Arial" w:hAnsi="Arial" w:cs="Arial"/>
                <w:sz w:val="18"/>
                <w:szCs w:val="18"/>
              </w:rPr>
              <w:t>1.8-2</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&lt;EndNote&gt;&lt;Cite&gt;&lt;Author&gt;Wrodnigg&lt;/Author&gt;&lt;Year&gt;1999&lt;/Year&gt;&lt;RecNum&gt;260&lt;/RecNum&gt;&lt;DisplayText&gt;[83]&lt;/DisplayText&gt;&lt;record&gt;&lt;rec-number&gt;260&lt;/rec-number&gt;&lt;foreign-keys&gt;&lt;key app="EN" db-id="5sa9s0e0r0d9fnexra7pr5xdwd5ztevx95s2" timestamp="1558690228"&gt;260&lt;/key&gt;&lt;/foreign-keys&gt;&lt;ref-type name="Journal Article"&gt;17&lt;/ref-type&gt;&lt;contributors&gt;&lt;authors&gt;&lt;author&gt;Wrodnigg, Gerhard H.&lt;/author&gt;&lt;author&gt;Besenhard, Jürgen O.&lt;/author&gt;&lt;author&gt;Winter, Martin&lt;/author&gt;&lt;/authors&gt;&lt;/contributors&gt;&lt;titles&gt;&lt;title&gt;Ethylene Sulfite as Electrolyte Additive for Lithium</w:instrText>
            </w:r>
            <w:r w:rsidR="00C10A8D">
              <w:rPr>
                <w:rFonts w:ascii="Cambria Math" w:hAnsi="Cambria Math" w:cs="Cambria Math"/>
                <w:sz w:val="18"/>
                <w:szCs w:val="18"/>
              </w:rPr>
              <w:instrText>‐</w:instrText>
            </w:r>
            <w:r w:rsidR="00C10A8D">
              <w:rPr>
                <w:rFonts w:ascii="Arial" w:hAnsi="Arial" w:cs="Arial"/>
                <w:sz w:val="18"/>
                <w:szCs w:val="18"/>
              </w:rPr>
              <w:instrText>Ion Cells with Graphitic Anodes&lt;/title&gt;&lt;secondary-title&gt;Journal of The Electrochemical Society&lt;/secondary-title&gt;&lt;/titles&gt;&lt;periodical&gt;&lt;full-title&gt;Journal of the Electrochemical Society&lt;/full-title&gt;&lt;abbr-1&gt;J. Electrochem. Soc.&lt;/abbr-1&gt;&lt;/periodical&gt;&lt;pages&gt;470-472&lt;/pages&gt;&lt;volume&gt;146&lt;/volume&gt;&lt;number&gt;2&lt;/number&gt;&lt;dates&gt;&lt;year&gt;1999&lt;/year&gt;&lt;pub-dates&gt;&lt;date&gt;February 1, 1999&lt;/date&gt;&lt;/pub-dates&gt;&lt;/dates&gt;&lt;urls&gt;&lt;related-urls&gt;&lt;url&gt;http://jes.ecsdl.org/content/146/2/470.abstract&lt;/url&gt;&lt;/related-urls&gt;&lt;/urls&gt;&lt;electronic-resource-num&gt;10.1149/1.1391630&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[83]</w:t>
            </w:r>
            <w:r w:rsidRPr="0092670C">
              <w:rPr>
                <w:rFonts w:ascii="Arial" w:hAnsi="Arial" w:cs="Arial"/>
                <w:sz w:val="18"/>
                <w:szCs w:val="18"/>
              </w:rPr>
              <w:fldChar w:fldCharType="end"/>
            </w:r>
          </w:p>
        </w:tc>
        <w:tc>
          <w:tcPr>
            <w:tcW w:w="1417" w:type="dxa"/>
            <w:tcBorders>
              <w:top w:val="nil"/>
              <w:left w:val="nil"/>
              <w:bottom w:val="nil"/>
              <w:right w:val="nil"/>
            </w:tcBorders>
          </w:tcPr>
          <w:p w14:paraId="0718DCA5" w14:textId="6F8F5496" w:rsidR="003E14AA" w:rsidRPr="0092670C" w:rsidRDefault="003E14AA" w:rsidP="00B9047F">
            <w:pPr>
              <w:rPr>
                <w:rFonts w:ascii="Arial" w:hAnsi="Arial" w:cs="Arial"/>
                <w:sz w:val="18"/>
                <w:szCs w:val="18"/>
              </w:rPr>
            </w:pPr>
            <w:r w:rsidRPr="0092670C">
              <w:rPr>
                <w:rFonts w:ascii="Arial" w:hAnsi="Arial" w:cs="Arial"/>
                <w:sz w:val="18"/>
                <w:szCs w:val="18"/>
              </w:rPr>
              <w:t>25%</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&lt;EndNote&gt;&lt;Cite&gt;&lt;Author&gt;Ping&lt;/Author&gt;&lt;Year&gt;2011&lt;/Year&gt;&lt;RecNum&gt;224&lt;/RecNum&gt;&lt;DisplayText&gt;[108]&lt;/DisplayText&gt;&lt;record&gt;&lt;rec-number&gt;224&lt;/rec-number&gt;&lt;foreign-keys&gt;&lt;key app="EN" db-id="5sa9s0e0r0d9fnexra7pr5xdwd5ztevx95s2" timestamp="1555329011"&gt;224&lt;/key&gt;&lt;/foreign-keys&gt;&lt;ref-type name="Journal Article"&gt;17&lt;/ref-type&gt;&lt;contributors&gt;&lt;authors&gt;&lt;author&gt;Ping, Ping&lt;/author&gt;&lt;author&gt;Wang, Qingsong&lt;/author&gt;&lt;author&gt;Sun, Jinhua&lt;/author&gt;&lt;author&gt;Feng, Xuyong&lt;/author&gt;&lt;author&gt;Chen, Chunhua&lt;/author&gt;&lt;/authors&gt;&lt;/contributors&gt;&lt;titles&gt;&lt;title&gt;Effect of sulfites on the performance of LiBOB/γ-butyrolactone electrolytes&lt;/title&gt;&lt;secondary-title&gt;Journal of Power Sources&lt;/secondary-title&gt;&lt;/titles&gt;&lt;periodical&gt;&lt;full-title&gt;Journal of Power Sources&lt;/full-title&gt;&lt;/periodical&gt;&lt;pages&gt;776-783&lt;/pages&gt;&lt;volume&gt;196&lt;/volume&gt;&lt;number&gt;2&lt;/number&gt;&lt;keywords&gt;&lt;keyword&gt;Lithium ion battery&lt;/keyword&gt;&lt;keyword&gt;sulfite&lt;/keyword&gt;&lt;keyword&gt;γ-Butyrolactone&lt;/keyword&gt;&lt;keyword&gt;Lithium bis(oxalate)borate&lt;/keyword&gt;&lt;/keywords&gt;&lt;dates&gt;&lt;year&gt;2011&lt;/year&gt;&lt;pub-dates&gt;&lt;date&gt;2011/01/15/&lt;/date&gt;&lt;/pub-dates&gt;&lt;/dates&gt;&lt;isbn&gt;0378-7753&lt;/isbn&gt;&lt;urls&gt;&lt;related-urls&gt;&lt;url&gt;http://www.sciencedirect.com/science/article/pii/S0378775310012875&lt;/url&gt;&lt;/related-urls&gt;&lt;/urls&gt;&lt;electronic-resource-num&gt;https://doi.org/10.1016/j.jpowsour.2010.07.064&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[108]</w:t>
            </w:r>
            <w:r w:rsidRPr="0092670C">
              <w:rPr>
                <w:rFonts w:ascii="Arial" w:hAnsi="Arial" w:cs="Arial"/>
                <w:sz w:val="18"/>
                <w:szCs w:val="18"/>
              </w:rPr>
              <w:fldChar w:fldCharType="end"/>
            </w:r>
          </w:p>
        </w:tc>
      </w:tr>
      <w:tr w:rsidR="00B26076" w:rsidRPr="0092670C" w14:paraId="79F4D656" w14:textId="77777777" w:rsidTr="00B26076">
        <w:tc>
          <w:tcPr>
            <w:tcW w:w="2132" w:type="dxa"/>
            <w:tcBorders>
              <w:top w:val="nil"/>
              <w:left w:val="nil"/>
              <w:bottom w:val="nil"/>
              <w:right w:val="nil"/>
            </w:tcBorders>
          </w:tcPr>
          <w:p w14:paraId="15B1DC9C" w14:textId="77777777" w:rsidR="003E14AA" w:rsidRPr="0092670C" w:rsidRDefault="003E14AA" w:rsidP="00B9047F">
            <w:pPr>
              <w:rPr>
                <w:rFonts w:ascii="Arial" w:hAnsi="Arial" w:cs="Arial"/>
                <w:sz w:val="18"/>
                <w:szCs w:val="18"/>
              </w:rPr>
            </w:pPr>
            <w:r w:rsidRPr="0092670C">
              <w:rPr>
                <w:rFonts w:ascii="Arial" w:hAnsi="Arial" w:cs="Arial"/>
                <w:sz w:val="18"/>
                <w:szCs w:val="18"/>
              </w:rPr>
              <w:t>Vinyl ethylene sulphite (VES)</w:t>
            </w:r>
          </w:p>
        </w:tc>
        <w:tc>
          <w:tcPr>
            <w:tcW w:w="4252" w:type="dxa"/>
            <w:tcBorders>
              <w:top w:val="nil"/>
              <w:left w:val="nil"/>
              <w:bottom w:val="nil"/>
              <w:right w:val="nil"/>
            </w:tcBorders>
          </w:tcPr>
          <w:p w14:paraId="745C506B" w14:textId="720E98B0"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736" w:dyaOrig="1205" w14:anchorId="0CC6842C">
                <v:shape id="_x0000_i1046" type="#_x0000_t75" style="width:132.1pt;height:54pt" o:ole="">
                  <v:imagedata r:id="rId75" o:title=""/>
                </v:shape>
                <o:OLEObject Type="Embed" ProgID="ChemDraw.Document.6.0" ShapeID="_x0000_i1046" DrawAspect="Content" ObjectID="_1700733935" r:id="rId76"/>
              </w:object>
            </w:r>
          </w:p>
          <w:p w14:paraId="76578CD6" w14:textId="77777777" w:rsidR="004B4609" w:rsidRPr="0092670C" w:rsidRDefault="004B4609" w:rsidP="004B4609">
            <w:pPr>
              <w:rPr>
                <w:rFonts w:ascii="Arial" w:hAnsi="Arial" w:cs="Arial"/>
                <w:sz w:val="18"/>
                <w:szCs w:val="18"/>
              </w:rPr>
            </w:pPr>
          </w:p>
          <w:p w14:paraId="1202F2F7" w14:textId="77777777" w:rsidR="004B4609" w:rsidRPr="0092670C" w:rsidRDefault="004B4609" w:rsidP="004B4609">
            <w:pPr>
              <w:rPr>
                <w:rFonts w:ascii="Arial" w:hAnsi="Arial" w:cs="Arial"/>
                <w:sz w:val="18"/>
                <w:szCs w:val="18"/>
              </w:rPr>
            </w:pPr>
          </w:p>
          <w:p w14:paraId="6368F9ED" w14:textId="0A4B9E42" w:rsidR="004B4609" w:rsidRPr="0092670C" w:rsidRDefault="004B4609" w:rsidP="004B4609">
            <w:pPr>
              <w:jc w:val="center"/>
              <w:rPr>
                <w:rFonts w:ascii="Arial" w:hAnsi="Arial" w:cs="Arial"/>
                <w:sz w:val="18"/>
                <w:szCs w:val="18"/>
              </w:rPr>
            </w:pPr>
          </w:p>
        </w:tc>
        <w:tc>
          <w:tcPr>
            <w:tcW w:w="993" w:type="dxa"/>
            <w:tcBorders>
              <w:top w:val="nil"/>
              <w:left w:val="nil"/>
              <w:bottom w:val="nil"/>
              <w:right w:val="nil"/>
            </w:tcBorders>
          </w:tcPr>
          <w:p w14:paraId="4D48EE36" w14:textId="77777777" w:rsidR="003E14AA" w:rsidRPr="0092670C" w:rsidRDefault="003E14AA" w:rsidP="00B9047F">
            <w:pPr>
              <w:rPr>
                <w:rFonts w:ascii="Arial" w:hAnsi="Arial" w:cs="Arial"/>
                <w:sz w:val="18"/>
                <w:szCs w:val="18"/>
              </w:rPr>
            </w:pPr>
            <w:r w:rsidRPr="0092670C">
              <w:rPr>
                <w:rFonts w:ascii="Arial" w:hAnsi="Arial" w:cs="Arial"/>
                <w:sz w:val="18"/>
                <w:szCs w:val="18"/>
              </w:rPr>
              <w:t>114.10</w:t>
            </w:r>
          </w:p>
        </w:tc>
        <w:tc>
          <w:tcPr>
            <w:tcW w:w="1134" w:type="dxa"/>
            <w:tcBorders>
              <w:top w:val="nil"/>
              <w:left w:val="nil"/>
              <w:bottom w:val="nil"/>
              <w:right w:val="nil"/>
            </w:tcBorders>
          </w:tcPr>
          <w:p w14:paraId="01E763CA"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24EBEB84" w14:textId="77777777" w:rsidR="003E14AA" w:rsidRPr="0092670C" w:rsidRDefault="003E14AA" w:rsidP="00B9047F">
            <w:pPr>
              <w:rPr>
                <w:rFonts w:ascii="Arial" w:hAnsi="Arial" w:cs="Arial"/>
                <w:sz w:val="18"/>
                <w:szCs w:val="18"/>
              </w:rPr>
            </w:pPr>
            <w:r w:rsidRPr="0092670C">
              <w:rPr>
                <w:rFonts w:ascii="Arial" w:hAnsi="Arial" w:cs="Arial"/>
                <w:sz w:val="18"/>
                <w:szCs w:val="18"/>
              </w:rPr>
              <w:t>237</w:t>
            </w:r>
          </w:p>
        </w:tc>
        <w:tc>
          <w:tcPr>
            <w:tcW w:w="992" w:type="dxa"/>
            <w:tcBorders>
              <w:top w:val="nil"/>
              <w:left w:val="nil"/>
              <w:bottom w:val="nil"/>
              <w:right w:val="nil"/>
            </w:tcBorders>
          </w:tcPr>
          <w:p w14:paraId="09B6E41A" w14:textId="0735EDAA" w:rsidR="003E14AA" w:rsidRPr="0092670C" w:rsidRDefault="00307FCB"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485965F4" w14:textId="4EC42B3D" w:rsidR="003E14AA" w:rsidRPr="0092670C" w:rsidRDefault="003E14AA" w:rsidP="00B9047F">
            <w:pPr>
              <w:rPr>
                <w:rFonts w:ascii="Arial" w:hAnsi="Arial" w:cs="Arial"/>
                <w:sz w:val="18"/>
                <w:szCs w:val="18"/>
              </w:rPr>
            </w:pPr>
            <w:r w:rsidRPr="0092670C">
              <w:rPr>
                <w:rFonts w:ascii="Arial" w:hAnsi="Arial" w:cs="Arial"/>
                <w:sz w:val="18"/>
                <w:szCs w:val="18"/>
              </w:rPr>
              <w:t>ES&gt;VES&gt;VC</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&lt;EndNote&gt;&lt;Cite&gt;&lt;Author&gt;Bhatt&lt;/Author&gt;&lt;Year&gt;2014&lt;/Year&gt;&lt;RecNum&gt;341&lt;/RecNum&gt;&lt;DisplayText&gt;[109]&lt;/DisplayText&gt;&lt;record&gt;&lt;rec-number&gt;341&lt;/rec-number&gt;&lt;foreign-keys&gt;&lt;key app="EN" db-id="5sa9s0e0r0d9fnexra7pr5xdwd5ztevx95s2" timestamp="1563291208"&gt;341&lt;/key&gt;&lt;/foreign-keys&gt;&lt;ref-type name="Journal Article"&gt;17&lt;/ref-type&gt;&lt;contributors&gt;&lt;authors&gt;&lt;author&gt;Bhatt, Mahesh Datt&lt;/author&gt;&lt;author&gt;O’Dwyer, Colm&lt;/author&gt;&lt;/authors&gt;&lt;/contributors&gt;&lt;titles&gt;&lt;title&gt;The Role of Carbonate and Sulfite Additives in Propylene Carbonate-Based Electrolytes on the Formation of SEI Layers at Graphitic Li-Ion Battery Anodes&lt;/title&gt;&lt;secondary-title&gt;Journal of The Electrochemical Society&lt;/secondary-title&gt;&lt;/titles&gt;&lt;periodical&gt;&lt;full-title&gt;Journal of the Electrochemical Society&lt;/full-title&gt;&lt;abbr-1&gt;J. Electrochem. Soc.&lt;/abbr-1&gt;&lt;/periodical&gt;&lt;pages&gt;A1415-A1421&lt;/pages&gt;&lt;volume&gt;161&lt;/volume&gt;&lt;number&gt;9&lt;/number&gt;&lt;dates&gt;&lt;year&gt;2014&lt;/year&gt;&lt;pub-dates&gt;&lt;date&gt;January 1, 2014&lt;/date&gt;&lt;/pub-dates&gt;&lt;/dates&gt;&lt;urls&gt;&lt;related-urls&gt;&lt;url&gt;http://jes.ecsdl.org/content/161/9/A1415.abstract&lt;/url&gt;&lt;/related-urls&gt;&lt;/urls&gt;&lt;electronic-resource-num&gt;10.1149/2.0931409jes&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[109]</w:t>
            </w:r>
            <w:r w:rsidRPr="0092670C">
              <w:rPr>
                <w:rFonts w:ascii="Arial" w:hAnsi="Arial" w:cs="Arial"/>
                <w:sz w:val="18"/>
                <w:szCs w:val="18"/>
              </w:rPr>
              <w:fldChar w:fldCharType="end"/>
            </w:r>
          </w:p>
        </w:tc>
        <w:tc>
          <w:tcPr>
            <w:tcW w:w="1417" w:type="dxa"/>
            <w:tcBorders>
              <w:top w:val="nil"/>
              <w:left w:val="nil"/>
              <w:bottom w:val="nil"/>
              <w:right w:val="nil"/>
            </w:tcBorders>
          </w:tcPr>
          <w:p w14:paraId="28A9176F" w14:textId="63C1E370" w:rsidR="003E14AA" w:rsidRPr="0092670C" w:rsidRDefault="003E14AA" w:rsidP="00B9047F">
            <w:pPr>
              <w:rPr>
                <w:rFonts w:ascii="Arial" w:hAnsi="Arial" w:cs="Arial"/>
                <w:sz w:val="18"/>
                <w:szCs w:val="18"/>
              </w:rPr>
            </w:pPr>
            <w:r w:rsidRPr="0092670C">
              <w:rPr>
                <w:rFonts w:ascii="Arial" w:hAnsi="Arial" w:cs="Arial"/>
                <w:sz w:val="18"/>
                <w:szCs w:val="18"/>
              </w:rPr>
              <w:t>20%</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&lt;EndNote&gt;&lt;Cite&gt;&lt;Author&gt;Yao&lt;/Author&gt;&lt;Year&gt;2009&lt;/Year&gt;&lt;RecNum&gt;231&lt;/RecNum&gt;&lt;DisplayText&gt;[110]&lt;/DisplayText&gt;&lt;record&gt;&lt;rec-number&gt;231&lt;/rec-number&gt;&lt;foreign-keys&gt;&lt;key app="EN" db-id="5sa9s0e0r0d9fnexra7pr5xdwd5ztevx95s2" timestamp="1555416000"&gt;231&lt;/key&gt;&lt;/foreign-keys&gt;&lt;ref-type name="Journal Article"&gt;17&lt;/ref-type&gt;&lt;contributors&gt;&lt;authors&gt;&lt;author&gt;Yao, Wanhao&lt;/author&gt;&lt;author&gt;Zhang, Zhongru&lt;/author&gt;&lt;author&gt;Gao, Jun&lt;/author&gt;&lt;author&gt;Li, Jie&lt;/author&gt;&lt;author&gt;Xu, Jie&lt;/author&gt;&lt;author&gt;Wang, Zhoucheng&lt;/author&gt;&lt;author&gt;Yang, Yong&lt;/author&gt;&lt;/authors&gt;&lt;/contributors&gt;&lt;titles&gt;&lt;title&gt;Vinyl ethylene sulfite as a new additive in propylene carbonate-based electrolyte for lithium ion batteries&lt;/title&gt;&lt;secondary-title&gt;Energy &amp;amp; Environmental Science&lt;/secondary-title&gt;&lt;/titles&gt;&lt;periodical&gt;&lt;full-title&gt;Energy &amp;amp; Environmental Science&lt;/full-title&gt;&lt;/periodical&gt;&lt;pages&gt;1102-1108&lt;/pages&gt;&lt;volume&gt;2&lt;/volume&gt;&lt;number&gt;10&lt;/number&gt;&lt;dates&gt;&lt;year&gt;2009&lt;/year&gt;&lt;/dates&gt;&lt;publisher&gt;The Royal Society of Chemistry&lt;/publisher&gt;&lt;isbn&gt;1754-5692&lt;/isbn&gt;&lt;work-type&gt;10.1039/B905162G&lt;/work-type&gt;&lt;urls&gt;&lt;related-urls&gt;&lt;url&gt;http://dx.doi.org/10.1039/B905162G&lt;/url&gt;&lt;/related-urls&gt;&lt;/urls&gt;&lt;electronic-resource-num&gt;10.1039/B905162G&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[110]</w:t>
            </w:r>
            <w:r w:rsidRPr="0092670C">
              <w:rPr>
                <w:rFonts w:ascii="Arial" w:hAnsi="Arial" w:cs="Arial"/>
                <w:sz w:val="18"/>
                <w:szCs w:val="18"/>
              </w:rPr>
              <w:fldChar w:fldCharType="end"/>
            </w:r>
          </w:p>
        </w:tc>
      </w:tr>
      <w:tr w:rsidR="00B26076" w:rsidRPr="0092670C" w14:paraId="708DFC1A" w14:textId="77777777" w:rsidTr="00B26076">
        <w:tc>
          <w:tcPr>
            <w:tcW w:w="2132" w:type="dxa"/>
            <w:tcBorders>
              <w:top w:val="nil"/>
              <w:left w:val="nil"/>
              <w:bottom w:val="nil"/>
              <w:right w:val="nil"/>
            </w:tcBorders>
          </w:tcPr>
          <w:p w14:paraId="40CF995A" w14:textId="77777777" w:rsidR="003E14AA" w:rsidRPr="0092670C" w:rsidRDefault="003E14AA" w:rsidP="00B9047F">
            <w:pPr>
              <w:rPr>
                <w:rFonts w:ascii="Arial" w:hAnsi="Arial" w:cs="Arial"/>
                <w:sz w:val="18"/>
                <w:szCs w:val="18"/>
              </w:rPr>
            </w:pPr>
            <w:r w:rsidRPr="0092670C">
              <w:rPr>
                <w:rFonts w:ascii="Arial" w:hAnsi="Arial" w:cs="Arial"/>
                <w:sz w:val="18"/>
                <w:szCs w:val="18"/>
              </w:rPr>
              <w:t>Butylene sulphite (BS)</w:t>
            </w:r>
          </w:p>
        </w:tc>
        <w:tc>
          <w:tcPr>
            <w:tcW w:w="4252" w:type="dxa"/>
            <w:tcBorders>
              <w:top w:val="nil"/>
              <w:left w:val="nil"/>
              <w:bottom w:val="nil"/>
              <w:right w:val="nil"/>
            </w:tcBorders>
          </w:tcPr>
          <w:p w14:paraId="773AF220" w14:textId="122BFD8B"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60" w:dyaOrig="1389" w14:anchorId="36C9490D">
                <v:shape id="_x0000_i1047" type="#_x0000_t75" style="width:96.1pt;height:60.1pt" o:ole="">
                  <v:imagedata r:id="rId77" o:title=""/>
                </v:shape>
                <o:OLEObject Type="Embed" ProgID="ChemDraw.Document.6.0" ShapeID="_x0000_i1047" DrawAspect="Content" ObjectID="_1700733936" r:id="rId78"/>
              </w:object>
            </w:r>
          </w:p>
        </w:tc>
        <w:tc>
          <w:tcPr>
            <w:tcW w:w="993" w:type="dxa"/>
            <w:tcBorders>
              <w:top w:val="nil"/>
              <w:left w:val="nil"/>
              <w:bottom w:val="nil"/>
              <w:right w:val="nil"/>
            </w:tcBorders>
          </w:tcPr>
          <w:p w14:paraId="2B67AD10" w14:textId="77777777" w:rsidR="003E14AA" w:rsidRPr="0092670C" w:rsidRDefault="003E14AA" w:rsidP="00B9047F">
            <w:pPr>
              <w:rPr>
                <w:rFonts w:ascii="Arial" w:hAnsi="Arial" w:cs="Arial"/>
                <w:sz w:val="18"/>
                <w:szCs w:val="18"/>
              </w:rPr>
            </w:pPr>
            <w:r w:rsidRPr="0092670C">
              <w:rPr>
                <w:rFonts w:ascii="Arial" w:hAnsi="Arial" w:cs="Arial"/>
                <w:sz w:val="18"/>
                <w:szCs w:val="18"/>
              </w:rPr>
              <w:t>122.14</w:t>
            </w:r>
          </w:p>
        </w:tc>
        <w:tc>
          <w:tcPr>
            <w:tcW w:w="1134" w:type="dxa"/>
            <w:tcBorders>
              <w:top w:val="nil"/>
              <w:left w:val="nil"/>
              <w:bottom w:val="nil"/>
              <w:right w:val="nil"/>
            </w:tcBorders>
          </w:tcPr>
          <w:p w14:paraId="436706F8" w14:textId="77777777" w:rsidR="003E14AA" w:rsidRPr="0092670C" w:rsidRDefault="003E14AA" w:rsidP="00B9047F">
            <w:pPr>
              <w:rPr>
                <w:rFonts w:ascii="Arial" w:hAnsi="Arial" w:cs="Arial"/>
                <w:sz w:val="18"/>
                <w:szCs w:val="18"/>
              </w:rPr>
            </w:pPr>
            <w:r w:rsidRPr="0092670C">
              <w:rPr>
                <w:rFonts w:ascii="Arial" w:hAnsi="Arial" w:cs="Arial"/>
                <w:sz w:val="18"/>
                <w:szCs w:val="18"/>
              </w:rPr>
              <w:t>79</w:t>
            </w:r>
          </w:p>
          <w:p w14:paraId="62832EDC" w14:textId="511E6BA9" w:rsidR="003E14AA" w:rsidRPr="0092670C" w:rsidRDefault="003E14AA" w:rsidP="00B9047F">
            <w:pPr>
              <w:rPr>
                <w:rFonts w:ascii="Arial" w:hAnsi="Arial" w:cs="Arial"/>
                <w:sz w:val="18"/>
                <w:szCs w:val="18"/>
              </w:rPr>
            </w:pP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&lt;EndNote&gt;&lt;Cite&gt;&lt;Author&gt;Ping&lt;/Author&gt;&lt;Year&gt;2011&lt;/Year&gt;&lt;RecNum&gt;224&lt;/RecNum&gt;&lt;DisplayText&gt;[108]&lt;/DisplayText&gt;&lt;record&gt;&lt;rec-number&gt;224&lt;/rec-number&gt;&lt;foreign-keys&gt;&lt;key app="EN" db-id="5sa9s0e0r0d9fnexra7pr5xdwd5ztevx95s2" timestamp="1555329011"&gt;224&lt;/key&gt;&lt;/foreign-keys&gt;&lt;ref-type name="Journal Article"&gt;17&lt;/ref-type&gt;&lt;contributors&gt;&lt;authors&gt;&lt;author&gt;Ping, Ping&lt;/author&gt;&lt;author&gt;Wang, Qingsong&lt;/author&gt;&lt;author&gt;Sun, Jinhua&lt;/author&gt;&lt;author&gt;Feng, Xuyong&lt;/author&gt;&lt;author&gt;Chen, Chunhua&lt;/author&gt;&lt;/authors&gt;&lt;/contributors&gt;&lt;titles&gt;&lt;title&gt;Effect of sulfites on the performance of LiBOB/γ-butyrolactone electrolytes&lt;/title&gt;&lt;secondary-title&gt;Journal of Power Sources&lt;/secondary-title&gt;&lt;/titles&gt;&lt;periodical&gt;&lt;full-title&gt;Journal of Power Sources&lt;/full-title&gt;&lt;/periodical&gt;&lt;pages&gt;776-783&lt;/pages&gt;&lt;volume&gt;196&lt;/volume&gt;&lt;number&gt;2&lt;/number&gt;&lt;keywords&gt;&lt;keyword&gt;Lithium ion battery&lt;/keyword&gt;&lt;keyword&gt;sulfite&lt;/keyword&gt;&lt;keyword&gt;γ-Butyrolactone&lt;/keyword&gt;&lt;keyword&gt;Lithium bis(oxalate)borate&lt;/keyword&gt;&lt;/keywords&gt;&lt;dates&gt;&lt;year&gt;2011&lt;/year&gt;&lt;pub-dates&gt;&lt;date&gt;2011/01/15/&lt;/date&gt;&lt;/pub-dates&gt;&lt;/dates&gt;&lt;isbn&gt;0378-7753&lt;/isbn&gt;&lt;urls&gt;&lt;related-urls&gt;&lt;url&gt;http://www.sciencedirect.com/science/article/pii/S0378775310012875&lt;/url&gt;&lt;/related-urls&gt;&lt;/urls&gt;&lt;electronic-resource-num&gt;https://doi.org/10.1016/j.jpowsour.2010.07.064&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[108]</w:t>
            </w:r>
            <w:r w:rsidRPr="0092670C">
              <w:rPr>
                <w:rFonts w:ascii="Arial" w:hAnsi="Arial" w:cs="Arial"/>
                <w:sz w:val="18"/>
                <w:szCs w:val="18"/>
              </w:rPr>
              <w:fldChar w:fldCharType="end"/>
            </w:r>
          </w:p>
        </w:tc>
        <w:tc>
          <w:tcPr>
            <w:tcW w:w="992" w:type="dxa"/>
            <w:tcBorders>
              <w:top w:val="nil"/>
              <w:left w:val="nil"/>
              <w:bottom w:val="nil"/>
              <w:right w:val="nil"/>
            </w:tcBorders>
          </w:tcPr>
          <w:p w14:paraId="5DA994CC" w14:textId="77777777" w:rsidR="003E14AA" w:rsidRPr="0092670C" w:rsidRDefault="003E14AA" w:rsidP="00B9047F">
            <w:pPr>
              <w:rPr>
                <w:rFonts w:ascii="Arial" w:hAnsi="Arial" w:cs="Arial"/>
                <w:sz w:val="18"/>
                <w:szCs w:val="18"/>
              </w:rPr>
            </w:pPr>
            <w:r w:rsidRPr="0092670C">
              <w:rPr>
                <w:rFonts w:ascii="Arial" w:hAnsi="Arial" w:cs="Arial"/>
                <w:sz w:val="18"/>
                <w:szCs w:val="18"/>
              </w:rPr>
              <w:t>174</w:t>
            </w:r>
          </w:p>
        </w:tc>
        <w:tc>
          <w:tcPr>
            <w:tcW w:w="992" w:type="dxa"/>
            <w:tcBorders>
              <w:top w:val="nil"/>
              <w:left w:val="nil"/>
              <w:bottom w:val="nil"/>
              <w:right w:val="nil"/>
            </w:tcBorders>
          </w:tcPr>
          <w:p w14:paraId="4DBE3F02" w14:textId="1D78E11D"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168414F5" w14:textId="36861ACD" w:rsidR="003E14AA" w:rsidRPr="0092670C" w:rsidRDefault="003E14AA" w:rsidP="00B9047F">
            <w:pPr>
              <w:rPr>
                <w:rFonts w:ascii="Arial" w:hAnsi="Arial" w:cs="Arial"/>
                <w:sz w:val="18"/>
                <w:szCs w:val="18"/>
              </w:rPr>
            </w:pPr>
            <w:r w:rsidRPr="0092670C">
              <w:rPr>
                <w:rFonts w:ascii="Arial" w:hAnsi="Arial" w:cs="Arial"/>
                <w:sz w:val="18"/>
                <w:szCs w:val="18"/>
              </w:rPr>
              <w:t xml:space="preserve">&gt; PC </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&lt;EndNote&gt;&lt;Cite&gt;&lt;Author&gt;Xu&lt;/Author&gt;&lt;Year&gt;2006&lt;/Year&gt;&lt;RecNum&gt;342&lt;/RecNum&gt;&lt;DisplayText&gt;[111]&lt;/DisplayText&gt;&lt;record&gt;&lt;rec-number&gt;342&lt;/rec-number&gt;&lt;foreign-keys&gt;&lt;key app="EN" db-id="5sa9s0e0r0d9fnexra7pr5xdwd5ztevx95s2" timestamp="1563291325"&gt;342&lt;/key&gt;&lt;/foreign-keys&gt;&lt;ref-type name="Journal Article"&gt;17&lt;/ref-type&gt;&lt;contributors&gt;&lt;authors&gt;&lt;author&gt;Xu, Mengqing&lt;/author&gt;&lt;author&gt;Zuo, Xiaoxi&lt;/author&gt;&lt;author&gt;Li, Weishen&lt;/author&gt;&lt;author&gt;Zhou, Haojie&lt;/author&gt;&lt;author&gt;Liu, Jiansheng&lt;/author&gt;&lt;author&gt;Yuan, Zhongzhi&lt;/author&gt;&lt;/authors&gt;&lt;/contributors&gt;&lt;titles&gt;&lt;title&gt;Effect of Butyl Sultone on the Li-ion Battery Performance and Interface of Graphite Electrode&lt;/title&gt;&lt;secondary-title&gt;Acta Physico-Chimica Sinica&lt;/secondary-title&gt;&lt;/titles&gt;&lt;periodical&gt;&lt;full-title&gt;Acta Physico-Chimica Sinica&lt;/full-title&gt;&lt;/periodical&gt;&lt;pages&gt;335-340&lt;/pages&gt;&lt;volume&gt;22&lt;/volume&gt;&lt;number&gt;3&lt;/number&gt;&lt;keywords&gt;&lt;keyword&gt;Li-ion battery&lt;/keyword&gt;&lt;keyword&gt;Butyl sultone&lt;/keyword&gt;&lt;keyword&gt;Discharge capacity&lt;/keyword&gt;&lt;keyword&gt;Cycling stability&lt;/keyword&gt;&lt;keyword&gt;SEI film&lt;/keyword&gt;&lt;/keywords&gt;&lt;dates&gt;&lt;year&gt;2006&lt;/year&gt;&lt;pub-dates&gt;&lt;date&gt;2006/03/01/&lt;/date&gt;&lt;/pub-dates&gt;&lt;/dates&gt;&lt;isbn&gt;1872-1508&lt;/isbn&gt;&lt;urls&gt;&lt;related-urls&gt;&lt;url&gt;http://www.sciencedirect.com/science/article/pii/S1872150806600090&lt;/url&gt;&lt;/related-urls&gt;&lt;/urls&gt;&lt;electronic-resource-num&gt;https://doi.org/10.1016/S1872-1508(06)60009-0&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[111]</w:t>
            </w:r>
            <w:r w:rsidRPr="0092670C">
              <w:rPr>
                <w:rFonts w:ascii="Arial" w:hAnsi="Arial" w:cs="Arial"/>
                <w:sz w:val="18"/>
                <w:szCs w:val="18"/>
              </w:rPr>
              <w:fldChar w:fldCharType="end"/>
            </w:r>
          </w:p>
        </w:tc>
        <w:tc>
          <w:tcPr>
            <w:tcW w:w="1417" w:type="dxa"/>
            <w:tcBorders>
              <w:top w:val="nil"/>
              <w:left w:val="nil"/>
              <w:bottom w:val="nil"/>
              <w:right w:val="nil"/>
            </w:tcBorders>
          </w:tcPr>
          <w:p w14:paraId="6424BDB0" w14:textId="3ADA89FD" w:rsidR="003E14AA" w:rsidRPr="0092670C" w:rsidRDefault="003E14AA" w:rsidP="00B9047F">
            <w:pPr>
              <w:rPr>
                <w:rFonts w:ascii="Arial" w:hAnsi="Arial" w:cs="Arial"/>
                <w:sz w:val="18"/>
                <w:szCs w:val="18"/>
              </w:rPr>
            </w:pPr>
            <w:r w:rsidRPr="0092670C">
              <w:rPr>
                <w:rFonts w:ascii="Arial" w:hAnsi="Arial" w:cs="Arial"/>
                <w:sz w:val="18"/>
                <w:szCs w:val="18"/>
              </w:rPr>
              <w:t>25%</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&lt;EndNote&gt;&lt;Cite&gt;&lt;Author&gt;Ping&lt;/Author&gt;&lt;Year&gt;2011&lt;/Year&gt;&lt;RecNum&gt;224&lt;/RecNum&gt;&lt;DisplayText&gt;[108]&lt;/DisplayText&gt;&lt;record&gt;&lt;rec-number&gt;224&lt;/rec-number&gt;&lt;foreign-keys&gt;&lt;key app="EN" db-id="5sa9s0e0r0d9fnexra7pr5xdwd5ztevx95s2" timestamp="1555329011"&gt;224&lt;/key&gt;&lt;/foreign-keys&gt;&lt;ref-type name="Journal Article"&gt;17&lt;/ref-type&gt;&lt;contributors&gt;&lt;authors&gt;&lt;author&gt;Ping, Ping&lt;/author&gt;&lt;author&gt;Wang, Qingsong&lt;/author&gt;&lt;author&gt;Sun, Jinhua&lt;/author&gt;&lt;author&gt;Feng, Xuyong&lt;/author&gt;&lt;author&gt;Chen, Chunhua&lt;/author&gt;&lt;/authors&gt;&lt;/contributors&gt;&lt;titles&gt;&lt;title&gt;Effect of sulfites on the performance of LiBOB/γ-butyrolactone electrolytes&lt;/title&gt;&lt;secondary-title&gt;Journal of Power Sources&lt;/secondary-title&gt;&lt;/titles&gt;&lt;periodical&gt;&lt;full-title&gt;Journal of Power Sources&lt;/full-title&gt;&lt;/periodical&gt;&lt;pages&gt;776-783&lt;/pages&gt;&lt;volume&gt;196&lt;/volume&gt;&lt;number&gt;2&lt;/number&gt;&lt;keywords&gt;&lt;keyword&gt;Lithium ion battery&lt;/keyword&gt;&lt;keyword&gt;sulfite&lt;/keyword&gt;&lt;keyword&gt;γ-Butyrolactone&lt;/keyword&gt;&lt;keyword&gt;Lithium bis(oxalate)borate&lt;/keyword&gt;&lt;/keywords&gt;&lt;dates&gt;&lt;year&gt;2011&lt;/year&gt;&lt;pub-dates&gt;&lt;date&gt;2011/01/15/&lt;/date&gt;&lt;/pub-dates&gt;&lt;/dates&gt;&lt;isbn&gt;0378-7753&lt;/isbn&gt;&lt;urls&gt;&lt;related-urls&gt;&lt;url&gt;http://www.sciencedirect.com/science/article/pii/S0378775310012875&lt;/url&gt;&lt;/related-urls&gt;&lt;/urls&gt;&lt;electronic-resource-num&gt;https://doi.org/10.1016/j.jpowsour.2010.07.064&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[108]</w:t>
            </w:r>
            <w:r w:rsidRPr="0092670C">
              <w:rPr>
                <w:rFonts w:ascii="Arial" w:hAnsi="Arial" w:cs="Arial"/>
                <w:sz w:val="18"/>
                <w:szCs w:val="18"/>
              </w:rPr>
              <w:fldChar w:fldCharType="end"/>
            </w:r>
          </w:p>
        </w:tc>
      </w:tr>
      <w:tr w:rsidR="00B26076" w:rsidRPr="0092670C" w14:paraId="63AE07E6" w14:textId="77777777" w:rsidTr="00B26076">
        <w:tc>
          <w:tcPr>
            <w:tcW w:w="2132" w:type="dxa"/>
            <w:tcBorders>
              <w:top w:val="nil"/>
              <w:left w:val="nil"/>
              <w:bottom w:val="nil"/>
              <w:right w:val="nil"/>
            </w:tcBorders>
          </w:tcPr>
          <w:p w14:paraId="120D5241" w14:textId="77777777" w:rsidR="003E14AA" w:rsidRPr="0092670C" w:rsidRDefault="003E14AA" w:rsidP="00B9047F">
            <w:pPr>
              <w:rPr>
                <w:rFonts w:ascii="Arial" w:hAnsi="Arial" w:cs="Arial"/>
                <w:sz w:val="18"/>
                <w:szCs w:val="18"/>
              </w:rPr>
            </w:pPr>
            <w:r w:rsidRPr="0092670C">
              <w:rPr>
                <w:rFonts w:ascii="Arial" w:hAnsi="Arial" w:cs="Arial"/>
                <w:sz w:val="18"/>
                <w:szCs w:val="18"/>
              </w:rPr>
              <w:t>Pyridine complexes</w:t>
            </w:r>
          </w:p>
        </w:tc>
        <w:tc>
          <w:tcPr>
            <w:tcW w:w="4252" w:type="dxa"/>
            <w:tcBorders>
              <w:top w:val="nil"/>
              <w:left w:val="nil"/>
              <w:bottom w:val="nil"/>
              <w:right w:val="nil"/>
            </w:tcBorders>
          </w:tcPr>
          <w:p w14:paraId="2419552B" w14:textId="77777777" w:rsidR="003E14AA" w:rsidRPr="0092670C" w:rsidRDefault="003E14AA" w:rsidP="00B9047F">
            <w:pPr>
              <w:rPr>
                <w:rFonts w:ascii="Arial" w:hAnsi="Arial" w:cs="Arial"/>
                <w:sz w:val="18"/>
                <w:szCs w:val="18"/>
              </w:rPr>
            </w:pPr>
          </w:p>
        </w:tc>
        <w:tc>
          <w:tcPr>
            <w:tcW w:w="993" w:type="dxa"/>
            <w:tcBorders>
              <w:top w:val="nil"/>
              <w:left w:val="nil"/>
              <w:bottom w:val="nil"/>
              <w:right w:val="nil"/>
            </w:tcBorders>
          </w:tcPr>
          <w:p w14:paraId="7AE50605" w14:textId="77777777" w:rsidR="003E14AA" w:rsidRPr="0092670C" w:rsidRDefault="003E14AA" w:rsidP="00B9047F">
            <w:pPr>
              <w:rPr>
                <w:rFonts w:ascii="Arial" w:hAnsi="Arial" w:cs="Arial"/>
                <w:sz w:val="18"/>
                <w:szCs w:val="18"/>
              </w:rPr>
            </w:pPr>
          </w:p>
        </w:tc>
        <w:tc>
          <w:tcPr>
            <w:tcW w:w="1134" w:type="dxa"/>
            <w:tcBorders>
              <w:top w:val="nil"/>
              <w:left w:val="nil"/>
              <w:bottom w:val="nil"/>
              <w:right w:val="nil"/>
            </w:tcBorders>
          </w:tcPr>
          <w:p w14:paraId="3F24DEE2"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048761B1"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58BB71C1" w14:textId="77777777" w:rsidR="003E14AA" w:rsidRPr="0092670C" w:rsidRDefault="003E14AA" w:rsidP="00B9047F">
            <w:pPr>
              <w:rPr>
                <w:rFonts w:ascii="Arial" w:hAnsi="Arial" w:cs="Arial"/>
                <w:sz w:val="18"/>
                <w:szCs w:val="18"/>
              </w:rPr>
            </w:pPr>
          </w:p>
        </w:tc>
        <w:tc>
          <w:tcPr>
            <w:tcW w:w="1843" w:type="dxa"/>
            <w:tcBorders>
              <w:top w:val="nil"/>
              <w:left w:val="nil"/>
              <w:bottom w:val="nil"/>
              <w:right w:val="nil"/>
            </w:tcBorders>
          </w:tcPr>
          <w:p w14:paraId="2A07EAA2" w14:textId="77777777" w:rsidR="003E14AA" w:rsidRPr="0092670C" w:rsidRDefault="003E14AA" w:rsidP="00B9047F">
            <w:pPr>
              <w:rPr>
                <w:rFonts w:ascii="Arial" w:hAnsi="Arial" w:cs="Arial"/>
                <w:sz w:val="18"/>
                <w:szCs w:val="18"/>
              </w:rPr>
            </w:pPr>
          </w:p>
        </w:tc>
        <w:tc>
          <w:tcPr>
            <w:tcW w:w="1417" w:type="dxa"/>
            <w:tcBorders>
              <w:top w:val="nil"/>
              <w:left w:val="nil"/>
              <w:bottom w:val="nil"/>
              <w:right w:val="nil"/>
            </w:tcBorders>
          </w:tcPr>
          <w:p w14:paraId="0CC10373" w14:textId="77777777" w:rsidR="003E14AA" w:rsidRPr="0092670C" w:rsidRDefault="003E14AA" w:rsidP="00B9047F">
            <w:pPr>
              <w:rPr>
                <w:rFonts w:ascii="Arial" w:hAnsi="Arial" w:cs="Arial"/>
                <w:sz w:val="18"/>
                <w:szCs w:val="18"/>
              </w:rPr>
            </w:pPr>
          </w:p>
        </w:tc>
      </w:tr>
      <w:tr w:rsidR="00B26076" w:rsidRPr="0092670C" w14:paraId="304F7C94" w14:textId="77777777" w:rsidTr="00B26076">
        <w:tc>
          <w:tcPr>
            <w:tcW w:w="2132" w:type="dxa"/>
            <w:tcBorders>
              <w:top w:val="nil"/>
              <w:left w:val="nil"/>
              <w:bottom w:val="nil"/>
              <w:right w:val="nil"/>
            </w:tcBorders>
          </w:tcPr>
          <w:p w14:paraId="2671FA71" w14:textId="77777777" w:rsidR="003E14AA" w:rsidRPr="0092670C" w:rsidRDefault="003E14AA" w:rsidP="00B9047F">
            <w:pPr>
              <w:rPr>
                <w:rFonts w:ascii="Arial" w:hAnsi="Arial" w:cs="Arial"/>
                <w:sz w:val="18"/>
                <w:szCs w:val="18"/>
              </w:rPr>
            </w:pPr>
            <w:r w:rsidRPr="0092670C">
              <w:rPr>
                <w:rFonts w:ascii="Arial" w:hAnsi="Arial" w:cs="Arial"/>
                <w:sz w:val="18"/>
                <w:szCs w:val="18"/>
              </w:rPr>
              <w:t>Pyridine boron trifluoride (PBF)</w:t>
            </w:r>
          </w:p>
        </w:tc>
        <w:tc>
          <w:tcPr>
            <w:tcW w:w="4252" w:type="dxa"/>
            <w:tcBorders>
              <w:top w:val="nil"/>
              <w:left w:val="nil"/>
              <w:bottom w:val="nil"/>
              <w:right w:val="nil"/>
            </w:tcBorders>
          </w:tcPr>
          <w:p w14:paraId="7DA18C80" w14:textId="2BEF62AD"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53" w:dyaOrig="1130" w14:anchorId="630452FC">
                <v:shape id="_x0000_i1048" type="#_x0000_t75" style="width:90pt;height:47.9pt" o:ole="">
                  <v:imagedata r:id="rId79" o:title=""/>
                </v:shape>
                <o:OLEObject Type="Embed" ProgID="ChemDraw.Document.6.0" ShapeID="_x0000_i1048" DrawAspect="Content" ObjectID="_1700733937" r:id="rId80"/>
              </w:object>
            </w:r>
          </w:p>
        </w:tc>
        <w:tc>
          <w:tcPr>
            <w:tcW w:w="993" w:type="dxa"/>
            <w:tcBorders>
              <w:top w:val="nil"/>
              <w:left w:val="nil"/>
              <w:bottom w:val="nil"/>
              <w:right w:val="nil"/>
            </w:tcBorders>
          </w:tcPr>
          <w:p w14:paraId="39980755" w14:textId="77777777" w:rsidR="003E14AA" w:rsidRPr="0092670C" w:rsidRDefault="003E14AA" w:rsidP="00B9047F">
            <w:pPr>
              <w:rPr>
                <w:rFonts w:ascii="Arial" w:hAnsi="Arial" w:cs="Arial"/>
                <w:sz w:val="18"/>
                <w:szCs w:val="18"/>
              </w:rPr>
            </w:pPr>
            <w:r w:rsidRPr="0092670C">
              <w:rPr>
                <w:rFonts w:ascii="Arial" w:hAnsi="Arial" w:cs="Arial"/>
                <w:sz w:val="18"/>
                <w:szCs w:val="18"/>
              </w:rPr>
              <w:t>147.05</w:t>
            </w:r>
          </w:p>
        </w:tc>
        <w:tc>
          <w:tcPr>
            <w:tcW w:w="1134" w:type="dxa"/>
            <w:tcBorders>
              <w:top w:val="nil"/>
              <w:left w:val="nil"/>
              <w:bottom w:val="nil"/>
              <w:right w:val="nil"/>
            </w:tcBorders>
          </w:tcPr>
          <w:p w14:paraId="185E1309" w14:textId="329A2F74"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6C0CFADC" w14:textId="7C9B657B"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4900CBC6" w14:textId="68779D06"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3E963C87" w14:textId="092A415A" w:rsidR="003E14AA" w:rsidRPr="0092670C" w:rsidRDefault="003E14AA" w:rsidP="00B9047F">
            <w:pPr>
              <w:rPr>
                <w:rFonts w:ascii="Arial" w:hAnsi="Arial" w:cs="Arial"/>
                <w:sz w:val="18"/>
                <w:szCs w:val="18"/>
              </w:rPr>
            </w:pPr>
            <w:r w:rsidRPr="0092670C">
              <w:rPr>
                <w:rFonts w:ascii="Arial" w:hAnsi="Arial" w:cs="Arial"/>
                <w:sz w:val="18"/>
                <w:szCs w:val="18"/>
              </w:rPr>
              <w:t>1.3</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&lt;EndNote&gt;&lt;Cite&gt;&lt;Author&gt;Hall&lt;/Author&gt;&lt;Year&gt;2016&lt;/Year&gt;&lt;RecNum&gt;329&lt;/RecNum&gt;&lt;DisplayText&gt;[100]&lt;/DisplayText&gt;&lt;record&gt;&lt;rec-number&gt;329&lt;/rec-number&gt;&lt;foreign-keys&gt;&lt;key app="EN" db-id="5sa9s0e0r0d9fnexra7pr5xdwd5ztevx95s2" timestamp="1562333607"&gt;329&lt;/key&gt;&lt;/foreign-keys&gt;&lt;ref-type name="Journal Article"&gt;17&lt;/ref-type&gt;&lt;contributors&gt;&lt;authors&gt;&lt;author&gt;Hall, David S.&lt;/author&gt;&lt;author&gt;Nie, Mengyun&lt;/author&gt;&lt;author&gt;D. Ellis, Leah&lt;/author&gt;&lt;author&gt;Glazier, Stephen L.&lt;/author&gt;&lt;author&gt;Hyatt, Sarah&lt;/author&gt;&lt;author&gt;Petibon, Rémi&lt;/author&gt;&lt;author&gt;Xiao, Ang&lt;/author&gt;&lt;author&gt;Lamanna, W. M.&lt;/author&gt;&lt;author&gt;Smith, Kiah&lt;/author&gt;&lt;author&gt;Hill, I. G.&lt;/author&gt;&lt;author&gt;Dahn, J. R.&lt;/author&gt;&lt;/authors&gt;&lt;/contributors&gt;&lt;titles&gt;&lt;title&gt;Surface-Electrolyte Interphase Formation in Lithium-Ion Cells Containing Pyridine Adduct Additives&lt;/title&gt;&lt;secondary-title&gt;Journal of The Electrochemical Society&lt;/secondary-title&gt;&lt;/titles&gt;&lt;periodical&gt;&lt;full-title&gt;Journal of the Electrochemical Society&lt;/full-title&gt;&lt;abbr-1&gt;J. Electrochem. Soc.&lt;/abbr-1&gt;&lt;/periodical&gt;&lt;pages&gt;A773-A780&lt;/pages&gt;&lt;volume&gt;163&lt;/volume&gt;&lt;number&gt;5&lt;/number&gt;&lt;dates&gt;&lt;year&gt;2016&lt;/year&gt;&lt;pub-dates&gt;&lt;date&gt;January 1, 2016&lt;/date&gt;&lt;/pub-dates&gt;&lt;/dates&gt;&lt;urls&gt;&lt;related-urls&gt;&lt;url&gt;http://jes.ecsdl.org/content/163/5/A773.abstract&lt;/url&gt;&lt;/related-urls&gt;&lt;/urls&gt;&lt;electronic-resource-num&gt;10.1149/2.1091605jes&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[100]</w:t>
            </w:r>
            <w:r w:rsidRPr="0092670C">
              <w:rPr>
                <w:rFonts w:ascii="Arial" w:hAnsi="Arial" w:cs="Arial"/>
                <w:sz w:val="18"/>
                <w:szCs w:val="18"/>
              </w:rPr>
              <w:fldChar w:fldCharType="end"/>
            </w:r>
          </w:p>
        </w:tc>
        <w:tc>
          <w:tcPr>
            <w:tcW w:w="1417" w:type="dxa"/>
            <w:tcBorders>
              <w:top w:val="nil"/>
              <w:left w:val="nil"/>
              <w:bottom w:val="nil"/>
              <w:right w:val="nil"/>
            </w:tcBorders>
          </w:tcPr>
          <w:p w14:paraId="249CD977" w14:textId="62B7593D" w:rsidR="003E14AA" w:rsidRPr="0092670C" w:rsidRDefault="003E14AA" w:rsidP="00B9047F">
            <w:pPr>
              <w:rPr>
                <w:rFonts w:ascii="Arial" w:hAnsi="Arial" w:cs="Arial"/>
                <w:sz w:val="18"/>
                <w:szCs w:val="18"/>
              </w:rPr>
            </w:pPr>
            <w:r w:rsidRPr="0092670C">
              <w:rPr>
                <w:rFonts w:ascii="Arial" w:hAnsi="Arial" w:cs="Arial"/>
                <w:sz w:val="18"/>
                <w:szCs w:val="18"/>
              </w:rPr>
              <w:t>&gt;2%</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&lt;EndNote&gt;&lt;Cite&gt;&lt;Author&gt;Nie&lt;/Author&gt;&lt;Year&gt;2015&lt;/Year&gt;&lt;RecNum&gt;225&lt;/RecNum&gt;&lt;DisplayText&gt;[97]&lt;/DisplayText&gt;&lt;record&gt;&lt;rec-number&gt;225&lt;/rec-number&gt;&lt;foreign-keys&gt;&lt;key app="EN" db-id="5sa9s0e0r0d9fnexra7pr5xdwd5ztevx95s2" timestamp="1555330704"&gt;225&lt;/key&gt;&lt;/foreign-keys&gt;&lt;ref-type name="Journal Article"&gt;17&lt;/ref-type&gt;&lt;contributors&gt;&lt;authors&gt;&lt;author&gt;Nie, Mengyun&lt;/author&gt;&lt;author&gt;Xia, Jian&lt;/author&gt;&lt;author&gt;Dahn, J. R.&lt;/author&gt;&lt;/authors&gt;&lt;/contributors&gt;&lt;titles&gt;&lt;title&gt;Development of Pyridine-Boron Trifluoride Electrolyte Additives for Lithium-Ion Batteries&lt;/title&gt;&lt;secondary-title&gt;Journal of The Electrochemical Society&lt;/secondary-title&gt;&lt;/titles&gt;&lt;periodical&gt;&lt;full-title&gt;Journal of the Electrochemical Society&lt;/full-title&gt;&lt;abbr-1&gt;J. Electrochem. Soc.&lt;/abbr-1&gt;&lt;/periodical&gt;&lt;pages&gt;A1186-A1195&lt;/pages&gt;&lt;volume&gt;162&lt;/volume&gt;&lt;number&gt;7&lt;/number&gt;&lt;dates&gt;&lt;year&gt;2015&lt;/year&gt;&lt;pub-dates&gt;&lt;date&gt;January 1, 2015&lt;/date&gt;&lt;/pub-dates&gt;&lt;/dates&gt;&lt;urls&gt;&lt;related-urls&gt;&lt;url&gt;http://jes.ecsdl.org/content/162/7/A1186.abstract&lt;/url&gt;&lt;/related-urls&gt;&lt;/urls&gt;&lt;electronic-resource-num&gt;10.1149/2.0271507jes&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[97]</w:t>
            </w:r>
            <w:r w:rsidRPr="0092670C">
              <w:rPr>
                <w:rFonts w:ascii="Arial" w:hAnsi="Arial" w:cs="Arial"/>
                <w:sz w:val="18"/>
                <w:szCs w:val="18"/>
              </w:rPr>
              <w:fldChar w:fldCharType="end"/>
            </w:r>
          </w:p>
        </w:tc>
      </w:tr>
      <w:tr w:rsidR="00B26076" w:rsidRPr="0092670C" w14:paraId="0D683603" w14:textId="77777777" w:rsidTr="00B26076">
        <w:tc>
          <w:tcPr>
            <w:tcW w:w="2132" w:type="dxa"/>
            <w:tcBorders>
              <w:top w:val="nil"/>
              <w:left w:val="nil"/>
              <w:bottom w:val="nil"/>
              <w:right w:val="nil"/>
            </w:tcBorders>
          </w:tcPr>
          <w:p w14:paraId="746B0524" w14:textId="77777777" w:rsidR="003E14AA" w:rsidRPr="0092670C" w:rsidRDefault="003E14AA" w:rsidP="00B9047F">
            <w:pPr>
              <w:rPr>
                <w:rFonts w:ascii="Arial" w:hAnsi="Arial" w:cs="Arial"/>
                <w:sz w:val="18"/>
                <w:szCs w:val="18"/>
              </w:rPr>
            </w:pPr>
            <w:r w:rsidRPr="0092670C">
              <w:rPr>
                <w:rFonts w:ascii="Arial" w:hAnsi="Arial" w:cs="Arial"/>
                <w:sz w:val="18"/>
                <w:szCs w:val="18"/>
              </w:rPr>
              <w:t>Pyridine phosphorous pentafluoride (PPF)</w:t>
            </w:r>
          </w:p>
        </w:tc>
        <w:tc>
          <w:tcPr>
            <w:tcW w:w="4252" w:type="dxa"/>
            <w:tcBorders>
              <w:top w:val="nil"/>
              <w:left w:val="nil"/>
              <w:bottom w:val="nil"/>
              <w:right w:val="nil"/>
            </w:tcBorders>
          </w:tcPr>
          <w:p w14:paraId="48B12BF1" w14:textId="56121FC5"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153" w:dyaOrig="1130" w14:anchorId="37F07087">
                <v:shape id="_x0000_i1049" type="#_x0000_t75" style="width:83.9pt;height:47.9pt" o:ole="">
                  <v:imagedata r:id="rId81" o:title=""/>
                </v:shape>
                <o:OLEObject Type="Embed" ProgID="ChemDraw.Document.6.0" ShapeID="_x0000_i1049" DrawAspect="Content" ObjectID="_1700733938" r:id="rId82"/>
              </w:object>
            </w:r>
          </w:p>
        </w:tc>
        <w:tc>
          <w:tcPr>
            <w:tcW w:w="993" w:type="dxa"/>
            <w:tcBorders>
              <w:top w:val="nil"/>
              <w:left w:val="nil"/>
              <w:bottom w:val="nil"/>
              <w:right w:val="nil"/>
            </w:tcBorders>
          </w:tcPr>
          <w:p w14:paraId="4FEF8BC0" w14:textId="77777777" w:rsidR="003E14AA" w:rsidRPr="0092670C" w:rsidRDefault="003E14AA" w:rsidP="00B9047F">
            <w:pPr>
              <w:rPr>
                <w:rFonts w:ascii="Arial" w:hAnsi="Arial" w:cs="Arial"/>
                <w:sz w:val="18"/>
                <w:szCs w:val="18"/>
              </w:rPr>
            </w:pPr>
            <w:r w:rsidRPr="0092670C">
              <w:rPr>
                <w:rFonts w:ascii="Arial" w:hAnsi="Arial" w:cs="Arial"/>
                <w:sz w:val="18"/>
                <w:szCs w:val="18"/>
              </w:rPr>
              <w:t>205.01</w:t>
            </w:r>
          </w:p>
        </w:tc>
        <w:tc>
          <w:tcPr>
            <w:tcW w:w="1134" w:type="dxa"/>
            <w:tcBorders>
              <w:top w:val="nil"/>
              <w:left w:val="nil"/>
              <w:bottom w:val="nil"/>
              <w:right w:val="nil"/>
            </w:tcBorders>
          </w:tcPr>
          <w:p w14:paraId="33D11E5E" w14:textId="7082C25D"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7886B8EA" w14:textId="130F2C52"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6370CEC2" w14:textId="20039D80"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79B8DC16" w14:textId="0D341B15" w:rsidR="003E14AA" w:rsidRPr="0092670C" w:rsidRDefault="003E14AA" w:rsidP="00B9047F">
            <w:pPr>
              <w:rPr>
                <w:rFonts w:ascii="Arial" w:hAnsi="Arial" w:cs="Arial"/>
                <w:sz w:val="18"/>
                <w:szCs w:val="18"/>
              </w:rPr>
            </w:pPr>
            <w:r w:rsidRPr="0092670C">
              <w:rPr>
                <w:rFonts w:ascii="Arial" w:hAnsi="Arial" w:cs="Arial"/>
                <w:sz w:val="18"/>
                <w:szCs w:val="18"/>
              </w:rPr>
              <w:t>1.4</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&lt;EndNote&gt;&lt;Cite&gt;&lt;Author&gt;Hall&lt;/Author&gt;&lt;Year&gt;2016&lt;/Year&gt;&lt;RecNum&gt;329&lt;/RecNum&gt;&lt;DisplayText&gt;[100]&lt;/DisplayText&gt;&lt;record&gt;&lt;rec-number&gt;329&lt;/rec-number&gt;&lt;foreign-keys&gt;&lt;key app="EN" db-id="5sa9s0e0r0d9fnexra7pr5xdwd5ztevx95s2" timestamp="1562333607"&gt;329&lt;/key&gt;&lt;/foreign-keys&gt;&lt;ref-type name="Journal Article"&gt;17&lt;/ref-type&gt;&lt;contributors&gt;&lt;authors&gt;&lt;author&gt;Hall, David S.&lt;/author&gt;&lt;author&gt;Nie, Mengyun&lt;/author&gt;&lt;author&gt;D. Ellis, Leah&lt;/author&gt;&lt;author&gt;Glazier, Stephen L.&lt;/author&gt;&lt;author&gt;Hyatt, Sarah&lt;/author&gt;&lt;author&gt;Petibon, Rémi&lt;/author&gt;&lt;author&gt;Xiao, Ang&lt;/author&gt;&lt;author&gt;Lamanna, W. M.&lt;/author&gt;&lt;author&gt;Smith, Kiah&lt;/author&gt;&lt;author&gt;Hill, I. G.&lt;/author&gt;&lt;author&gt;Dahn, J. R.&lt;/author&gt;&lt;/authors&gt;&lt;/contributors&gt;&lt;titles&gt;&lt;title&gt;Surface-Electrolyte Interphase Formation in Lithium-Ion Cells Containing Pyridine Adduct Additives&lt;/title&gt;&lt;secondary-title&gt;Journal of The Electrochemical Society&lt;/secondary-title&gt;&lt;/titles&gt;&lt;periodical&gt;&lt;full-title&gt;Journal of the Electrochemical Society&lt;/full-title&gt;&lt;abbr-1&gt;J. Electrochem. Soc.&lt;/abbr-1&gt;&lt;/periodical&gt;&lt;pages&gt;A773-A780&lt;/pages&gt;&lt;volume&gt;163&lt;/volume&gt;&lt;number&gt;5&lt;/number&gt;&lt;dates&gt;&lt;year&gt;2016&lt;/year&gt;&lt;pub-dates&gt;&lt;date&gt;January 1, 2016&lt;/date&gt;&lt;/pub-dates&gt;&lt;/dates&gt;&lt;urls&gt;&lt;related-urls&gt;&lt;url&gt;http://jes.ecsdl.org/content/163/5/A773.abstract&lt;/url&gt;&lt;/related-urls&gt;&lt;/urls&gt;&lt;electronic-resource-num&gt;10.1149/2.1091605jes&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[100]</w:t>
            </w:r>
            <w:r w:rsidRPr="0092670C">
              <w:rPr>
                <w:rFonts w:ascii="Arial" w:hAnsi="Arial" w:cs="Arial"/>
                <w:sz w:val="18"/>
                <w:szCs w:val="18"/>
              </w:rPr>
              <w:fldChar w:fldCharType="end"/>
            </w:r>
          </w:p>
        </w:tc>
        <w:tc>
          <w:tcPr>
            <w:tcW w:w="1417" w:type="dxa"/>
            <w:tcBorders>
              <w:top w:val="nil"/>
              <w:left w:val="nil"/>
              <w:bottom w:val="nil"/>
              <w:right w:val="nil"/>
            </w:tcBorders>
          </w:tcPr>
          <w:p w14:paraId="43E0429C" w14:textId="0C12B40F" w:rsidR="003E14AA" w:rsidRPr="0092670C" w:rsidRDefault="003E14AA" w:rsidP="00B9047F">
            <w:pPr>
              <w:rPr>
                <w:rFonts w:ascii="Arial" w:hAnsi="Arial" w:cs="Arial"/>
                <w:sz w:val="18"/>
                <w:szCs w:val="18"/>
              </w:rPr>
            </w:pPr>
            <w:r w:rsidRPr="0092670C">
              <w:rPr>
                <w:rFonts w:ascii="Arial" w:hAnsi="Arial" w:cs="Arial"/>
                <w:sz w:val="18"/>
                <w:szCs w:val="18"/>
              </w:rPr>
              <w:t xml:space="preserve">2% </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&lt;EndNote&gt;&lt;Cite&gt;&lt;Author&gt;Nie&lt;/Author&gt;&lt;Year&gt;2016&lt;/Year&gt;&lt;RecNum&gt;226&lt;/RecNum&gt;&lt;DisplayText&gt;[112]&lt;/DisplayText&gt;&lt;record&gt;&lt;rec-number&gt;226&lt;/rec-number&gt;&lt;foreign-keys&gt;&lt;key app="EN" db-id="5sa9s0e0r0d9fnexra7pr5xdwd5ztevx95s2" timestamp="1555330973"&gt;226&lt;/key&gt;&lt;/foreign-keys&gt;&lt;ref-type name="Journal Article"&gt;17&lt;/ref-type&gt;&lt;contributors&gt;&lt;authors&gt;&lt;author&gt;Nie, Mengyun&lt;/author&gt;&lt;author&gt;Ma, L.&lt;/author&gt;&lt;author&gt;Xia, J.&lt;/author&gt;&lt;author&gt;Xiao, A.&lt;/author&gt;&lt;author&gt;Lamanna, W. M.&lt;/author&gt;&lt;author&gt;Smith, K.&lt;/author&gt;&lt;author&gt;Dahn, J. R.&lt;/author&gt;&lt;/authors&gt;&lt;/contributors&gt;&lt;titles&gt;&lt;title&gt;A Comparative Study of Pyridine Containing Lewis Acid-Base Adducts as Additives for Li[Ni0.5Mn0.3Co0.2]O2/graphite Pouch Cells&lt;/title&gt;&lt;secondary-title&gt;Journal of The Electrochemical Society&lt;/secondary-title&gt;&lt;/titles&gt;&lt;periodical&gt;&lt;full-title&gt;Journal of the Electrochemical Society&lt;/full-title&gt;&lt;abbr-1&gt;J. Electrochem. Soc.&lt;/abbr-1&gt;&lt;/periodical&gt;&lt;pages&gt;A2124-A2130&lt;/pages&gt;&lt;volume&gt;163&lt;/volume&gt;&lt;number&gt;9&lt;/number&gt;&lt;dates&gt;&lt;year&gt;2016&lt;/year&gt;&lt;pub-dates&gt;&lt;date&gt;January 1, 2016&lt;/date&gt;&lt;/pub-dates&gt;&lt;/dates&gt;&lt;urls&gt;&lt;related-urls&gt;&lt;url&gt;http://jes.ecsdl.org/content/163/9/A2124.abstract&lt;/url&gt;&lt;/related-urls&gt;&lt;/urls&gt;&lt;electronic-resource-num&gt;10.1149/2.0041610jes&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[112]</w:t>
            </w:r>
            <w:r w:rsidRPr="0092670C">
              <w:rPr>
                <w:rFonts w:ascii="Arial" w:hAnsi="Arial" w:cs="Arial"/>
                <w:sz w:val="18"/>
                <w:szCs w:val="18"/>
              </w:rPr>
              <w:fldChar w:fldCharType="end"/>
            </w:r>
          </w:p>
        </w:tc>
      </w:tr>
      <w:tr w:rsidR="00B26076" w:rsidRPr="0092670C" w14:paraId="30525A2D" w14:textId="77777777" w:rsidTr="00B26076">
        <w:tc>
          <w:tcPr>
            <w:tcW w:w="2132" w:type="dxa"/>
            <w:tcBorders>
              <w:top w:val="nil"/>
              <w:left w:val="nil"/>
              <w:bottom w:val="nil"/>
              <w:right w:val="nil"/>
            </w:tcBorders>
          </w:tcPr>
          <w:p w14:paraId="71ECD4AC" w14:textId="77777777" w:rsidR="003E14AA" w:rsidRPr="0092670C" w:rsidRDefault="003E14AA" w:rsidP="00B9047F">
            <w:pPr>
              <w:rPr>
                <w:rFonts w:ascii="Arial" w:hAnsi="Arial" w:cs="Arial"/>
                <w:sz w:val="18"/>
                <w:szCs w:val="18"/>
              </w:rPr>
            </w:pPr>
            <w:r w:rsidRPr="0092670C">
              <w:rPr>
                <w:rFonts w:ascii="Arial" w:hAnsi="Arial" w:cs="Arial"/>
                <w:sz w:val="18"/>
                <w:szCs w:val="18"/>
              </w:rPr>
              <w:t>Boron compounds</w:t>
            </w:r>
          </w:p>
        </w:tc>
        <w:tc>
          <w:tcPr>
            <w:tcW w:w="4252" w:type="dxa"/>
            <w:tcBorders>
              <w:top w:val="nil"/>
              <w:left w:val="nil"/>
              <w:bottom w:val="nil"/>
              <w:right w:val="nil"/>
            </w:tcBorders>
          </w:tcPr>
          <w:p w14:paraId="25A7C48B" w14:textId="77777777" w:rsidR="003E14AA" w:rsidRPr="0092670C" w:rsidRDefault="003E14AA" w:rsidP="00B9047F">
            <w:pPr>
              <w:rPr>
                <w:rFonts w:ascii="Arial" w:hAnsi="Arial" w:cs="Arial"/>
                <w:sz w:val="18"/>
                <w:szCs w:val="18"/>
              </w:rPr>
            </w:pPr>
          </w:p>
        </w:tc>
        <w:tc>
          <w:tcPr>
            <w:tcW w:w="993" w:type="dxa"/>
            <w:tcBorders>
              <w:top w:val="nil"/>
              <w:left w:val="nil"/>
              <w:bottom w:val="nil"/>
              <w:right w:val="nil"/>
            </w:tcBorders>
          </w:tcPr>
          <w:p w14:paraId="302BDE4A" w14:textId="77777777" w:rsidR="003E14AA" w:rsidRPr="0092670C" w:rsidRDefault="003E14AA" w:rsidP="00B9047F">
            <w:pPr>
              <w:rPr>
                <w:rFonts w:ascii="Arial" w:hAnsi="Arial" w:cs="Arial"/>
                <w:sz w:val="18"/>
                <w:szCs w:val="18"/>
              </w:rPr>
            </w:pPr>
          </w:p>
        </w:tc>
        <w:tc>
          <w:tcPr>
            <w:tcW w:w="1134" w:type="dxa"/>
            <w:tcBorders>
              <w:top w:val="nil"/>
              <w:left w:val="nil"/>
              <w:bottom w:val="nil"/>
              <w:right w:val="nil"/>
            </w:tcBorders>
          </w:tcPr>
          <w:p w14:paraId="1DFB95E6"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57B26A4D"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72A4EC54" w14:textId="77777777" w:rsidR="003E14AA" w:rsidRPr="0092670C" w:rsidRDefault="003E14AA" w:rsidP="00B9047F">
            <w:pPr>
              <w:rPr>
                <w:rFonts w:ascii="Arial" w:hAnsi="Arial" w:cs="Arial"/>
                <w:sz w:val="18"/>
                <w:szCs w:val="18"/>
              </w:rPr>
            </w:pPr>
          </w:p>
        </w:tc>
        <w:tc>
          <w:tcPr>
            <w:tcW w:w="1843" w:type="dxa"/>
            <w:tcBorders>
              <w:top w:val="nil"/>
              <w:left w:val="nil"/>
              <w:bottom w:val="nil"/>
              <w:right w:val="nil"/>
            </w:tcBorders>
          </w:tcPr>
          <w:p w14:paraId="3C0B42FC" w14:textId="77777777" w:rsidR="003E14AA" w:rsidRPr="0092670C" w:rsidRDefault="003E14AA" w:rsidP="00B9047F">
            <w:pPr>
              <w:rPr>
                <w:rFonts w:ascii="Arial" w:hAnsi="Arial" w:cs="Arial"/>
                <w:sz w:val="18"/>
                <w:szCs w:val="18"/>
              </w:rPr>
            </w:pPr>
          </w:p>
        </w:tc>
        <w:tc>
          <w:tcPr>
            <w:tcW w:w="1417" w:type="dxa"/>
            <w:tcBorders>
              <w:top w:val="nil"/>
              <w:left w:val="nil"/>
              <w:bottom w:val="nil"/>
              <w:right w:val="nil"/>
            </w:tcBorders>
          </w:tcPr>
          <w:p w14:paraId="171589C0" w14:textId="77777777" w:rsidR="003E14AA" w:rsidRPr="0092670C" w:rsidRDefault="003E14AA" w:rsidP="00B9047F">
            <w:pPr>
              <w:rPr>
                <w:rFonts w:ascii="Arial" w:hAnsi="Arial" w:cs="Arial"/>
                <w:sz w:val="18"/>
                <w:szCs w:val="18"/>
              </w:rPr>
            </w:pPr>
          </w:p>
        </w:tc>
      </w:tr>
      <w:tr w:rsidR="00B26076" w:rsidRPr="0092670C" w14:paraId="1E315083" w14:textId="77777777" w:rsidTr="00B26076">
        <w:tc>
          <w:tcPr>
            <w:tcW w:w="2132" w:type="dxa"/>
            <w:tcBorders>
              <w:top w:val="nil"/>
              <w:left w:val="nil"/>
              <w:bottom w:val="nil"/>
              <w:right w:val="nil"/>
            </w:tcBorders>
          </w:tcPr>
          <w:p w14:paraId="625A3880" w14:textId="77777777" w:rsidR="003E14AA" w:rsidRPr="0092670C" w:rsidRDefault="003E14AA" w:rsidP="00B9047F">
            <w:pPr>
              <w:rPr>
                <w:rFonts w:ascii="Arial" w:hAnsi="Arial" w:cs="Arial"/>
                <w:sz w:val="18"/>
                <w:szCs w:val="18"/>
              </w:rPr>
            </w:pPr>
            <w:r w:rsidRPr="0092670C">
              <w:rPr>
                <w:rFonts w:ascii="Arial" w:hAnsi="Arial" w:cs="Arial"/>
                <w:sz w:val="18"/>
                <w:szCs w:val="18"/>
              </w:rPr>
              <w:t>Boron Trioxide</w:t>
            </w:r>
          </w:p>
        </w:tc>
        <w:tc>
          <w:tcPr>
            <w:tcW w:w="4252" w:type="dxa"/>
            <w:tcBorders>
              <w:top w:val="nil"/>
              <w:left w:val="nil"/>
              <w:bottom w:val="nil"/>
              <w:right w:val="nil"/>
            </w:tcBorders>
          </w:tcPr>
          <w:p w14:paraId="3A3683A2" w14:textId="77777777" w:rsidR="003E14AA" w:rsidRPr="0092670C" w:rsidRDefault="003E14AA" w:rsidP="00B9047F">
            <w:pPr>
              <w:rPr>
                <w:rFonts w:ascii="Arial" w:hAnsi="Arial" w:cs="Arial"/>
                <w:sz w:val="18"/>
                <w:szCs w:val="18"/>
                <w:vertAlign w:val="subscript"/>
              </w:rPr>
            </w:pPr>
            <w:r w:rsidRPr="0092670C">
              <w:rPr>
                <w:rFonts w:ascii="Arial" w:hAnsi="Arial" w:cs="Arial"/>
                <w:sz w:val="18"/>
                <w:szCs w:val="18"/>
              </w:rPr>
              <w:t>B</w:t>
            </w:r>
            <w:r w:rsidRPr="0092670C">
              <w:rPr>
                <w:rFonts w:ascii="Arial" w:hAnsi="Arial" w:cs="Arial"/>
                <w:sz w:val="18"/>
                <w:szCs w:val="18"/>
                <w:vertAlign w:val="subscript"/>
              </w:rPr>
              <w:t>2</w:t>
            </w:r>
            <w:r w:rsidRPr="0092670C">
              <w:rPr>
                <w:rFonts w:ascii="Arial" w:hAnsi="Arial" w:cs="Arial"/>
                <w:sz w:val="18"/>
                <w:szCs w:val="18"/>
              </w:rPr>
              <w:t>O</w:t>
            </w:r>
            <w:r w:rsidRPr="0092670C">
              <w:rPr>
                <w:rFonts w:ascii="Arial" w:hAnsi="Arial" w:cs="Arial"/>
                <w:sz w:val="18"/>
                <w:szCs w:val="18"/>
                <w:vertAlign w:val="subscript"/>
              </w:rPr>
              <w:t>3</w:t>
            </w:r>
          </w:p>
        </w:tc>
        <w:tc>
          <w:tcPr>
            <w:tcW w:w="993" w:type="dxa"/>
            <w:tcBorders>
              <w:top w:val="nil"/>
              <w:left w:val="nil"/>
              <w:bottom w:val="nil"/>
              <w:right w:val="nil"/>
            </w:tcBorders>
          </w:tcPr>
          <w:p w14:paraId="58649E5D" w14:textId="77777777" w:rsidR="003E14AA" w:rsidRPr="0092670C" w:rsidRDefault="003E14AA" w:rsidP="00B9047F">
            <w:pPr>
              <w:rPr>
                <w:rFonts w:ascii="Arial" w:hAnsi="Arial" w:cs="Arial"/>
                <w:sz w:val="18"/>
                <w:szCs w:val="18"/>
              </w:rPr>
            </w:pPr>
            <w:r w:rsidRPr="0092670C">
              <w:rPr>
                <w:rFonts w:ascii="Arial" w:hAnsi="Arial" w:cs="Arial"/>
                <w:sz w:val="18"/>
                <w:szCs w:val="18"/>
              </w:rPr>
              <w:t>69.62</w:t>
            </w:r>
          </w:p>
        </w:tc>
        <w:tc>
          <w:tcPr>
            <w:tcW w:w="1134" w:type="dxa"/>
            <w:tcBorders>
              <w:top w:val="nil"/>
              <w:left w:val="nil"/>
              <w:bottom w:val="nil"/>
              <w:right w:val="nil"/>
            </w:tcBorders>
          </w:tcPr>
          <w:p w14:paraId="271C3EB0" w14:textId="77777777" w:rsidR="003E14AA" w:rsidRPr="0092670C" w:rsidRDefault="003E14AA" w:rsidP="00B9047F">
            <w:pPr>
              <w:rPr>
                <w:rFonts w:ascii="Arial" w:hAnsi="Arial" w:cs="Arial"/>
                <w:sz w:val="18"/>
                <w:szCs w:val="18"/>
              </w:rPr>
            </w:pPr>
            <w:r w:rsidRPr="0092670C">
              <w:rPr>
                <w:rFonts w:ascii="Arial" w:hAnsi="Arial" w:cs="Arial"/>
                <w:sz w:val="18"/>
                <w:szCs w:val="18"/>
              </w:rPr>
              <w:t>450</w:t>
            </w:r>
          </w:p>
        </w:tc>
        <w:tc>
          <w:tcPr>
            <w:tcW w:w="992" w:type="dxa"/>
            <w:tcBorders>
              <w:top w:val="nil"/>
              <w:left w:val="nil"/>
              <w:bottom w:val="nil"/>
              <w:right w:val="nil"/>
            </w:tcBorders>
          </w:tcPr>
          <w:p w14:paraId="019DA4CE" w14:textId="77777777" w:rsidR="003E14AA" w:rsidRPr="0092670C" w:rsidRDefault="003E14AA" w:rsidP="00B9047F">
            <w:pPr>
              <w:rPr>
                <w:rFonts w:ascii="Arial" w:hAnsi="Arial" w:cs="Arial"/>
                <w:sz w:val="18"/>
                <w:szCs w:val="18"/>
              </w:rPr>
            </w:pPr>
            <w:r w:rsidRPr="0092670C">
              <w:rPr>
                <w:rFonts w:ascii="Arial" w:hAnsi="Arial" w:cs="Arial"/>
                <w:sz w:val="18"/>
                <w:szCs w:val="18"/>
              </w:rPr>
              <w:t>1860</w:t>
            </w:r>
          </w:p>
        </w:tc>
        <w:tc>
          <w:tcPr>
            <w:tcW w:w="992" w:type="dxa"/>
            <w:tcBorders>
              <w:top w:val="nil"/>
              <w:left w:val="nil"/>
              <w:bottom w:val="nil"/>
              <w:right w:val="nil"/>
            </w:tcBorders>
          </w:tcPr>
          <w:p w14:paraId="17C83586" w14:textId="123FCBBC"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76BA227B" w14:textId="77777777" w:rsidR="003E14AA" w:rsidRPr="0092670C" w:rsidRDefault="003E14AA" w:rsidP="00B9047F">
            <w:pPr>
              <w:rPr>
                <w:rFonts w:ascii="Arial" w:hAnsi="Arial" w:cs="Arial"/>
                <w:sz w:val="18"/>
                <w:szCs w:val="18"/>
              </w:rPr>
            </w:pPr>
          </w:p>
        </w:tc>
        <w:tc>
          <w:tcPr>
            <w:tcW w:w="1417" w:type="dxa"/>
            <w:tcBorders>
              <w:top w:val="nil"/>
              <w:left w:val="nil"/>
              <w:bottom w:val="nil"/>
              <w:right w:val="nil"/>
            </w:tcBorders>
          </w:tcPr>
          <w:p w14:paraId="5DC9B4FE" w14:textId="77777777" w:rsidR="003E14AA" w:rsidRPr="0092670C" w:rsidRDefault="003E14AA" w:rsidP="00B9047F">
            <w:pPr>
              <w:rPr>
                <w:rFonts w:ascii="Arial" w:hAnsi="Arial" w:cs="Arial"/>
                <w:sz w:val="18"/>
                <w:szCs w:val="18"/>
              </w:rPr>
            </w:pPr>
          </w:p>
        </w:tc>
      </w:tr>
      <w:tr w:rsidR="00B26076" w:rsidRPr="0092670C" w14:paraId="1BE6AAAB" w14:textId="77777777" w:rsidTr="00B26076">
        <w:tc>
          <w:tcPr>
            <w:tcW w:w="2132" w:type="dxa"/>
            <w:tcBorders>
              <w:top w:val="nil"/>
              <w:left w:val="nil"/>
              <w:bottom w:val="nil"/>
              <w:right w:val="nil"/>
            </w:tcBorders>
          </w:tcPr>
          <w:p w14:paraId="64EA7C11" w14:textId="77777777" w:rsidR="003E14AA" w:rsidRPr="0092670C" w:rsidRDefault="003E14AA" w:rsidP="00B9047F">
            <w:pPr>
              <w:rPr>
                <w:rFonts w:ascii="Arial" w:hAnsi="Arial" w:cs="Arial"/>
                <w:sz w:val="18"/>
                <w:szCs w:val="18"/>
              </w:rPr>
            </w:pPr>
            <w:r w:rsidRPr="0092670C">
              <w:rPr>
                <w:rFonts w:ascii="Arial" w:hAnsi="Arial" w:cs="Arial"/>
                <w:sz w:val="18"/>
                <w:szCs w:val="18"/>
              </w:rPr>
              <w:t>Lithium difluoro(oxalate)borate</w:t>
            </w:r>
          </w:p>
          <w:p w14:paraId="12A68726" w14:textId="77777777" w:rsidR="003E14AA" w:rsidRPr="0092670C" w:rsidRDefault="003E14AA" w:rsidP="00B9047F">
            <w:pPr>
              <w:rPr>
                <w:rFonts w:ascii="Arial" w:hAnsi="Arial" w:cs="Arial"/>
                <w:sz w:val="18"/>
                <w:szCs w:val="18"/>
              </w:rPr>
            </w:pPr>
            <w:r w:rsidRPr="0092670C">
              <w:rPr>
                <w:rFonts w:ascii="Arial" w:hAnsi="Arial" w:cs="Arial"/>
                <w:sz w:val="18"/>
                <w:szCs w:val="18"/>
              </w:rPr>
              <w:t>(LIDFOB)</w:t>
            </w:r>
          </w:p>
        </w:tc>
        <w:tc>
          <w:tcPr>
            <w:tcW w:w="4252" w:type="dxa"/>
            <w:tcBorders>
              <w:top w:val="nil"/>
              <w:left w:val="nil"/>
              <w:bottom w:val="nil"/>
              <w:right w:val="nil"/>
            </w:tcBorders>
          </w:tcPr>
          <w:p w14:paraId="199B70A8" w14:textId="5897DBA6"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943" w:dyaOrig="1846" w14:anchorId="1E19C2DC">
                <v:shape id="_x0000_i1050" type="#_x0000_t75" style="width:126pt;height:78.1pt" o:ole="">
                  <v:imagedata r:id="rId83" o:title=""/>
                </v:shape>
                <o:OLEObject Type="Embed" ProgID="ChemDraw.Document.6.0" ShapeID="_x0000_i1050" DrawAspect="Content" ObjectID="_1700733939" r:id="rId84"/>
              </w:object>
            </w:r>
          </w:p>
        </w:tc>
        <w:tc>
          <w:tcPr>
            <w:tcW w:w="993" w:type="dxa"/>
            <w:tcBorders>
              <w:top w:val="nil"/>
              <w:left w:val="nil"/>
              <w:bottom w:val="nil"/>
              <w:right w:val="nil"/>
            </w:tcBorders>
          </w:tcPr>
          <w:p w14:paraId="7B3DAB2E" w14:textId="77777777" w:rsidR="003E14AA" w:rsidRPr="0092670C" w:rsidRDefault="003E14AA" w:rsidP="00B9047F">
            <w:pPr>
              <w:rPr>
                <w:rFonts w:ascii="Arial" w:hAnsi="Arial" w:cs="Arial"/>
                <w:sz w:val="18"/>
                <w:szCs w:val="18"/>
              </w:rPr>
            </w:pPr>
            <w:r w:rsidRPr="0092670C">
              <w:rPr>
                <w:rFonts w:ascii="Arial" w:hAnsi="Arial" w:cs="Arial"/>
                <w:sz w:val="18"/>
                <w:szCs w:val="18"/>
              </w:rPr>
              <w:t>143.77</w:t>
            </w:r>
          </w:p>
        </w:tc>
        <w:tc>
          <w:tcPr>
            <w:tcW w:w="1134" w:type="dxa"/>
            <w:tcBorders>
              <w:top w:val="nil"/>
              <w:left w:val="nil"/>
              <w:bottom w:val="nil"/>
              <w:right w:val="nil"/>
            </w:tcBorders>
          </w:tcPr>
          <w:p w14:paraId="07DCEEDD" w14:textId="77777777" w:rsidR="003E14AA" w:rsidRPr="0092670C" w:rsidRDefault="003E14AA" w:rsidP="00B9047F">
            <w:pPr>
              <w:rPr>
                <w:rFonts w:ascii="Arial" w:hAnsi="Arial" w:cs="Arial"/>
                <w:sz w:val="18"/>
                <w:szCs w:val="18"/>
              </w:rPr>
            </w:pPr>
            <w:r w:rsidRPr="0092670C">
              <w:rPr>
                <w:rFonts w:ascii="Arial" w:hAnsi="Arial" w:cs="Arial"/>
                <w:sz w:val="18"/>
                <w:szCs w:val="18"/>
              </w:rPr>
              <w:t>265</w:t>
            </w:r>
          </w:p>
        </w:tc>
        <w:tc>
          <w:tcPr>
            <w:tcW w:w="992" w:type="dxa"/>
            <w:tcBorders>
              <w:top w:val="nil"/>
              <w:left w:val="nil"/>
              <w:bottom w:val="nil"/>
              <w:right w:val="nil"/>
            </w:tcBorders>
          </w:tcPr>
          <w:p w14:paraId="41C43E2C"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2091E611" w14:textId="77777777" w:rsidR="003E14AA" w:rsidRPr="0092670C" w:rsidRDefault="003E14AA" w:rsidP="00B9047F">
            <w:pPr>
              <w:rPr>
                <w:rFonts w:ascii="Arial" w:hAnsi="Arial" w:cs="Arial"/>
                <w:sz w:val="18"/>
                <w:szCs w:val="18"/>
              </w:rPr>
            </w:pPr>
          </w:p>
        </w:tc>
        <w:tc>
          <w:tcPr>
            <w:tcW w:w="1843" w:type="dxa"/>
            <w:tcBorders>
              <w:top w:val="nil"/>
              <w:left w:val="nil"/>
              <w:bottom w:val="nil"/>
              <w:right w:val="nil"/>
            </w:tcBorders>
          </w:tcPr>
          <w:p w14:paraId="1833E9FA" w14:textId="6F6F1E29" w:rsidR="003E14AA" w:rsidRPr="0092670C" w:rsidRDefault="003E14AA" w:rsidP="00B9047F">
            <w:pPr>
              <w:rPr>
                <w:rFonts w:ascii="Arial" w:hAnsi="Arial" w:cs="Arial"/>
                <w:sz w:val="18"/>
                <w:szCs w:val="18"/>
              </w:rPr>
            </w:pPr>
            <w:r w:rsidRPr="0092670C">
              <w:rPr>
                <w:rFonts w:ascii="Arial" w:hAnsi="Arial" w:cs="Arial"/>
                <w:sz w:val="18"/>
                <w:szCs w:val="18"/>
              </w:rPr>
              <w:t>1.57</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&lt;EndNote&gt;&lt;Cite&gt;&lt;Author&gt;Delp&lt;/Author&gt;&lt;Year&gt;2016&lt;/Year&gt;&lt;RecNum&gt;337&lt;/RecNum&gt;&lt;DisplayText&gt;[49]&lt;/DisplayText&gt;&lt;record&gt;&lt;rec-number&gt;337&lt;/rec-number&gt;&lt;foreign-keys&gt;&lt;key app="EN" db-id="5sa9s0e0r0d9fnexra7pr5xdwd5ztevx95s2" timestamp="1563290360"&gt;337&lt;/key&gt;&lt;/foreign-keys&gt;&lt;ref-type name="Journal Article"&gt;17&lt;/ref-type&gt;&lt;contributors&gt;&lt;authors&gt;&lt;author&gt;Delp, Samuel A&lt;/author&gt;&lt;author&gt;Borodin, Oleg&lt;/author&gt;&lt;author&gt;Olguin, Marco&lt;/author&gt;&lt;author&gt;Eisner, Claire G&lt;/author&gt;&lt;author&gt;Allen, Joshua L&lt;/author&gt;&lt;author&gt;Jow, T Richard&lt;/author&gt;&lt;/authors&gt;&lt;/contributors&gt;&lt;titles&gt;&lt;title&gt;Importance of reduction and oxidation stability of high voltage electrolytes and additives&lt;/title&gt;&lt;secondary-title&gt;Electrochimica Acta&lt;/secondary-title&gt;&lt;/titles&gt;&lt;periodical&gt;&lt;full-title&gt;Electrochimica Acta&lt;/full-title&gt;&lt;/periodical&gt;&lt;pages&gt;498-510&lt;/pages&gt;&lt;volume&gt;209&lt;/volume&gt;&lt;dates&gt;&lt;year&gt;2016&lt;/year&gt;&lt;/dates&gt;&lt;isbn&gt;0013-4686&lt;/isbn&gt;&lt;urls&gt;&lt;/urls&gt;&lt;/record&gt;&lt;/Cite&gt;&lt;/EndNote&gt;</w:instrText>
            </w:r>
            <w:r w:rsidRPr="0092670C">
              <w:rPr>
                <w:rFonts w:ascii="Arial" w:hAnsi="Arial" w:cs="Arial"/>
                <w:sz w:val="18"/>
                <w:szCs w:val="18"/>
              </w:rPr>
              <w:fldChar w:fldCharType="separate"/>
            </w:r>
            <w:r w:rsidR="00C10A8D">
              <w:rPr>
                <w:rFonts w:ascii="Arial" w:hAnsi="Arial" w:cs="Arial"/>
                <w:noProof/>
                <w:sz w:val="18"/>
                <w:szCs w:val="18"/>
              </w:rPr>
              <w:t>[49]</w:t>
            </w:r>
            <w:r w:rsidRPr="0092670C">
              <w:rPr>
                <w:rFonts w:ascii="Arial" w:hAnsi="Arial" w:cs="Arial"/>
                <w:sz w:val="18"/>
                <w:szCs w:val="18"/>
              </w:rPr>
              <w:fldChar w:fldCharType="end"/>
            </w:r>
          </w:p>
        </w:tc>
        <w:tc>
          <w:tcPr>
            <w:tcW w:w="1417" w:type="dxa"/>
            <w:tcBorders>
              <w:top w:val="nil"/>
              <w:left w:val="nil"/>
              <w:bottom w:val="nil"/>
              <w:right w:val="nil"/>
            </w:tcBorders>
          </w:tcPr>
          <w:p w14:paraId="1AA3E075" w14:textId="4E147BA8" w:rsidR="003E14AA" w:rsidRPr="0092670C" w:rsidRDefault="003E14AA" w:rsidP="00B9047F">
            <w:pPr>
              <w:rPr>
                <w:rFonts w:ascii="Arial" w:hAnsi="Arial" w:cs="Arial"/>
                <w:sz w:val="18"/>
                <w:szCs w:val="18"/>
              </w:rPr>
            </w:pPr>
            <w:r w:rsidRPr="0092670C">
              <w:rPr>
                <w:rFonts w:ascii="Arial" w:hAnsi="Arial" w:cs="Arial"/>
                <w:sz w:val="18"/>
                <w:szCs w:val="18"/>
              </w:rPr>
              <w:t>5%</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&lt;EndNote&gt;&lt;Cite&gt;&lt;Author&gt;Xu&lt;/Author&gt;&lt;Year&gt;2011&lt;/Year&gt;&lt;RecNum&gt;228&lt;/RecNum&gt;&lt;DisplayText&gt;[113]&lt;/DisplayText&gt;&lt;record&gt;&lt;rec-number&gt;228&lt;/rec-number&gt;&lt;foreign-keys&gt;&lt;key app="EN" db-id="5sa9s0e0r0d9fnexra7pr5xdwd5ztevx95s2" timestamp="1555338459"&gt;228&lt;/key&gt;&lt;/foreign-keys&gt;&lt;ref-type name="Journal Article"&gt;17&lt;/ref-type&gt;&lt;contributors&gt;&lt;authors&gt;&lt;author&gt;Xu, Mengqing&lt;/author&gt;&lt;author&gt;Zhou, Liu&lt;/author&gt;&lt;author&gt;Hao, Liansheng&lt;/author&gt;&lt;author&gt;Xing, Lidan&lt;/author&gt;&lt;author&gt;Li, Weishan&lt;/author&gt;&lt;author&gt;Lucht, Brett L.&lt;/author&gt;&lt;/authors&gt;&lt;/contributors&gt;&lt;titles&gt;&lt;title&gt;Investigation and application of lithium difluoro(oxalate)borate (LiDFOB) as additive to improve the thermal stability of electrolyte for lithium-ion batteries&lt;/title&gt;&lt;secondary-title&gt;Journal of Power Sources&lt;/secondary-title&gt;&lt;/titles&gt;&lt;periodical&gt;&lt;full-title&gt;Journal of Power Sources&lt;/full-title&gt;&lt;/periodical&gt;&lt;pages&gt;6794-6801&lt;/pages&gt;&lt;volume&gt;196&lt;/volume&gt;&lt;number&gt;16&lt;/number&gt;&lt;keywords&gt;&lt;keyword&gt;Lithium difluoro(oxalate)borate&lt;/keyword&gt;&lt;keyword&gt;Electrolyte additive&lt;/keyword&gt;&lt;keyword&gt;Thermal stability&lt;/keyword&gt;&lt;keyword&gt;Elevated temperature&lt;/keyword&gt;&lt;keyword&gt;Lithium-ion battery&lt;/keyword&gt;&lt;/keywords&gt;&lt;dates&gt;&lt;year&gt;2011&lt;/year&gt;&lt;pub-dates&gt;&lt;date&gt;2011/08/15/&lt;/date&gt;&lt;/pub-dates&gt;&lt;/dates&gt;&lt;isbn&gt;0378-7753&lt;/isbn&gt;&lt;urls&gt;&lt;related-urls&gt;&lt;url&gt;http://www.sciencedirect.com/science/article/pii/S0378775310018495&lt;/url&gt;&lt;/related-urls&gt;&lt;/urls&gt;&lt;electronic-resource-num&gt;https://doi.org/10.1016/j.jpowsour.2010.10.050&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[113]</w:t>
            </w:r>
            <w:r w:rsidRPr="0092670C">
              <w:rPr>
                <w:rFonts w:ascii="Arial" w:hAnsi="Arial" w:cs="Arial"/>
                <w:sz w:val="18"/>
                <w:szCs w:val="18"/>
              </w:rPr>
              <w:fldChar w:fldCharType="end"/>
            </w:r>
          </w:p>
        </w:tc>
      </w:tr>
      <w:tr w:rsidR="00B26076" w:rsidRPr="0092670C" w14:paraId="6429779C" w14:textId="77777777" w:rsidTr="00B26076">
        <w:tc>
          <w:tcPr>
            <w:tcW w:w="2132" w:type="dxa"/>
            <w:tcBorders>
              <w:top w:val="nil"/>
              <w:left w:val="nil"/>
              <w:bottom w:val="nil"/>
              <w:right w:val="nil"/>
            </w:tcBorders>
          </w:tcPr>
          <w:p w14:paraId="7B2E2481" w14:textId="77777777" w:rsidR="003E14AA" w:rsidRPr="0092670C" w:rsidRDefault="003E14AA" w:rsidP="00B9047F">
            <w:pPr>
              <w:rPr>
                <w:rFonts w:ascii="Arial" w:hAnsi="Arial" w:cs="Arial"/>
                <w:sz w:val="18"/>
                <w:szCs w:val="18"/>
              </w:rPr>
            </w:pPr>
            <w:r w:rsidRPr="0092670C">
              <w:rPr>
                <w:rFonts w:ascii="Arial" w:hAnsi="Arial" w:cs="Arial"/>
                <w:sz w:val="18"/>
                <w:szCs w:val="18"/>
              </w:rPr>
              <w:t>Lithium bis(oxalate)borate</w:t>
            </w:r>
          </w:p>
          <w:p w14:paraId="343B6685" w14:textId="77777777" w:rsidR="003E14AA" w:rsidRPr="0092670C" w:rsidRDefault="003E14AA" w:rsidP="00B9047F">
            <w:pPr>
              <w:rPr>
                <w:rFonts w:ascii="Arial" w:hAnsi="Arial" w:cs="Arial"/>
                <w:sz w:val="18"/>
                <w:szCs w:val="18"/>
              </w:rPr>
            </w:pPr>
            <w:r w:rsidRPr="0092670C">
              <w:rPr>
                <w:rFonts w:ascii="Arial" w:hAnsi="Arial" w:cs="Arial"/>
                <w:sz w:val="18"/>
                <w:szCs w:val="18"/>
              </w:rPr>
              <w:t>(LIBOB)</w:t>
            </w:r>
          </w:p>
          <w:p w14:paraId="65D8C751" w14:textId="77777777" w:rsidR="003E14AA" w:rsidRPr="0092670C" w:rsidRDefault="003E14AA" w:rsidP="00B9047F">
            <w:pPr>
              <w:rPr>
                <w:rFonts w:ascii="Arial" w:hAnsi="Arial" w:cs="Arial"/>
                <w:sz w:val="18"/>
                <w:szCs w:val="18"/>
              </w:rPr>
            </w:pPr>
          </w:p>
        </w:tc>
        <w:tc>
          <w:tcPr>
            <w:tcW w:w="4252" w:type="dxa"/>
            <w:tcBorders>
              <w:top w:val="nil"/>
              <w:left w:val="nil"/>
              <w:bottom w:val="nil"/>
              <w:right w:val="nil"/>
            </w:tcBorders>
          </w:tcPr>
          <w:p w14:paraId="486367CF" w14:textId="50E7C5AF"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3888" w:dyaOrig="1742" w14:anchorId="5D554744">
                <v:shape id="_x0000_i1051" type="#_x0000_t75" style="width:162pt;height:1in" o:ole="">
                  <v:imagedata r:id="rId85" o:title=""/>
                </v:shape>
                <o:OLEObject Type="Embed" ProgID="ChemDraw.Document.6.0" ShapeID="_x0000_i1051" DrawAspect="Content" ObjectID="_1700733940" r:id="rId86"/>
              </w:object>
            </w:r>
          </w:p>
        </w:tc>
        <w:tc>
          <w:tcPr>
            <w:tcW w:w="993" w:type="dxa"/>
            <w:tcBorders>
              <w:top w:val="nil"/>
              <w:left w:val="nil"/>
              <w:bottom w:val="nil"/>
              <w:right w:val="nil"/>
            </w:tcBorders>
          </w:tcPr>
          <w:p w14:paraId="289253EE" w14:textId="77777777" w:rsidR="003E14AA" w:rsidRPr="0092670C" w:rsidRDefault="003E14AA" w:rsidP="00B9047F">
            <w:pPr>
              <w:rPr>
                <w:rFonts w:ascii="Arial" w:hAnsi="Arial" w:cs="Arial"/>
                <w:sz w:val="18"/>
                <w:szCs w:val="18"/>
              </w:rPr>
            </w:pPr>
            <w:r w:rsidRPr="0092670C">
              <w:rPr>
                <w:rFonts w:ascii="Arial" w:hAnsi="Arial" w:cs="Arial"/>
                <w:sz w:val="18"/>
                <w:szCs w:val="18"/>
              </w:rPr>
              <w:t>193.79</w:t>
            </w:r>
          </w:p>
        </w:tc>
        <w:tc>
          <w:tcPr>
            <w:tcW w:w="1134" w:type="dxa"/>
            <w:tcBorders>
              <w:top w:val="nil"/>
              <w:left w:val="nil"/>
              <w:bottom w:val="nil"/>
              <w:right w:val="nil"/>
            </w:tcBorders>
          </w:tcPr>
          <w:p w14:paraId="10AAA23D" w14:textId="77777777" w:rsidR="003E14AA" w:rsidRPr="0092670C" w:rsidRDefault="003E14AA" w:rsidP="00B9047F">
            <w:pPr>
              <w:rPr>
                <w:rFonts w:ascii="Arial" w:hAnsi="Arial" w:cs="Arial"/>
                <w:sz w:val="18"/>
                <w:szCs w:val="18"/>
              </w:rPr>
            </w:pPr>
            <w:r w:rsidRPr="0092670C">
              <w:rPr>
                <w:rFonts w:ascii="Arial" w:hAnsi="Arial" w:cs="Arial"/>
                <w:sz w:val="18"/>
                <w:szCs w:val="18"/>
              </w:rPr>
              <w:t>&gt;300</w:t>
            </w:r>
          </w:p>
        </w:tc>
        <w:tc>
          <w:tcPr>
            <w:tcW w:w="992" w:type="dxa"/>
            <w:tcBorders>
              <w:top w:val="nil"/>
              <w:left w:val="nil"/>
              <w:bottom w:val="nil"/>
              <w:right w:val="nil"/>
            </w:tcBorders>
          </w:tcPr>
          <w:p w14:paraId="7D1EAA4A" w14:textId="34A54129"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1C77D890" w14:textId="3DB3C997"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3CBBD392" w14:textId="6958575C" w:rsidR="003E14AA" w:rsidRPr="0092670C" w:rsidRDefault="003E14AA" w:rsidP="00B9047F">
            <w:pPr>
              <w:rPr>
                <w:rFonts w:ascii="Arial" w:hAnsi="Arial" w:cs="Arial"/>
                <w:sz w:val="18"/>
                <w:szCs w:val="18"/>
              </w:rPr>
            </w:pPr>
            <w:r w:rsidRPr="0092670C">
              <w:rPr>
                <w:rFonts w:ascii="Arial" w:hAnsi="Arial" w:cs="Arial"/>
                <w:sz w:val="18"/>
                <w:szCs w:val="18"/>
              </w:rPr>
              <w:t>1.5-1.8</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&lt;EndNote&gt;&lt;Cite&gt;&lt;Author&gt;Kaymaksiz&lt;/Author&gt;&lt;Year&gt;2013&lt;/Year&gt;&lt;RecNum&gt;343&lt;/RecNum&gt;&lt;DisplayText&gt;[114]&lt;/DisplayText&gt;&lt;record&gt;&lt;rec-number&gt;343&lt;/rec-number&gt;&lt;foreign-keys&gt;&lt;key app="EN" db-id="5sa9s0e0r0d9fnexra7pr5xdwd5ztevx95s2" timestamp="1563291805"&gt;343&lt;/key&gt;&lt;/foreign-keys&gt;&lt;ref-type name="Journal Article"&gt;17&lt;/ref-type&gt;&lt;contributors&gt;&lt;authors&gt;&lt;author&gt;Kaymaksiz, Serife&lt;/author&gt;&lt;author&gt;Wilhelm, Florian&lt;/author&gt;&lt;author&gt;Wachtler, Mario&lt;/author&gt;&lt;author&gt;Wohlfahrt-Mehrens, Margret&lt;/author&gt;&lt;author&gt;Hartnig, Christoph&lt;/author&gt;&lt;author&gt;Tschernych, Irina&lt;/author&gt;&lt;author&gt;Wietelmann, Ulrich&lt;/author&gt;&lt;/authors&gt;&lt;/contributors&gt;&lt;titles&gt;&lt;title&gt;Electrochemical stability of lithium salicylato-borates as electrolyte additives in Li-ion batteries&lt;/title&gt;&lt;secondary-title&gt;Journal of Power Sources&lt;/secondary-title&gt;&lt;/titles&gt;&lt;periodical&gt;&lt;full-title&gt;Journal of Power Sources&lt;/full-title&gt;&lt;/periodical&gt;&lt;pages&gt;659-669&lt;/pages&gt;&lt;volume&gt;239&lt;/volume&gt;&lt;dates&gt;&lt;year&gt;2013&lt;/year&gt;&lt;/dates&gt;&lt;isbn&gt;0378-7753&lt;/isbn&gt;&lt;urls&gt;&lt;/urls&gt;&lt;/record&gt;&lt;/Cite&gt;&lt;/EndNote&gt;</w:instrText>
            </w:r>
            <w:r w:rsidRPr="0092670C">
              <w:rPr>
                <w:rFonts w:ascii="Arial" w:hAnsi="Arial" w:cs="Arial"/>
                <w:sz w:val="18"/>
                <w:szCs w:val="18"/>
              </w:rPr>
              <w:fldChar w:fldCharType="separate"/>
            </w:r>
            <w:r w:rsidR="0034337D">
              <w:rPr>
                <w:rFonts w:ascii="Arial" w:hAnsi="Arial" w:cs="Arial"/>
                <w:noProof/>
                <w:sz w:val="18"/>
                <w:szCs w:val="18"/>
              </w:rPr>
              <w:t>[114]</w:t>
            </w:r>
            <w:r w:rsidRPr="0092670C">
              <w:rPr>
                <w:rFonts w:ascii="Arial" w:hAnsi="Arial" w:cs="Arial"/>
                <w:sz w:val="18"/>
                <w:szCs w:val="18"/>
              </w:rPr>
              <w:fldChar w:fldCharType="end"/>
            </w:r>
          </w:p>
        </w:tc>
        <w:tc>
          <w:tcPr>
            <w:tcW w:w="1417" w:type="dxa"/>
            <w:tcBorders>
              <w:top w:val="nil"/>
              <w:left w:val="nil"/>
              <w:bottom w:val="nil"/>
              <w:right w:val="nil"/>
            </w:tcBorders>
          </w:tcPr>
          <w:p w14:paraId="0CB057EB" w14:textId="16E9E3C2" w:rsidR="003E14AA" w:rsidRPr="0092670C" w:rsidRDefault="003E14AA" w:rsidP="00B9047F">
            <w:pPr>
              <w:rPr>
                <w:rFonts w:ascii="Arial" w:hAnsi="Arial" w:cs="Arial"/>
                <w:sz w:val="18"/>
                <w:szCs w:val="18"/>
              </w:rPr>
            </w:pPr>
            <w:r w:rsidRPr="0092670C">
              <w:rPr>
                <w:rFonts w:ascii="Arial" w:hAnsi="Arial" w:cs="Arial"/>
                <w:sz w:val="18"/>
                <w:szCs w:val="18"/>
              </w:rPr>
              <w:t>1moldm</w:t>
            </w:r>
            <w:r w:rsidRPr="0092670C">
              <w:rPr>
                <w:rFonts w:ascii="Arial" w:hAnsi="Arial" w:cs="Arial"/>
                <w:sz w:val="18"/>
                <w:szCs w:val="18"/>
                <w:vertAlign w:val="superscript"/>
              </w:rPr>
              <w:t>-3</w:t>
            </w:r>
            <w:r w:rsidRPr="0092670C">
              <w:rPr>
                <w:rFonts w:ascii="Arial" w:hAnsi="Arial" w:cs="Arial"/>
                <w:sz w:val="18"/>
                <w:szCs w:val="18"/>
              </w:rPr>
              <w:t xml:space="preserve"> </w:t>
            </w:r>
            <w:r w:rsidRPr="0092670C">
              <w:rPr>
                <w:rFonts w:ascii="Arial" w:hAnsi="Arial" w:cs="Arial"/>
                <w:sz w:val="18"/>
                <w:szCs w:val="18"/>
              </w:rPr>
              <w:fldChar w:fldCharType="begin"/>
            </w:r>
            <w:r w:rsidR="00C10A8D">
              <w:rPr>
                <w:rFonts w:ascii="Arial" w:hAnsi="Arial" w:cs="Arial"/>
                <w:sz w:val="18"/>
                <w:szCs w:val="18"/>
              </w:rPr>
              <w:instrText xml:space="preserve"> ADDIN EN.CITE &lt;EndNote&gt;&lt;Cite&gt;&lt;Author&gt;Xu&lt;/Author&gt;&lt;Year&gt;2003&lt;/Year&gt;&lt;RecNum&gt;219&lt;/RecNum&gt;&lt;DisplayText&gt;[91]&lt;/DisplayText&gt;&lt;record&gt;&lt;rec-number&gt;219&lt;/rec-number&gt;&lt;foreign-keys&gt;&lt;key app="EN" db-id="5sa9s0e0r0d9fnexra7pr5xdwd5ztevx95s2" timestamp="1554994135"&gt;219&lt;/key&gt;&lt;/foreign-keys&gt;&lt;ref-type name="Journal Article"&gt;17&lt;/ref-type&gt;&lt;contributors&gt;&lt;authors&gt;&lt;author&gt;Xu, Kang&lt;/author&gt;&lt;author&gt;Lee, Unchul&lt;/author&gt;&lt;author&gt;Zhang, Shengshui&lt;/author&gt;&lt;author&gt;Wood, Mark&lt;/author&gt;&lt;author&gt;Jow, T. Richard&lt;/author&gt;&lt;/authors&gt;&lt;/contributors&gt;&lt;titles&gt;&lt;title&gt;Chemical Analysis of Graphite/Electrolyte Interface Formed in LiBOB-Based Electrolytes&lt;/title&gt;&lt;secondary-title&gt;Electrochemical and Solid-State Letters&lt;/secondary-title&gt;&lt;/titles&gt;&lt;periodical&gt;&lt;full-title&gt;Electrochemical and Solid-State Letters&lt;/full-title&gt;&lt;/periodical&gt;&lt;pages&gt;A144-A148&lt;/pages&gt;&lt;volume&gt;6&lt;/volume&gt;&lt;number&gt;7&lt;/number&gt;&lt;dates&gt;&lt;year&gt;2003&lt;/year&gt;&lt;pub-dates&gt;&lt;date&gt;July 1, 2003&lt;/date&gt;&lt;/pub-dates&gt;&lt;/dates&gt;&lt;urls&gt;&lt;related-urls&gt;&lt;url&gt;http://esl.ecsdl.org/content/6/7/A144.abstract&lt;/url&gt;&lt;/related-urls&gt;&lt;/urls&gt;&lt;electronic-resource-num&gt;10.1149/1.1576049&lt;/electronic-resource-num&gt;&lt;/record&gt;&lt;/Cite&gt;&lt;/EndNote&gt;</w:instrText>
            </w:r>
            <w:r w:rsidRPr="0092670C">
              <w:rPr>
                <w:rFonts w:ascii="Arial" w:hAnsi="Arial" w:cs="Arial"/>
                <w:sz w:val="18"/>
                <w:szCs w:val="18"/>
              </w:rPr>
              <w:fldChar w:fldCharType="separate"/>
            </w:r>
            <w:r w:rsidR="00C10A8D">
              <w:rPr>
                <w:rFonts w:ascii="Arial" w:hAnsi="Arial" w:cs="Arial"/>
                <w:noProof/>
                <w:sz w:val="18"/>
                <w:szCs w:val="18"/>
              </w:rPr>
              <w:t>[91]</w:t>
            </w:r>
            <w:r w:rsidRPr="0092670C">
              <w:rPr>
                <w:rFonts w:ascii="Arial" w:hAnsi="Arial" w:cs="Arial"/>
                <w:sz w:val="18"/>
                <w:szCs w:val="18"/>
              </w:rPr>
              <w:fldChar w:fldCharType="end"/>
            </w:r>
          </w:p>
        </w:tc>
      </w:tr>
      <w:tr w:rsidR="00B26076" w:rsidRPr="0092670C" w14:paraId="03152F33" w14:textId="77777777" w:rsidTr="00B26076">
        <w:tc>
          <w:tcPr>
            <w:tcW w:w="2132" w:type="dxa"/>
            <w:tcBorders>
              <w:top w:val="nil"/>
              <w:left w:val="nil"/>
              <w:bottom w:val="nil"/>
              <w:right w:val="nil"/>
            </w:tcBorders>
          </w:tcPr>
          <w:p w14:paraId="25DE8014" w14:textId="77777777" w:rsidR="003E14AA" w:rsidRPr="0092670C" w:rsidRDefault="003E14AA" w:rsidP="00B9047F">
            <w:pPr>
              <w:rPr>
                <w:rFonts w:ascii="Arial" w:hAnsi="Arial" w:cs="Arial"/>
                <w:sz w:val="18"/>
                <w:szCs w:val="18"/>
              </w:rPr>
            </w:pPr>
            <w:r w:rsidRPr="0092670C">
              <w:rPr>
                <w:rFonts w:ascii="Arial" w:hAnsi="Arial" w:cs="Arial"/>
                <w:sz w:val="18"/>
                <w:szCs w:val="18"/>
              </w:rPr>
              <w:t>Li bis(salicylate)borate</w:t>
            </w:r>
          </w:p>
        </w:tc>
        <w:tc>
          <w:tcPr>
            <w:tcW w:w="4252" w:type="dxa"/>
            <w:tcBorders>
              <w:top w:val="nil"/>
              <w:left w:val="nil"/>
              <w:bottom w:val="nil"/>
              <w:right w:val="nil"/>
            </w:tcBorders>
          </w:tcPr>
          <w:p w14:paraId="63E44206" w14:textId="480429C1"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4980" w:dyaOrig="2496" w14:anchorId="2B9BD146">
                <v:shape id="_x0000_i1052" type="#_x0000_t75" style="width:173.9pt;height:90pt" o:ole="">
                  <v:imagedata r:id="rId87" o:title=""/>
                </v:shape>
                <o:OLEObject Type="Embed" ProgID="ChemDraw.Document.6.0" ShapeID="_x0000_i1052" DrawAspect="Content" ObjectID="_1700733941" r:id="rId88"/>
              </w:object>
            </w:r>
          </w:p>
        </w:tc>
        <w:tc>
          <w:tcPr>
            <w:tcW w:w="993" w:type="dxa"/>
            <w:tcBorders>
              <w:top w:val="nil"/>
              <w:left w:val="nil"/>
              <w:bottom w:val="nil"/>
              <w:right w:val="nil"/>
            </w:tcBorders>
          </w:tcPr>
          <w:p w14:paraId="46C5DA50" w14:textId="77777777" w:rsidR="003E14AA" w:rsidRPr="0092670C" w:rsidRDefault="003E14AA" w:rsidP="00B9047F">
            <w:pPr>
              <w:rPr>
                <w:rFonts w:ascii="Arial" w:hAnsi="Arial" w:cs="Arial"/>
                <w:sz w:val="18"/>
                <w:szCs w:val="18"/>
              </w:rPr>
            </w:pPr>
            <w:r w:rsidRPr="0092670C">
              <w:rPr>
                <w:rFonts w:ascii="Arial" w:hAnsi="Arial" w:cs="Arial"/>
                <w:sz w:val="18"/>
                <w:szCs w:val="18"/>
              </w:rPr>
              <w:t>258.07</w:t>
            </w:r>
          </w:p>
        </w:tc>
        <w:tc>
          <w:tcPr>
            <w:tcW w:w="1134" w:type="dxa"/>
            <w:tcBorders>
              <w:top w:val="nil"/>
              <w:left w:val="nil"/>
              <w:bottom w:val="nil"/>
              <w:right w:val="nil"/>
            </w:tcBorders>
          </w:tcPr>
          <w:p w14:paraId="2F550BC0" w14:textId="060F825C"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6CB092AC" w14:textId="628FE260"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4CF7CD17" w14:textId="544C6605"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5983C7E4" w14:textId="298DA29C"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417" w:type="dxa"/>
            <w:tcBorders>
              <w:top w:val="nil"/>
              <w:left w:val="nil"/>
              <w:bottom w:val="nil"/>
              <w:right w:val="nil"/>
            </w:tcBorders>
          </w:tcPr>
          <w:p w14:paraId="2F985C2E" w14:textId="27C79A49" w:rsidR="003E14AA" w:rsidRPr="0092670C" w:rsidRDefault="003E14AA" w:rsidP="00B9047F">
            <w:pPr>
              <w:rPr>
                <w:rFonts w:ascii="Arial" w:hAnsi="Arial" w:cs="Arial"/>
                <w:sz w:val="18"/>
                <w:szCs w:val="18"/>
              </w:rPr>
            </w:pPr>
            <w:r w:rsidRPr="0092670C">
              <w:rPr>
                <w:rFonts w:ascii="Arial" w:hAnsi="Arial" w:cs="Arial"/>
                <w:sz w:val="18"/>
                <w:szCs w:val="18"/>
              </w:rPr>
              <w:t>1mol kg</w:t>
            </w:r>
            <w:r w:rsidRPr="0092670C">
              <w:rPr>
                <w:rFonts w:ascii="Arial" w:hAnsi="Arial" w:cs="Arial"/>
                <w:sz w:val="18"/>
                <w:szCs w:val="18"/>
                <w:vertAlign w:val="superscript"/>
              </w:rPr>
              <w:t>-1</w:t>
            </w:r>
            <w:r w:rsidRPr="0092670C">
              <w:rPr>
                <w:rFonts w:ascii="Arial" w:hAnsi="Arial" w:cs="Arial"/>
                <w:sz w:val="18"/>
                <w:szCs w:val="18"/>
              </w:rPr>
              <w:t xml:space="preserve"> </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&lt;EndNote&gt;&lt;Cite&gt;&lt;Author&gt;Shah&lt;/Author&gt;&lt;Year&gt;2017&lt;/Year&gt;&lt;RecNum&gt;230&lt;/RecNum&gt;&lt;DisplayText&gt;[115]&lt;/DisplayText&gt;&lt;record&gt;&lt;rec-number&gt;230&lt;/rec-number&gt;&lt;foreign-keys&gt;&lt;key app="EN" db-id="5sa9s0e0r0d9fnexra7pr5xdwd5ztevx95s2" timestamp="1555342738"&gt;230&lt;/key&gt;&lt;/foreign-keys&gt;&lt;ref-type name="Journal Article"&gt;17&lt;/ref-type&gt;&lt;contributors&gt;&lt;authors&gt;&lt;author&gt;Shah, Faiz Ullah&lt;/author&gt;&lt;author&gt;Gnezdilov, Oleg I.&lt;/author&gt;&lt;author&gt;Gusain, Rashi&lt;/author&gt;&lt;author&gt;Filippov, Andrei&lt;/author&gt;&lt;/authors&gt;&lt;/contributors&gt;&lt;titles&gt;&lt;title&gt;Transport and Association of Ions in Lithium Battery Electrolytes Based on Glycol Ether Mixed with Halogen-Free Orthoborate Ionic Liquid&lt;/title&gt;&lt;secondary-title&gt;Scientific Reports&lt;/secondary-title&gt;&lt;/titles&gt;&lt;periodical&gt;&lt;full-title&gt;Scientific Reports&lt;/full-title&gt;&lt;/periodical&gt;&lt;pages&gt;16340&lt;/pages&gt;&lt;volume&gt;7&lt;/volume&gt;&lt;number&gt;1&lt;/number&gt;&lt;dates&gt;&lt;year&gt;2017&lt;/year&gt;&lt;pub-dates&gt;&lt;date&gt;2017/11/27&lt;/date&gt;&lt;/pub-dates&gt;&lt;/dates&gt;&lt;isbn&gt;2045-2322&lt;/isbn&gt;&lt;urls&gt;&lt;related-urls&gt;&lt;url&gt;https://doi.org/10.1038/s41598-017-16597-7&lt;/url&gt;&lt;/related-urls&gt;&lt;/urls&gt;&lt;electronic-resource-num&gt;10.1038/s41598-017-16597-7&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[115]</w:t>
            </w:r>
            <w:r w:rsidRPr="0092670C">
              <w:rPr>
                <w:rFonts w:ascii="Arial" w:hAnsi="Arial" w:cs="Arial"/>
                <w:sz w:val="18"/>
                <w:szCs w:val="18"/>
              </w:rPr>
              <w:fldChar w:fldCharType="end"/>
            </w:r>
          </w:p>
        </w:tc>
      </w:tr>
      <w:tr w:rsidR="00B26076" w:rsidRPr="0092670C" w14:paraId="2CA4C86B" w14:textId="77777777" w:rsidTr="00B26076">
        <w:tc>
          <w:tcPr>
            <w:tcW w:w="2132" w:type="dxa"/>
            <w:tcBorders>
              <w:top w:val="nil"/>
              <w:left w:val="nil"/>
              <w:bottom w:val="nil"/>
              <w:right w:val="nil"/>
            </w:tcBorders>
          </w:tcPr>
          <w:p w14:paraId="5EC06CE0" w14:textId="77777777" w:rsidR="003E14AA" w:rsidRPr="0092670C" w:rsidRDefault="003E14AA" w:rsidP="00B9047F">
            <w:pPr>
              <w:rPr>
                <w:rFonts w:ascii="Arial" w:hAnsi="Arial" w:cs="Arial"/>
                <w:sz w:val="18"/>
                <w:szCs w:val="18"/>
              </w:rPr>
            </w:pPr>
            <w:r w:rsidRPr="0092670C">
              <w:rPr>
                <w:rFonts w:ascii="Arial" w:hAnsi="Arial" w:cs="Arial"/>
                <w:sz w:val="18"/>
                <w:szCs w:val="18"/>
              </w:rPr>
              <w:t>Maleimide derivatives</w:t>
            </w:r>
          </w:p>
        </w:tc>
        <w:tc>
          <w:tcPr>
            <w:tcW w:w="4252" w:type="dxa"/>
            <w:tcBorders>
              <w:top w:val="nil"/>
              <w:left w:val="nil"/>
              <w:bottom w:val="nil"/>
              <w:right w:val="nil"/>
            </w:tcBorders>
          </w:tcPr>
          <w:p w14:paraId="171DB3CF" w14:textId="77777777" w:rsidR="003E14AA" w:rsidRPr="0092670C" w:rsidRDefault="003E14AA" w:rsidP="00B9047F">
            <w:pPr>
              <w:rPr>
                <w:rFonts w:ascii="Arial" w:hAnsi="Arial" w:cs="Arial"/>
                <w:sz w:val="18"/>
                <w:szCs w:val="18"/>
              </w:rPr>
            </w:pPr>
          </w:p>
        </w:tc>
        <w:tc>
          <w:tcPr>
            <w:tcW w:w="993" w:type="dxa"/>
            <w:tcBorders>
              <w:top w:val="nil"/>
              <w:left w:val="nil"/>
              <w:bottom w:val="nil"/>
              <w:right w:val="nil"/>
            </w:tcBorders>
          </w:tcPr>
          <w:p w14:paraId="6987BBED" w14:textId="77777777" w:rsidR="003E14AA" w:rsidRPr="0092670C" w:rsidRDefault="003E14AA" w:rsidP="00B9047F">
            <w:pPr>
              <w:rPr>
                <w:rFonts w:ascii="Arial" w:hAnsi="Arial" w:cs="Arial"/>
                <w:sz w:val="18"/>
                <w:szCs w:val="18"/>
              </w:rPr>
            </w:pPr>
          </w:p>
        </w:tc>
        <w:tc>
          <w:tcPr>
            <w:tcW w:w="1134" w:type="dxa"/>
            <w:tcBorders>
              <w:top w:val="nil"/>
              <w:left w:val="nil"/>
              <w:bottom w:val="nil"/>
              <w:right w:val="nil"/>
            </w:tcBorders>
          </w:tcPr>
          <w:p w14:paraId="174167FD"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433F162C"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664277D7" w14:textId="77777777" w:rsidR="003E14AA" w:rsidRPr="0092670C" w:rsidRDefault="003E14AA" w:rsidP="00B9047F">
            <w:pPr>
              <w:rPr>
                <w:rFonts w:ascii="Arial" w:hAnsi="Arial" w:cs="Arial"/>
                <w:sz w:val="18"/>
                <w:szCs w:val="18"/>
              </w:rPr>
            </w:pPr>
          </w:p>
        </w:tc>
        <w:tc>
          <w:tcPr>
            <w:tcW w:w="1843" w:type="dxa"/>
            <w:tcBorders>
              <w:top w:val="nil"/>
              <w:left w:val="nil"/>
              <w:bottom w:val="nil"/>
              <w:right w:val="nil"/>
            </w:tcBorders>
          </w:tcPr>
          <w:p w14:paraId="1EFC557D" w14:textId="77777777" w:rsidR="003E14AA" w:rsidRPr="0092670C" w:rsidRDefault="003E14AA" w:rsidP="00B9047F">
            <w:pPr>
              <w:rPr>
                <w:rFonts w:ascii="Arial" w:hAnsi="Arial" w:cs="Arial"/>
                <w:sz w:val="18"/>
                <w:szCs w:val="18"/>
              </w:rPr>
            </w:pPr>
          </w:p>
        </w:tc>
        <w:tc>
          <w:tcPr>
            <w:tcW w:w="1417" w:type="dxa"/>
            <w:tcBorders>
              <w:top w:val="nil"/>
              <w:left w:val="nil"/>
              <w:bottom w:val="nil"/>
              <w:right w:val="nil"/>
            </w:tcBorders>
          </w:tcPr>
          <w:p w14:paraId="516862D8" w14:textId="77777777" w:rsidR="003E14AA" w:rsidRPr="0092670C" w:rsidRDefault="003E14AA" w:rsidP="00B9047F">
            <w:pPr>
              <w:rPr>
                <w:rFonts w:ascii="Arial" w:hAnsi="Arial" w:cs="Arial"/>
                <w:sz w:val="18"/>
                <w:szCs w:val="18"/>
              </w:rPr>
            </w:pPr>
          </w:p>
        </w:tc>
      </w:tr>
      <w:tr w:rsidR="00B26076" w:rsidRPr="0092670C" w14:paraId="414F854D" w14:textId="77777777" w:rsidTr="00B26076">
        <w:tc>
          <w:tcPr>
            <w:tcW w:w="2132" w:type="dxa"/>
            <w:tcBorders>
              <w:top w:val="nil"/>
              <w:left w:val="nil"/>
              <w:bottom w:val="nil"/>
              <w:right w:val="nil"/>
            </w:tcBorders>
          </w:tcPr>
          <w:p w14:paraId="48A98371" w14:textId="77777777" w:rsidR="003E14AA" w:rsidRPr="0092670C" w:rsidRDefault="003E14AA" w:rsidP="00B9047F">
            <w:pPr>
              <w:rPr>
                <w:rFonts w:ascii="Arial" w:hAnsi="Arial" w:cs="Arial"/>
                <w:sz w:val="18"/>
                <w:szCs w:val="18"/>
              </w:rPr>
            </w:pPr>
            <w:r w:rsidRPr="0092670C">
              <w:rPr>
                <w:rFonts w:ascii="Arial" w:hAnsi="Arial" w:cs="Arial"/>
                <w:sz w:val="18"/>
                <w:szCs w:val="18"/>
              </w:rPr>
              <w:t>Meta-phenyl-</w:t>
            </w:r>
          </w:p>
          <w:p w14:paraId="2A246656" w14:textId="77777777" w:rsidR="003E14AA" w:rsidRPr="0092670C" w:rsidRDefault="003E14AA" w:rsidP="00B9047F">
            <w:pPr>
              <w:rPr>
                <w:rFonts w:ascii="Arial" w:hAnsi="Arial" w:cs="Arial"/>
                <w:sz w:val="18"/>
                <w:szCs w:val="18"/>
              </w:rPr>
            </w:pPr>
            <w:r w:rsidRPr="0092670C">
              <w:rPr>
                <w:rFonts w:ascii="Arial" w:hAnsi="Arial" w:cs="Arial"/>
                <w:sz w:val="18"/>
                <w:szCs w:val="18"/>
              </w:rPr>
              <w:t xml:space="preserve">enedimaleimide </w:t>
            </w:r>
          </w:p>
        </w:tc>
        <w:tc>
          <w:tcPr>
            <w:tcW w:w="4252" w:type="dxa"/>
            <w:tcBorders>
              <w:top w:val="nil"/>
              <w:left w:val="nil"/>
              <w:bottom w:val="nil"/>
              <w:right w:val="nil"/>
            </w:tcBorders>
          </w:tcPr>
          <w:p w14:paraId="5176B461" w14:textId="15DE024F"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3202" w:dyaOrig="3881" w14:anchorId="13B82E8B">
                <v:shape id="_x0000_i1053" type="#_x0000_t75" style="width:131.8pt;height:150.1pt" o:ole="">
                  <v:imagedata r:id="rId89" o:title=""/>
                </v:shape>
                <o:OLEObject Type="Embed" ProgID="ChemDraw.Document.6.0" ShapeID="_x0000_i1053" DrawAspect="Content" ObjectID="_1700733942" r:id="rId90"/>
              </w:object>
            </w:r>
          </w:p>
        </w:tc>
        <w:tc>
          <w:tcPr>
            <w:tcW w:w="993" w:type="dxa"/>
            <w:tcBorders>
              <w:top w:val="nil"/>
              <w:left w:val="nil"/>
              <w:bottom w:val="nil"/>
              <w:right w:val="nil"/>
            </w:tcBorders>
          </w:tcPr>
          <w:p w14:paraId="51F2BD7C" w14:textId="77777777" w:rsidR="003E14AA" w:rsidRPr="0092670C" w:rsidRDefault="003E14AA" w:rsidP="00B9047F">
            <w:pPr>
              <w:rPr>
                <w:rFonts w:ascii="Arial" w:hAnsi="Arial" w:cs="Arial"/>
                <w:sz w:val="18"/>
                <w:szCs w:val="18"/>
              </w:rPr>
            </w:pPr>
            <w:r w:rsidRPr="0092670C">
              <w:rPr>
                <w:rFonts w:ascii="Arial" w:hAnsi="Arial" w:cs="Arial"/>
                <w:sz w:val="18"/>
                <w:szCs w:val="18"/>
              </w:rPr>
              <w:t>268.05</w:t>
            </w:r>
          </w:p>
        </w:tc>
        <w:tc>
          <w:tcPr>
            <w:tcW w:w="1134" w:type="dxa"/>
            <w:tcBorders>
              <w:top w:val="nil"/>
              <w:left w:val="nil"/>
              <w:bottom w:val="nil"/>
              <w:right w:val="nil"/>
            </w:tcBorders>
          </w:tcPr>
          <w:p w14:paraId="685C2C7D" w14:textId="77777777" w:rsidR="003E14AA" w:rsidRPr="0092670C" w:rsidRDefault="003E14AA" w:rsidP="00B9047F">
            <w:pPr>
              <w:rPr>
                <w:rFonts w:ascii="Arial" w:hAnsi="Arial" w:cs="Arial"/>
                <w:sz w:val="18"/>
                <w:szCs w:val="18"/>
              </w:rPr>
            </w:pPr>
            <w:r w:rsidRPr="0092670C">
              <w:rPr>
                <w:rFonts w:ascii="Arial" w:hAnsi="Arial" w:cs="Arial"/>
                <w:sz w:val="18"/>
                <w:szCs w:val="18"/>
              </w:rPr>
              <w:t>&gt;300</w:t>
            </w:r>
          </w:p>
        </w:tc>
        <w:tc>
          <w:tcPr>
            <w:tcW w:w="992" w:type="dxa"/>
            <w:tcBorders>
              <w:top w:val="nil"/>
              <w:left w:val="nil"/>
              <w:bottom w:val="nil"/>
              <w:right w:val="nil"/>
            </w:tcBorders>
          </w:tcPr>
          <w:p w14:paraId="3323AD93" w14:textId="10A54FA5"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7AC6A509" w14:textId="0B136CB5"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31B632CC" w14:textId="4B66963F"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417" w:type="dxa"/>
            <w:tcBorders>
              <w:top w:val="nil"/>
              <w:left w:val="nil"/>
              <w:bottom w:val="nil"/>
              <w:right w:val="nil"/>
            </w:tcBorders>
          </w:tcPr>
          <w:p w14:paraId="35C77E92" w14:textId="65EBFBB9" w:rsidR="003E14AA" w:rsidRPr="0092670C" w:rsidRDefault="003E14AA" w:rsidP="00B9047F">
            <w:pPr>
              <w:rPr>
                <w:rFonts w:ascii="Arial" w:hAnsi="Arial" w:cs="Arial"/>
                <w:sz w:val="18"/>
                <w:szCs w:val="18"/>
              </w:rPr>
            </w:pPr>
            <w:r w:rsidRPr="0092670C">
              <w:rPr>
                <w:rFonts w:ascii="Arial" w:hAnsi="Arial" w:cs="Arial"/>
                <w:sz w:val="18"/>
                <w:szCs w:val="18"/>
              </w:rPr>
              <w:t>0.1wt%</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&lt;EndNote&gt;&lt;Cite&gt;&lt;Author&gt;Wang&lt;/Author&gt;&lt;Year&gt;2013&lt;/Year&gt;&lt;RecNum&gt;212&lt;/RecNum&gt;&lt;DisplayText&gt;[93]&lt;/DisplayText&gt;&lt;record&gt;&lt;rec-number&gt;212&lt;/rec-number&gt;&lt;foreign-keys&gt;&lt;key app="EN" db-id="5sa9s0e0r0d9fnexra7pr5xdwd5ztevx95s2" timestamp="1554914363"&gt;212&lt;/key&gt;&lt;/foreign-keys&gt;&lt;ref-type name="Journal Article"&gt;17&lt;/ref-type&gt;&lt;contributors&gt;&lt;authors&gt;&lt;author&gt;Wang, Fu-Ming&lt;/author&gt;&lt;author&gt;Yu, Meng-Han&lt;/author&gt;&lt;author&gt;Cheng, Chin-Shu&lt;/author&gt;&lt;author&gt;Pradanawati, Sylvia Ayu&lt;/author&gt;&lt;author&gt;Lo, Shen-Chuan&lt;/author&gt;&lt;author&gt;Rick, John&lt;/author&gt;&lt;/authors&gt;&lt;/contributors&gt;&lt;titles&gt;&lt;title&gt;Phenylenedimaleimide positional isomers used as lithium ion battery electrolyte additives: Relating physical and electrochemical characterization to battery performance&lt;/title&gt;&lt;secondary-title&gt;Journal of Power Sources&lt;/secondary-title&gt;&lt;/titles&gt;&lt;periodical&gt;&lt;full-title&gt;Journal of Power Sources&lt;/full-title&gt;&lt;/periodical&gt;&lt;pages&gt;18-22&lt;/pages&gt;&lt;volume&gt;231&lt;/volume&gt;&lt;keywords&gt;&lt;keyword&gt;Dimaleimide&lt;/keyword&gt;&lt;keyword&gt;Additive&lt;/keyword&gt;&lt;keyword&gt;Isomerism&lt;/keyword&gt;&lt;keyword&gt;Electrolyte&lt;/keyword&gt;&lt;keyword&gt;Lithium ion battery&lt;/keyword&gt;&lt;/keywords&gt;&lt;dates&gt;&lt;year&gt;2013&lt;/year&gt;&lt;pub-dates&gt;&lt;date&gt;2013/06/01/&lt;/date&gt;&lt;/pub-dates&gt;&lt;/dates&gt;&lt;isbn&gt;0378-7753&lt;/isbn&gt;&lt;urls&gt;&lt;related-urls&gt;&lt;url&gt;http://www.sciencedirect.com/science/article/pii/S0378775312019477&lt;/url&gt;&lt;/related-urls&gt;&lt;/urls&gt;&lt;electronic-resource-num&gt;https://doi.org/10.1016/j.jpowsour.2012.12.093&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[93]</w:t>
            </w:r>
            <w:r w:rsidRPr="0092670C">
              <w:rPr>
                <w:rFonts w:ascii="Arial" w:hAnsi="Arial" w:cs="Arial"/>
                <w:sz w:val="18"/>
                <w:szCs w:val="18"/>
              </w:rPr>
              <w:fldChar w:fldCharType="end"/>
            </w:r>
          </w:p>
        </w:tc>
      </w:tr>
      <w:tr w:rsidR="00B26076" w:rsidRPr="0092670C" w14:paraId="03023D7D" w14:textId="77777777" w:rsidTr="00B26076">
        <w:tc>
          <w:tcPr>
            <w:tcW w:w="2132" w:type="dxa"/>
            <w:tcBorders>
              <w:top w:val="nil"/>
              <w:left w:val="nil"/>
              <w:bottom w:val="nil"/>
              <w:right w:val="nil"/>
            </w:tcBorders>
          </w:tcPr>
          <w:p w14:paraId="22B9A1C8" w14:textId="77777777" w:rsidR="003E14AA" w:rsidRPr="0092670C" w:rsidRDefault="003E14AA" w:rsidP="00B9047F">
            <w:pPr>
              <w:rPr>
                <w:rFonts w:ascii="Arial" w:hAnsi="Arial" w:cs="Arial"/>
                <w:sz w:val="18"/>
                <w:szCs w:val="18"/>
              </w:rPr>
            </w:pPr>
            <w:r w:rsidRPr="0092670C">
              <w:rPr>
                <w:rFonts w:ascii="Arial" w:hAnsi="Arial" w:cs="Arial"/>
                <w:sz w:val="18"/>
                <w:szCs w:val="18"/>
              </w:rPr>
              <w:t>Ortho-phenyl-</w:t>
            </w:r>
          </w:p>
          <w:p w14:paraId="46804215" w14:textId="77777777" w:rsidR="003E14AA" w:rsidRPr="0092670C" w:rsidRDefault="003E14AA" w:rsidP="00B9047F">
            <w:pPr>
              <w:rPr>
                <w:rFonts w:ascii="Arial" w:hAnsi="Arial" w:cs="Arial"/>
                <w:sz w:val="18"/>
                <w:szCs w:val="18"/>
              </w:rPr>
            </w:pPr>
            <w:r w:rsidRPr="0092670C">
              <w:rPr>
                <w:rFonts w:ascii="Arial" w:hAnsi="Arial" w:cs="Arial"/>
                <w:sz w:val="18"/>
                <w:szCs w:val="18"/>
              </w:rPr>
              <w:t xml:space="preserve">enedimaleimide </w:t>
            </w:r>
          </w:p>
        </w:tc>
        <w:tc>
          <w:tcPr>
            <w:tcW w:w="4252" w:type="dxa"/>
            <w:tcBorders>
              <w:top w:val="nil"/>
              <w:left w:val="nil"/>
              <w:bottom w:val="nil"/>
              <w:right w:val="nil"/>
            </w:tcBorders>
          </w:tcPr>
          <w:p w14:paraId="417403F5" w14:textId="54CFB423"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3355" w:dyaOrig="2853" w14:anchorId="1BDE423F">
                <v:shape id="_x0000_i1054" type="#_x0000_t75" style="width:132.1pt;height:114.1pt" o:ole="">
                  <v:imagedata r:id="rId91" o:title=""/>
                </v:shape>
                <o:OLEObject Type="Embed" ProgID="ChemDraw.Document.6.0" ShapeID="_x0000_i1054" DrawAspect="Content" ObjectID="_1700733943" r:id="rId92"/>
              </w:object>
            </w:r>
          </w:p>
        </w:tc>
        <w:tc>
          <w:tcPr>
            <w:tcW w:w="993" w:type="dxa"/>
            <w:tcBorders>
              <w:top w:val="nil"/>
              <w:left w:val="nil"/>
              <w:bottom w:val="nil"/>
              <w:right w:val="nil"/>
            </w:tcBorders>
          </w:tcPr>
          <w:p w14:paraId="1AC8B02A" w14:textId="77777777" w:rsidR="003E14AA" w:rsidRPr="0092670C" w:rsidRDefault="003E14AA" w:rsidP="00B9047F">
            <w:pPr>
              <w:rPr>
                <w:rFonts w:ascii="Arial" w:hAnsi="Arial" w:cs="Arial"/>
                <w:sz w:val="18"/>
                <w:szCs w:val="18"/>
              </w:rPr>
            </w:pPr>
            <w:r w:rsidRPr="0092670C">
              <w:rPr>
                <w:rFonts w:ascii="Arial" w:hAnsi="Arial" w:cs="Arial"/>
                <w:sz w:val="18"/>
                <w:szCs w:val="18"/>
              </w:rPr>
              <w:t>268.05</w:t>
            </w:r>
          </w:p>
        </w:tc>
        <w:tc>
          <w:tcPr>
            <w:tcW w:w="1134" w:type="dxa"/>
            <w:tcBorders>
              <w:top w:val="nil"/>
              <w:left w:val="nil"/>
              <w:bottom w:val="nil"/>
              <w:right w:val="nil"/>
            </w:tcBorders>
          </w:tcPr>
          <w:p w14:paraId="201AECCA" w14:textId="77777777" w:rsidR="003E14AA" w:rsidRPr="0092670C" w:rsidRDefault="003E14AA" w:rsidP="00B9047F">
            <w:pPr>
              <w:rPr>
                <w:rFonts w:ascii="Arial" w:hAnsi="Arial" w:cs="Arial"/>
                <w:sz w:val="18"/>
                <w:szCs w:val="18"/>
              </w:rPr>
            </w:pPr>
            <w:r w:rsidRPr="0092670C">
              <w:rPr>
                <w:rFonts w:ascii="Arial" w:hAnsi="Arial" w:cs="Arial"/>
                <w:sz w:val="18"/>
                <w:szCs w:val="18"/>
              </w:rPr>
              <w:t>&gt;300</w:t>
            </w:r>
          </w:p>
        </w:tc>
        <w:tc>
          <w:tcPr>
            <w:tcW w:w="992" w:type="dxa"/>
            <w:tcBorders>
              <w:top w:val="nil"/>
              <w:left w:val="nil"/>
              <w:bottom w:val="nil"/>
              <w:right w:val="nil"/>
            </w:tcBorders>
          </w:tcPr>
          <w:p w14:paraId="43FAB755" w14:textId="42880B9D"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04580954" w14:textId="0EA2BCA8"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406AA000" w14:textId="0DC714D8"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417" w:type="dxa"/>
            <w:tcBorders>
              <w:top w:val="nil"/>
              <w:left w:val="nil"/>
              <w:bottom w:val="nil"/>
              <w:right w:val="nil"/>
            </w:tcBorders>
          </w:tcPr>
          <w:p w14:paraId="5588FA96" w14:textId="77777777" w:rsidR="003E14AA" w:rsidRPr="0092670C" w:rsidRDefault="003E14AA" w:rsidP="00B9047F">
            <w:pPr>
              <w:rPr>
                <w:rFonts w:ascii="Arial" w:hAnsi="Arial" w:cs="Arial"/>
                <w:sz w:val="18"/>
                <w:szCs w:val="18"/>
              </w:rPr>
            </w:pPr>
            <w:r w:rsidRPr="0092670C">
              <w:rPr>
                <w:rFonts w:ascii="Arial" w:hAnsi="Arial" w:cs="Arial"/>
                <w:sz w:val="18"/>
                <w:szCs w:val="18"/>
              </w:rPr>
              <w:t>0.1wt%</w:t>
            </w:r>
          </w:p>
        </w:tc>
      </w:tr>
      <w:tr w:rsidR="00B26076" w:rsidRPr="0092670C" w14:paraId="5D102F8F" w14:textId="77777777" w:rsidTr="00B26076">
        <w:tc>
          <w:tcPr>
            <w:tcW w:w="2132" w:type="dxa"/>
            <w:tcBorders>
              <w:top w:val="nil"/>
              <w:left w:val="nil"/>
              <w:bottom w:val="nil"/>
              <w:right w:val="nil"/>
            </w:tcBorders>
          </w:tcPr>
          <w:p w14:paraId="07FD9498" w14:textId="77777777" w:rsidR="003E14AA" w:rsidRPr="0092670C" w:rsidRDefault="003E14AA" w:rsidP="00B9047F">
            <w:pPr>
              <w:rPr>
                <w:rFonts w:ascii="Arial" w:hAnsi="Arial" w:cs="Arial"/>
                <w:sz w:val="18"/>
                <w:szCs w:val="18"/>
              </w:rPr>
            </w:pPr>
            <w:r w:rsidRPr="0092670C">
              <w:rPr>
                <w:rFonts w:ascii="Arial" w:hAnsi="Arial" w:cs="Arial"/>
                <w:sz w:val="18"/>
                <w:szCs w:val="18"/>
              </w:rPr>
              <w:t>Para-phenyl-</w:t>
            </w:r>
          </w:p>
          <w:p w14:paraId="263A36D5" w14:textId="77777777" w:rsidR="003E14AA" w:rsidRPr="0092670C" w:rsidRDefault="003E14AA" w:rsidP="00B9047F">
            <w:pPr>
              <w:rPr>
                <w:rFonts w:ascii="Arial" w:hAnsi="Arial" w:cs="Arial"/>
                <w:sz w:val="18"/>
                <w:szCs w:val="18"/>
              </w:rPr>
            </w:pPr>
            <w:r w:rsidRPr="0092670C">
              <w:rPr>
                <w:rFonts w:ascii="Arial" w:hAnsi="Arial" w:cs="Arial"/>
                <w:sz w:val="18"/>
                <w:szCs w:val="18"/>
              </w:rPr>
              <w:t xml:space="preserve">enedimaleimide </w:t>
            </w:r>
          </w:p>
        </w:tc>
        <w:tc>
          <w:tcPr>
            <w:tcW w:w="4252" w:type="dxa"/>
            <w:tcBorders>
              <w:top w:val="nil"/>
              <w:left w:val="nil"/>
              <w:bottom w:val="nil"/>
              <w:right w:val="nil"/>
            </w:tcBorders>
          </w:tcPr>
          <w:p w14:paraId="225648E9" w14:textId="03BEEC65"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4334" w:dyaOrig="2352" w14:anchorId="38A023C2">
                <v:shape id="_x0000_i1055" type="#_x0000_t75" style="width:173.9pt;height:96.1pt" o:ole="">
                  <v:imagedata r:id="rId93" o:title=""/>
                </v:shape>
                <o:OLEObject Type="Embed" ProgID="ChemDraw.Document.6.0" ShapeID="_x0000_i1055" DrawAspect="Content" ObjectID="_1700733944" r:id="rId94"/>
              </w:object>
            </w:r>
          </w:p>
        </w:tc>
        <w:tc>
          <w:tcPr>
            <w:tcW w:w="993" w:type="dxa"/>
            <w:tcBorders>
              <w:top w:val="nil"/>
              <w:left w:val="nil"/>
              <w:bottom w:val="nil"/>
              <w:right w:val="nil"/>
            </w:tcBorders>
          </w:tcPr>
          <w:p w14:paraId="6337DE6F" w14:textId="77777777" w:rsidR="003E14AA" w:rsidRPr="0092670C" w:rsidRDefault="003E14AA" w:rsidP="00B9047F">
            <w:pPr>
              <w:rPr>
                <w:rFonts w:ascii="Arial" w:hAnsi="Arial" w:cs="Arial"/>
                <w:sz w:val="18"/>
                <w:szCs w:val="18"/>
              </w:rPr>
            </w:pPr>
            <w:r w:rsidRPr="0092670C">
              <w:rPr>
                <w:rFonts w:ascii="Arial" w:hAnsi="Arial" w:cs="Arial"/>
                <w:sz w:val="18"/>
                <w:szCs w:val="18"/>
              </w:rPr>
              <w:t>268.05</w:t>
            </w:r>
          </w:p>
        </w:tc>
        <w:tc>
          <w:tcPr>
            <w:tcW w:w="1134" w:type="dxa"/>
            <w:tcBorders>
              <w:top w:val="nil"/>
              <w:left w:val="nil"/>
              <w:bottom w:val="nil"/>
              <w:right w:val="nil"/>
            </w:tcBorders>
          </w:tcPr>
          <w:p w14:paraId="715D2AF7" w14:textId="77777777" w:rsidR="003E14AA" w:rsidRPr="0092670C" w:rsidRDefault="003E14AA" w:rsidP="00B9047F">
            <w:pPr>
              <w:rPr>
                <w:rFonts w:ascii="Arial" w:hAnsi="Arial" w:cs="Arial"/>
                <w:sz w:val="18"/>
                <w:szCs w:val="18"/>
              </w:rPr>
            </w:pPr>
            <w:r w:rsidRPr="0092670C">
              <w:rPr>
                <w:rFonts w:ascii="Arial" w:hAnsi="Arial" w:cs="Arial"/>
                <w:sz w:val="18"/>
                <w:szCs w:val="18"/>
              </w:rPr>
              <w:t>&gt;300</w:t>
            </w:r>
          </w:p>
        </w:tc>
        <w:tc>
          <w:tcPr>
            <w:tcW w:w="992" w:type="dxa"/>
            <w:tcBorders>
              <w:top w:val="nil"/>
              <w:left w:val="nil"/>
              <w:bottom w:val="nil"/>
              <w:right w:val="nil"/>
            </w:tcBorders>
          </w:tcPr>
          <w:p w14:paraId="1E4637C6" w14:textId="28BEDE16"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992" w:type="dxa"/>
            <w:tcBorders>
              <w:top w:val="nil"/>
              <w:left w:val="nil"/>
              <w:bottom w:val="nil"/>
              <w:right w:val="nil"/>
            </w:tcBorders>
          </w:tcPr>
          <w:p w14:paraId="06D66C18" w14:textId="54A7F9A7"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6AFD7AEE" w14:textId="0188DFEC"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417" w:type="dxa"/>
            <w:tcBorders>
              <w:top w:val="nil"/>
              <w:left w:val="nil"/>
              <w:bottom w:val="nil"/>
              <w:right w:val="nil"/>
            </w:tcBorders>
          </w:tcPr>
          <w:p w14:paraId="1961EEBB" w14:textId="77777777" w:rsidR="003E14AA" w:rsidRPr="0092670C" w:rsidRDefault="003E14AA" w:rsidP="00B9047F">
            <w:pPr>
              <w:rPr>
                <w:rFonts w:ascii="Arial" w:hAnsi="Arial" w:cs="Arial"/>
                <w:sz w:val="18"/>
                <w:szCs w:val="18"/>
              </w:rPr>
            </w:pPr>
            <w:r w:rsidRPr="0092670C">
              <w:rPr>
                <w:rFonts w:ascii="Arial" w:hAnsi="Arial" w:cs="Arial"/>
                <w:sz w:val="18"/>
                <w:szCs w:val="18"/>
              </w:rPr>
              <w:t>0.1wt%</w:t>
            </w:r>
          </w:p>
        </w:tc>
      </w:tr>
      <w:tr w:rsidR="00B26076" w:rsidRPr="0092670C" w14:paraId="7C266BE5" w14:textId="77777777" w:rsidTr="00B26076">
        <w:tc>
          <w:tcPr>
            <w:tcW w:w="2132" w:type="dxa"/>
            <w:tcBorders>
              <w:top w:val="nil"/>
              <w:left w:val="nil"/>
              <w:bottom w:val="nil"/>
              <w:right w:val="nil"/>
            </w:tcBorders>
          </w:tcPr>
          <w:p w14:paraId="50FD608F" w14:textId="77777777" w:rsidR="003E14AA" w:rsidRPr="0092670C" w:rsidRDefault="003E14AA" w:rsidP="00B9047F">
            <w:pPr>
              <w:rPr>
                <w:rFonts w:ascii="Arial" w:hAnsi="Arial" w:cs="Arial"/>
                <w:sz w:val="18"/>
                <w:szCs w:val="18"/>
              </w:rPr>
            </w:pPr>
            <w:r w:rsidRPr="0092670C">
              <w:rPr>
                <w:rFonts w:ascii="Arial" w:hAnsi="Arial" w:cs="Arial"/>
                <w:sz w:val="18"/>
                <w:szCs w:val="18"/>
              </w:rPr>
              <w:t>Glycolide derivatives</w:t>
            </w:r>
          </w:p>
        </w:tc>
        <w:tc>
          <w:tcPr>
            <w:tcW w:w="4252" w:type="dxa"/>
            <w:tcBorders>
              <w:top w:val="nil"/>
              <w:left w:val="nil"/>
              <w:bottom w:val="nil"/>
              <w:right w:val="nil"/>
            </w:tcBorders>
          </w:tcPr>
          <w:p w14:paraId="236E1F19" w14:textId="77777777" w:rsidR="003E14AA" w:rsidRPr="0092670C" w:rsidRDefault="003E14AA" w:rsidP="00B9047F">
            <w:pPr>
              <w:rPr>
                <w:rFonts w:ascii="Arial" w:hAnsi="Arial" w:cs="Arial"/>
                <w:sz w:val="18"/>
                <w:szCs w:val="18"/>
              </w:rPr>
            </w:pPr>
          </w:p>
        </w:tc>
        <w:tc>
          <w:tcPr>
            <w:tcW w:w="993" w:type="dxa"/>
            <w:tcBorders>
              <w:top w:val="nil"/>
              <w:left w:val="nil"/>
              <w:bottom w:val="nil"/>
              <w:right w:val="nil"/>
            </w:tcBorders>
          </w:tcPr>
          <w:p w14:paraId="52ABD10E" w14:textId="77777777" w:rsidR="003E14AA" w:rsidRPr="0092670C" w:rsidRDefault="003E14AA" w:rsidP="00B9047F">
            <w:pPr>
              <w:rPr>
                <w:rFonts w:ascii="Arial" w:hAnsi="Arial" w:cs="Arial"/>
                <w:sz w:val="18"/>
                <w:szCs w:val="18"/>
              </w:rPr>
            </w:pPr>
          </w:p>
        </w:tc>
        <w:tc>
          <w:tcPr>
            <w:tcW w:w="1134" w:type="dxa"/>
            <w:tcBorders>
              <w:top w:val="nil"/>
              <w:left w:val="nil"/>
              <w:bottom w:val="nil"/>
              <w:right w:val="nil"/>
            </w:tcBorders>
          </w:tcPr>
          <w:p w14:paraId="247FF129"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5B537B06" w14:textId="77777777" w:rsidR="003E14AA" w:rsidRPr="0092670C" w:rsidRDefault="003E14AA" w:rsidP="00B9047F">
            <w:pPr>
              <w:rPr>
                <w:rFonts w:ascii="Arial" w:hAnsi="Arial" w:cs="Arial"/>
                <w:sz w:val="18"/>
                <w:szCs w:val="18"/>
              </w:rPr>
            </w:pPr>
          </w:p>
        </w:tc>
        <w:tc>
          <w:tcPr>
            <w:tcW w:w="992" w:type="dxa"/>
            <w:tcBorders>
              <w:top w:val="nil"/>
              <w:left w:val="nil"/>
              <w:bottom w:val="nil"/>
              <w:right w:val="nil"/>
            </w:tcBorders>
          </w:tcPr>
          <w:p w14:paraId="2CA379CF" w14:textId="77777777" w:rsidR="003E14AA" w:rsidRPr="0092670C" w:rsidRDefault="003E14AA" w:rsidP="00B9047F">
            <w:pPr>
              <w:rPr>
                <w:rFonts w:ascii="Arial" w:hAnsi="Arial" w:cs="Arial"/>
                <w:sz w:val="18"/>
                <w:szCs w:val="18"/>
              </w:rPr>
            </w:pPr>
          </w:p>
        </w:tc>
        <w:tc>
          <w:tcPr>
            <w:tcW w:w="1843" w:type="dxa"/>
            <w:tcBorders>
              <w:top w:val="nil"/>
              <w:left w:val="nil"/>
              <w:bottom w:val="nil"/>
              <w:right w:val="nil"/>
            </w:tcBorders>
          </w:tcPr>
          <w:p w14:paraId="1684D1DE" w14:textId="77777777" w:rsidR="003E14AA" w:rsidRPr="0092670C" w:rsidRDefault="003E14AA" w:rsidP="00B9047F">
            <w:pPr>
              <w:rPr>
                <w:rFonts w:ascii="Arial" w:hAnsi="Arial" w:cs="Arial"/>
                <w:sz w:val="18"/>
                <w:szCs w:val="18"/>
              </w:rPr>
            </w:pPr>
          </w:p>
        </w:tc>
        <w:tc>
          <w:tcPr>
            <w:tcW w:w="1417" w:type="dxa"/>
            <w:tcBorders>
              <w:top w:val="nil"/>
              <w:left w:val="nil"/>
              <w:bottom w:val="nil"/>
              <w:right w:val="nil"/>
            </w:tcBorders>
          </w:tcPr>
          <w:p w14:paraId="0073F90F" w14:textId="77777777" w:rsidR="003E14AA" w:rsidRPr="0092670C" w:rsidRDefault="003E14AA" w:rsidP="00B9047F">
            <w:pPr>
              <w:rPr>
                <w:rFonts w:ascii="Arial" w:hAnsi="Arial" w:cs="Arial"/>
                <w:sz w:val="18"/>
                <w:szCs w:val="18"/>
              </w:rPr>
            </w:pPr>
          </w:p>
        </w:tc>
      </w:tr>
      <w:tr w:rsidR="00B26076" w:rsidRPr="0092670C" w14:paraId="2781D3AE" w14:textId="77777777" w:rsidTr="00B26076">
        <w:tc>
          <w:tcPr>
            <w:tcW w:w="2132" w:type="dxa"/>
            <w:tcBorders>
              <w:top w:val="nil"/>
              <w:left w:val="nil"/>
              <w:bottom w:val="nil"/>
              <w:right w:val="nil"/>
            </w:tcBorders>
          </w:tcPr>
          <w:p w14:paraId="690619EA" w14:textId="77777777" w:rsidR="003E14AA" w:rsidRPr="0092670C" w:rsidRDefault="003E14AA" w:rsidP="00B9047F">
            <w:pPr>
              <w:rPr>
                <w:rFonts w:ascii="Arial" w:hAnsi="Arial" w:cs="Arial"/>
                <w:sz w:val="18"/>
                <w:szCs w:val="18"/>
              </w:rPr>
            </w:pPr>
            <w:r w:rsidRPr="0092670C">
              <w:rPr>
                <w:rFonts w:ascii="Arial" w:hAnsi="Arial" w:cs="Arial"/>
                <w:sz w:val="18"/>
                <w:szCs w:val="18"/>
              </w:rPr>
              <w:t>Glycolide</w:t>
            </w:r>
          </w:p>
        </w:tc>
        <w:tc>
          <w:tcPr>
            <w:tcW w:w="4252" w:type="dxa"/>
            <w:tcBorders>
              <w:top w:val="nil"/>
              <w:left w:val="nil"/>
              <w:bottom w:val="nil"/>
              <w:right w:val="nil"/>
            </w:tcBorders>
          </w:tcPr>
          <w:p w14:paraId="2A1D16C7" w14:textId="5E9FDE9D"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625" w:dyaOrig="1279" w14:anchorId="72889E25">
                <v:shape id="_x0000_i1056" type="#_x0000_t75" style="width:114.1pt;height:60.1pt" o:ole="">
                  <v:imagedata r:id="rId95" o:title=""/>
                </v:shape>
                <o:OLEObject Type="Embed" ProgID="ChemDraw.Document.6.0" ShapeID="_x0000_i1056" DrawAspect="Content" ObjectID="_1700733945" r:id="rId96"/>
              </w:object>
            </w:r>
          </w:p>
        </w:tc>
        <w:tc>
          <w:tcPr>
            <w:tcW w:w="993" w:type="dxa"/>
            <w:tcBorders>
              <w:top w:val="nil"/>
              <w:left w:val="nil"/>
              <w:bottom w:val="nil"/>
              <w:right w:val="nil"/>
            </w:tcBorders>
          </w:tcPr>
          <w:p w14:paraId="38FF91EE" w14:textId="77777777" w:rsidR="003E14AA" w:rsidRPr="0092670C" w:rsidRDefault="003E14AA" w:rsidP="00B9047F">
            <w:pPr>
              <w:rPr>
                <w:rFonts w:ascii="Arial" w:hAnsi="Arial" w:cs="Arial"/>
                <w:sz w:val="18"/>
                <w:szCs w:val="18"/>
              </w:rPr>
            </w:pPr>
            <w:r w:rsidRPr="0092670C">
              <w:rPr>
                <w:rFonts w:ascii="Arial" w:hAnsi="Arial" w:cs="Arial"/>
                <w:sz w:val="18"/>
                <w:szCs w:val="18"/>
              </w:rPr>
              <w:t>116.07</w:t>
            </w:r>
          </w:p>
        </w:tc>
        <w:tc>
          <w:tcPr>
            <w:tcW w:w="1134" w:type="dxa"/>
            <w:tcBorders>
              <w:top w:val="nil"/>
              <w:left w:val="nil"/>
              <w:bottom w:val="nil"/>
              <w:right w:val="nil"/>
            </w:tcBorders>
          </w:tcPr>
          <w:p w14:paraId="3F8E35CC" w14:textId="77777777" w:rsidR="003E14AA" w:rsidRPr="0092670C" w:rsidRDefault="003E14AA" w:rsidP="00B9047F">
            <w:pPr>
              <w:rPr>
                <w:rFonts w:ascii="Arial" w:hAnsi="Arial" w:cs="Arial"/>
                <w:sz w:val="18"/>
                <w:szCs w:val="18"/>
              </w:rPr>
            </w:pPr>
            <w:r w:rsidRPr="0092670C">
              <w:rPr>
                <w:rFonts w:ascii="Arial" w:hAnsi="Arial" w:cs="Arial"/>
                <w:sz w:val="18"/>
                <w:szCs w:val="18"/>
              </w:rPr>
              <w:t>82-86</w:t>
            </w:r>
          </w:p>
        </w:tc>
        <w:tc>
          <w:tcPr>
            <w:tcW w:w="992" w:type="dxa"/>
            <w:tcBorders>
              <w:top w:val="nil"/>
              <w:left w:val="nil"/>
              <w:bottom w:val="nil"/>
              <w:right w:val="nil"/>
            </w:tcBorders>
          </w:tcPr>
          <w:p w14:paraId="4DB2A0E2" w14:textId="77777777" w:rsidR="003E14AA" w:rsidRPr="0092670C" w:rsidRDefault="003E14AA" w:rsidP="00B9047F">
            <w:pPr>
              <w:rPr>
                <w:rFonts w:ascii="Arial" w:hAnsi="Arial" w:cs="Arial"/>
                <w:sz w:val="18"/>
                <w:szCs w:val="18"/>
              </w:rPr>
            </w:pPr>
            <w:r w:rsidRPr="0092670C">
              <w:rPr>
                <w:rFonts w:ascii="Arial" w:hAnsi="Arial" w:cs="Arial"/>
                <w:sz w:val="18"/>
                <w:szCs w:val="18"/>
              </w:rPr>
              <w:t>141.55</w:t>
            </w:r>
          </w:p>
        </w:tc>
        <w:tc>
          <w:tcPr>
            <w:tcW w:w="992" w:type="dxa"/>
            <w:tcBorders>
              <w:top w:val="nil"/>
              <w:left w:val="nil"/>
              <w:bottom w:val="nil"/>
              <w:right w:val="nil"/>
            </w:tcBorders>
          </w:tcPr>
          <w:p w14:paraId="58D2ECC5" w14:textId="30CA0A52"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2ED22645" w14:textId="0FE4811E"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417" w:type="dxa"/>
            <w:tcBorders>
              <w:top w:val="nil"/>
              <w:left w:val="nil"/>
              <w:bottom w:val="nil"/>
              <w:right w:val="nil"/>
            </w:tcBorders>
          </w:tcPr>
          <w:p w14:paraId="4F1303B3" w14:textId="69503FEB" w:rsidR="003E14AA" w:rsidRPr="0092670C" w:rsidRDefault="003E14AA" w:rsidP="00B9047F">
            <w:pPr>
              <w:rPr>
                <w:rFonts w:ascii="Arial" w:hAnsi="Arial" w:cs="Arial"/>
                <w:sz w:val="18"/>
                <w:szCs w:val="18"/>
              </w:rPr>
            </w:pPr>
            <w:r w:rsidRPr="0092670C">
              <w:rPr>
                <w:rFonts w:ascii="Arial" w:hAnsi="Arial" w:cs="Arial"/>
                <w:sz w:val="18"/>
                <w:szCs w:val="18"/>
              </w:rPr>
              <w:t>2%</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&lt;EndNote&gt;&lt;Cite&gt;&lt;Author&gt;Jeon&lt;/Author&gt;&lt;Year&gt;2012&lt;/Year&gt;&lt;RecNum&gt;215&lt;/RecNum&gt;&lt;DisplayText&gt;[96]&lt;/DisplayText&gt;&lt;record&gt;&lt;rec-number&gt;215&lt;/rec-number&gt;&lt;foreign-keys&gt;&lt;key app="EN" db-id="5sa9s0e0r0d9fnexra7pr5xdwd5ztevx95s2" timestamp="1554917246"&gt;215&lt;/key&gt;&lt;/foreign-keys&gt;&lt;ref-type name="Journal Article"&gt;17&lt;/ref-type&gt;&lt;contributors&gt;&lt;authors&gt;&lt;author&gt;Jeon, Jongho&lt;/author&gt;&lt;author&gt;Yoon, Soojin&lt;/author&gt;&lt;author&gt;Park, Taeyoon&lt;/author&gt;&lt;author&gt;Cho, Jeong-Ju&lt;/author&gt;&lt;author&gt;Kang, Sunwoo&lt;/author&gt;&lt;author&gt;Han, Young-Kyu&lt;/author&gt;&lt;author&gt;Lee, Hochun&lt;/author&gt;&lt;/authors&gt;&lt;/contributors&gt;&lt;titles&gt;&lt;title&gt;Tuning glycolide as an SEI-forming additive for thermally robust Li-ion batteries&lt;/title&gt;&lt;/titles&gt;&lt;pages&gt;21003&lt;/pages&gt;&lt;volume&gt;22&lt;/volume&gt;&lt;number&gt;39&lt;/number&gt;&lt;dates&gt;&lt;year&gt;2012&lt;/year&gt;&lt;/dates&gt;&lt;publisher&gt;Royal Society of Chemistry (RSC)&lt;/publisher&gt;&lt;isbn&gt;0959-9428&lt;/isbn&gt;&lt;urls&gt;&lt;related-urls&gt;&lt;url&gt;https://dx.doi.org/10.1039/C2JM34191C&lt;/url&gt;&lt;/related-urls&gt;&lt;pdf-urls&gt;&lt;url&gt;file://C:\Users\danie\Downloads\kopernio\Jeon-2012-Tuning-glycolide-as-an-sei-forming-.pdf&lt;/url&gt;&lt;/pdf-urls&gt;&lt;/urls&gt;&lt;electronic-resource-num&gt;10.1039/c2jm34191c&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[96]</w:t>
            </w:r>
            <w:r w:rsidRPr="0092670C">
              <w:rPr>
                <w:rFonts w:ascii="Arial" w:hAnsi="Arial" w:cs="Arial"/>
                <w:sz w:val="18"/>
                <w:szCs w:val="18"/>
              </w:rPr>
              <w:fldChar w:fldCharType="end"/>
            </w:r>
          </w:p>
        </w:tc>
      </w:tr>
      <w:tr w:rsidR="00B26076" w:rsidRPr="0092670C" w14:paraId="51FA5089" w14:textId="77777777" w:rsidTr="00B26076">
        <w:tc>
          <w:tcPr>
            <w:tcW w:w="2132" w:type="dxa"/>
            <w:tcBorders>
              <w:top w:val="nil"/>
              <w:left w:val="nil"/>
              <w:bottom w:val="nil"/>
              <w:right w:val="nil"/>
            </w:tcBorders>
          </w:tcPr>
          <w:p w14:paraId="3AA27208" w14:textId="77777777" w:rsidR="003E14AA" w:rsidRPr="0092670C" w:rsidRDefault="003E14AA" w:rsidP="00B9047F">
            <w:pPr>
              <w:rPr>
                <w:rFonts w:ascii="Arial" w:hAnsi="Arial" w:cs="Arial"/>
                <w:sz w:val="18"/>
                <w:szCs w:val="18"/>
              </w:rPr>
            </w:pPr>
            <w:r w:rsidRPr="0092670C">
              <w:rPr>
                <w:rFonts w:ascii="Arial" w:hAnsi="Arial" w:cs="Arial"/>
                <w:sz w:val="18"/>
                <w:szCs w:val="18"/>
              </w:rPr>
              <w:t>3-methyl glycolide</w:t>
            </w:r>
          </w:p>
        </w:tc>
        <w:tc>
          <w:tcPr>
            <w:tcW w:w="4252" w:type="dxa"/>
            <w:tcBorders>
              <w:top w:val="nil"/>
              <w:left w:val="nil"/>
              <w:bottom w:val="nil"/>
              <w:right w:val="nil"/>
            </w:tcBorders>
          </w:tcPr>
          <w:p w14:paraId="04FD831D" w14:textId="1AC1C375"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625" w:dyaOrig="1711" w14:anchorId="7E27D505">
                <v:shape id="_x0000_i1057" type="#_x0000_t75" style="width:114.1pt;height:1in" o:ole="">
                  <v:imagedata r:id="rId97" o:title=""/>
                </v:shape>
                <o:OLEObject Type="Embed" ProgID="ChemDraw.Document.6.0" ShapeID="_x0000_i1057" DrawAspect="Content" ObjectID="_1700733946" r:id="rId98"/>
              </w:object>
            </w:r>
          </w:p>
        </w:tc>
        <w:tc>
          <w:tcPr>
            <w:tcW w:w="993" w:type="dxa"/>
            <w:tcBorders>
              <w:top w:val="nil"/>
              <w:left w:val="nil"/>
              <w:bottom w:val="nil"/>
              <w:right w:val="nil"/>
            </w:tcBorders>
          </w:tcPr>
          <w:p w14:paraId="0C9B99B9" w14:textId="77777777" w:rsidR="003E14AA" w:rsidRPr="0092670C" w:rsidRDefault="003E14AA" w:rsidP="00B9047F">
            <w:pPr>
              <w:rPr>
                <w:rFonts w:ascii="Arial" w:hAnsi="Arial" w:cs="Arial"/>
                <w:sz w:val="18"/>
                <w:szCs w:val="18"/>
              </w:rPr>
            </w:pPr>
            <w:r w:rsidRPr="0092670C">
              <w:rPr>
                <w:rFonts w:ascii="Arial" w:hAnsi="Arial" w:cs="Arial"/>
                <w:sz w:val="18"/>
                <w:szCs w:val="18"/>
              </w:rPr>
              <w:t>130.03</w:t>
            </w:r>
          </w:p>
        </w:tc>
        <w:tc>
          <w:tcPr>
            <w:tcW w:w="1134" w:type="dxa"/>
            <w:tcBorders>
              <w:top w:val="nil"/>
              <w:left w:val="nil"/>
              <w:bottom w:val="nil"/>
              <w:right w:val="nil"/>
            </w:tcBorders>
          </w:tcPr>
          <w:p w14:paraId="48650BCC" w14:textId="150839CD" w:rsidR="003E14AA" w:rsidRPr="0092670C" w:rsidRDefault="003E14AA" w:rsidP="00B9047F">
            <w:pPr>
              <w:rPr>
                <w:rFonts w:ascii="Arial" w:hAnsi="Arial" w:cs="Arial"/>
                <w:sz w:val="18"/>
                <w:szCs w:val="18"/>
              </w:rPr>
            </w:pPr>
            <w:r w:rsidRPr="0092670C">
              <w:rPr>
                <w:rFonts w:ascii="Arial" w:hAnsi="Arial" w:cs="Arial"/>
                <w:sz w:val="18"/>
                <w:szCs w:val="18"/>
              </w:rPr>
              <w:t xml:space="preserve">61.8 </w:t>
            </w:r>
            <w:r w:rsidRPr="0092670C">
              <w:rPr>
                <w:rFonts w:ascii="Arial" w:hAnsi="Arial" w:cs="Arial"/>
                <w:sz w:val="18"/>
                <w:szCs w:val="18"/>
              </w:rPr>
              <w:fldChar w:fldCharType="begin"/>
            </w:r>
            <w:r w:rsidR="0034337D">
              <w:rPr>
                <w:rFonts w:ascii="Arial" w:hAnsi="Arial" w:cs="Arial"/>
                <w:sz w:val="18"/>
                <w:szCs w:val="18"/>
              </w:rPr>
              <w:instrText xml:space="preserve"> ADDIN EN.CITE &lt;EndNote&gt;&lt;Cite&gt;&lt;Author&gt;Zhong&lt;/Author&gt;&lt;Year&gt;2002&lt;/Year&gt;&lt;RecNum&gt;227&lt;/RecNum&gt;&lt;DisplayText&gt;[116]&lt;/DisplayText&gt;&lt;record&gt;&lt;rec-number&gt;227&lt;/rec-number&gt;&lt;foreign-keys&gt;&lt;key app="EN" db-id="5sa9s0e0r0d9fnexra7pr5xdwd5ztevx95s2" timestamp="1555334740"&gt;227&lt;/key&gt;&lt;/foreign-keys&gt;&lt;ref-type name="Journal Article"&gt;17&lt;/ref-type&gt;&lt;contributors&gt;&lt;authors&gt;&lt;author&gt;Zhong, Zhiyuan&lt;/author&gt;&lt;author&gt;Dijkstra, Pieter J.&lt;/author&gt;&lt;author&gt;Feijen, Jan&lt;/author&gt;&lt;author&gt;Kwon, Young-Min&lt;/author&gt;&lt;author&gt;Bae, You Han&lt;/author&gt;&lt;author&gt;Kim, Sung Wan&lt;/author&gt;&lt;/authors&gt;&lt;/contributors&gt;&lt;titles&gt;&lt;title&gt;Synthesis and aqueous phase behavior of thermoresponsive biodegradable poly(D,L-3-methylglycolide)-block-poly(ethylene glycol)-block-poly(D,L-3-methylglycolide) triblock copolymers&lt;/title&gt;&lt;/titles&gt;&lt;pages&gt;1797-1803&lt;/pages&gt;&lt;volume&gt;203&lt;/volume&gt;&lt;number&gt;12&lt;/number&gt;&lt;dates&gt;&lt;year&gt;2002&lt;/year&gt;&lt;/dates&gt;&lt;publisher&gt;Wiley-Blackwell&lt;/publisher&gt;&lt;isbn&gt;1022-1352&lt;/isbn&gt;&lt;urls&gt;&lt;related-urls&gt;&lt;url&gt;https://dx.doi.org/10.1002/1521-3935(200208)203:12&amp;lt;1797::aid-macp1797&amp;gt;3.0.co;2-a&lt;/url&gt;&lt;/related-urls&gt;&lt;pdf-urls&gt;&lt;url&gt;file://C:\Users\danie\Downloads\kopernio\Zhong-2002-Synthesis-and-aqueous-phase-behavio.pdf&lt;/url&gt;&lt;/pdf-urls&gt;&lt;/urls&gt;&lt;electronic-resource-num&gt;10.1002/1521-3935(200208)203:12&amp;lt;1797::aid-macp1797&amp;gt;3.0.co;2-a&lt;/electronic-resource-num&gt;&lt;/record&gt;&lt;/Cite&gt;&lt;/EndNote&gt;</w:instrText>
            </w:r>
            <w:r w:rsidRPr="0092670C">
              <w:rPr>
                <w:rFonts w:ascii="Arial" w:hAnsi="Arial" w:cs="Arial"/>
                <w:sz w:val="18"/>
                <w:szCs w:val="18"/>
              </w:rPr>
              <w:fldChar w:fldCharType="separate"/>
            </w:r>
            <w:r w:rsidR="0034337D">
              <w:rPr>
                <w:rFonts w:ascii="Arial" w:hAnsi="Arial" w:cs="Arial"/>
                <w:noProof/>
                <w:sz w:val="18"/>
                <w:szCs w:val="18"/>
              </w:rPr>
              <w:t>[116]</w:t>
            </w:r>
            <w:r w:rsidRPr="0092670C">
              <w:rPr>
                <w:rFonts w:ascii="Arial" w:hAnsi="Arial" w:cs="Arial"/>
                <w:sz w:val="18"/>
                <w:szCs w:val="18"/>
              </w:rPr>
              <w:fldChar w:fldCharType="end"/>
            </w:r>
          </w:p>
        </w:tc>
        <w:tc>
          <w:tcPr>
            <w:tcW w:w="992" w:type="dxa"/>
            <w:tcBorders>
              <w:top w:val="nil"/>
              <w:left w:val="nil"/>
              <w:bottom w:val="nil"/>
              <w:right w:val="nil"/>
            </w:tcBorders>
          </w:tcPr>
          <w:p w14:paraId="678276C9" w14:textId="77777777" w:rsidR="003E14AA" w:rsidRPr="0092670C" w:rsidRDefault="003E14AA" w:rsidP="00B9047F">
            <w:pPr>
              <w:rPr>
                <w:rFonts w:ascii="Arial" w:hAnsi="Arial" w:cs="Arial"/>
                <w:sz w:val="18"/>
                <w:szCs w:val="18"/>
              </w:rPr>
            </w:pPr>
            <w:r w:rsidRPr="0092670C">
              <w:rPr>
                <w:rFonts w:ascii="Arial" w:hAnsi="Arial" w:cs="Arial"/>
                <w:sz w:val="18"/>
                <w:szCs w:val="18"/>
              </w:rPr>
              <w:t>159.76</w:t>
            </w:r>
          </w:p>
        </w:tc>
        <w:tc>
          <w:tcPr>
            <w:tcW w:w="992" w:type="dxa"/>
            <w:tcBorders>
              <w:top w:val="nil"/>
              <w:left w:val="nil"/>
              <w:bottom w:val="nil"/>
              <w:right w:val="nil"/>
            </w:tcBorders>
          </w:tcPr>
          <w:p w14:paraId="1313E985" w14:textId="485EAF7B"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nil"/>
              <w:right w:val="nil"/>
            </w:tcBorders>
          </w:tcPr>
          <w:p w14:paraId="7DF24763" w14:textId="55C50259"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417" w:type="dxa"/>
            <w:tcBorders>
              <w:top w:val="nil"/>
              <w:left w:val="nil"/>
              <w:bottom w:val="nil"/>
              <w:right w:val="nil"/>
            </w:tcBorders>
          </w:tcPr>
          <w:p w14:paraId="52A9AA62" w14:textId="77777777" w:rsidR="003E14AA" w:rsidRPr="0092670C" w:rsidRDefault="003E14AA" w:rsidP="00B9047F">
            <w:pPr>
              <w:rPr>
                <w:rFonts w:ascii="Arial" w:hAnsi="Arial" w:cs="Arial"/>
                <w:sz w:val="18"/>
                <w:szCs w:val="18"/>
              </w:rPr>
            </w:pPr>
            <w:r w:rsidRPr="0092670C">
              <w:rPr>
                <w:rFonts w:ascii="Arial" w:hAnsi="Arial" w:cs="Arial"/>
                <w:sz w:val="18"/>
                <w:szCs w:val="18"/>
              </w:rPr>
              <w:t>2%</w:t>
            </w:r>
          </w:p>
        </w:tc>
      </w:tr>
      <w:tr w:rsidR="00B26076" w:rsidRPr="0092670C" w14:paraId="541D932E" w14:textId="77777777" w:rsidTr="00B26076">
        <w:tc>
          <w:tcPr>
            <w:tcW w:w="2132" w:type="dxa"/>
            <w:tcBorders>
              <w:top w:val="nil"/>
              <w:left w:val="nil"/>
              <w:bottom w:val="single" w:sz="4" w:space="0" w:color="auto"/>
              <w:right w:val="nil"/>
            </w:tcBorders>
          </w:tcPr>
          <w:p w14:paraId="0AF076EF" w14:textId="77777777" w:rsidR="003E14AA" w:rsidRPr="0092670C" w:rsidRDefault="003E14AA" w:rsidP="00B9047F">
            <w:pPr>
              <w:rPr>
                <w:rFonts w:ascii="Arial" w:hAnsi="Arial" w:cs="Arial"/>
                <w:sz w:val="18"/>
                <w:szCs w:val="18"/>
              </w:rPr>
            </w:pPr>
            <w:r w:rsidRPr="0092670C">
              <w:rPr>
                <w:rFonts w:ascii="Arial" w:hAnsi="Arial" w:cs="Arial"/>
                <w:sz w:val="18"/>
                <w:szCs w:val="18"/>
              </w:rPr>
              <w:t>3,6 dimethyl glycolide (Lactide)</w:t>
            </w:r>
          </w:p>
        </w:tc>
        <w:tc>
          <w:tcPr>
            <w:tcW w:w="4252" w:type="dxa"/>
            <w:tcBorders>
              <w:top w:val="nil"/>
              <w:left w:val="nil"/>
              <w:bottom w:val="single" w:sz="4" w:space="0" w:color="auto"/>
              <w:right w:val="nil"/>
            </w:tcBorders>
          </w:tcPr>
          <w:p w14:paraId="460F5629" w14:textId="3849F8CE" w:rsidR="003E14AA" w:rsidRPr="0092670C" w:rsidRDefault="0067644A" w:rsidP="00B9047F">
            <w:pPr>
              <w:rPr>
                <w:rFonts w:ascii="Arial" w:hAnsi="Arial" w:cs="Arial"/>
                <w:sz w:val="18"/>
                <w:szCs w:val="18"/>
              </w:rPr>
            </w:pPr>
            <w:r w:rsidRPr="0092670C">
              <w:rPr>
                <w:rFonts w:ascii="Arial" w:hAnsi="Arial" w:cs="Arial"/>
                <w:noProof/>
                <w:sz w:val="18"/>
                <w:szCs w:val="18"/>
              </w:rPr>
            </w:r>
            <w:r w:rsidR="0067644A" w:rsidRPr="0092670C">
              <w:rPr>
                <w:rFonts w:ascii="Arial" w:hAnsi="Arial" w:cs="Arial"/>
                <w:noProof/>
                <w:sz w:val="18"/>
                <w:szCs w:val="18"/>
              </w:rPr>
              <w:object w:dxaOrig="2625" w:dyaOrig="2153" w14:anchorId="59240A17">
                <v:shape id="_x0000_i1058" type="#_x0000_t75" style="width:114.1pt;height:96.1pt" o:ole="">
                  <v:imagedata r:id="rId99" o:title=""/>
                </v:shape>
                <o:OLEObject Type="Embed" ProgID="ChemDraw.Document.6.0" ShapeID="_x0000_i1058" DrawAspect="Content" ObjectID="_1700733947" r:id="rId100"/>
              </w:object>
            </w:r>
          </w:p>
        </w:tc>
        <w:tc>
          <w:tcPr>
            <w:tcW w:w="993" w:type="dxa"/>
            <w:tcBorders>
              <w:top w:val="nil"/>
              <w:left w:val="nil"/>
              <w:bottom w:val="single" w:sz="4" w:space="0" w:color="auto"/>
              <w:right w:val="nil"/>
            </w:tcBorders>
          </w:tcPr>
          <w:p w14:paraId="55694A98" w14:textId="77777777" w:rsidR="003E14AA" w:rsidRPr="0092670C" w:rsidRDefault="003E14AA" w:rsidP="00B9047F">
            <w:pPr>
              <w:rPr>
                <w:rFonts w:ascii="Arial" w:hAnsi="Arial" w:cs="Arial"/>
                <w:sz w:val="18"/>
                <w:szCs w:val="18"/>
              </w:rPr>
            </w:pPr>
            <w:r w:rsidRPr="0092670C">
              <w:rPr>
                <w:rFonts w:ascii="Arial" w:hAnsi="Arial" w:cs="Arial"/>
                <w:sz w:val="18"/>
                <w:szCs w:val="18"/>
              </w:rPr>
              <w:t>144.13</w:t>
            </w:r>
          </w:p>
        </w:tc>
        <w:tc>
          <w:tcPr>
            <w:tcW w:w="1134" w:type="dxa"/>
            <w:tcBorders>
              <w:top w:val="nil"/>
              <w:left w:val="nil"/>
              <w:bottom w:val="single" w:sz="4" w:space="0" w:color="auto"/>
              <w:right w:val="nil"/>
            </w:tcBorders>
          </w:tcPr>
          <w:p w14:paraId="435F920B" w14:textId="77777777" w:rsidR="003E14AA" w:rsidRPr="0092670C" w:rsidRDefault="003E14AA" w:rsidP="00B9047F">
            <w:pPr>
              <w:rPr>
                <w:rFonts w:ascii="Arial" w:hAnsi="Arial" w:cs="Arial"/>
                <w:sz w:val="18"/>
                <w:szCs w:val="18"/>
              </w:rPr>
            </w:pPr>
            <w:r w:rsidRPr="0092670C">
              <w:rPr>
                <w:rFonts w:ascii="Arial" w:hAnsi="Arial" w:cs="Arial"/>
                <w:sz w:val="18"/>
                <w:szCs w:val="18"/>
              </w:rPr>
              <w:t>116</w:t>
            </w:r>
          </w:p>
        </w:tc>
        <w:tc>
          <w:tcPr>
            <w:tcW w:w="992" w:type="dxa"/>
            <w:tcBorders>
              <w:top w:val="nil"/>
              <w:left w:val="nil"/>
              <w:bottom w:val="single" w:sz="4" w:space="0" w:color="auto"/>
              <w:right w:val="nil"/>
            </w:tcBorders>
          </w:tcPr>
          <w:p w14:paraId="44728E42" w14:textId="77777777" w:rsidR="003E14AA" w:rsidRPr="0092670C" w:rsidRDefault="003E14AA" w:rsidP="00B9047F">
            <w:pPr>
              <w:rPr>
                <w:rFonts w:ascii="Arial" w:hAnsi="Arial" w:cs="Arial"/>
                <w:sz w:val="18"/>
                <w:szCs w:val="18"/>
              </w:rPr>
            </w:pPr>
            <w:r w:rsidRPr="0092670C">
              <w:rPr>
                <w:rFonts w:ascii="Arial" w:hAnsi="Arial" w:cs="Arial"/>
                <w:sz w:val="18"/>
                <w:szCs w:val="18"/>
              </w:rPr>
              <w:t>177.97</w:t>
            </w:r>
          </w:p>
        </w:tc>
        <w:tc>
          <w:tcPr>
            <w:tcW w:w="992" w:type="dxa"/>
            <w:tcBorders>
              <w:top w:val="nil"/>
              <w:left w:val="nil"/>
              <w:bottom w:val="single" w:sz="4" w:space="0" w:color="auto"/>
              <w:right w:val="nil"/>
            </w:tcBorders>
          </w:tcPr>
          <w:p w14:paraId="79C840C8" w14:textId="75EFB4D6"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843" w:type="dxa"/>
            <w:tcBorders>
              <w:top w:val="nil"/>
              <w:left w:val="nil"/>
              <w:bottom w:val="single" w:sz="4" w:space="0" w:color="auto"/>
              <w:right w:val="nil"/>
            </w:tcBorders>
          </w:tcPr>
          <w:p w14:paraId="126A2B73" w14:textId="6F635E19" w:rsidR="003E14AA" w:rsidRPr="0092670C" w:rsidRDefault="00A943A2" w:rsidP="00B9047F">
            <w:pPr>
              <w:rPr>
                <w:rFonts w:ascii="Arial" w:hAnsi="Arial" w:cs="Arial"/>
                <w:sz w:val="18"/>
                <w:szCs w:val="18"/>
              </w:rPr>
            </w:pPr>
            <w:r w:rsidRPr="0092670C">
              <w:rPr>
                <w:rFonts w:ascii="Arial" w:hAnsi="Arial" w:cs="Arial"/>
                <w:sz w:val="18"/>
                <w:szCs w:val="18"/>
              </w:rPr>
              <w:t>-</w:t>
            </w:r>
          </w:p>
        </w:tc>
        <w:tc>
          <w:tcPr>
            <w:tcW w:w="1417" w:type="dxa"/>
            <w:tcBorders>
              <w:top w:val="nil"/>
              <w:left w:val="nil"/>
              <w:bottom w:val="single" w:sz="4" w:space="0" w:color="auto"/>
              <w:right w:val="nil"/>
            </w:tcBorders>
          </w:tcPr>
          <w:p w14:paraId="0E1198BF" w14:textId="77777777" w:rsidR="003E14AA" w:rsidRPr="0092670C" w:rsidRDefault="003E14AA" w:rsidP="00B9047F">
            <w:pPr>
              <w:rPr>
                <w:rFonts w:ascii="Arial" w:hAnsi="Arial" w:cs="Arial"/>
                <w:sz w:val="18"/>
                <w:szCs w:val="18"/>
              </w:rPr>
            </w:pPr>
            <w:r w:rsidRPr="0092670C">
              <w:rPr>
                <w:rFonts w:ascii="Arial" w:hAnsi="Arial" w:cs="Arial"/>
                <w:sz w:val="18"/>
                <w:szCs w:val="18"/>
              </w:rPr>
              <w:t>2%</w:t>
            </w:r>
          </w:p>
        </w:tc>
      </w:tr>
    </w:tbl>
    <w:p w14:paraId="0DA4239B" w14:textId="77777777" w:rsidR="003E14AA" w:rsidRPr="0092670C" w:rsidRDefault="003E14AA" w:rsidP="003E14AA">
      <w:pPr>
        <w:rPr>
          <w:rFonts w:ascii="Arial" w:hAnsi="Arial" w:cs="Arial"/>
        </w:rPr>
        <w:sectPr w:rsidR="003E14AA" w:rsidRPr="0092670C" w:rsidSect="00493782">
          <w:headerReference w:type="default" r:id="rId101"/>
          <w:footerReference w:type="default" r:id="rId102"/>
          <w:pgSz w:w="16838" w:h="11906" w:orient="landscape"/>
          <w:pgMar w:top="1134" w:right="1134" w:bottom="1134" w:left="2268" w:header="709" w:footer="709" w:gutter="0"/>
          <w:cols w:space="708"/>
          <w:docGrid w:linePitch="360"/>
        </w:sectPr>
      </w:pPr>
    </w:p>
    <w:p w14:paraId="6CF6A741" w14:textId="77777777" w:rsidR="003E14AA" w:rsidRPr="0092670C" w:rsidRDefault="003E14AA" w:rsidP="00F80BDA">
      <w:pPr>
        <w:pStyle w:val="Heading2"/>
        <w:rPr>
          <w:rFonts w:ascii="Arial" w:hAnsi="Arial" w:cs="Arial"/>
        </w:rPr>
      </w:pPr>
      <w:bookmarkStart w:id="57" w:name="_Ref79323178"/>
      <w:bookmarkStart w:id="58" w:name="_Toc82538728"/>
      <w:r w:rsidRPr="0092670C">
        <w:rPr>
          <w:rFonts w:ascii="Arial" w:hAnsi="Arial" w:cs="Arial"/>
        </w:rPr>
        <w:t>Pre-lithiation techniques</w:t>
      </w:r>
      <w:bookmarkEnd w:id="57"/>
      <w:bookmarkEnd w:id="58"/>
    </w:p>
    <w:p w14:paraId="4D7B606C" w14:textId="76477BEB" w:rsidR="003E14AA" w:rsidRPr="0092670C" w:rsidRDefault="003E14AA" w:rsidP="003E14AA">
      <w:pPr>
        <w:spacing w:line="360" w:lineRule="auto"/>
        <w:jc w:val="both"/>
        <w:rPr>
          <w:rFonts w:ascii="Arial" w:hAnsi="Arial" w:cs="Arial"/>
        </w:rPr>
      </w:pPr>
      <w:r w:rsidRPr="0092670C">
        <w:rPr>
          <w:rFonts w:ascii="Arial" w:hAnsi="Arial" w:cs="Arial"/>
        </w:rPr>
        <w:t xml:space="preserve">One way of forming an SEI before cycling is to pre-lithiate the anode. This is where lithium is added to the electrode before cycling, helping to make up for the lithium inventory loss during SEI formation. </w:t>
      </w:r>
      <w:r w:rsidR="00294FBD" w:rsidRPr="0092670C">
        <w:rPr>
          <w:rFonts w:ascii="Arial" w:hAnsi="Arial" w:cs="Arial"/>
        </w:rPr>
        <w:t xml:space="preserve">This process is visualised in </w:t>
      </w:r>
      <w:r w:rsidR="00294FBD" w:rsidRPr="00657B57">
        <w:rPr>
          <w:rFonts w:ascii="Arial" w:hAnsi="Arial" w:cs="Arial"/>
        </w:rPr>
        <w:fldChar w:fldCharType="begin"/>
      </w:r>
      <w:r w:rsidR="00294FBD" w:rsidRPr="00657B57">
        <w:rPr>
          <w:rFonts w:ascii="Arial" w:hAnsi="Arial" w:cs="Arial"/>
        </w:rPr>
        <w:instrText xml:space="preserve"> REF _Ref30625124 \h  \* MERGEFORMAT </w:instrText>
      </w:r>
      <w:r w:rsidR="00294FBD" w:rsidRPr="00657B57">
        <w:rPr>
          <w:rFonts w:ascii="Arial" w:hAnsi="Arial" w:cs="Arial"/>
        </w:rPr>
      </w:r>
      <w:r w:rsidR="00294FBD" w:rsidRPr="00657B57">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18</w:t>
      </w:r>
      <w:r w:rsidR="00294FBD" w:rsidRPr="00657B57">
        <w:rPr>
          <w:rFonts w:ascii="Arial" w:hAnsi="Arial" w:cs="Arial"/>
        </w:rPr>
        <w:fldChar w:fldCharType="end"/>
      </w:r>
      <w:r w:rsidR="00294FBD" w:rsidRPr="0092670C">
        <w:rPr>
          <w:rFonts w:ascii="Arial" w:hAnsi="Arial" w:cs="Arial"/>
        </w:rPr>
        <w:t xml:space="preserve">. </w:t>
      </w:r>
      <w:r w:rsidRPr="0092670C">
        <w:rPr>
          <w:rFonts w:ascii="Arial" w:hAnsi="Arial" w:cs="Arial"/>
        </w:rPr>
        <w:t>Pre-lithiation therefore increases the initial coulombic efficiency of the cell as less lithium is diverted to SEI formation. Pre-lithiating the anode also means that unlithiated cathodes such as V</w:t>
      </w:r>
      <w:r w:rsidRPr="0092670C">
        <w:rPr>
          <w:rFonts w:ascii="Arial" w:hAnsi="Arial" w:cs="Arial"/>
          <w:vertAlign w:val="subscript"/>
        </w:rPr>
        <w:t>2</w:t>
      </w:r>
      <w:r w:rsidRPr="0092670C">
        <w:rPr>
          <w:rFonts w:ascii="Arial" w:hAnsi="Arial" w:cs="Arial"/>
        </w:rPr>
        <w:t>O</w:t>
      </w:r>
      <w:r w:rsidRPr="0092670C">
        <w:rPr>
          <w:rFonts w:ascii="Arial" w:hAnsi="Arial" w:cs="Arial"/>
          <w:vertAlign w:val="subscript"/>
        </w:rPr>
        <w:t>5</w:t>
      </w:r>
      <w:r w:rsidRPr="0092670C">
        <w:rPr>
          <w:rFonts w:ascii="Arial" w:hAnsi="Arial" w:cs="Arial"/>
        </w:rPr>
        <w:t xml:space="preserve"> </w:t>
      </w:r>
      <w:r w:rsidR="00994CC1" w:rsidRPr="0092670C">
        <w:rPr>
          <w:rFonts w:ascii="Arial" w:hAnsi="Arial" w:cs="Arial"/>
        </w:rPr>
        <w:t xml:space="preserve">can be </w:t>
      </w:r>
      <w:r w:rsidR="00B944D3" w:rsidRPr="0092670C">
        <w:rPr>
          <w:rFonts w:ascii="Arial" w:hAnsi="Arial" w:cs="Arial"/>
        </w:rPr>
        <w:t xml:space="preserve">used </w:t>
      </w:r>
      <w:r w:rsidRPr="0092670C">
        <w:rPr>
          <w:rFonts w:ascii="Arial" w:hAnsi="Arial" w:cs="Arial"/>
        </w:rPr>
        <w:t xml:space="preserve">which can have higher capacities than </w:t>
      </w:r>
      <w:r w:rsidR="00B944D3" w:rsidRPr="0092670C">
        <w:rPr>
          <w:rFonts w:ascii="Arial" w:hAnsi="Arial" w:cs="Arial"/>
        </w:rPr>
        <w:t>current cathode materials</w:t>
      </w:r>
      <w:r w:rsidR="00DB5A84">
        <w:rPr>
          <w:rFonts w:ascii="Arial" w:hAnsi="Arial" w:cs="Arial"/>
        </w:rPr>
        <w:t xml:space="preserve">, although these anodes have other </w:t>
      </w:r>
      <w:r w:rsidR="009235FE">
        <w:rPr>
          <w:rFonts w:ascii="Arial" w:hAnsi="Arial" w:cs="Arial"/>
        </w:rPr>
        <w:t>unrelated issues limiting their use</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&lt;EndNote&gt;&lt;Cite&gt;&lt;Author&gt;Lee&lt;/Author&gt;&lt;Year&gt;2016&lt;/Year&gt;&lt;RecNum&gt;314&lt;/RecNum&gt;&lt;DisplayText&gt;[117]&lt;/DisplayText&gt;&lt;record&gt;&lt;rec-number&gt;314&lt;/rec-number&gt;&lt;foreign-keys&gt;&lt;key app="EN" db-id="5sa9s0e0r0d9fnexra7pr5xdwd5ztevx95s2" timestamp="1562069790"&gt;314&lt;/key&gt;&lt;/foreign-keys&gt;&lt;ref-type name="Journal Article"&gt;17&lt;/ref-type&gt;&lt;contributors&gt;&lt;authors&gt;&lt;author&gt;Lee, Jung Han&lt;/author&gt;&lt;author&gt;Kim, Ju-Myung&lt;/author&gt;&lt;author&gt;Kim, Jung-Hwan&lt;/author&gt;&lt;author&gt;Jang, Ye-Ri&lt;/author&gt;&lt;author&gt;Kim, Jeong A&lt;/author&gt;&lt;author&gt;Yeon, Sun-Hwa&lt;/author&gt;&lt;author&gt;Lee, Sang-Young&lt;/author&gt;&lt;/authors&gt;&lt;/contributors&gt;&lt;titles&gt;&lt;title&gt;Toward Ultrahigh-Capacity V2O5 Lithium-Ion Battery Cathodes via One-Pot Synthetic Route from Precursors to Electrode Sheets&lt;/title&gt;&lt;secondary-title&gt;Advanced Materials Interfaces&lt;/secondary-title&gt;&lt;/titles&gt;&lt;periodical&gt;&lt;full-title&gt;Advanced Materials Interfaces&lt;/full-title&gt;&lt;/periodical&gt;&lt;pages&gt;1600173&lt;/pages&gt;&lt;volume&gt;3&lt;/volume&gt;&lt;number&gt;14&lt;/number&gt;&lt;dates&gt;&lt;year&gt;2016&lt;/year&gt;&lt;/dates&gt;&lt;isbn&gt;2196-7350&lt;/isbn&gt;&lt;urls&gt;&lt;related-urls&gt;&lt;url&gt;https://onlinelibrary.wiley.com/doi/abs/10.1002/admi.201600173&lt;/url&gt;&lt;/related-urls&gt;&lt;/urls&gt;&lt;electronic-resource-num&gt;10.1002/admi.201600173&lt;/electronic-resource-num&gt;&lt;/record&gt;&lt;/Cite&gt;&lt;/EndNote&gt;</w:instrText>
      </w:r>
      <w:r w:rsidRPr="0092670C">
        <w:rPr>
          <w:rFonts w:ascii="Arial" w:hAnsi="Arial" w:cs="Arial"/>
        </w:rPr>
        <w:fldChar w:fldCharType="separate"/>
      </w:r>
      <w:r w:rsidR="0034337D">
        <w:rPr>
          <w:rFonts w:ascii="Arial" w:hAnsi="Arial" w:cs="Arial"/>
          <w:noProof/>
        </w:rPr>
        <w:t>[117]</w:t>
      </w:r>
      <w:r w:rsidRPr="0092670C">
        <w:rPr>
          <w:rFonts w:ascii="Arial" w:hAnsi="Arial" w:cs="Arial"/>
        </w:rPr>
        <w:fldChar w:fldCharType="end"/>
      </w:r>
      <w:r w:rsidRPr="0092670C">
        <w:rPr>
          <w:rFonts w:ascii="Arial" w:hAnsi="Arial" w:cs="Arial"/>
        </w:rPr>
        <w:t>.</w:t>
      </w:r>
    </w:p>
    <w:p w14:paraId="45885185" w14:textId="77777777" w:rsidR="00294FBD" w:rsidRPr="0092670C" w:rsidRDefault="00294FBD" w:rsidP="00294FBD">
      <w:pPr>
        <w:keepNext/>
        <w:jc w:val="center"/>
        <w:rPr>
          <w:rFonts w:ascii="Arial" w:hAnsi="Arial" w:cs="Arial"/>
        </w:rPr>
      </w:pPr>
      <w:r w:rsidRPr="0092670C">
        <w:rPr>
          <w:rFonts w:ascii="Arial" w:hAnsi="Arial" w:cs="Arial"/>
          <w:noProof/>
        </w:rPr>
        <w:drawing>
          <wp:inline distT="0" distB="0" distL="0" distR="0" wp14:anchorId="009F58C4" wp14:editId="7C1CFE9D">
            <wp:extent cx="3343275" cy="4249213"/>
            <wp:effectExtent l="0" t="0" r="0" b="0"/>
            <wp:docPr id="7" name="Picture 7" descr="https://www.mdpi.com/batteries/batteries-04-00004/article_deploy/html/images/batteries-04-0000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pi.com/batteries/batteries-04-00004/article_deploy/html/images/batteries-04-00004-g001.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51743" cy="4259976"/>
                    </a:xfrm>
                    <a:prstGeom prst="rect">
                      <a:avLst/>
                    </a:prstGeom>
                    <a:noFill/>
                    <a:ln>
                      <a:noFill/>
                    </a:ln>
                  </pic:spPr>
                </pic:pic>
              </a:graphicData>
            </a:graphic>
          </wp:inline>
        </w:drawing>
      </w:r>
    </w:p>
    <w:p w14:paraId="19AC4352" w14:textId="775C6714" w:rsidR="00294FBD" w:rsidRPr="00B97230" w:rsidRDefault="00294FBD" w:rsidP="00294FBD">
      <w:pPr>
        <w:spacing w:after="200" w:line="240" w:lineRule="auto"/>
        <w:jc w:val="center"/>
        <w:rPr>
          <w:rFonts w:ascii="Arial" w:hAnsi="Arial" w:cs="Arial"/>
          <w:i/>
          <w:iCs/>
          <w:color w:val="44546A" w:themeColor="text2"/>
          <w:sz w:val="20"/>
          <w:szCs w:val="20"/>
        </w:rPr>
      </w:pPr>
      <w:bookmarkStart w:id="59" w:name="_Ref30625124"/>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18</w:t>
      </w:r>
      <w:r w:rsidR="00356A26">
        <w:rPr>
          <w:rFonts w:ascii="Arial" w:hAnsi="Arial" w:cs="Arial"/>
          <w:i/>
          <w:iCs/>
          <w:color w:val="44546A" w:themeColor="text2"/>
          <w:sz w:val="20"/>
          <w:szCs w:val="20"/>
        </w:rPr>
        <w:fldChar w:fldCharType="end"/>
      </w:r>
      <w:bookmarkEnd w:id="59"/>
      <w:r w:rsidRPr="00B97230">
        <w:rPr>
          <w:rFonts w:ascii="Arial" w:hAnsi="Arial" w:cs="Arial"/>
          <w:i/>
          <w:iCs/>
          <w:color w:val="44546A" w:themeColor="text2"/>
          <w:sz w:val="20"/>
          <w:szCs w:val="20"/>
        </w:rPr>
        <w:t xml:space="preserve">: Schematic illustration of (a) active lithium loss (ALL) in the 1st charge/discharge cycle in a lithium ion cell and concepts for reducing the active lithium loss by pre-lithiation, i.e., (b) by pre-lithiation of the negative electrode (−) or (c) by pre-lithiation with help of the positive electrode (+) </w:t>
      </w:r>
      <w:r w:rsidRPr="00B97230">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&lt;EndNote&gt;&lt;Cite&gt;&lt;Author&gt;Holtstiege&lt;/Author&gt;&lt;Year&gt;2018&lt;/Year&gt;&lt;RecNum&gt;147&lt;/RecNum&gt;&lt;DisplayText&gt;[118]&lt;/DisplayText&gt;&lt;record&gt;&lt;rec-number&gt;147&lt;/rec-number&gt;&lt;foreign-keys&gt;&lt;key app="EN" db-id="5sa9s0e0r0d9fnexra7pr5xdwd5ztevx95s2" timestamp="1536589820"&gt;147&lt;/key&gt;&lt;/foreign-keys&gt;&lt;ref-type name="Journal Article"&gt;17&lt;/ref-type&gt;&lt;contributors&gt;&lt;authors&gt;&lt;author&gt;Holtstiege, Florian&lt;/author&gt;&lt;author&gt;Bärmann, Peer&lt;/author&gt;&lt;author&gt;Nölle, Roman&lt;/author&gt;&lt;author&gt;Winter, Martin&lt;/author&gt;&lt;author&gt;Placke, Tobias&lt;/author&gt;&lt;/authors&gt;&lt;/contributors&gt;&lt;titles&gt;&lt;title&gt;Pre-Lithiation Strategies for Rechargeable Energy Storage Technologies: Concepts, Promises and Challenges&lt;/title&gt;&lt;secondary-title&gt;Batteries&lt;/secondary-title&gt;&lt;/titles&gt;&lt;periodical&gt;&lt;full-title&gt;Batteries&lt;/full-title&gt;&lt;/periodical&gt;&lt;pages&gt;4&lt;/pages&gt;&lt;volume&gt;4&lt;/volume&gt;&lt;number&gt;1&lt;/number&gt;&lt;dates&gt;&lt;year&gt;2018&lt;/year&gt;&lt;/dates&gt;&lt;isbn&gt;2313-0105&lt;/isbn&gt;&lt;accession-num&gt;doi:10.3390/batteries4010004&lt;/accession-num&gt;&lt;urls&gt;&lt;related-urls&gt;&lt;url&gt;http://www.mdpi.com/2313-0105/4/1/4&lt;/url&gt;&lt;/related-urls&gt;&lt;/urls&gt;&lt;/record&gt;&lt;/Cite&gt;&lt;/EndNote&gt;</w:instrText>
      </w:r>
      <w:r w:rsidRPr="00B97230">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[118]</w:t>
      </w:r>
      <w:r w:rsidRPr="00B97230">
        <w:rPr>
          <w:rFonts w:ascii="Arial" w:hAnsi="Arial" w:cs="Arial"/>
          <w:i/>
          <w:iCs/>
          <w:color w:val="44546A" w:themeColor="text2"/>
          <w:sz w:val="20"/>
          <w:szCs w:val="20"/>
        </w:rPr>
        <w:fldChar w:fldCharType="end"/>
      </w:r>
      <w:r w:rsidR="00057858" w:rsidRPr="00B97230">
        <w:rPr>
          <w:rFonts w:ascii="Arial" w:hAnsi="Arial" w:cs="Arial"/>
          <w:i/>
          <w:iCs/>
          <w:color w:val="44546A" w:themeColor="text2"/>
          <w:sz w:val="20"/>
          <w:szCs w:val="20"/>
        </w:rPr>
        <w:t>.</w:t>
      </w:r>
    </w:p>
    <w:p w14:paraId="112EFA29" w14:textId="57C55B22" w:rsidR="003E14AA" w:rsidRPr="0092670C" w:rsidRDefault="003E14AA" w:rsidP="003E14AA">
      <w:pPr>
        <w:spacing w:line="360" w:lineRule="auto"/>
        <w:jc w:val="both"/>
        <w:rPr>
          <w:rFonts w:ascii="Arial" w:hAnsi="Arial" w:cs="Arial"/>
        </w:rPr>
      </w:pPr>
      <w:r w:rsidRPr="0092670C">
        <w:rPr>
          <w:rFonts w:ascii="Arial" w:hAnsi="Arial" w:cs="Arial"/>
        </w:rPr>
        <w:t>The cathode can also be pre-lithiated although this is slightly different to the anode pre-lithiation process. The pre-lithiation is typically handled by imbedded particles with Li rich compounds such as Li</w:t>
      </w:r>
      <w:r w:rsidRPr="0092670C">
        <w:rPr>
          <w:rFonts w:ascii="Arial" w:hAnsi="Arial" w:cs="Arial"/>
          <w:vertAlign w:val="subscript"/>
        </w:rPr>
        <w:t>2</w:t>
      </w:r>
      <w:r w:rsidRPr="0092670C">
        <w:rPr>
          <w:rFonts w:ascii="Arial" w:hAnsi="Arial" w:cs="Arial"/>
        </w:rPr>
        <w:t>S and Li</w:t>
      </w:r>
      <w:r w:rsidRPr="0092670C">
        <w:rPr>
          <w:rFonts w:ascii="Arial" w:hAnsi="Arial" w:cs="Arial"/>
          <w:vertAlign w:val="subscript"/>
        </w:rPr>
        <w:t>3</w:t>
      </w:r>
      <w:r w:rsidRPr="0092670C">
        <w:rPr>
          <w:rFonts w:ascii="Arial" w:hAnsi="Arial" w:cs="Arial"/>
        </w:rPr>
        <w:t>N</w:t>
      </w:r>
      <w:r w:rsidR="00807446" w:rsidRPr="0092670C">
        <w:rPr>
          <w:rFonts w:ascii="Arial" w:hAnsi="Arial" w:cs="Arial"/>
        </w:rPr>
        <w:t xml:space="preserve"> </w:t>
      </w:r>
      <w:r w:rsidRPr="0092670C">
        <w:rPr>
          <w:rFonts w:ascii="Arial" w:hAnsi="Arial" w:cs="Arial"/>
        </w:rPr>
        <w:fldChar w:fldCharType="begin">
          <w:fldData xml:space="preserve">PEVuZE5vdGU+PENpdGU+PEF1dGhvcj5TdW48L0F1dGhvcj48WWVhcj4yMDE2PC9ZZWFyPjxSZWNO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PEVuZE5vdGU+PENpdGU+PEF1dGhvcj5TdW48L0F1dGhvcj48WWVhcj4yMDE2PC9ZZWFyPjxSZWNO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[119, 120]</w:t>
      </w:r>
      <w:r w:rsidRPr="0092670C">
        <w:rPr>
          <w:rFonts w:ascii="Arial" w:hAnsi="Arial" w:cs="Arial"/>
        </w:rPr>
        <w:fldChar w:fldCharType="end"/>
      </w:r>
      <w:r w:rsidRPr="0092670C">
        <w:rPr>
          <w:rFonts w:ascii="Arial" w:hAnsi="Arial" w:cs="Arial"/>
        </w:rPr>
        <w:t>. Li</w:t>
      </w:r>
      <w:r w:rsidRPr="0092670C">
        <w:rPr>
          <w:rFonts w:ascii="Arial" w:hAnsi="Arial" w:cs="Arial"/>
          <w:vertAlign w:val="subscript"/>
        </w:rPr>
        <w:t>3</w:t>
      </w:r>
      <w:r w:rsidRPr="0092670C">
        <w:rPr>
          <w:rFonts w:ascii="Arial" w:hAnsi="Arial" w:cs="Arial"/>
        </w:rPr>
        <w:t>N has the highest gravimetric capacity of these additives (≈1400</w:t>
      </w:r>
      <w:r w:rsidR="004D0FA2" w:rsidRPr="0092670C">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but it suffers from a poor electronic conductivity and it reacts with NMP, which is the traditional solvent for cathode production. </w:t>
      </w:r>
      <w:r w:rsidR="001620B2">
        <w:rPr>
          <w:rFonts w:ascii="Arial" w:hAnsi="Arial" w:cs="Arial"/>
        </w:rPr>
        <w:t xml:space="preserve">It also </w:t>
      </w:r>
      <w:r w:rsidR="00AF2B54">
        <w:rPr>
          <w:rFonts w:ascii="Arial" w:hAnsi="Arial" w:cs="Arial"/>
        </w:rPr>
        <w:t xml:space="preserve">created N2 gas which may be an issue for some cell types. </w:t>
      </w:r>
      <w:r w:rsidRPr="0092670C">
        <w:rPr>
          <w:rFonts w:ascii="Arial" w:hAnsi="Arial" w:cs="Arial"/>
        </w:rPr>
        <w:t xml:space="preserve">Sun </w:t>
      </w:r>
      <w:r w:rsidRPr="0092670C">
        <w:rPr>
          <w:rFonts w:ascii="Arial" w:hAnsi="Arial" w:cs="Arial"/>
          <w:i/>
          <w:iCs/>
        </w:rPr>
        <w:t>et al.</w:t>
      </w:r>
      <w:r w:rsidRPr="0092670C">
        <w:rPr>
          <w:rFonts w:ascii="Arial" w:hAnsi="Arial" w:cs="Arial"/>
        </w:rPr>
        <w:t xml:space="preserve"> coated the Li</w:t>
      </w:r>
      <w:r w:rsidRPr="0092670C">
        <w:rPr>
          <w:rFonts w:ascii="Arial" w:hAnsi="Arial" w:cs="Arial"/>
          <w:vertAlign w:val="subscript"/>
        </w:rPr>
        <w:t>3</w:t>
      </w:r>
      <w:r w:rsidRPr="0092670C">
        <w:rPr>
          <w:rFonts w:ascii="Arial" w:hAnsi="Arial" w:cs="Arial"/>
        </w:rPr>
        <w:t>N in a combination of Li</w:t>
      </w:r>
      <w:r w:rsidRPr="0092670C">
        <w:rPr>
          <w:rFonts w:ascii="Arial" w:hAnsi="Arial" w:cs="Arial"/>
          <w:vertAlign w:val="subscript"/>
        </w:rPr>
        <w:t>2</w:t>
      </w:r>
      <w:r w:rsidRPr="0092670C">
        <w:rPr>
          <w:rFonts w:ascii="Arial" w:hAnsi="Arial" w:cs="Arial"/>
        </w:rPr>
        <w:t>O and Li</w:t>
      </w:r>
      <w:r w:rsidRPr="0092670C">
        <w:rPr>
          <w:rFonts w:ascii="Arial" w:hAnsi="Arial" w:cs="Arial"/>
          <w:vertAlign w:val="subscript"/>
        </w:rPr>
        <w:t>2</w:t>
      </w:r>
      <w:r w:rsidRPr="0092670C">
        <w:rPr>
          <w:rFonts w:ascii="Arial" w:hAnsi="Arial" w:cs="Arial"/>
        </w:rPr>
        <w:t>CO</w:t>
      </w:r>
      <w:r w:rsidRPr="0092670C">
        <w:rPr>
          <w:rFonts w:ascii="Arial" w:hAnsi="Arial" w:cs="Arial"/>
          <w:vertAlign w:val="subscript"/>
        </w:rPr>
        <w:t>3</w:t>
      </w:r>
      <w:r w:rsidRPr="0092670C">
        <w:rPr>
          <w:rFonts w:ascii="Arial" w:hAnsi="Arial" w:cs="Arial"/>
        </w:rPr>
        <w:t xml:space="preserve"> to try and overcome some of these issues. The coating allowed for the additive to be used in ambient condition in exchange for a small amount of capacity</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&lt;EndNote&gt;&lt;Cite&gt;&lt;Author&gt;Sun&lt;/Author&gt;&lt;Year&gt;2017&lt;/Year&gt;&lt;RecNum&gt;315&lt;/RecNum&gt;&lt;DisplayText&gt;[121]&lt;/DisplayText&gt;&lt;record&gt;&lt;rec-number&gt;315&lt;/rec-number&gt;&lt;foreign-keys&gt;&lt;key app="EN" db-id="5sa9s0e0r0d9fnexra7pr5xdwd5ztevx95s2" timestamp="1562072507"&gt;315&lt;/key&gt;&lt;/foreign-keys&gt;&lt;ref-type name="Journal Article"&gt;17&lt;/ref-type&gt;&lt;contributors&gt;&lt;authors&gt;&lt;author&gt;Sun, Yongming&lt;/author&gt;&lt;author&gt;Li, Yanbin&lt;/author&gt;&lt;author&gt;Sun, Jie&lt;/author&gt;&lt;author&gt;Li, Yuzhang&lt;/author&gt;&lt;author&gt;Pei, Allen&lt;/author&gt;&lt;author&gt;Cui, Yi&lt;/author&gt;&lt;/authors&gt;&lt;/contributors&gt;&lt;titles&gt;&lt;title&gt;Stabilized Li3N for efficient battery cathode prelithiation&lt;/title&gt;&lt;secondary-title&gt;Energy Storage Materials&lt;/secondary-title&gt;&lt;/titles&gt;&lt;periodical&gt;&lt;full-title&gt;Energy Storage Materials&lt;/full-title&gt;&lt;/periodical&gt;&lt;pages&gt;119-124&lt;/pages&gt;&lt;volume&gt;6&lt;/volume&gt;&lt;keywords&gt;&lt;keyword&gt;LiN&lt;/keyword&gt;&lt;keyword&gt;Cathode prelithiation&lt;/keyword&gt;&lt;keyword&gt;Surface passivation&lt;/keyword&gt;&lt;keyword&gt;Stability&lt;/keyword&gt;&lt;keyword&gt;High capacity&lt;/keyword&gt;&lt;/keywords&gt;&lt;dates&gt;&lt;year&gt;2017&lt;/year&gt;&lt;pub-dates&gt;&lt;date&gt;2017/01/01/&lt;/date&gt;&lt;/pub-dates&gt;&lt;/dates&gt;&lt;isbn&gt;2405-8297&lt;/isbn&gt;&lt;urls&gt;&lt;related-urls&gt;&lt;url&gt;http://www.sciencedirect.com/science/article/pii/S2405829716302379&lt;/url&gt;&lt;/related-urls&gt;&lt;/urls&gt;&lt;electronic-resource-num&gt;https://doi.org/10.1016/j.ensm.2016.10.004&lt;/electronic-resource-num&gt;&lt;/record&gt;&lt;/Cite&gt;&lt;/EndNote&gt;</w:instrText>
      </w:r>
      <w:r w:rsidRPr="0092670C">
        <w:rPr>
          <w:rFonts w:ascii="Arial" w:hAnsi="Arial" w:cs="Arial"/>
        </w:rPr>
        <w:fldChar w:fldCharType="separate"/>
      </w:r>
      <w:r w:rsidR="0034337D">
        <w:rPr>
          <w:rFonts w:ascii="Arial" w:hAnsi="Arial" w:cs="Arial"/>
          <w:noProof/>
        </w:rPr>
        <w:t>[121]</w:t>
      </w:r>
      <w:r w:rsidRPr="0092670C">
        <w:rPr>
          <w:rFonts w:ascii="Arial" w:hAnsi="Arial" w:cs="Arial"/>
        </w:rPr>
        <w:fldChar w:fldCharType="end"/>
      </w:r>
      <w:r w:rsidRPr="0092670C">
        <w:rPr>
          <w:rFonts w:ascii="Arial" w:hAnsi="Arial" w:cs="Arial"/>
        </w:rPr>
        <w:t xml:space="preserve">.  </w:t>
      </w:r>
    </w:p>
    <w:p w14:paraId="523FB216" w14:textId="45631D63" w:rsidR="003E14AA" w:rsidRPr="0092670C" w:rsidRDefault="003E14AA" w:rsidP="003E14AA">
      <w:pPr>
        <w:spacing w:line="360" w:lineRule="auto"/>
        <w:jc w:val="both"/>
        <w:rPr>
          <w:rFonts w:ascii="Arial" w:hAnsi="Arial" w:cs="Arial"/>
        </w:rPr>
      </w:pPr>
      <w:r w:rsidRPr="0092670C">
        <w:rPr>
          <w:rFonts w:ascii="Arial" w:hAnsi="Arial" w:cs="Arial"/>
        </w:rPr>
        <w:t>Ternary metal oxides have also been trialled as cathode additives. Li</w:t>
      </w:r>
      <w:r w:rsidRPr="0092670C">
        <w:rPr>
          <w:rFonts w:ascii="Arial" w:hAnsi="Arial" w:cs="Arial"/>
          <w:vertAlign w:val="subscript"/>
        </w:rPr>
        <w:t>2</w:t>
      </w:r>
      <w:r w:rsidRPr="0092670C">
        <w:rPr>
          <w:rFonts w:ascii="Arial" w:hAnsi="Arial" w:cs="Arial"/>
        </w:rPr>
        <w:t>NiO</w:t>
      </w:r>
      <w:r w:rsidRPr="0092670C">
        <w:rPr>
          <w:rFonts w:ascii="Arial" w:hAnsi="Arial" w:cs="Arial"/>
          <w:vertAlign w:val="subscript"/>
        </w:rPr>
        <w:t>2</w:t>
      </w:r>
      <w:r w:rsidRPr="0092670C">
        <w:rPr>
          <w:rFonts w:ascii="Arial" w:hAnsi="Arial" w:cs="Arial"/>
        </w:rPr>
        <w:t xml:space="preserve"> is one of the materials that has been looked at due to several favourable properties</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&lt;EndNote&gt;&lt;Cite&gt;&lt;Author&gt;Park&lt;/Author&gt;&lt;Year&gt;2013&lt;/Year&gt;&lt;RecNum&gt;319&lt;/RecNum&gt;&lt;DisplayText&gt;[122]&lt;/DisplayText&gt;&lt;record&gt;&lt;rec-number&gt;319&lt;/rec-number&gt;&lt;foreign-keys&gt;&lt;key app="EN" db-id="5sa9s0e0r0d9fnexra7pr5xdwd5ztevx95s2" timestamp="1562157224"&gt;319&lt;/key&gt;&lt;/foreign-keys&gt;&lt;ref-type name="Journal Article"&gt;17&lt;/ref-type&gt;&lt;contributors&gt;&lt;authors&gt;&lt;author&gt;Park, Hosang&lt;/author&gt;&lt;author&gt;Yoon, Taeho&lt;/author&gt;&lt;author&gt;Kim, Young-Ugk&lt;/author&gt;&lt;author&gt;Ryu, Ji Heon&lt;/author&gt;&lt;author&gt;Oh, Seung M.&lt;/author&gt;&lt;/authors&gt;&lt;/contributors&gt;&lt;titles&gt;&lt;title&gt;Li2NiO2 as a sacrificing positive additive for lithium-ion batteries&lt;/title&gt;&lt;secondary-title&gt;Electrochimica Acta&lt;/secondary-title&gt;&lt;/titles&gt;&lt;periodical&gt;&lt;full-title&gt;Electrochimica Acta&lt;/full-title&gt;&lt;/periodical&gt;&lt;pages&gt;591-595&lt;/pages&gt;&lt;volume&gt;108&lt;/volume&gt;&lt;keywords&gt;&lt;keyword&gt;Lithium-ion batteries&lt;/keyword&gt;&lt;keyword&gt;Over-lithiated lithium nickel oxide&lt;/keyword&gt;&lt;keyword&gt;Sacrificing electrodes&lt;/keyword&gt;&lt;keyword&gt;Formation process&lt;/keyword&gt;&lt;keyword&gt;Capacity gain&lt;/keyword&gt;&lt;/keywords&gt;&lt;dates&gt;&lt;year&gt;2013&lt;/year&gt;&lt;pub-dates&gt;&lt;date&gt;2013/10/01/&lt;/date&gt;&lt;/pub-dates&gt;&lt;/dates&gt;&lt;isbn&gt;0013-4686&lt;/isbn&gt;&lt;urls&gt;&lt;related-urls&gt;&lt;url&gt;http://www.sciencedirect.com/science/article/pii/S0013468613012231&lt;/url&gt;&lt;/related-urls&gt;&lt;/urls&gt;&lt;electronic-resource-num&gt;https://doi.org/10.1016/j.electacta.2013.06.117&lt;/electronic-resource-num&gt;&lt;/record&gt;&lt;/Cite&gt;&lt;/EndNote&gt;</w:instrText>
      </w:r>
      <w:r w:rsidRPr="0092670C">
        <w:rPr>
          <w:rFonts w:ascii="Arial" w:hAnsi="Arial" w:cs="Arial"/>
        </w:rPr>
        <w:fldChar w:fldCharType="separate"/>
      </w:r>
      <w:r w:rsidR="0034337D">
        <w:rPr>
          <w:rFonts w:ascii="Arial" w:hAnsi="Arial" w:cs="Arial"/>
          <w:noProof/>
        </w:rPr>
        <w:t>[122]</w:t>
      </w:r>
      <w:r w:rsidRPr="0092670C">
        <w:rPr>
          <w:rFonts w:ascii="Arial" w:hAnsi="Arial" w:cs="Arial"/>
        </w:rPr>
        <w:fldChar w:fldCharType="end"/>
      </w:r>
      <w:r w:rsidRPr="0092670C">
        <w:rPr>
          <w:rFonts w:ascii="Arial" w:hAnsi="Arial" w:cs="Arial"/>
        </w:rPr>
        <w:t>. As well as having a high storage capacity of 340</w:t>
      </w:r>
      <w:r w:rsidR="004D0FA2" w:rsidRPr="0092670C">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it has a reversible capacity of 76</w:t>
      </w:r>
      <w:r w:rsidR="004D0FA2" w:rsidRPr="0092670C">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meaning that it can be used as additional active material, rather than being dead weight.  As little as 5</w:t>
      </w:r>
      <w:r w:rsidR="003F363F">
        <w:rPr>
          <w:rFonts w:ascii="Arial" w:hAnsi="Arial" w:cs="Arial"/>
        </w:rPr>
        <w:t xml:space="preserve"> </w:t>
      </w:r>
      <w:r w:rsidRPr="0092670C">
        <w:rPr>
          <w:rFonts w:ascii="Arial" w:hAnsi="Arial" w:cs="Arial"/>
        </w:rPr>
        <w:t>wt.% has been shown to mitigate Q</w:t>
      </w:r>
      <w:r w:rsidRPr="0092670C">
        <w:rPr>
          <w:rFonts w:ascii="Arial" w:hAnsi="Arial" w:cs="Arial"/>
          <w:vertAlign w:val="subscript"/>
        </w:rPr>
        <w:t>irr</w:t>
      </w:r>
      <w:r w:rsidRPr="0092670C">
        <w:rPr>
          <w:rFonts w:ascii="Arial" w:hAnsi="Arial" w:cs="Arial"/>
        </w:rPr>
        <w:t xml:space="preserve"> in a graphite/CoO</w:t>
      </w:r>
      <w:r w:rsidRPr="0092670C">
        <w:rPr>
          <w:rFonts w:ascii="Arial" w:hAnsi="Arial" w:cs="Arial"/>
          <w:vertAlign w:val="subscript"/>
        </w:rPr>
        <w:t>2</w:t>
      </w:r>
      <w:r w:rsidRPr="0092670C">
        <w:rPr>
          <w:rFonts w:ascii="Arial" w:hAnsi="Arial" w:cs="Arial"/>
        </w:rPr>
        <w:t xml:space="preserve"> cell. Like many other additives Li</w:t>
      </w:r>
      <w:r w:rsidRPr="0092670C">
        <w:rPr>
          <w:rFonts w:ascii="Arial" w:hAnsi="Arial" w:cs="Arial"/>
          <w:vertAlign w:val="subscript"/>
        </w:rPr>
        <w:t>2</w:t>
      </w:r>
      <w:r w:rsidRPr="0092670C">
        <w:rPr>
          <w:rFonts w:ascii="Arial" w:hAnsi="Arial" w:cs="Arial"/>
        </w:rPr>
        <w:t>NiO</w:t>
      </w:r>
      <w:r w:rsidRPr="0092670C">
        <w:rPr>
          <w:rFonts w:ascii="Arial" w:hAnsi="Arial" w:cs="Arial"/>
          <w:vertAlign w:val="subscript"/>
        </w:rPr>
        <w:t>2</w:t>
      </w:r>
      <w:r w:rsidRPr="0092670C">
        <w:rPr>
          <w:rFonts w:ascii="Arial" w:hAnsi="Arial" w:cs="Arial"/>
        </w:rPr>
        <w:t xml:space="preserve"> is sensitive in ambient conditions. Kim &amp; Cho coated it in Al</w:t>
      </w:r>
      <w:r w:rsidRPr="0092670C">
        <w:rPr>
          <w:rFonts w:ascii="Arial" w:hAnsi="Arial" w:cs="Arial"/>
          <w:vertAlign w:val="subscript"/>
        </w:rPr>
        <w:t>2</w:t>
      </w:r>
      <w:r w:rsidRPr="0092670C">
        <w:rPr>
          <w:rFonts w:ascii="Arial" w:hAnsi="Arial" w:cs="Arial"/>
        </w:rPr>
        <w:t>O</w:t>
      </w:r>
      <w:r w:rsidRPr="0092670C">
        <w:rPr>
          <w:rFonts w:ascii="Arial" w:hAnsi="Arial" w:cs="Arial"/>
          <w:vertAlign w:val="subscript"/>
        </w:rPr>
        <w:t>3</w:t>
      </w:r>
      <w:r w:rsidRPr="0092670C">
        <w:rPr>
          <w:rFonts w:ascii="Arial" w:hAnsi="Arial" w:cs="Arial"/>
        </w:rPr>
        <w:t xml:space="preserve"> to stabilise it in air</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&lt;EndNote&gt;&lt;Cite&gt;&lt;Author&gt;Kim&lt;/Author&gt;&lt;Year&gt;2008&lt;/Year&gt;&lt;RecNum&gt;318&lt;/RecNum&gt;&lt;DisplayText&gt;[123]&lt;/DisplayText&gt;&lt;record&gt;&lt;rec-number&gt;318&lt;/rec-number&gt;&lt;foreign-keys&gt;&lt;key app="EN" db-id="5sa9s0e0r0d9fnexra7pr5xdwd5ztevx95s2" timestamp="1562157075"&gt;318&lt;/key&gt;&lt;/foreign-keys&gt;&lt;ref-type name="Journal Article"&gt;17&lt;/ref-type&gt;&lt;contributors&gt;&lt;authors&gt;&lt;author&gt;Kim, Min Gyu&lt;/author&gt;&lt;author&gt;Cho, Jaephil&lt;/author&gt;&lt;/authors&gt;&lt;/contributors&gt;&lt;titles&gt;&lt;title&gt;Air stable Al2O3-coated Li2NiO2 cathode additive as a surplus current consumer in a Li-ion cell&lt;/title&gt;&lt;secondary-title&gt;Journal of Materials Chemistry&lt;/secondary-title&gt;&lt;/titles&gt;&lt;periodical&gt;&lt;full-title&gt;Journal of Materials Chemistry&lt;/full-title&gt;&lt;/periodical&gt;&lt;pages&gt;5880-5887&lt;/pages&gt;&lt;volume&gt;18&lt;/volume&gt;&lt;number&gt;48&lt;/number&gt;&lt;dates&gt;&lt;year&gt;2008&lt;/year&gt;&lt;/dates&gt;&lt;publisher&gt;The Royal Society of Chemistry&lt;/publisher&gt;&lt;isbn&gt;0959-9428&lt;/isbn&gt;&lt;work-type&gt;10.1039/B814161D&lt;/work-type&gt;&lt;urls&gt;&lt;related-urls&gt;&lt;url&gt;http://dx.doi.org/10.1039/B814161D&lt;/url&gt;&lt;/related-urls&gt;&lt;/urls&gt;&lt;electronic-resource-num&gt;10.1039/B814161D&lt;/electronic-resource-num&gt;&lt;/record&gt;&lt;/Cite&gt;&lt;/EndNote&gt;</w:instrText>
      </w:r>
      <w:r w:rsidRPr="0092670C">
        <w:rPr>
          <w:rFonts w:ascii="Arial" w:hAnsi="Arial" w:cs="Arial"/>
        </w:rPr>
        <w:fldChar w:fldCharType="separate"/>
      </w:r>
      <w:r w:rsidR="0034337D">
        <w:rPr>
          <w:rFonts w:ascii="Arial" w:hAnsi="Arial" w:cs="Arial"/>
          <w:noProof/>
        </w:rPr>
        <w:t>[123]</w:t>
      </w:r>
      <w:r w:rsidRPr="0092670C">
        <w:rPr>
          <w:rFonts w:ascii="Arial" w:hAnsi="Arial" w:cs="Arial"/>
        </w:rPr>
        <w:fldChar w:fldCharType="end"/>
      </w:r>
      <w:r w:rsidRPr="0092670C">
        <w:rPr>
          <w:rFonts w:ascii="Arial" w:hAnsi="Arial" w:cs="Arial"/>
        </w:rPr>
        <w:t>.</w:t>
      </w:r>
      <w:r w:rsidR="001D7021" w:rsidRPr="0092670C">
        <w:rPr>
          <w:rFonts w:ascii="Arial" w:hAnsi="Arial" w:cs="Arial"/>
        </w:rPr>
        <w:t xml:space="preserve"> An overview of these pre-lithiation additives capacities are found in </w:t>
      </w:r>
      <w:r w:rsidR="001D7021" w:rsidRPr="0092670C">
        <w:rPr>
          <w:rFonts w:ascii="Arial" w:hAnsi="Arial" w:cs="Arial"/>
        </w:rPr>
        <w:fldChar w:fldCharType="begin"/>
      </w:r>
      <w:r w:rsidR="001D7021" w:rsidRPr="0092670C">
        <w:rPr>
          <w:rFonts w:ascii="Arial" w:hAnsi="Arial" w:cs="Arial"/>
        </w:rPr>
        <w:instrText xml:space="preserve"> REF _Ref30624562 \h  \* MERGEFORMAT </w:instrText>
      </w:r>
      <w:r w:rsidR="001D7021" w:rsidRPr="0092670C">
        <w:rPr>
          <w:rFonts w:ascii="Arial" w:hAnsi="Arial" w:cs="Arial"/>
        </w:rPr>
      </w:r>
      <w:r w:rsidR="001D7021"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19</w:t>
      </w:r>
      <w:r w:rsidR="001D7021" w:rsidRPr="0092670C">
        <w:rPr>
          <w:rFonts w:ascii="Arial" w:hAnsi="Arial" w:cs="Arial"/>
        </w:rPr>
        <w:fldChar w:fldCharType="end"/>
      </w:r>
      <w:r w:rsidR="001D7021" w:rsidRPr="0092670C">
        <w:rPr>
          <w:rFonts w:ascii="Arial" w:hAnsi="Arial" w:cs="Arial"/>
        </w:rPr>
        <w:t>.</w:t>
      </w:r>
    </w:p>
    <w:p w14:paraId="709FE2DC" w14:textId="77777777" w:rsidR="003E14AA" w:rsidRPr="0092670C" w:rsidRDefault="003E14AA" w:rsidP="003E14AA">
      <w:pPr>
        <w:keepNext/>
        <w:spacing w:line="360" w:lineRule="auto"/>
        <w:jc w:val="center"/>
        <w:rPr>
          <w:rFonts w:ascii="Arial" w:hAnsi="Arial" w:cs="Arial"/>
        </w:rPr>
      </w:pPr>
      <w:r w:rsidRPr="0092670C">
        <w:rPr>
          <w:rFonts w:ascii="Arial" w:hAnsi="Arial" w:cs="Arial"/>
          <w:noProof/>
        </w:rPr>
        <w:drawing>
          <wp:inline distT="0" distB="0" distL="0" distR="0" wp14:anchorId="3A3671AE" wp14:editId="55B3E658">
            <wp:extent cx="3457575" cy="2810066"/>
            <wp:effectExtent l="0" t="0" r="0" b="9525"/>
            <wp:docPr id="10" name="Picture 10" descr="https://www.mdpi.com/batteries/batteries-04-00004/article_deploy/html/images/batteries-04-00004-g01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pi.com/batteries/batteries-04-00004/article_deploy/html/images/batteries-04-00004-g013-55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73602" cy="2823092"/>
                    </a:xfrm>
                    <a:prstGeom prst="rect">
                      <a:avLst/>
                    </a:prstGeom>
                    <a:noFill/>
                    <a:ln>
                      <a:noFill/>
                    </a:ln>
                  </pic:spPr>
                </pic:pic>
              </a:graphicData>
            </a:graphic>
          </wp:inline>
        </w:drawing>
      </w:r>
    </w:p>
    <w:p w14:paraId="40CF0F34" w14:textId="2A8202C4" w:rsidR="003E14AA" w:rsidRPr="00B97230" w:rsidRDefault="003E14AA" w:rsidP="003E14AA">
      <w:pPr>
        <w:spacing w:after="200" w:line="240" w:lineRule="auto"/>
        <w:jc w:val="center"/>
        <w:rPr>
          <w:rFonts w:ascii="Arial" w:hAnsi="Arial" w:cs="Arial"/>
          <w:i/>
          <w:iCs/>
          <w:color w:val="44546A" w:themeColor="text2"/>
          <w:sz w:val="20"/>
          <w:szCs w:val="20"/>
        </w:rPr>
      </w:pPr>
      <w:bookmarkStart w:id="60" w:name="_Ref30624562"/>
      <w:r w:rsidRPr="00B97230">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19</w:t>
      </w:r>
      <w:r w:rsidR="00356A26">
        <w:rPr>
          <w:rFonts w:ascii="Arial" w:hAnsi="Arial" w:cs="Arial"/>
          <w:i/>
          <w:iCs/>
          <w:color w:val="44546A" w:themeColor="text2"/>
          <w:sz w:val="20"/>
          <w:szCs w:val="20"/>
        </w:rPr>
        <w:fldChar w:fldCharType="end"/>
      </w:r>
      <w:bookmarkEnd w:id="60"/>
      <w:r w:rsidRPr="00B97230">
        <w:rPr>
          <w:rFonts w:ascii="Arial" w:hAnsi="Arial" w:cs="Arial"/>
          <w:i/>
          <w:iCs/>
          <w:color w:val="44546A" w:themeColor="text2"/>
          <w:sz w:val="20"/>
          <w:szCs w:val="20"/>
        </w:rPr>
        <w:t xml:space="preserve">: </w:t>
      </w:r>
      <w:r w:rsidR="00E31531" w:rsidRPr="00B97230">
        <w:rPr>
          <w:rFonts w:ascii="Arial" w:hAnsi="Arial" w:cs="Arial"/>
          <w:i/>
          <w:iCs/>
          <w:color w:val="44546A" w:themeColor="text2"/>
          <w:sz w:val="20"/>
          <w:szCs w:val="20"/>
        </w:rPr>
        <w:t>C</w:t>
      </w:r>
      <w:r w:rsidRPr="00B97230">
        <w:rPr>
          <w:rFonts w:ascii="Arial" w:hAnsi="Arial" w:cs="Arial"/>
          <w:i/>
          <w:iCs/>
          <w:color w:val="44546A" w:themeColor="text2"/>
          <w:sz w:val="20"/>
          <w:szCs w:val="20"/>
        </w:rPr>
        <w:t xml:space="preserve">apacity of common additives for pre-lithiation </w:t>
      </w:r>
      <w:r w:rsidRPr="00B97230">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&lt;EndNote&gt;&lt;Cite&gt;&lt;Author&gt;Holtstiege&lt;/Author&gt;&lt;Year&gt;2018&lt;/Year&gt;&lt;RecNum&gt;147&lt;/RecNum&gt;&lt;DisplayText&gt;[118]&lt;/DisplayText&gt;&lt;record&gt;&lt;rec-number&gt;147&lt;/rec-number&gt;&lt;foreign-keys&gt;&lt;key app="EN" db-id="5sa9s0e0r0d9fnexra7pr5xdwd5ztevx95s2" timestamp="1536589820"&gt;147&lt;/key&gt;&lt;/foreign-keys&gt;&lt;ref-type name="Journal Article"&gt;17&lt;/ref-type&gt;&lt;contributors&gt;&lt;authors&gt;&lt;author&gt;Holtstiege, Florian&lt;/author&gt;&lt;author&gt;Bärmann, Peer&lt;/author&gt;&lt;author&gt;Nölle, Roman&lt;/author&gt;&lt;author&gt;Winter, Martin&lt;/author&gt;&lt;author&gt;Placke, Tobias&lt;/author&gt;&lt;/authors&gt;&lt;/contributors&gt;&lt;titles&gt;&lt;title&gt;Pre-Lithiation Strategies for Rechargeable Energy Storage Technologies: Concepts, Promises and Challenges&lt;/title&gt;&lt;secondary-title&gt;Batteries&lt;/secondary-title&gt;&lt;/titles&gt;&lt;periodical&gt;&lt;full-title&gt;Batteries&lt;/full-title&gt;&lt;/periodical&gt;&lt;pages&gt;4&lt;/pages&gt;&lt;volume&gt;4&lt;/volume&gt;&lt;number&gt;1&lt;/number&gt;&lt;dates&gt;&lt;year&gt;2018&lt;/year&gt;&lt;/dates&gt;&lt;isbn&gt;2313-0105&lt;/isbn&gt;&lt;accession-num&gt;doi:10.3390/batteries4010004&lt;/accession-num&gt;&lt;urls&gt;&lt;related-urls&gt;&lt;url&gt;http://www.mdpi.com/2313-0105/4/1/4&lt;/url&gt;&lt;/related-urls&gt;&lt;/urls&gt;&lt;/record&gt;&lt;/Cite&gt;&lt;/EndNote&gt;</w:instrText>
      </w:r>
      <w:r w:rsidRPr="00B97230">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[118]</w:t>
      </w:r>
      <w:r w:rsidRPr="00B97230">
        <w:rPr>
          <w:rFonts w:ascii="Arial" w:hAnsi="Arial" w:cs="Arial"/>
          <w:i/>
          <w:iCs/>
          <w:color w:val="44546A" w:themeColor="text2"/>
          <w:sz w:val="20"/>
          <w:szCs w:val="20"/>
        </w:rPr>
        <w:fldChar w:fldCharType="end"/>
      </w:r>
      <w:r w:rsidR="00057858" w:rsidRPr="00B97230">
        <w:rPr>
          <w:rFonts w:ascii="Arial" w:hAnsi="Arial" w:cs="Arial"/>
          <w:i/>
          <w:iCs/>
          <w:color w:val="44546A" w:themeColor="text2"/>
          <w:sz w:val="20"/>
          <w:szCs w:val="20"/>
        </w:rPr>
        <w:t>.</w:t>
      </w:r>
    </w:p>
    <w:p w14:paraId="62870C57" w14:textId="27F1C138" w:rsidR="003E14AA" w:rsidRPr="0092670C" w:rsidRDefault="003E14AA" w:rsidP="003E14AA">
      <w:pPr>
        <w:spacing w:line="360" w:lineRule="auto"/>
        <w:jc w:val="both"/>
        <w:rPr>
          <w:rFonts w:ascii="Arial" w:hAnsi="Arial" w:cs="Arial"/>
        </w:rPr>
      </w:pPr>
      <w:r w:rsidRPr="0092670C">
        <w:rPr>
          <w:rFonts w:ascii="Arial" w:hAnsi="Arial" w:cs="Arial"/>
        </w:rPr>
        <w:t>Cathodes can also be made to have an excess of lithium before cycling. Whilst it isn’t a pre-lithiation technique it is still used to negate the Q</w:t>
      </w:r>
      <w:r w:rsidRPr="0092670C">
        <w:rPr>
          <w:rFonts w:ascii="Arial" w:hAnsi="Arial" w:cs="Arial"/>
          <w:vertAlign w:val="subscript"/>
        </w:rPr>
        <w:t>irr</w:t>
      </w:r>
      <w:r w:rsidRPr="0092670C">
        <w:rPr>
          <w:rFonts w:ascii="Arial" w:hAnsi="Arial" w:cs="Arial"/>
        </w:rPr>
        <w:t xml:space="preserve"> loss and is still worth noting.  Some cathodes can inherently have a higher lithium content than they are able to cycle. Examples of this phenomena are LiNiCoMnO</w:t>
      </w:r>
      <w:r w:rsidRPr="0092670C">
        <w:rPr>
          <w:rFonts w:ascii="Arial" w:hAnsi="Arial" w:cs="Arial"/>
          <w:vertAlign w:val="subscript"/>
        </w:rPr>
        <w:t>2</w:t>
      </w:r>
      <w:r w:rsidRPr="0092670C">
        <w:rPr>
          <w:rFonts w:ascii="Arial" w:hAnsi="Arial" w:cs="Arial"/>
        </w:rPr>
        <w:t xml:space="preserve"> and LiNiCoAlO</w:t>
      </w:r>
      <w:r w:rsidRPr="0092670C">
        <w:rPr>
          <w:rFonts w:ascii="Arial" w:hAnsi="Arial" w:cs="Arial"/>
          <w:vertAlign w:val="subscript"/>
        </w:rPr>
        <w:t>2</w:t>
      </w:r>
      <w:r w:rsidRPr="0092670C">
        <w:rPr>
          <w:rFonts w:ascii="Arial" w:hAnsi="Arial" w:cs="Arial"/>
        </w:rPr>
        <w:t xml:space="preserve"> which can </w:t>
      </w:r>
      <w:r w:rsidR="007756CF" w:rsidRPr="0092670C">
        <w:rPr>
          <w:rFonts w:ascii="Arial" w:hAnsi="Arial" w:cs="Arial"/>
        </w:rPr>
        <w:t>be</w:t>
      </w:r>
      <w:r w:rsidRPr="0092670C">
        <w:rPr>
          <w:rFonts w:ascii="Arial" w:hAnsi="Arial" w:cs="Arial"/>
        </w:rPr>
        <w:t xml:space="preserve"> attributed to irreversible structural changes that limit lithium re-uptake</w:t>
      </w:r>
      <w:r w:rsidR="00807446" w:rsidRPr="0092670C">
        <w:rPr>
          <w:rFonts w:ascii="Arial" w:hAnsi="Arial" w:cs="Arial"/>
        </w:rPr>
        <w:t xml:space="preserve"> </w:t>
      </w:r>
      <w:r w:rsidRPr="0092670C">
        <w:rPr>
          <w:rFonts w:ascii="Arial" w:hAnsi="Arial" w:cs="Arial"/>
        </w:rPr>
        <w:fldChar w:fldCharType="begin">
          <w:fldData xml:space="preserve">PEVuZE5vdGU+PENpdGU+PEF1dGhvcj5LYXNuYXRzY2hlZXc8L0F1dGhvcj48WWVhcj4yMDE2PC9Z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PEVuZE5vdGU+PENpdGU+PEF1dGhvcj5LYXNuYXRzY2hlZXc8L0F1dGhvcj48WWVhcj4yMDE2PC9Z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[124, 125]</w:t>
      </w:r>
      <w:r w:rsidRPr="0092670C">
        <w:rPr>
          <w:rFonts w:ascii="Arial" w:hAnsi="Arial" w:cs="Arial"/>
        </w:rPr>
        <w:fldChar w:fldCharType="end"/>
      </w:r>
      <w:r w:rsidRPr="0092670C">
        <w:rPr>
          <w:rFonts w:ascii="Arial" w:hAnsi="Arial" w:cs="Arial"/>
        </w:rPr>
        <w:t>. Certain cathodes can also be “stuffed” with extra lithium in vacant sites in the crystal lattice. Li</w:t>
      </w:r>
      <w:r w:rsidRPr="0092670C">
        <w:rPr>
          <w:rFonts w:ascii="Arial" w:hAnsi="Arial" w:cs="Arial"/>
          <w:vertAlign w:val="subscript"/>
        </w:rPr>
        <w:t>1+x</w:t>
      </w:r>
      <w:r w:rsidRPr="0092670C">
        <w:rPr>
          <w:rFonts w:ascii="Arial" w:hAnsi="Arial" w:cs="Arial"/>
        </w:rPr>
        <w:t>Mn</w:t>
      </w:r>
      <w:r w:rsidRPr="0092670C">
        <w:rPr>
          <w:rFonts w:ascii="Arial" w:hAnsi="Arial" w:cs="Arial"/>
          <w:vertAlign w:val="subscript"/>
        </w:rPr>
        <w:t>2</w:t>
      </w:r>
      <w:r w:rsidRPr="0092670C">
        <w:rPr>
          <w:rFonts w:ascii="Arial" w:hAnsi="Arial" w:cs="Arial"/>
        </w:rPr>
        <w:t>O</w:t>
      </w:r>
      <w:r w:rsidRPr="0092670C">
        <w:rPr>
          <w:rFonts w:ascii="Arial" w:hAnsi="Arial" w:cs="Arial"/>
          <w:vertAlign w:val="subscript"/>
        </w:rPr>
        <w:t>4</w:t>
      </w:r>
      <w:r w:rsidRPr="0092670C">
        <w:rPr>
          <w:rFonts w:ascii="Arial" w:hAnsi="Arial" w:cs="Arial"/>
        </w:rPr>
        <w:t xml:space="preserve"> is one example where extra Li is added to vacant tetrahedral sites</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&lt;EndNote&gt;&lt;Cite&gt;&lt;Author&gt;Aravindan&lt;/Author&gt;&lt;Year&gt;2016&lt;/Year&gt;&lt;RecNum&gt;322&lt;/RecNum&gt;&lt;DisplayText&gt;[126]&lt;/DisplayText&gt;&lt;record&gt;&lt;rec-number&gt;322&lt;/rec-number&gt;&lt;foreign-keys&gt;&lt;key app="EN" db-id="5sa9s0e0r0d9fnexra7pr5xdwd5ztevx95s2" timestamp="1562173723"&gt;322&lt;/key&gt;&lt;/foreign-keys&gt;&lt;ref-type name="Journal Article"&gt;17&lt;/ref-type&gt;&lt;contributors&gt;&lt;authors&gt;&lt;author&gt;Aravindan, Vanchiappan&lt;/author&gt;&lt;author&gt;Nan, Shen&lt;/author&gt;&lt;author&gt;Keppeler, Miriam&lt;/author&gt;&lt;author&gt;Madhavi, Srinivasan&lt;/author&gt;&lt;/authors&gt;&lt;/contributors&gt;&lt;titles&gt;&lt;title&gt;Pre-lithiated LixMn2O4: A new approach to mitigate the irreversible capacity loss in negative electrodes for Li-ion battery&lt;/title&gt;&lt;secondary-title&gt;Electrochimica Acta&lt;/secondary-title&gt;&lt;/titles&gt;&lt;periodical&gt;&lt;full-title&gt;Electrochimica Acta&lt;/full-title&gt;&lt;/periodical&gt;&lt;pages&gt;225-230&lt;/pages&gt;&lt;volume&gt;208&lt;/volume&gt;&lt;keywords&gt;&lt;keyword&gt;Lithium-ion battery&lt;/keyword&gt;&lt;keyword&gt;anode&lt;/keyword&gt;&lt;keyword&gt;irreversible capacity loss&lt;/keyword&gt;&lt;keyword&gt;pre-lithiation&lt;/keyword&gt;&lt;keyword&gt;full-cell&lt;/keyword&gt;&lt;/keywords&gt;&lt;dates&gt;&lt;year&gt;2016&lt;/year&gt;&lt;pub-dates&gt;&lt;date&gt;2016/08/01/&lt;/date&gt;&lt;/pub-dates&gt;&lt;/dates&gt;&lt;isbn&gt;0013-4686&lt;/isbn&gt;&lt;urls&gt;&lt;related-urls&gt;&lt;url&gt;http://www.sciencedirect.com/science/article/pii/S001346861631088X&lt;/url&gt;&lt;/related-urls&gt;&lt;/urls&gt;&lt;electronic-resource-num&gt;https://doi.org/10.1016/j.electacta.2016.05.035&lt;/electronic-resource-num&gt;&lt;/record&gt;&lt;/Cite&gt;&lt;/EndNote&gt;</w:instrText>
      </w:r>
      <w:r w:rsidRPr="0092670C">
        <w:rPr>
          <w:rFonts w:ascii="Arial" w:hAnsi="Arial" w:cs="Arial"/>
        </w:rPr>
        <w:fldChar w:fldCharType="separate"/>
      </w:r>
      <w:r w:rsidR="0034337D">
        <w:rPr>
          <w:rFonts w:ascii="Arial" w:hAnsi="Arial" w:cs="Arial"/>
          <w:noProof/>
        </w:rPr>
        <w:t>[126]</w:t>
      </w:r>
      <w:r w:rsidRPr="0092670C">
        <w:rPr>
          <w:rFonts w:ascii="Arial" w:hAnsi="Arial" w:cs="Arial"/>
        </w:rPr>
        <w:fldChar w:fldCharType="end"/>
      </w:r>
      <w:r w:rsidRPr="0092670C">
        <w:rPr>
          <w:rFonts w:ascii="Arial" w:hAnsi="Arial" w:cs="Arial"/>
        </w:rPr>
        <w:t>. This excess Li can be extracted at 2.7</w:t>
      </w:r>
      <w:r w:rsidR="003F363F">
        <w:rPr>
          <w:rFonts w:ascii="Arial" w:hAnsi="Arial" w:cs="Arial"/>
        </w:rPr>
        <w:t xml:space="preserve"> </w:t>
      </w:r>
      <w:r w:rsidRPr="0092670C">
        <w:rPr>
          <w:rFonts w:ascii="Arial" w:hAnsi="Arial" w:cs="Arial"/>
        </w:rPr>
        <w:t>V Vs. Li/Li</w:t>
      </w:r>
      <w:r w:rsidRPr="0092670C">
        <w:rPr>
          <w:rFonts w:ascii="Arial" w:hAnsi="Arial" w:cs="Arial"/>
          <w:vertAlign w:val="superscript"/>
        </w:rPr>
        <w:t>+</w:t>
      </w:r>
      <w:r w:rsidRPr="0092670C">
        <w:rPr>
          <w:rFonts w:ascii="Arial" w:hAnsi="Arial" w:cs="Arial"/>
        </w:rPr>
        <w:t>. This is not a suitable voltage for Li ion batteries due to the low energy output and fast capacity fade, but it can be used as the pre-lithiation source. Once the Excess Li has been used to negate the initial lithium inventory loss the cathode can the cycle normally</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&lt;EndNote&gt;&lt;Cite&gt;&lt;Author&gt;Moorhead-Rosenberg&lt;/Author&gt;&lt;Year&gt;2014&lt;/Year&gt;&lt;RecNum&gt;323&lt;/RecNum&gt;&lt;DisplayText&gt;[127]&lt;/DisplayText&gt;&lt;record&gt;&lt;rec-number&gt;323&lt;/rec-number&gt;&lt;foreign-keys&gt;&lt;key app="EN" db-id="5sa9s0e0r0d9fnexra7pr5xdwd5ztevx95s2" timestamp="1562173802"&gt;323&lt;/key&gt;&lt;/foreign-keys&gt;&lt;ref-type name="Journal Article"&gt;17&lt;/ref-type&gt;&lt;contributors&gt;&lt;authors&gt;&lt;author&gt;Moorhead-Rosenberg, Zachary&lt;/author&gt;&lt;author&gt;Allcorn, Eric&lt;/author&gt;&lt;author&gt;Manthiram, Arumugam&lt;/author&gt;&lt;/authors&gt;&lt;/contributors&gt;&lt;titles&gt;&lt;title&gt;In Situ Mitigation of First-Cycle Anode Irreversibility in a New Spinel/FeSb Lithium-Ion Cell Enabled via a Microwave-Assisted Chemical Lithiation Process&lt;/title&gt;&lt;secondary-title&gt;Chemistry of Materials&lt;/secondary-title&gt;&lt;/titles&gt;&lt;periodical&gt;&lt;full-title&gt;Chemistry of Materials&lt;/full-title&gt;&lt;/periodical&gt;&lt;pages&gt;5905-5913&lt;/pages&gt;&lt;volume&gt;26&lt;/volume&gt;&lt;number&gt;20&lt;/number&gt;&lt;dates&gt;&lt;year&gt;2014&lt;/year&gt;&lt;pub-dates&gt;&lt;date&gt;2014/10/28&lt;/date&gt;&lt;/pub-dates&gt;&lt;/dates&gt;&lt;publisher&gt;American Chemical Society&lt;/publisher&gt;&lt;isbn&gt;0897-4756&lt;/isbn&gt;&lt;urls&gt;&lt;related-urls&gt;&lt;url&gt;https://doi.org/10.1021/cm5024426&lt;/url&gt;&lt;/related-urls&gt;&lt;/urls&gt;&lt;electronic-resource-num&gt;10.1021/cm5024426&lt;/electronic-resource-num&gt;&lt;/record&gt;&lt;/Cite&gt;&lt;/EndNote&gt;</w:instrText>
      </w:r>
      <w:r w:rsidRPr="0092670C">
        <w:rPr>
          <w:rFonts w:ascii="Arial" w:hAnsi="Arial" w:cs="Arial"/>
        </w:rPr>
        <w:fldChar w:fldCharType="separate"/>
      </w:r>
      <w:r w:rsidR="0034337D">
        <w:rPr>
          <w:rFonts w:ascii="Arial" w:hAnsi="Arial" w:cs="Arial"/>
          <w:noProof/>
        </w:rPr>
        <w:t>[127]</w:t>
      </w:r>
      <w:r w:rsidRPr="0092670C">
        <w:rPr>
          <w:rFonts w:ascii="Arial" w:hAnsi="Arial" w:cs="Arial"/>
        </w:rPr>
        <w:fldChar w:fldCharType="end"/>
      </w:r>
      <w:r w:rsidRPr="0092670C">
        <w:rPr>
          <w:rFonts w:ascii="Arial" w:hAnsi="Arial" w:cs="Arial"/>
        </w:rPr>
        <w:t xml:space="preserve">. </w:t>
      </w:r>
    </w:p>
    <w:p w14:paraId="71F14643" w14:textId="71A31AE0" w:rsidR="003E14AA" w:rsidRPr="0092670C" w:rsidRDefault="003E14AA" w:rsidP="003E14AA">
      <w:pPr>
        <w:spacing w:line="360" w:lineRule="auto"/>
        <w:jc w:val="both"/>
        <w:rPr>
          <w:rFonts w:ascii="Arial" w:hAnsi="Arial" w:cs="Arial"/>
        </w:rPr>
      </w:pPr>
      <w:r w:rsidRPr="0092670C">
        <w:rPr>
          <w:rFonts w:ascii="Arial" w:hAnsi="Arial" w:cs="Arial"/>
        </w:rPr>
        <w:t>There are several methods for pre-lithiating the anode. Many of these techniques were originally developed for producing lithiated graphite capacitors</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&lt;EndNote&gt;&lt;Cite&gt;&lt;Author&gt;Gourdin&lt;/Author&gt;&lt;Year&gt;2013&lt;/Year&gt;&lt;RecNum&gt;239&lt;/RecNum&gt;&lt;DisplayText&gt;[128]&lt;/DisplayText&gt;&lt;record&gt;&lt;rec-number&gt;239&lt;/rec-number&gt;&lt;foreign-keys&gt;&lt;key app="EN" db-id="5sa9s0e0r0d9fnexra7pr5xdwd5ztevx95s2" timestamp="1557500277"&gt;239&lt;/key&gt;&lt;/foreign-keys&gt;&lt;ref-type name="Journal Article"&gt;17&lt;/ref-type&gt;&lt;contributors&gt;&lt;authors&gt;&lt;author&gt;Gourdin, Gerald&lt;/author&gt;&lt;author&gt;Smith, Patricia H.&lt;/author&gt;&lt;author&gt;Jiang, Thomas&lt;/author&gt;&lt;author&gt;Tran, Thanh N.&lt;/author&gt;&lt;author&gt;Qu, Deyang&lt;/author&gt;&lt;/authors&gt;&lt;/contributors&gt;&lt;titles&gt;&lt;title&gt;Lithiation of amorphous carbon negative electrode for Li ion capacitor&lt;/title&gt;&lt;secondary-title&gt;Journal of Electroanalytical Chemistry&lt;/secondary-title&gt;&lt;/titles&gt;&lt;periodical&gt;&lt;full-title&gt;Journal of Electroanalytical Chemistry&lt;/full-title&gt;&lt;/periodical&gt;&lt;pages&gt;103-112&lt;/pages&gt;&lt;volume&gt;688&lt;/volume&gt;&lt;keywords&gt;&lt;keyword&gt;Asymmetric supercapacitor&lt;/keyword&gt;&lt;keyword&gt;Lithiation&lt;/keyword&gt;&lt;keyword&gt;SEI layer&lt;/keyword&gt;&lt;keyword&gt;Amorphous carbon electrode&lt;/keyword&gt;&lt;/keywords&gt;&lt;dates&gt;&lt;year&gt;2013&lt;/year&gt;&lt;pub-dates&gt;&lt;date&gt;2013/01/01/&lt;/date&gt;&lt;/pub-dates&gt;&lt;/dates&gt;&lt;isbn&gt;1572-6657&lt;/isbn&gt;&lt;urls&gt;&lt;related-urls&gt;&lt;url&gt;http://www.sciencedirect.com/science/article/pii/S1572665712003384&lt;/url&gt;&lt;/related-urls&gt;&lt;/urls&gt;&lt;electronic-resource-num&gt;https://doi.org/10.1016/j.jelechem.2012.08.029&lt;/electronic-resource-num&gt;&lt;/record&gt;&lt;/Cite&gt;&lt;/EndNote&gt;</w:instrText>
      </w:r>
      <w:r w:rsidRPr="0092670C">
        <w:rPr>
          <w:rFonts w:ascii="Arial" w:hAnsi="Arial" w:cs="Arial"/>
        </w:rPr>
        <w:fldChar w:fldCharType="separate"/>
      </w:r>
      <w:r w:rsidR="0034337D">
        <w:rPr>
          <w:rFonts w:ascii="Arial" w:hAnsi="Arial" w:cs="Arial"/>
          <w:noProof/>
        </w:rPr>
        <w:t>[128]</w:t>
      </w:r>
      <w:r w:rsidRPr="0092670C">
        <w:rPr>
          <w:rFonts w:ascii="Arial" w:hAnsi="Arial" w:cs="Arial"/>
        </w:rPr>
        <w:fldChar w:fldCharType="end"/>
      </w:r>
      <w:r w:rsidRPr="0092670C">
        <w:rPr>
          <w:rFonts w:ascii="Arial" w:hAnsi="Arial" w:cs="Arial"/>
        </w:rPr>
        <w:t xml:space="preserve">. </w:t>
      </w:r>
      <w:r w:rsidR="00294FBD" w:rsidRPr="0092670C">
        <w:rPr>
          <w:rFonts w:ascii="Arial" w:hAnsi="Arial" w:cs="Arial"/>
        </w:rPr>
        <w:t xml:space="preserve">A schematic for the commercial pre-lithiation of Li-ion can be seen </w:t>
      </w:r>
      <w:r w:rsidR="00294FBD" w:rsidRPr="003665B0">
        <w:rPr>
          <w:rFonts w:ascii="Arial" w:hAnsi="Arial" w:cs="Arial"/>
        </w:rPr>
        <w:fldChar w:fldCharType="begin"/>
      </w:r>
      <w:r w:rsidR="00294FBD" w:rsidRPr="003665B0">
        <w:rPr>
          <w:rFonts w:ascii="Arial" w:hAnsi="Arial" w:cs="Arial"/>
        </w:rPr>
        <w:instrText xml:space="preserve"> REF _Ref30624847 \h  \* MERGEFORMAT </w:instrText>
      </w:r>
      <w:r w:rsidR="00294FBD" w:rsidRPr="003665B0">
        <w:rPr>
          <w:rFonts w:ascii="Arial" w:hAnsi="Arial" w:cs="Arial"/>
        </w:rPr>
      </w:r>
      <w:r w:rsidR="00294FBD" w:rsidRPr="003665B0">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20</w:t>
      </w:r>
      <w:r w:rsidR="00294FBD" w:rsidRPr="003665B0">
        <w:rPr>
          <w:rFonts w:ascii="Arial" w:hAnsi="Arial" w:cs="Arial"/>
        </w:rPr>
        <w:fldChar w:fldCharType="end"/>
      </w:r>
      <w:r w:rsidR="00294FBD" w:rsidRPr="0092670C">
        <w:rPr>
          <w:rFonts w:ascii="Arial" w:hAnsi="Arial" w:cs="Arial"/>
        </w:rPr>
        <w:t xml:space="preserve">. </w:t>
      </w:r>
      <w:r w:rsidRPr="0092670C">
        <w:rPr>
          <w:rFonts w:ascii="Arial" w:hAnsi="Arial" w:cs="Arial"/>
        </w:rPr>
        <w:t>In comparison to batteries pre-lithiation has a much larger effect on the energy density of capacitors</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&lt;EndNote&gt;&lt;Cite&gt;&lt;Author&gt;Aida&lt;/Author&gt;&lt;Year&gt;2006&lt;/Year&gt;&lt;RecNum&gt;324&lt;/RecNum&gt;&lt;DisplayText&gt;[129]&lt;/DisplayText&gt;&lt;record&gt;&lt;rec-number&gt;324&lt;/rec-number&gt;&lt;foreign-keys&gt;&lt;key app="EN" db-id="5sa9s0e0r0d9fnexra7pr5xdwd5ztevx95s2" timestamp="1562175228"&gt;324&lt;/key&gt;&lt;/foreign-keys&gt;&lt;ref-type name="Journal Article"&gt;17&lt;/ref-type&gt;&lt;contributors&gt;&lt;authors&gt;&lt;author&gt;Aida, Taira&lt;/author&gt;&lt;author&gt;Yamada, Koji&lt;/author&gt;&lt;author&gt;Morita, Masayuki&lt;/author&gt;&lt;/authors&gt;&lt;/contributors&gt;&lt;titles&gt;&lt;title&gt;An Advanced Hybrid Electrochemical Capacitor That Uses a Wide Potential Range at the Positive Electrode&lt;/title&gt;&lt;secondary-title&gt;Electrochemical and Solid-State Letters&lt;/secondary-title&gt;&lt;/titles&gt;&lt;periodical&gt;&lt;full-title&gt;Electrochemical and Solid-State Letters&lt;/full-title&gt;&lt;/periodical&gt;&lt;pages&gt;A534-A536&lt;/pages&gt;&lt;volume&gt;9&lt;/volume&gt;&lt;number&gt;12&lt;/number&gt;&lt;dates&gt;&lt;year&gt;2006&lt;/year&gt;&lt;pub-dates&gt;&lt;date&gt;December 1, 2006&lt;/date&gt;&lt;/pub-dates&gt;&lt;/dates&gt;&lt;urls&gt;&lt;related-urls&gt;&lt;url&gt;http://esl.ecsdl.org/content/9/12/A534.abstract&lt;/url&gt;&lt;/related-urls&gt;&lt;/urls&gt;&lt;electronic-resource-num&gt;10.1149/1.2349495&lt;/electronic-resource-num&gt;&lt;/record&gt;&lt;/Cite&gt;&lt;/EndNote&gt;</w:instrText>
      </w:r>
      <w:r w:rsidRPr="0092670C">
        <w:rPr>
          <w:rFonts w:ascii="Arial" w:hAnsi="Arial" w:cs="Arial"/>
        </w:rPr>
        <w:fldChar w:fldCharType="separate"/>
      </w:r>
      <w:r w:rsidR="0034337D">
        <w:rPr>
          <w:rFonts w:ascii="Arial" w:hAnsi="Arial" w:cs="Arial"/>
          <w:noProof/>
        </w:rPr>
        <w:t>[129]</w:t>
      </w:r>
      <w:r w:rsidRPr="0092670C">
        <w:rPr>
          <w:rFonts w:ascii="Arial" w:hAnsi="Arial" w:cs="Arial"/>
        </w:rPr>
        <w:fldChar w:fldCharType="end"/>
      </w:r>
      <w:r w:rsidRPr="0092670C">
        <w:rPr>
          <w:rFonts w:ascii="Arial" w:hAnsi="Arial" w:cs="Arial"/>
        </w:rPr>
        <w:t>. Capacitor pre-lithiation needs to be closely monitored to ensure that the SEI layer doesn’t become excessively thick</w:t>
      </w:r>
      <w:r w:rsidR="0080744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&lt;EndNote&gt;&lt;Cite&gt;&lt;Author&gt;Zhang&lt;/Author&gt;&lt;Year&gt;2014&lt;/Year&gt;&lt;RecNum&gt;290&lt;/RecNum&gt;&lt;DisplayText&gt;[130]&lt;/DisplayText&gt;&lt;record&gt;&lt;rec-number&gt;290&lt;/rec-number&gt;&lt;foreign-keys&gt;&lt;key app="EN" db-id="5sa9s0e0r0d9fnexra7pr5xdwd5ztevx95s2" timestamp="1559652786"&gt;290&lt;/key&gt;&lt;/foreign-keys&gt;&lt;ref-type name="Journal Article"&gt;17&lt;/ref-type&gt;&lt;contributors&gt;&lt;authors&gt;&lt;author&gt;Zhang, Jin&lt;/author&gt;&lt;author&gt;Shi, Zhiqiang&lt;/author&gt;&lt;author&gt;Wang, Chengyang&lt;/author&gt;&lt;/authors&gt;&lt;/contributors&gt;&lt;titles&gt;&lt;title&gt;Effect of pre-lithiation degrees of mesocarbon microbeads anode on the electrochemical performance of lithium-ion capacitors&lt;/title&gt;&lt;secondary-title&gt;Electrochimica Acta&lt;/secondary-title&gt;&lt;/titles&gt;&lt;periodical&gt;&lt;full-title&gt;Electrochimica Acta&lt;/full-title&gt;&lt;/periodical&gt;&lt;pages&gt;22-28&lt;/pages&gt;&lt;volume&gt;125&lt;/volume&gt;&lt;keywords&gt;&lt;keyword&gt;Li-ion capacitors&lt;/keyword&gt;&lt;keyword&gt;Pre-lithiation degrees&lt;/keyword&gt;&lt;keyword&gt;Phase transition&lt;/keyword&gt;&lt;keyword&gt;Mesocarbon microbeads electrode&lt;/keyword&gt;&lt;keyword&gt;Activated carbon electrode&lt;/keyword&gt;&lt;/keywords&gt;&lt;dates&gt;&lt;year&gt;2014&lt;/year&gt;&lt;pub-dates&gt;&lt;date&gt;2014/04/10/&lt;/date&gt;&lt;/pub-dates&gt;&lt;/dates&gt;&lt;isbn&gt;0013-4686&lt;/isbn&gt;&lt;urls&gt;&lt;related-urls&gt;&lt;url&gt;http://www.sciencedirect.com/science/article/pii/S0013468614001066&lt;/url&gt;&lt;/related-urls&gt;&lt;/urls&gt;&lt;electronic-resource-num&gt;https://doi.org/10.1016/j.electacta.2014.01.040&lt;/electronic-resource-num&gt;&lt;/record&gt;&lt;/Cite&gt;&lt;/EndNote&gt;</w:instrText>
      </w:r>
      <w:r w:rsidRPr="0092670C">
        <w:rPr>
          <w:rFonts w:ascii="Arial" w:hAnsi="Arial" w:cs="Arial"/>
        </w:rPr>
        <w:fldChar w:fldCharType="separate"/>
      </w:r>
      <w:r w:rsidR="0034337D">
        <w:rPr>
          <w:rFonts w:ascii="Arial" w:hAnsi="Arial" w:cs="Arial"/>
          <w:noProof/>
        </w:rPr>
        <w:t>[130]</w:t>
      </w:r>
      <w:r w:rsidRPr="0092670C">
        <w:rPr>
          <w:rFonts w:ascii="Arial" w:hAnsi="Arial" w:cs="Arial"/>
        </w:rPr>
        <w:fldChar w:fldCharType="end"/>
      </w:r>
      <w:r w:rsidRPr="0092670C">
        <w:rPr>
          <w:rFonts w:ascii="Arial" w:hAnsi="Arial" w:cs="Arial"/>
        </w:rPr>
        <w:t>.</w:t>
      </w:r>
      <w:r w:rsidR="00D05A1A">
        <w:rPr>
          <w:rFonts w:ascii="Arial" w:hAnsi="Arial" w:cs="Arial"/>
        </w:rPr>
        <w:t xml:space="preserve"> This keeps the resistance </w:t>
      </w:r>
      <w:r w:rsidR="00F02045">
        <w:rPr>
          <w:rFonts w:ascii="Arial" w:hAnsi="Arial" w:cs="Arial"/>
        </w:rPr>
        <w:t xml:space="preserve">low </w:t>
      </w:r>
      <w:r w:rsidR="00CD47CA">
        <w:rPr>
          <w:rFonts w:ascii="Arial" w:hAnsi="Arial" w:cs="Arial"/>
        </w:rPr>
        <w:t xml:space="preserve">for </w:t>
      </w:r>
      <w:r w:rsidR="00501560">
        <w:rPr>
          <w:rFonts w:ascii="Arial" w:hAnsi="Arial" w:cs="Arial"/>
        </w:rPr>
        <w:t>optimal high rate performance.</w:t>
      </w:r>
    </w:p>
    <w:p w14:paraId="50215E51" w14:textId="3F29FB0C" w:rsidR="003E14AA" w:rsidRPr="0092670C" w:rsidRDefault="003E14AA" w:rsidP="003E14AA">
      <w:pPr>
        <w:spacing w:line="360" w:lineRule="auto"/>
        <w:jc w:val="both"/>
        <w:rPr>
          <w:rFonts w:ascii="Arial" w:hAnsi="Arial" w:cs="Arial"/>
        </w:rPr>
      </w:pPr>
      <w:r w:rsidRPr="0092670C">
        <w:rPr>
          <w:rFonts w:ascii="Arial" w:hAnsi="Arial" w:cs="Arial"/>
        </w:rPr>
        <w:t>The first pre-lithiation experiment</w:t>
      </w:r>
      <w:r w:rsidR="00AB2879" w:rsidRPr="0092670C">
        <w:rPr>
          <w:rFonts w:ascii="Arial" w:hAnsi="Arial" w:cs="Arial"/>
        </w:rPr>
        <w:t xml:space="preserve"> </w:t>
      </w:r>
      <w:r w:rsidRPr="0092670C">
        <w:rPr>
          <w:rFonts w:ascii="Arial" w:hAnsi="Arial" w:cs="Arial"/>
        </w:rPr>
        <w:t xml:space="preserve"> was conducted in 1998 by Scott </w:t>
      </w:r>
      <w:r w:rsidRPr="0092670C">
        <w:rPr>
          <w:rFonts w:ascii="Arial" w:hAnsi="Arial" w:cs="Arial"/>
          <w:i/>
          <w:iCs/>
        </w:rPr>
        <w:t>et al.</w:t>
      </w:r>
      <w:r w:rsidRPr="0092670C">
        <w:rPr>
          <w:rFonts w:ascii="Arial" w:hAnsi="Arial" w:cs="Arial"/>
        </w:rPr>
        <w:t xml:space="preserve"> using n-butyl lithium (n-BuLi), a common alkylating agent</w:t>
      </w:r>
      <w:r w:rsidR="006710C7"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&lt;EndNote&gt;&lt;Cite&gt;&lt;Author&gt;Scott&lt;/Author&gt;&lt;Year&gt;1998&lt;/Year&gt;&lt;RecNum&gt;68&lt;/RecNum&gt;&lt;DisplayText&gt;[131]&lt;/DisplayText&gt;&lt;record&gt;&lt;rec-number&gt;68&lt;/rec-number&gt;&lt;foreign-keys&gt;&lt;key app="EN" db-id="5sa9s0e0r0d9fnexra7pr5xdwd5ztevx95s2" timestamp="1515587475"&gt;68&lt;/key&gt;&lt;/foreign-keys&gt;&lt;ref-type name="Journal Article"&gt;17&lt;/ref-type&gt;&lt;contributors&gt;&lt;authors&gt;&lt;author&gt;Scott, M. G.&lt;/author&gt;&lt;author&gt;Whitehead, A. H.&lt;/author&gt;&lt;author&gt;Owen, J. R.&lt;/author&gt;&lt;/authors&gt;&lt;/contributors&gt;&lt;titles&gt;&lt;title&gt;Chemical Formation of a Solid Electrolyte Interface on the Carbon Electrode of a Li</w:instrText>
      </w:r>
      <w:r w:rsidR="0034337D">
        <w:rPr>
          <w:rFonts w:ascii="Cambria Math" w:hAnsi="Cambria Math" w:cs="Cambria Math"/>
        </w:rPr>
        <w:instrText>‐</w:instrText>
      </w:r>
      <w:r w:rsidR="0034337D">
        <w:rPr>
          <w:rFonts w:ascii="Arial" w:hAnsi="Arial" w:cs="Arial"/>
        </w:rPr>
        <w:instrText>Ion Cell&lt;/title&gt;&lt;secondary-title&gt;Journal of The Electrochemical Society&lt;/secondary-title&gt;&lt;/titles&gt;&lt;periodical&gt;&lt;full-title&gt;Journal of the Electrochemical Society&lt;/full-title&gt;&lt;abbr-1&gt;J. Electrochem. Soc.&lt;/abbr-1&gt;&lt;/periodical&gt;&lt;pages&gt;1506-1510&lt;/pages&gt;&lt;volume&gt;145&lt;/volume&gt;&lt;number&gt;5&lt;/number&gt;&lt;dates&gt;&lt;year&gt;1998&lt;/year&gt;&lt;pub-dates&gt;&lt;date&gt;May 1, 1998&lt;/date&gt;&lt;/pub-dates&gt;&lt;/dates&gt;&lt;urls&gt;&lt;related-urls&gt;&lt;url&gt;http://jes.ecsdl.org/content/145/5/1506.abstract&lt;/url&gt;&lt;/related-urls&gt;&lt;/urls&gt;&lt;electronic-resource-num&gt;10.1149/1.1838511&lt;/electronic-resource-num&gt;&lt;/record&gt;&lt;/Cite&gt;&lt;/EndNote&gt;</w:instrText>
      </w:r>
      <w:r w:rsidRPr="0092670C">
        <w:rPr>
          <w:rFonts w:ascii="Arial" w:hAnsi="Arial" w:cs="Arial"/>
        </w:rPr>
        <w:fldChar w:fldCharType="separate"/>
      </w:r>
      <w:r w:rsidR="0034337D">
        <w:rPr>
          <w:rFonts w:ascii="Arial" w:hAnsi="Arial" w:cs="Arial"/>
          <w:noProof/>
        </w:rPr>
        <w:t>[131]</w:t>
      </w:r>
      <w:r w:rsidRPr="0092670C">
        <w:rPr>
          <w:rFonts w:ascii="Arial" w:hAnsi="Arial" w:cs="Arial"/>
        </w:rPr>
        <w:fldChar w:fldCharType="end"/>
      </w:r>
      <w:r w:rsidRPr="0092670C">
        <w:rPr>
          <w:rFonts w:ascii="Arial" w:hAnsi="Arial" w:cs="Arial"/>
        </w:rPr>
        <w:t>. By treating the anode with BuLi before cycling the Q</w:t>
      </w:r>
      <w:r w:rsidRPr="0092670C">
        <w:rPr>
          <w:rFonts w:ascii="Arial" w:hAnsi="Arial" w:cs="Arial"/>
          <w:vertAlign w:val="subscript"/>
        </w:rPr>
        <w:t>irr</w:t>
      </w:r>
      <w:r w:rsidRPr="0092670C">
        <w:rPr>
          <w:rFonts w:ascii="Arial" w:hAnsi="Arial" w:cs="Arial"/>
        </w:rPr>
        <w:t xml:space="preserve"> of the cell was reduced. They found that the SEI formed was brittle and much thicker than that which is formed electrochemically.  </w:t>
      </w:r>
    </w:p>
    <w:p w14:paraId="2B2C2B82" w14:textId="77777777" w:rsidR="003E14AA" w:rsidRPr="0092670C" w:rsidRDefault="003E14AA" w:rsidP="003E14AA">
      <w:pPr>
        <w:keepNext/>
        <w:spacing w:line="360" w:lineRule="auto"/>
        <w:jc w:val="center"/>
        <w:rPr>
          <w:rFonts w:ascii="Arial" w:hAnsi="Arial" w:cs="Arial"/>
        </w:rPr>
      </w:pPr>
      <w:r w:rsidRPr="0092670C">
        <w:rPr>
          <w:rFonts w:ascii="Arial" w:hAnsi="Arial" w:cs="Arial"/>
          <w:noProof/>
        </w:rPr>
        <w:drawing>
          <wp:inline distT="0" distB="0" distL="0" distR="0" wp14:anchorId="71989868" wp14:editId="061BB0D7">
            <wp:extent cx="3124200" cy="2306228"/>
            <wp:effectExtent l="0" t="0" r="0" b="0"/>
            <wp:docPr id="14" name="Picture 14" descr="https://www.mdpi.com/batteries/batteries-04-00004/article_deploy/html/images/batteries-04-00004-g01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dpi.com/batteries/batteries-04-00004/article_deploy/html/images/batteries-04-00004-g016-55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4063" cy="2320890"/>
                    </a:xfrm>
                    <a:prstGeom prst="rect">
                      <a:avLst/>
                    </a:prstGeom>
                    <a:noFill/>
                    <a:ln>
                      <a:noFill/>
                    </a:ln>
                  </pic:spPr>
                </pic:pic>
              </a:graphicData>
            </a:graphic>
          </wp:inline>
        </w:drawing>
      </w:r>
    </w:p>
    <w:p w14:paraId="588DEB26" w14:textId="0E38E1E6" w:rsidR="003E14AA" w:rsidRPr="006F149E" w:rsidRDefault="003E14AA" w:rsidP="003E14AA">
      <w:pPr>
        <w:spacing w:after="200" w:line="240" w:lineRule="auto"/>
        <w:jc w:val="center"/>
        <w:rPr>
          <w:rFonts w:ascii="Arial" w:hAnsi="Arial" w:cs="Arial"/>
          <w:i/>
          <w:iCs/>
          <w:sz w:val="20"/>
          <w:szCs w:val="20"/>
        </w:rPr>
      </w:pPr>
      <w:bookmarkStart w:id="61" w:name="_Ref30624847"/>
      <w:r w:rsidRPr="006F149E">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20</w:t>
      </w:r>
      <w:r w:rsidR="00356A26">
        <w:rPr>
          <w:rFonts w:ascii="Arial" w:hAnsi="Arial" w:cs="Arial"/>
          <w:i/>
          <w:iCs/>
          <w:color w:val="44546A" w:themeColor="text2"/>
          <w:sz w:val="20"/>
          <w:szCs w:val="20"/>
        </w:rPr>
        <w:fldChar w:fldCharType="end"/>
      </w:r>
      <w:bookmarkEnd w:id="61"/>
      <w:r w:rsidRPr="006F149E">
        <w:rPr>
          <w:rFonts w:ascii="Arial" w:hAnsi="Arial" w:cs="Arial"/>
          <w:i/>
          <w:iCs/>
          <w:color w:val="44546A" w:themeColor="text2"/>
          <w:sz w:val="20"/>
          <w:szCs w:val="20"/>
        </w:rPr>
        <w:t xml:space="preserve">: </w:t>
      </w:r>
      <w:r w:rsidR="00E31531" w:rsidRPr="006F149E">
        <w:rPr>
          <w:rFonts w:ascii="Arial" w:hAnsi="Arial" w:cs="Arial"/>
          <w:i/>
          <w:iCs/>
          <w:color w:val="44546A" w:themeColor="text2"/>
          <w:sz w:val="20"/>
          <w:szCs w:val="20"/>
        </w:rPr>
        <w:t>F</w:t>
      </w:r>
      <w:r w:rsidRPr="006F149E">
        <w:rPr>
          <w:rFonts w:ascii="Arial" w:hAnsi="Arial" w:cs="Arial"/>
          <w:i/>
          <w:iCs/>
          <w:color w:val="44546A" w:themeColor="text2"/>
          <w:sz w:val="20"/>
          <w:szCs w:val="20"/>
        </w:rPr>
        <w:t>abrication scheme for commercial Li-ion capacitors</w:t>
      </w:r>
      <w:r w:rsidR="003E44F5" w:rsidRPr="006F149E">
        <w:rPr>
          <w:rFonts w:ascii="Arial" w:hAnsi="Arial" w:cs="Arial"/>
          <w:i/>
          <w:iCs/>
          <w:color w:val="44546A" w:themeColor="text2"/>
          <w:sz w:val="20"/>
          <w:szCs w:val="20"/>
        </w:rPr>
        <w:t xml:space="preserve"> </w:t>
      </w:r>
      <w:r w:rsidR="00AB332A" w:rsidRPr="006F149E">
        <w:rPr>
          <w:rFonts w:ascii="Arial" w:hAnsi="Arial" w:cs="Arial"/>
          <w:i/>
          <w:iCs/>
          <w:color w:val="44546A" w:themeColor="text2"/>
          <w:sz w:val="20"/>
          <w:szCs w:val="20"/>
        </w:rPr>
        <w:t>with por</w:t>
      </w:r>
      <w:r w:rsidR="002C681D" w:rsidRPr="006F149E">
        <w:rPr>
          <w:rFonts w:ascii="Arial" w:hAnsi="Arial" w:cs="Arial"/>
          <w:i/>
          <w:iCs/>
          <w:color w:val="44546A" w:themeColor="text2"/>
          <w:sz w:val="20"/>
          <w:szCs w:val="20"/>
        </w:rPr>
        <w:t xml:space="preserve">ous electrodes </w:t>
      </w:r>
      <w:r w:rsidR="00F0053E" w:rsidRPr="006F149E">
        <w:rPr>
          <w:rFonts w:ascii="Arial" w:hAnsi="Arial" w:cs="Arial"/>
          <w:i/>
          <w:iCs/>
          <w:color w:val="44546A" w:themeColor="text2"/>
          <w:sz w:val="20"/>
          <w:szCs w:val="20"/>
        </w:rPr>
        <w:t>allowing Li</w:t>
      </w:r>
      <w:r w:rsidR="007A3B1D" w:rsidRPr="006F149E">
        <w:rPr>
          <w:rFonts w:ascii="Arial" w:hAnsi="Arial" w:cs="Arial"/>
          <w:i/>
          <w:iCs/>
          <w:color w:val="44546A" w:themeColor="text2"/>
          <w:sz w:val="20"/>
          <w:szCs w:val="20"/>
        </w:rPr>
        <w:t xml:space="preserve"> to migrate through the entire </w:t>
      </w:r>
      <w:r w:rsidR="00AB368F" w:rsidRPr="006F149E">
        <w:rPr>
          <w:rFonts w:ascii="Arial" w:hAnsi="Arial" w:cs="Arial"/>
          <w:i/>
          <w:iCs/>
          <w:color w:val="44546A" w:themeColor="text2"/>
          <w:sz w:val="20"/>
          <w:szCs w:val="20"/>
        </w:rPr>
        <w:t>cell during the pre-lithiation process</w:t>
      </w:r>
      <w:r w:rsidR="00EF2276" w:rsidRPr="006F149E">
        <w:rPr>
          <w:rFonts w:ascii="Arial" w:hAnsi="Arial" w:cs="Arial"/>
          <w:i/>
          <w:iCs/>
          <w:sz w:val="20"/>
          <w:szCs w:val="20"/>
        </w:rPr>
        <w:t xml:space="preserve"> </w:t>
      </w:r>
      <w:r w:rsidRPr="006F149E">
        <w:rPr>
          <w:rFonts w:ascii="Arial" w:hAnsi="Arial" w:cs="Arial"/>
          <w:i/>
          <w:iCs/>
          <w:sz w:val="20"/>
          <w:szCs w:val="20"/>
        </w:rPr>
        <w:t xml:space="preserve"> </w:t>
      </w:r>
      <w:r w:rsidRPr="00B97230">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&lt;EndNote&gt;&lt;Cite&gt;&lt;Author&gt;Tsuda&lt;/Author&gt;&lt;Year&gt;2017&lt;/Year&gt;&lt;RecNum&gt;294&lt;/RecNum&gt;&lt;DisplayText&gt;[132]&lt;/DisplayText&gt;&lt;record&gt;&lt;rec-number&gt;294&lt;/rec-number&gt;&lt;foreign-keys&gt;&lt;key app="EN" db-id="5sa9s0e0r0d9fnexra7pr5xdwd5ztevx95s2" timestamp="1559659593"&gt;294&lt;/key&gt;&lt;/foreign-keys&gt;&lt;ref-type name="Journal Article"&gt;17&lt;/ref-type&gt;&lt;contributors&gt;&lt;authors&gt;&lt;author&gt;Tsuda, Takashi&lt;/author&gt;&lt;author&gt;Ando, Nobuo&lt;/author&gt;&lt;author&gt;Mitsuhashi, Naoto&lt;/author&gt;&lt;author&gt;Tanabe, Toyokazu&lt;/author&gt;&lt;author&gt;Itagaki, Kaoru&lt;/author&gt;&lt;author&gt;Soma, Naohiko&lt;/author&gt;&lt;author&gt;Nakamura, Susumu&lt;/author&gt;&lt;author&gt;Hayashi, Narumi&lt;/author&gt;&lt;author&gt;Matsumoto, Futoshi&lt;/author&gt;&lt;/authors&gt;&lt;/contributors&gt;&lt;titles&gt;&lt;title&gt;Fabrication of Porous Graphite Anodes with Pico-Second Pulse Laser and Enhancement of Pre-Doping of Li+ Ions to Laminated Graphite Anodes with Micrometre-Sized Holes Formed on the Porous Graphite Anodes&lt;/title&gt;&lt;secondary-title&gt;ECS Transactions&lt;/secondary-title&gt;&lt;/titles&gt;&lt;periodical&gt;&lt;full-title&gt;ECS Transactions&lt;/full-title&gt;&lt;/periodical&gt;&lt;pages&gt;1897-1903&lt;/pages&gt;&lt;volume&gt;77&lt;/volume&gt;&lt;number&gt;11&lt;/number&gt;&lt;dates&gt;&lt;year&gt;2017&lt;/year&gt;&lt;pub-dates&gt;&lt;date&gt;July 7, 2017&lt;/date&gt;&lt;/pub-dates&gt;&lt;/dates&gt;&lt;urls&gt;&lt;related-urls&gt;&lt;url&gt;http://ecst.ecsdl.org/content/77/11/1897.abstract&lt;/url&gt;&lt;/related-urls&gt;&lt;/urls&gt;&lt;electronic-resource-num&gt;10.1149/07711.1897ecst&lt;/electronic-resource-num&gt;&lt;/record&gt;&lt;/Cite&gt;&lt;/EndNote&gt;</w:instrText>
      </w:r>
      <w:r w:rsidRPr="00B97230">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[132]</w:t>
      </w:r>
      <w:r w:rsidRPr="00B97230">
        <w:rPr>
          <w:rFonts w:ascii="Arial" w:hAnsi="Arial" w:cs="Arial"/>
          <w:i/>
          <w:iCs/>
          <w:color w:val="44546A" w:themeColor="text2"/>
          <w:sz w:val="20"/>
          <w:szCs w:val="20"/>
        </w:rPr>
        <w:fldChar w:fldCharType="end"/>
      </w:r>
      <w:r w:rsidR="006F149E" w:rsidRPr="00B97230">
        <w:rPr>
          <w:rFonts w:ascii="Arial" w:hAnsi="Arial" w:cs="Arial"/>
          <w:i/>
          <w:iCs/>
          <w:color w:val="44546A" w:themeColor="text2"/>
          <w:sz w:val="20"/>
          <w:szCs w:val="20"/>
        </w:rPr>
        <w:t>.</w:t>
      </w:r>
    </w:p>
    <w:p w14:paraId="5782F13C" w14:textId="296F7156" w:rsidR="003E14AA" w:rsidRPr="0092670C" w:rsidRDefault="003E14AA" w:rsidP="003E14AA">
      <w:pPr>
        <w:spacing w:line="360" w:lineRule="auto"/>
        <w:jc w:val="both"/>
        <w:rPr>
          <w:rFonts w:ascii="Arial" w:hAnsi="Arial" w:cs="Arial"/>
        </w:rPr>
      </w:pPr>
      <w:r w:rsidRPr="0092670C">
        <w:rPr>
          <w:rFonts w:ascii="Arial" w:hAnsi="Arial" w:cs="Arial"/>
        </w:rPr>
        <w:t xml:space="preserve">One of the most common techniques is the electrochemical pre-lithiation of the electrode </w:t>
      </w:r>
      <w:r w:rsidRPr="0092670C">
        <w:rPr>
          <w:rFonts w:ascii="Arial" w:hAnsi="Arial" w:cs="Arial"/>
        </w:rPr>
        <w:fldChar w:fldCharType="begin">
          <w:fldData xml:space="preserve">PEVuZE5vdGU+PENpdGU+PEF1dGhvcj5BbmRvPC9BdXRob3I+PFllYXI+MjAwNTwvWWVhcj48UmVj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=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PEVuZE5vdGU+PENpdGU+PEF1dGhvcj5BbmRvPC9BdXRob3I+PFllYXI+MjAwNTwvWWVhcj48UmVj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=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[133-136]</w:t>
      </w:r>
      <w:r w:rsidRPr="0092670C">
        <w:rPr>
          <w:rFonts w:ascii="Arial" w:hAnsi="Arial" w:cs="Arial"/>
        </w:rPr>
        <w:fldChar w:fldCharType="end"/>
      </w:r>
      <w:r w:rsidRPr="0092670C">
        <w:rPr>
          <w:rFonts w:ascii="Arial" w:hAnsi="Arial" w:cs="Arial"/>
        </w:rPr>
        <w:t>. This is analogous to completing a partial 1</w:t>
      </w:r>
      <w:r w:rsidRPr="0092670C">
        <w:rPr>
          <w:rFonts w:ascii="Arial" w:hAnsi="Arial" w:cs="Arial"/>
          <w:vertAlign w:val="superscript"/>
        </w:rPr>
        <w:t>st</w:t>
      </w:r>
      <w:r w:rsidRPr="0092670C">
        <w:rPr>
          <w:rFonts w:ascii="Arial" w:hAnsi="Arial" w:cs="Arial"/>
        </w:rPr>
        <w:t xml:space="preserve"> charge of the anode. This is the method for pre-lithiation </w:t>
      </w:r>
      <w:r w:rsidR="00450138">
        <w:rPr>
          <w:rFonts w:ascii="Arial" w:hAnsi="Arial" w:cs="Arial"/>
        </w:rPr>
        <w:t xml:space="preserve">that take the least amount of time </w:t>
      </w:r>
      <w:r w:rsidRPr="0092670C">
        <w:rPr>
          <w:rFonts w:ascii="Arial" w:hAnsi="Arial" w:cs="Arial"/>
        </w:rPr>
        <w:t>with the process taking under an hour</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&lt;EndNote&gt;&lt;Cite&gt;&lt;Author&gt;Kim&lt;/Author&gt;&lt;Year&gt;2016&lt;/Year&gt;&lt;RecNum&gt;145&lt;/RecNum&gt;&lt;DisplayText&gt;[137]&lt;/DisplayText&gt;&lt;record&gt;&lt;rec-number&gt;145&lt;/rec-number&gt;&lt;foreign-keys&gt;&lt;key app="EN" db-id="5sa9s0e0r0d9fnexra7pr5xdwd5ztevx95s2" timestamp="1536587428"&gt;145&lt;/key&gt;&lt;/foreign-keys&gt;&lt;ref-type name="Journal Article"&gt;17&lt;/ref-type&gt;&lt;contributors&gt;&lt;authors&gt;&lt;author&gt;Kim, Hye Jin&lt;/author&gt;&lt;author&gt;Choi, Sunghun&lt;/author&gt;&lt;author&gt;Lee, Seung Jong&lt;/author&gt;&lt;author&gt;Seo, Myung Won&lt;/author&gt;&lt;author&gt;Lee, Jae Goo&lt;/author&gt;&lt;author&gt;Deniz, Erhan&lt;/author&gt;&lt;author&gt;Lee, Yong Ju&lt;/author&gt;&lt;author&gt;Kim, Eun Kyung&lt;/author&gt;&lt;author&gt;Choi, Jang Wook&lt;/author&gt;&lt;/authors&gt;&lt;/contributors&gt;&lt;titles&gt;&lt;title&gt;Controlled Prelithiation of Silicon Monoxide for High Performance Lithium-Ion Rechargeable Full Cells&lt;/title&gt;&lt;secondary-title&gt;Nano Letters&lt;/secondary-title&gt;&lt;/titles&gt;&lt;periodical&gt;&lt;full-title&gt;Nano Letters&lt;/full-title&gt;&lt;abbr-1&gt;Nano Lett.&lt;/abbr-1&gt;&lt;/periodical&gt;&lt;pages&gt;282-288&lt;/pages&gt;&lt;volume&gt;16&lt;/volume&gt;&lt;number&gt;1&lt;/number&gt;&lt;dates&gt;&lt;year&gt;2016&lt;/year&gt;&lt;pub-dates&gt;&lt;date&gt;2016/01/13&lt;/date&gt;&lt;/pub-dates&gt;&lt;/dates&gt;&lt;publisher&gt;American Chemical Society&lt;/publisher&gt;&lt;isbn&gt;1530-6984&lt;/isbn&gt;&lt;urls&gt;&lt;related-urls&gt;&lt;url&gt;https://doi.org/10.1021/acs.nanolett.5b03776&lt;/url&gt;&lt;/related-urls&gt;&lt;/urls&gt;&lt;electronic-resource-num&gt;10.1021/acs.nanolett.5b03776&lt;/electronic-resource-num&gt;&lt;/record&gt;&lt;/Cite&gt;&lt;/EndNote&gt;</w:instrText>
      </w:r>
      <w:r w:rsidRPr="0092670C">
        <w:rPr>
          <w:rFonts w:ascii="Arial" w:hAnsi="Arial" w:cs="Arial"/>
        </w:rPr>
        <w:fldChar w:fldCharType="separate"/>
      </w:r>
      <w:r w:rsidR="0034337D">
        <w:rPr>
          <w:rFonts w:ascii="Arial" w:hAnsi="Arial" w:cs="Arial"/>
          <w:noProof/>
        </w:rPr>
        <w:t>[137]</w:t>
      </w:r>
      <w:r w:rsidRPr="0092670C">
        <w:rPr>
          <w:rFonts w:ascii="Arial" w:hAnsi="Arial" w:cs="Arial"/>
        </w:rPr>
        <w:fldChar w:fldCharType="end"/>
      </w:r>
      <w:r w:rsidRPr="0092670C">
        <w:rPr>
          <w:rFonts w:ascii="Arial" w:hAnsi="Arial" w:cs="Arial"/>
        </w:rPr>
        <w:t xml:space="preserve">. This process at lab scale typically involves pre-lithiating as a half cell, disassembly and then reassembled as a full cell. This process would be costly to scale up and manufacture commercially though. Some techniques have been suggested to circumvent this such as the work by Kim </w:t>
      </w:r>
      <w:r w:rsidRPr="0092670C">
        <w:rPr>
          <w:rFonts w:ascii="Arial" w:hAnsi="Arial" w:cs="Arial"/>
          <w:i/>
          <w:iCs/>
        </w:rPr>
        <w:t>et al.</w:t>
      </w:r>
      <w:r w:rsidRPr="0092670C">
        <w:rPr>
          <w:rFonts w:ascii="Arial" w:hAnsi="Arial" w:cs="Arial"/>
        </w:rPr>
        <w:t xml:space="preserve"> where the pre-lithiation is carried out as a roll to roll process, although this is just a proposal and has not been realised commercially</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&lt;EndNote&gt;&lt;Cite&gt;&lt;Author&gt;Kim&lt;/Author&gt;&lt;Year&gt;2016&lt;/Year&gt;&lt;RecNum&gt;145&lt;/RecNum&gt;&lt;DisplayText&gt;[137]&lt;/DisplayText&gt;&lt;record&gt;&lt;rec-number&gt;145&lt;/rec-number&gt;&lt;foreign-keys&gt;&lt;key app="EN" db-id="5sa9s0e0r0d9fnexra7pr5xdwd5ztevx95s2" timestamp="1536587428"&gt;145&lt;/key&gt;&lt;/foreign-keys&gt;&lt;ref-type name="Journal Article"&gt;17&lt;/ref-type&gt;&lt;contributors&gt;&lt;authors&gt;&lt;author&gt;Kim, Hye Jin&lt;/author&gt;&lt;author&gt;Choi, Sunghun&lt;/author&gt;&lt;author&gt;Lee, Seung Jong&lt;/author&gt;&lt;author&gt;Seo, Myung Won&lt;/author&gt;&lt;author&gt;Lee, Jae Goo&lt;/author&gt;&lt;author&gt;Deniz, Erhan&lt;/author&gt;&lt;author&gt;Lee, Yong Ju&lt;/author&gt;&lt;author&gt;Kim, Eun Kyung&lt;/author&gt;&lt;author&gt;Choi, Jang Wook&lt;/author&gt;&lt;/authors&gt;&lt;/contributors&gt;&lt;titles&gt;&lt;title&gt;Controlled Prelithiation of Silicon Monoxide for High Performance Lithium-Ion Rechargeable Full Cells&lt;/title&gt;&lt;secondary-title&gt;Nano Letters&lt;/secondary-title&gt;&lt;/titles&gt;&lt;periodical&gt;&lt;full-title&gt;Nano Letters&lt;/full-title&gt;&lt;abbr-1&gt;Nano Lett.&lt;/abbr-1&gt;&lt;/periodical&gt;&lt;pages&gt;282-288&lt;/pages&gt;&lt;volume&gt;16&lt;/volume&gt;&lt;number&gt;1&lt;/number&gt;&lt;dates&gt;&lt;year&gt;2016&lt;/year&gt;&lt;pub-dates&gt;&lt;date&gt;2016/01/13&lt;/date&gt;&lt;/pub-dates&gt;&lt;/dates&gt;&lt;publisher&gt;American Chemical Society&lt;/publisher&gt;&lt;isbn&gt;1530-6984&lt;/isbn&gt;&lt;urls&gt;&lt;related-urls&gt;&lt;url&gt;https://doi.org/10.1021/acs.nanolett.5b03776&lt;/url&gt;&lt;/related-urls&gt;&lt;/urls&gt;&lt;electronic-resource-num&gt;10.1021/acs.nanolett.5b03776&lt;/electronic-resource-num&gt;&lt;/record&gt;&lt;/Cite&gt;&lt;/EndNote&gt;</w:instrText>
      </w:r>
      <w:r w:rsidRPr="0092670C">
        <w:rPr>
          <w:rFonts w:ascii="Arial" w:hAnsi="Arial" w:cs="Arial"/>
        </w:rPr>
        <w:fldChar w:fldCharType="separate"/>
      </w:r>
      <w:r w:rsidR="0034337D">
        <w:rPr>
          <w:rFonts w:ascii="Arial" w:hAnsi="Arial" w:cs="Arial"/>
          <w:noProof/>
        </w:rPr>
        <w:t>[137]</w:t>
      </w:r>
      <w:r w:rsidRPr="0092670C">
        <w:rPr>
          <w:rFonts w:ascii="Arial" w:hAnsi="Arial" w:cs="Arial"/>
        </w:rPr>
        <w:fldChar w:fldCharType="end"/>
      </w:r>
      <w:r w:rsidRPr="0092670C">
        <w:rPr>
          <w:rFonts w:ascii="Arial" w:hAnsi="Arial" w:cs="Arial"/>
        </w:rPr>
        <w:t>. Pre-lithiation is done commercially by JMEnergy but this is for the capacitor market, using porous electrodes</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&lt;EndNote&gt;&lt;Cite&gt;&lt;Author&gt;Tsuda&lt;/Author&gt;&lt;Year&gt;2017&lt;/Year&gt;&lt;RecNum&gt;294&lt;/RecNum&gt;&lt;DisplayText&gt;[132]&lt;/DisplayText&gt;&lt;record&gt;&lt;rec-number&gt;294&lt;/rec-number&gt;&lt;foreign-keys&gt;&lt;key app="EN" db-id="5sa9s0e0r0d9fnexra7pr5xdwd5ztevx95s2" timestamp="1559659593"&gt;294&lt;/key&gt;&lt;/foreign-keys&gt;&lt;ref-type name="Journal Article"&gt;17&lt;/ref-type&gt;&lt;contributors&gt;&lt;authors&gt;&lt;author&gt;Tsuda, Takashi&lt;/author&gt;&lt;author&gt;Ando, Nobuo&lt;/author&gt;&lt;author&gt;Mitsuhashi, Naoto&lt;/author&gt;&lt;author&gt;Tanabe, Toyokazu&lt;/author&gt;&lt;author&gt;Itagaki, Kaoru&lt;/author&gt;&lt;author&gt;Soma, Naohiko&lt;/author&gt;&lt;author&gt;Nakamura, Susumu&lt;/author&gt;&lt;author&gt;Hayashi, Narumi&lt;/author&gt;&lt;author&gt;Matsumoto, Futoshi&lt;/author&gt;&lt;/authors&gt;&lt;/contributors&gt;&lt;titles&gt;&lt;title&gt;Fabrication of Porous Graphite Anodes with Pico-Second Pulse Laser and Enhancement of Pre-Doping of Li+ Ions to Laminated Graphite Anodes with Micrometre-Sized Holes Formed on the Porous Graphite Anodes&lt;/title&gt;&lt;secondary-title&gt;ECS Transactions&lt;/secondary-title&gt;&lt;/titles&gt;&lt;periodical&gt;&lt;full-title&gt;ECS Transactions&lt;/full-title&gt;&lt;/periodical&gt;&lt;pages&gt;1897-1903&lt;/pages&gt;&lt;volume&gt;77&lt;/volume&gt;&lt;number&gt;11&lt;/number&gt;&lt;dates&gt;&lt;year&gt;2017&lt;/year&gt;&lt;pub-dates&gt;&lt;date&gt;July 7, 2017&lt;/date&gt;&lt;/pub-dates&gt;&lt;/dates&gt;&lt;urls&gt;&lt;related-urls&gt;&lt;url&gt;http://ecst.ecsdl.org/content/77/11/1897.abstract&lt;/url&gt;&lt;/related-urls&gt;&lt;/urls&gt;&lt;electronic-resource-num&gt;10.1149/07711.1897ecst&lt;/electronic-resource-num&gt;&lt;/record&gt;&lt;/Cite&gt;&lt;/EndNote&gt;</w:instrText>
      </w:r>
      <w:r w:rsidRPr="0092670C">
        <w:rPr>
          <w:rFonts w:ascii="Arial" w:hAnsi="Arial" w:cs="Arial"/>
        </w:rPr>
        <w:fldChar w:fldCharType="separate"/>
      </w:r>
      <w:r w:rsidR="0034337D">
        <w:rPr>
          <w:rFonts w:ascii="Arial" w:hAnsi="Arial" w:cs="Arial"/>
          <w:noProof/>
        </w:rPr>
        <w:t>[132]</w:t>
      </w:r>
      <w:r w:rsidRPr="0092670C">
        <w:rPr>
          <w:rFonts w:ascii="Arial" w:hAnsi="Arial" w:cs="Arial"/>
        </w:rPr>
        <w:fldChar w:fldCharType="end"/>
      </w:r>
      <w:r w:rsidRPr="0092670C">
        <w:rPr>
          <w:rFonts w:ascii="Arial" w:hAnsi="Arial" w:cs="Arial"/>
        </w:rPr>
        <w:t xml:space="preserve">. </w:t>
      </w:r>
    </w:p>
    <w:p w14:paraId="17474AAB" w14:textId="68E522F5" w:rsidR="003E14AA" w:rsidRPr="0092670C" w:rsidRDefault="003E14AA" w:rsidP="003E14AA">
      <w:pPr>
        <w:spacing w:line="360" w:lineRule="auto"/>
        <w:jc w:val="both"/>
        <w:rPr>
          <w:rFonts w:ascii="Arial" w:hAnsi="Arial" w:cs="Arial"/>
        </w:rPr>
      </w:pPr>
      <w:r w:rsidRPr="0092670C">
        <w:rPr>
          <w:rFonts w:ascii="Arial" w:hAnsi="Arial" w:cs="Arial"/>
        </w:rPr>
        <w:t xml:space="preserve">Lithium metal is difficult to handle and expensive to produce so Zhou </w:t>
      </w:r>
      <w:r w:rsidRPr="0092670C">
        <w:rPr>
          <w:rFonts w:ascii="Arial" w:hAnsi="Arial" w:cs="Arial"/>
          <w:i/>
          <w:iCs/>
        </w:rPr>
        <w:t>et al.</w:t>
      </w:r>
      <w:r w:rsidRPr="0092670C">
        <w:rPr>
          <w:rFonts w:ascii="Arial" w:hAnsi="Arial" w:cs="Arial"/>
        </w:rPr>
        <w:t xml:space="preserve"> invented a novel dual electrolyte system</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&lt;EndNote&gt;&lt;Cite&gt;&lt;Author&gt;Zhou&lt;/Author&gt;&lt;Year&gt;2015&lt;/Year&gt;&lt;RecNum&gt;296&lt;/RecNum&gt;&lt;DisplayText&gt;[138]&lt;/DisplayText&gt;&lt;record&gt;&lt;rec-number&gt;296&lt;/rec-number&gt;&lt;foreign-keys&gt;&lt;key app="EN" db-id="5sa9s0e0r0d9fnexra7pr5xdwd5ztevx95s2" timestamp="1559666718"&gt;296&lt;/key&gt;&lt;/foreign-keys&gt;&lt;ref-type name="Journal Article"&gt;17&lt;/ref-type&gt;&lt;contributors&gt;&lt;authors&gt;&lt;author&gt;Zhou, Haitao&lt;/author&gt;&lt;author&gt;Wang, Xuehang&lt;/author&gt;&lt;author&gt;Chen, De&lt;/author&gt;&lt;/authors&gt;&lt;/contributors&gt;&lt;titles&gt;&lt;title&gt;Li-Metal-Free Prelithiation of Si-Based Negative Electrodes for Full Li-Ion Batteries&lt;/title&gt;&lt;secondary-title&gt;ChemSusChem&lt;/secondary-title&gt;&lt;/titles&gt;&lt;periodical&gt;&lt;full-title&gt;ChemSusChem&lt;/full-title&gt;&lt;/periodical&gt;&lt;pages&gt;2737-2744&lt;/pages&gt;&lt;volume&gt;8&lt;/volume&gt;&lt;number&gt;16&lt;/number&gt;&lt;dates&gt;&lt;year&gt;2015&lt;/year&gt;&lt;/dates&gt;&lt;isbn&gt;1864-5631&lt;/isbn&gt;&lt;urls&gt;&lt;related-urls&gt;&lt;url&gt;https://onlinelibrary.wiley.com/doi/abs/10.1002/cssc.201500287&lt;/url&gt;&lt;/related-urls&gt;&lt;/urls&gt;&lt;electronic-resource-num&gt;10.1002/cssc.201500287&lt;/electronic-resource-num&gt;&lt;/record&gt;&lt;/Cite&gt;&lt;/EndNote&gt;</w:instrText>
      </w:r>
      <w:r w:rsidRPr="0092670C">
        <w:rPr>
          <w:rFonts w:ascii="Arial" w:hAnsi="Arial" w:cs="Arial"/>
        </w:rPr>
        <w:fldChar w:fldCharType="separate"/>
      </w:r>
      <w:r w:rsidR="0034337D">
        <w:rPr>
          <w:rFonts w:ascii="Arial" w:hAnsi="Arial" w:cs="Arial"/>
          <w:noProof/>
        </w:rPr>
        <w:t>[138]</w:t>
      </w:r>
      <w:r w:rsidRPr="0092670C">
        <w:rPr>
          <w:rFonts w:ascii="Arial" w:hAnsi="Arial" w:cs="Arial"/>
        </w:rPr>
        <w:fldChar w:fldCharType="end"/>
      </w:r>
      <w:r w:rsidRPr="0092670C">
        <w:rPr>
          <w:rFonts w:ascii="Arial" w:hAnsi="Arial" w:cs="Arial"/>
        </w:rPr>
        <w:t xml:space="preserve">. On one side is the electrode being pre-lithiated in LP30 with </w:t>
      </w:r>
      <w:r w:rsidR="00CB4865" w:rsidRPr="00CB4865">
        <w:rPr>
          <w:rFonts w:ascii="Arial" w:hAnsi="Arial" w:cs="Arial"/>
        </w:rPr>
        <w:t>Li</w:t>
      </w:r>
      <w:r w:rsidR="00CB4865" w:rsidRPr="00CB4865">
        <w:rPr>
          <w:rFonts w:ascii="Arial" w:hAnsi="Arial" w:cs="Arial"/>
          <w:vertAlign w:val="subscript"/>
        </w:rPr>
        <w:t>2+2</w:t>
      </w:r>
      <w:r w:rsidR="00CB4865" w:rsidRPr="00CB4865">
        <w:rPr>
          <w:rFonts w:ascii="Arial" w:hAnsi="Arial" w:cs="Arial"/>
          <w:i/>
          <w:iCs/>
          <w:vertAlign w:val="subscript"/>
        </w:rPr>
        <w:t>x</w:t>
      </w:r>
      <w:r w:rsidR="00CB4865" w:rsidRPr="00CB4865">
        <w:rPr>
          <w:rFonts w:ascii="Arial" w:hAnsi="Arial" w:cs="Arial"/>
        </w:rPr>
        <w:t>Zn</w:t>
      </w:r>
      <w:r w:rsidR="00CB4865" w:rsidRPr="00CB4865">
        <w:rPr>
          <w:rFonts w:ascii="Arial" w:hAnsi="Arial" w:cs="Arial"/>
          <w:vertAlign w:val="subscript"/>
        </w:rPr>
        <w:t>1−</w:t>
      </w:r>
      <w:r w:rsidR="00CB4865" w:rsidRPr="00CB4865">
        <w:rPr>
          <w:rFonts w:ascii="Arial" w:hAnsi="Arial" w:cs="Arial"/>
          <w:i/>
          <w:iCs/>
          <w:vertAlign w:val="subscript"/>
        </w:rPr>
        <w:t>x</w:t>
      </w:r>
      <w:r w:rsidR="00CB4865" w:rsidRPr="00CB4865">
        <w:rPr>
          <w:rFonts w:ascii="Arial" w:hAnsi="Arial" w:cs="Arial"/>
        </w:rPr>
        <w:t>GeO</w:t>
      </w:r>
      <w:r w:rsidR="00CB4865" w:rsidRPr="00CB4865">
        <w:rPr>
          <w:rFonts w:ascii="Arial" w:hAnsi="Arial" w:cs="Arial"/>
          <w:vertAlign w:val="subscript"/>
        </w:rPr>
        <w:t>4</w:t>
      </w:r>
      <w:r w:rsidR="00CB4865" w:rsidRPr="00CB4865">
        <w:rPr>
          <w:rFonts w:ascii="Arial" w:hAnsi="Arial" w:cs="Arial"/>
        </w:rPr>
        <w:t> (−0.36 &lt; </w:t>
      </w:r>
      <w:r w:rsidR="00CB4865" w:rsidRPr="00CB4865">
        <w:rPr>
          <w:rFonts w:ascii="Arial" w:hAnsi="Arial" w:cs="Arial"/>
          <w:i/>
          <w:iCs/>
        </w:rPr>
        <w:t>x</w:t>
      </w:r>
      <w:r w:rsidR="00CB4865" w:rsidRPr="00CB4865">
        <w:rPr>
          <w:rFonts w:ascii="Arial" w:hAnsi="Arial" w:cs="Arial"/>
        </w:rPr>
        <w:t> &lt; 0.87)</w:t>
      </w:r>
      <w:r w:rsidR="00CB4865">
        <w:rPr>
          <w:rFonts w:ascii="Arial" w:hAnsi="Arial" w:cs="Arial"/>
        </w:rPr>
        <w:t xml:space="preserve"> (</w:t>
      </w:r>
      <w:r w:rsidRPr="0092670C">
        <w:rPr>
          <w:rFonts w:ascii="Arial" w:hAnsi="Arial" w:cs="Arial"/>
        </w:rPr>
        <w:t>LISICON</w:t>
      </w:r>
      <w:r w:rsidR="00CB4865">
        <w:rPr>
          <w:rFonts w:ascii="Arial" w:hAnsi="Arial" w:cs="Arial"/>
        </w:rPr>
        <w:t>)</w:t>
      </w:r>
      <w:r w:rsidRPr="0092670C">
        <w:rPr>
          <w:rFonts w:ascii="Arial" w:hAnsi="Arial" w:cs="Arial"/>
        </w:rPr>
        <w:t xml:space="preserve"> as the separator which was created as a solid electrolyte</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&lt;EndNote&gt;&lt;Cite&gt;&lt;Author&gt;Bruce&lt;/Author&gt;&lt;Year&gt;1982&lt;/Year&gt;&lt;RecNum&gt;295&lt;/RecNum&gt;&lt;DisplayText&gt;[139]&lt;/DisplayText&gt;&lt;record&gt;&lt;rec-number&gt;295&lt;/rec-number&gt;&lt;foreign-keys&gt;&lt;key app="EN" db-id="5sa9s0e0r0d9fnexra7pr5xdwd5ztevx95s2" timestamp="1559665336"&gt;295&lt;/key&gt;&lt;/foreign-keys&gt;&lt;ref-type name="Journal Article"&gt;17&lt;/ref-type&gt;&lt;contributors&gt;&lt;authors&gt;&lt;author&gt;Bruce, P. G.&lt;/author&gt;&lt;author&gt;West, A. R.&lt;/author&gt;&lt;/authors&gt;&lt;/contributors&gt;&lt;titles&gt;&lt;title&gt;Ionic conductivity of LISICON solid solutions, Li2+2xZn1−xGeO4&lt;/title&gt;&lt;secondary-title&gt;Journal of Solid State Chemistry&lt;/secondary-title&gt;&lt;/titles&gt;&lt;periodical&gt;&lt;full-title&gt;Journal of Solid State Chemistry&lt;/full-title&gt;&lt;/periodical&gt;&lt;pages&gt;354-365&lt;/pages&gt;&lt;volume&gt;44&lt;/volume&gt;&lt;number&gt;3&lt;/number&gt;&lt;dates&gt;&lt;year&gt;1982&lt;/year&gt;&lt;pub-dates&gt;&lt;date&gt;1982/10/01/&lt;/date&gt;&lt;/pub-dates&gt;&lt;/dates&gt;&lt;isbn&gt;0022-4596&lt;/isbn&gt;&lt;urls&gt;&lt;related-urls&gt;&lt;url&gt;http://www.sciencedirect.com/science/article/pii/0022459682903838&lt;/url&gt;&lt;/related-urls&gt;&lt;/urls&gt;&lt;electronic-resource-num&gt;https://doi.org/10.1016/0022-4596(82)90383-8&lt;/electronic-resource-num&gt;&lt;/record&gt;&lt;/Cite&gt;&lt;/EndNote&gt;</w:instrText>
      </w:r>
      <w:r w:rsidRPr="0092670C">
        <w:rPr>
          <w:rFonts w:ascii="Arial" w:hAnsi="Arial" w:cs="Arial"/>
        </w:rPr>
        <w:fldChar w:fldCharType="separate"/>
      </w:r>
      <w:r w:rsidR="0034337D">
        <w:rPr>
          <w:rFonts w:ascii="Arial" w:hAnsi="Arial" w:cs="Arial"/>
          <w:noProof/>
        </w:rPr>
        <w:t>[139]</w:t>
      </w:r>
      <w:r w:rsidRPr="0092670C">
        <w:rPr>
          <w:rFonts w:ascii="Arial" w:hAnsi="Arial" w:cs="Arial"/>
        </w:rPr>
        <w:fldChar w:fldCharType="end"/>
      </w:r>
      <w:r w:rsidRPr="0092670C">
        <w:rPr>
          <w:rFonts w:ascii="Arial" w:hAnsi="Arial" w:cs="Arial"/>
        </w:rPr>
        <w:t>. As LISICON is selective to Li</w:t>
      </w:r>
      <w:r w:rsidRPr="0092670C">
        <w:rPr>
          <w:rFonts w:ascii="Arial" w:hAnsi="Arial" w:cs="Arial"/>
          <w:vertAlign w:val="superscript"/>
        </w:rPr>
        <w:t>+</w:t>
      </w:r>
      <w:r w:rsidRPr="0092670C">
        <w:rPr>
          <w:rFonts w:ascii="Arial" w:hAnsi="Arial" w:cs="Arial"/>
        </w:rPr>
        <w:t xml:space="preserve"> transport it excludes water which is the electrolyte on the other side. In the water is 0.5</w:t>
      </w:r>
      <w:r w:rsidR="00D876E5">
        <w:rPr>
          <w:rFonts w:ascii="Arial" w:hAnsi="Arial" w:cs="Arial"/>
        </w:rPr>
        <w:t xml:space="preserve"> </w:t>
      </w:r>
      <w:r w:rsidRPr="0092670C">
        <w:rPr>
          <w:rFonts w:ascii="Arial" w:hAnsi="Arial" w:cs="Arial"/>
        </w:rPr>
        <w:t>M Li</w:t>
      </w:r>
      <w:r w:rsidRPr="0092670C">
        <w:rPr>
          <w:rFonts w:ascii="Arial" w:hAnsi="Arial" w:cs="Arial"/>
          <w:vertAlign w:val="subscript"/>
        </w:rPr>
        <w:t>2</w:t>
      </w:r>
      <w:r w:rsidRPr="0092670C">
        <w:rPr>
          <w:rFonts w:ascii="Arial" w:hAnsi="Arial" w:cs="Arial"/>
        </w:rPr>
        <w:t>SO</w:t>
      </w:r>
      <w:r w:rsidRPr="0092670C">
        <w:rPr>
          <w:rFonts w:ascii="Arial" w:hAnsi="Arial" w:cs="Arial"/>
          <w:vertAlign w:val="subscript"/>
        </w:rPr>
        <w:t>4</w:t>
      </w:r>
      <w:r w:rsidRPr="0092670C">
        <w:rPr>
          <w:rFonts w:ascii="Arial" w:hAnsi="Arial" w:cs="Arial"/>
        </w:rPr>
        <w:t xml:space="preserve"> which is the lithium and a copper pit corrosion counter electrode. This process produces Cu</w:t>
      </w:r>
      <w:r w:rsidRPr="0092670C">
        <w:rPr>
          <w:rFonts w:ascii="Arial" w:hAnsi="Arial" w:cs="Arial"/>
          <w:vertAlign w:val="subscript"/>
        </w:rPr>
        <w:t>2</w:t>
      </w:r>
      <w:r w:rsidRPr="0092670C">
        <w:rPr>
          <w:rFonts w:ascii="Arial" w:hAnsi="Arial" w:cs="Arial"/>
        </w:rPr>
        <w:t>SO</w:t>
      </w:r>
      <w:r w:rsidRPr="0092670C">
        <w:rPr>
          <w:rFonts w:ascii="Arial" w:hAnsi="Arial" w:cs="Arial"/>
          <w:vertAlign w:val="subscript"/>
        </w:rPr>
        <w:t>4</w:t>
      </w:r>
      <w:r w:rsidRPr="0092670C">
        <w:rPr>
          <w:rFonts w:ascii="Arial" w:hAnsi="Arial" w:cs="Arial"/>
        </w:rPr>
        <w:t xml:space="preserve"> which is easily reused and has the potential to require a less controlled environment than other pre-lithiation methods. This process could potentially make the pre-lithiation viable commercially. </w:t>
      </w:r>
    </w:p>
    <w:p w14:paraId="25084AE1" w14:textId="58C39CE3" w:rsidR="003E14AA" w:rsidRPr="0092670C" w:rsidRDefault="003E14AA" w:rsidP="003E14AA">
      <w:pPr>
        <w:spacing w:line="360" w:lineRule="auto"/>
        <w:jc w:val="both"/>
        <w:rPr>
          <w:rFonts w:ascii="Arial" w:hAnsi="Arial" w:cs="Arial"/>
        </w:rPr>
      </w:pPr>
      <w:r w:rsidRPr="0092670C">
        <w:rPr>
          <w:rFonts w:ascii="Arial" w:hAnsi="Arial" w:cs="Arial"/>
        </w:rPr>
        <w:t>Another method is to place the lithium and anode into direct contact with each other</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&lt;EndNote&gt;&lt;Cite&gt;&lt;Author&gt;Sun&lt;/Author&gt;&lt;Year&gt;2007&lt;/Year&gt;&lt;RecNum&gt;133&lt;/RecNum&gt;&lt;DisplayText&gt;[140]&lt;/DisplayText&gt;&lt;record&gt;&lt;rec-number&gt;133&lt;/rec-number&gt;&lt;foreign-keys&gt;&lt;key app="EN" db-id="5sa9s0e0r0d9fnexra7pr5xdwd5ztevx95s2" timestamp="1518799320"&gt;133&lt;/key&gt;&lt;/foreign-keys&gt;&lt;ref-type name="Journal Article"&gt;17&lt;/ref-type&gt;&lt;contributors&gt;&lt;authors&gt;&lt;author&gt;Sun, Hao&lt;/author&gt;&lt;author&gt;He, Xiangming&lt;/author&gt;&lt;author&gt;Ren, Jianguo&lt;/author&gt;&lt;author&gt;Li, Jianjun&lt;/author&gt;&lt;author&gt;Jiang, Changyin&lt;/author&gt;&lt;author&gt;Wan, Chunrong&lt;/author&gt;&lt;/authors&gt;&lt;/contributors&gt;&lt;titles&gt;&lt;title&gt;Hard carbon/lithium composite anode materials for Li-ion batteries&lt;/title&gt;&lt;secondary-title&gt;Electrochimica Acta&lt;/secondary-title&gt;&lt;/titles&gt;&lt;periodical&gt;&lt;full-title&gt;Electrochimica Acta&lt;/full-title&gt;&lt;/periodical&gt;&lt;pages&gt;4312-4316&lt;/pages&gt;&lt;volume&gt;52&lt;/volume&gt;&lt;number&gt;13&lt;/number&gt;&lt;keywords&gt;&lt;keyword&gt;Hard carbon&lt;/keyword&gt;&lt;keyword&gt;Lithium foil&lt;/keyword&gt;&lt;keyword&gt;Composite anode&lt;/keyword&gt;&lt;keyword&gt;Initial irreversible capacity&lt;/keyword&gt;&lt;keyword&gt;Li-ion batteries&lt;/keyword&gt;&lt;/keywords&gt;&lt;dates&gt;&lt;year&gt;2007&lt;/year&gt;&lt;pub-dates&gt;&lt;date&gt;2007/03/20/&lt;/date&gt;&lt;/pub-dates&gt;&lt;/dates&gt;&lt;isbn&gt;0013-4686&lt;/isbn&gt;&lt;urls&gt;&lt;related-urls&gt;&lt;url&gt;http://www.sciencedirect.com/science/article/pii/S0013468606012606&lt;/url&gt;&lt;/related-urls&gt;&lt;/urls&gt;&lt;electronic-resource-num&gt;https://doi.org/10.1016/j.electacta.2006.12.012&lt;/electronic-resource-num&gt;&lt;/record&gt;&lt;/Cite&gt;&lt;/EndNote&gt;</w:instrText>
      </w:r>
      <w:r w:rsidRPr="0092670C">
        <w:rPr>
          <w:rFonts w:ascii="Arial" w:hAnsi="Arial" w:cs="Arial"/>
        </w:rPr>
        <w:fldChar w:fldCharType="separate"/>
      </w:r>
      <w:r w:rsidR="0034337D">
        <w:rPr>
          <w:rFonts w:ascii="Arial" w:hAnsi="Arial" w:cs="Arial"/>
          <w:noProof/>
        </w:rPr>
        <w:t>[140]</w:t>
      </w:r>
      <w:r w:rsidRPr="0092670C">
        <w:rPr>
          <w:rFonts w:ascii="Arial" w:hAnsi="Arial" w:cs="Arial"/>
        </w:rPr>
        <w:fldChar w:fldCharType="end"/>
      </w:r>
      <w:r w:rsidRPr="0092670C">
        <w:rPr>
          <w:rFonts w:ascii="Arial" w:hAnsi="Arial" w:cs="Arial"/>
        </w:rPr>
        <w:t>. This process has been applied to range of different anode types including graphite, Si and hard carbon</w:t>
      </w:r>
      <w:r w:rsidR="00AB2879" w:rsidRPr="0092670C">
        <w:rPr>
          <w:rFonts w:ascii="Arial" w:hAnsi="Arial" w:cs="Arial"/>
        </w:rPr>
        <w:t xml:space="preserve"> </w:t>
      </w:r>
      <w:r w:rsidRPr="0092670C">
        <w:rPr>
          <w:rFonts w:ascii="Arial" w:hAnsi="Arial" w:cs="Arial"/>
        </w:rPr>
        <w:fldChar w:fldCharType="begin">
          <w:fldData xml:space="preserve">PEVuZE5vdGU+PENpdGU+PEF1dGhvcj5TdW48L0F1dGhvcj48WWVhcj4yMDA3PC9ZZWFyPjxSZWNO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PEVuZE5vdGU+PENpdGU+PEF1dGhvcj5TdW48L0F1dGhvcj48WWVhcj4yMDA3PC9ZZWFyPjxSZWNO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[140, 141]</w:t>
      </w:r>
      <w:r w:rsidRPr="0092670C">
        <w:rPr>
          <w:rFonts w:ascii="Arial" w:hAnsi="Arial" w:cs="Arial"/>
        </w:rPr>
        <w:fldChar w:fldCharType="end"/>
      </w:r>
      <w:r w:rsidRPr="0092670C">
        <w:rPr>
          <w:rFonts w:ascii="Arial" w:hAnsi="Arial" w:cs="Arial"/>
        </w:rPr>
        <w:t>. This is a slower process than electrochemical pre-lithiation due to the kinetics of the reaction. Pre-lithiation performed using this method can be produced with both Li foil and a product known as stabilised Li metal powder (SLMP)</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&lt;EndNote&gt;&lt;Cite&gt;&lt;Author&gt;Jarvis&lt;/Author&gt;&lt;Year&gt;2006&lt;/Year&gt;&lt;RecNum&gt;69&lt;/RecNum&gt;&lt;DisplayText&gt;[142]&lt;/DisplayText&gt;&lt;record&gt;&lt;rec-number&gt;69&lt;/rec-number&gt;&lt;foreign-keys&gt;&lt;key app="EN" db-id="5sa9s0e0r0d9fnexra7pr5xdwd5ztevx95s2" timestamp="1515753519"&gt;69&lt;/key&gt;&lt;/foreign-keys&gt;&lt;ref-type name="Journal Article"&gt;17&lt;/ref-type&gt;&lt;contributors&gt;&lt;authors&gt;&lt;author&gt;Jarvis, C. R.&lt;/author&gt;&lt;author&gt;Lain, M. J.&lt;/author&gt;&lt;author&gt;Yakovleva, M. V.&lt;/author&gt;&lt;author&gt;Gao, Yuan&lt;/author&gt;&lt;/authors&gt;&lt;/contributors&gt;&lt;titles&gt;&lt;title&gt;A prelithiated carbon anode for lithium-ion battery applications&lt;/title&gt;&lt;secondary-title&gt;Journal of Power Sources&lt;/secondary-title&gt;&lt;/titles&gt;&lt;periodical&gt;&lt;full-title&gt;Journal of Power Sources&lt;/full-title&gt;&lt;/periodical&gt;&lt;pages&gt;800-802&lt;/pages&gt;&lt;volume&gt;162&lt;/volume&gt;&lt;number&gt;2&lt;/number&gt;&lt;keywords&gt;&lt;keyword&gt;Li-ion cell&lt;/keyword&gt;&lt;keyword&gt;Stabilised lithium metal powder&lt;/keyword&gt;&lt;keyword&gt;Prelithiated carbon anode&lt;/keyword&gt;&lt;/keywords&gt;&lt;dates&gt;&lt;year&gt;2006&lt;/year&gt;&lt;pub-dates&gt;&lt;date&gt;2006/11/22/&lt;/date&gt;&lt;/pub-dates&gt;&lt;/dates&gt;&lt;isbn&gt;0378-7753&lt;/isbn&gt;&lt;urls&gt;&lt;related-urls&gt;&lt;url&gt;http://www.sciencedirect.com/science/article/pii/S0378775305009493&lt;/url&gt;&lt;/related-urls&gt;&lt;/urls&gt;&lt;electronic-resource-num&gt;https://doi.org/10.1016/j.jpowsour.2005.07.051&lt;/electronic-resource-num&gt;&lt;/record&gt;&lt;/Cite&gt;&lt;/EndNote&gt;</w:instrText>
      </w:r>
      <w:r w:rsidRPr="0092670C">
        <w:rPr>
          <w:rFonts w:ascii="Arial" w:hAnsi="Arial" w:cs="Arial"/>
        </w:rPr>
        <w:fldChar w:fldCharType="separate"/>
      </w:r>
      <w:r w:rsidR="0034337D">
        <w:rPr>
          <w:rFonts w:ascii="Arial" w:hAnsi="Arial" w:cs="Arial"/>
          <w:noProof/>
        </w:rPr>
        <w:t>[142]</w:t>
      </w:r>
      <w:r w:rsidRPr="0092670C">
        <w:rPr>
          <w:rFonts w:ascii="Arial" w:hAnsi="Arial" w:cs="Arial"/>
        </w:rPr>
        <w:fldChar w:fldCharType="end"/>
      </w:r>
      <w:r w:rsidRPr="0092670C">
        <w:rPr>
          <w:rFonts w:ascii="Arial" w:hAnsi="Arial" w:cs="Arial"/>
        </w:rPr>
        <w:t>. Wang et al developed a dual binder slurry that contained SLMP so that the pre-lithiation process could take place within it</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&lt;EndNote&gt;&lt;Cite&gt;&lt;Author&gt;Wang&lt;/Author&gt;&lt;Year&gt;2013&lt;/Year&gt;&lt;RecNum&gt;298&lt;/RecNum&gt;&lt;DisplayText&gt;[143]&lt;/DisplayText&gt;&lt;record&gt;&lt;rec-number&gt;298&lt;/rec-number&gt;&lt;foreign-keys&gt;&lt;key app="EN" db-id="5sa9s0e0r0d9fnexra7pr5xdwd5ztevx95s2" timestamp="1559669230"&gt;298&lt;/key&gt;&lt;/foreign-keys&gt;&lt;ref-type name="Journal Article"&gt;17&lt;/ref-type&gt;&lt;contributors&gt;&lt;authors&gt;&lt;author&gt;Wang, Lei&lt;/author&gt;&lt;author&gt;Fu, Yanbao&lt;/author&gt;&lt;author&gt;Battaglia, Vincent S.&lt;/author&gt;&lt;author&gt;Liu, Gao&lt;/author&gt;&lt;/authors&gt;&lt;/contributors&gt;&lt;titles&gt;&lt;title&gt;SBR–PVDF based binder for the application of SLMP in graphite anodes&lt;/title&gt;&lt;secondary-title&gt;RSC Advances&lt;/secondary-title&gt;&lt;/titles&gt;&lt;periodical&gt;&lt;full-title&gt;RSC Advances&lt;/full-title&gt;&lt;/periodical&gt;&lt;pages&gt;15022-15027&lt;/pages&gt;&lt;volume&gt;3&lt;/volume&gt;&lt;number&gt;35&lt;/number&gt;&lt;dates&gt;&lt;year&gt;2013&lt;/year&gt;&lt;/dates&gt;&lt;publisher&gt;The Royal Society of Chemistry&lt;/publisher&gt;&lt;work-type&gt;10.1039/C3RA42773K&lt;/work-type&gt;&lt;urls&gt;&lt;related-urls&gt;&lt;url&gt;http://dx.doi.org/10.1039/C3RA42773K&lt;/url&gt;&lt;/related-urls&gt;&lt;/urls&gt;&lt;electronic-resource-num&gt;10.1039/C3RA42773K&lt;/electronic-resource-num&gt;&lt;/record&gt;&lt;/Cite&gt;&lt;/EndNote&gt;</w:instrText>
      </w:r>
      <w:r w:rsidRPr="0092670C">
        <w:rPr>
          <w:rFonts w:ascii="Arial" w:hAnsi="Arial" w:cs="Arial"/>
        </w:rPr>
        <w:fldChar w:fldCharType="separate"/>
      </w:r>
      <w:r w:rsidR="0034337D">
        <w:rPr>
          <w:rFonts w:ascii="Arial" w:hAnsi="Arial" w:cs="Arial"/>
          <w:noProof/>
        </w:rPr>
        <w:t>[143]</w:t>
      </w:r>
      <w:r w:rsidRPr="0092670C">
        <w:rPr>
          <w:rFonts w:ascii="Arial" w:hAnsi="Arial" w:cs="Arial"/>
        </w:rPr>
        <w:fldChar w:fldCharType="end"/>
      </w:r>
      <w:r w:rsidRPr="0092670C">
        <w:rPr>
          <w:rFonts w:ascii="Arial" w:hAnsi="Arial" w:cs="Arial"/>
        </w:rPr>
        <w:t xml:space="preserve">. </w:t>
      </w:r>
      <w:r w:rsidR="00CD2A0D" w:rsidRPr="0092670C">
        <w:rPr>
          <w:rFonts w:ascii="Arial" w:hAnsi="Arial" w:cs="Arial"/>
        </w:rPr>
        <w:t>Unfortunately,</w:t>
      </w:r>
      <w:r w:rsidRPr="0092670C">
        <w:rPr>
          <w:rFonts w:ascii="Arial" w:hAnsi="Arial" w:cs="Arial"/>
        </w:rPr>
        <w:t xml:space="preserve"> </w:t>
      </w:r>
      <w:r w:rsidR="007756CF" w:rsidRPr="0092670C">
        <w:rPr>
          <w:rFonts w:ascii="Arial" w:hAnsi="Arial" w:cs="Arial"/>
        </w:rPr>
        <w:t>t</w:t>
      </w:r>
      <w:r w:rsidRPr="0092670C">
        <w:rPr>
          <w:rFonts w:ascii="Arial" w:hAnsi="Arial" w:cs="Arial"/>
        </w:rPr>
        <w:t xml:space="preserve">he SLMP had a low density which caused it to rise to the surface of the slurry, undermining its homogeneity. It also requires a dry room and toluene as a solvent which add significantly to the production expense.  </w:t>
      </w:r>
    </w:p>
    <w:p w14:paraId="4A2D5B86" w14:textId="728F3FE8" w:rsidR="003E14AA" w:rsidRPr="0092670C" w:rsidRDefault="003E14AA" w:rsidP="003E14AA">
      <w:pPr>
        <w:spacing w:line="360" w:lineRule="auto"/>
        <w:jc w:val="both"/>
        <w:rPr>
          <w:rFonts w:ascii="Arial" w:hAnsi="Arial" w:cs="Arial"/>
        </w:rPr>
      </w:pPr>
      <w:r w:rsidRPr="0092670C">
        <w:rPr>
          <w:rFonts w:ascii="Arial" w:hAnsi="Arial" w:cs="Arial"/>
        </w:rPr>
        <w:t xml:space="preserve">Zheng </w:t>
      </w:r>
      <w:r w:rsidR="00AB2879" w:rsidRPr="0092670C">
        <w:rPr>
          <w:rFonts w:ascii="Arial" w:hAnsi="Arial" w:cs="Arial"/>
          <w:i/>
          <w:iCs/>
        </w:rPr>
        <w:t>e</w:t>
      </w:r>
      <w:r w:rsidRPr="0092670C">
        <w:rPr>
          <w:rFonts w:ascii="Arial" w:hAnsi="Arial" w:cs="Arial"/>
          <w:i/>
          <w:iCs/>
        </w:rPr>
        <w:t>t al.</w:t>
      </w:r>
      <w:r w:rsidRPr="0092670C">
        <w:rPr>
          <w:rFonts w:ascii="Arial" w:hAnsi="Arial" w:cs="Arial"/>
        </w:rPr>
        <w:t xml:space="preserve"> tested how different types of Li impacted the pre-lithiation process</w:t>
      </w:r>
      <w:r w:rsidR="00AB2879" w:rsidRPr="0092670C">
        <w:rPr>
          <w:rFonts w:ascii="Arial" w:hAnsi="Arial" w:cs="Arial"/>
        </w:rPr>
        <w:t xml:space="preserve"> </w:t>
      </w:r>
      <w:r w:rsidRPr="0092670C">
        <w:rPr>
          <w:rFonts w:ascii="Arial" w:hAnsi="Arial" w:cs="Arial"/>
        </w:rPr>
        <w:fldChar w:fldCharType="begin">
          <w:fldData xml:space="preserve">PEVuZE5vdGU+PENpdGU+PEF1dGhvcj5TaGVsbGlrZXJpPC9BdXRob3I+PFllYXI+MjAxNzwvWWVh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=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PEVuZE5vdGU+PENpdGU+PEF1dGhvcj5TaGVsbGlrZXJpPC9BdXRob3I+PFllYXI+MjAxNzwvWWVh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=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[144, 145]</w:t>
      </w:r>
      <w:r w:rsidRPr="0092670C">
        <w:rPr>
          <w:rFonts w:ascii="Arial" w:hAnsi="Arial" w:cs="Arial"/>
        </w:rPr>
        <w:fldChar w:fldCharType="end"/>
      </w:r>
      <w:r w:rsidRPr="0092670C">
        <w:rPr>
          <w:rFonts w:ascii="Arial" w:hAnsi="Arial" w:cs="Arial"/>
        </w:rPr>
        <w:t>. They found that the type and amount of Li used had a major impact on the kinetics of pre-lithiation. They found that by placing holes in the Li foil electrolyte could reach the anode surface more easily, which allowed for faster pre-lithiation time. They also found that thin Li foil (≈20</w:t>
      </w:r>
      <w:r w:rsidR="00D876E5">
        <w:rPr>
          <w:rFonts w:ascii="Arial" w:hAnsi="Arial" w:cs="Arial"/>
        </w:rPr>
        <w:t xml:space="preserve"> </w:t>
      </w:r>
      <w:r w:rsidRPr="0092670C">
        <w:rPr>
          <w:rFonts w:ascii="Arial" w:hAnsi="Arial" w:cs="Arial"/>
        </w:rPr>
        <w:t>µm) led to faster pre-lithiation than thick Li foil</w:t>
      </w:r>
      <w:r w:rsidR="00281985">
        <w:rPr>
          <w:rFonts w:ascii="Arial" w:hAnsi="Arial" w:cs="Arial"/>
        </w:rPr>
        <w:t xml:space="preserve"> </w:t>
      </w:r>
      <w:r w:rsidRPr="0092670C">
        <w:rPr>
          <w:rFonts w:ascii="Arial" w:hAnsi="Arial" w:cs="Arial"/>
        </w:rPr>
        <w:t>(≈45</w:t>
      </w:r>
      <w:r w:rsidR="00D876E5">
        <w:rPr>
          <w:rFonts w:ascii="Arial" w:hAnsi="Arial" w:cs="Arial"/>
        </w:rPr>
        <w:t xml:space="preserve"> </w:t>
      </w:r>
      <w:r w:rsidRPr="0092670C">
        <w:rPr>
          <w:rFonts w:ascii="Arial" w:hAnsi="Arial" w:cs="Arial"/>
        </w:rPr>
        <w:t>µm)</w:t>
      </w:r>
      <w:r w:rsidR="0050328C">
        <w:rPr>
          <w:rFonts w:ascii="Arial" w:hAnsi="Arial" w:cs="Arial"/>
        </w:rPr>
        <w:t xml:space="preserve">, </w:t>
      </w:r>
      <w:r w:rsidR="00C77D23">
        <w:rPr>
          <w:rFonts w:ascii="Arial" w:hAnsi="Arial" w:cs="Arial"/>
        </w:rPr>
        <w:t xml:space="preserve">as a result of the </w:t>
      </w:r>
      <w:r w:rsidR="00B0579F">
        <w:rPr>
          <w:rFonts w:ascii="Arial" w:hAnsi="Arial" w:cs="Arial"/>
        </w:rPr>
        <w:t>smaller travel pathway</w:t>
      </w:r>
      <w:r w:rsidRPr="0092670C">
        <w:rPr>
          <w:rFonts w:ascii="Arial" w:hAnsi="Arial" w:cs="Arial"/>
        </w:rPr>
        <w:t xml:space="preserve">. When thin foil is used the pre-lithiation process can be completed in under 2 hours. </w:t>
      </w:r>
    </w:p>
    <w:p w14:paraId="491D0FF3" w14:textId="5EFC7897" w:rsidR="003E14AA" w:rsidRPr="0092670C" w:rsidRDefault="003E14AA" w:rsidP="003E14AA">
      <w:pPr>
        <w:spacing w:line="360" w:lineRule="auto"/>
        <w:jc w:val="both"/>
        <w:rPr>
          <w:rFonts w:ascii="Arial" w:hAnsi="Arial" w:cs="Arial"/>
        </w:rPr>
      </w:pPr>
      <w:r w:rsidRPr="0092670C">
        <w:rPr>
          <w:rFonts w:ascii="Arial" w:hAnsi="Arial" w:cs="Arial"/>
        </w:rPr>
        <w:t>As seen pure Li metal isn’t the only pre-lithiation material available and there are several other routes. One example is Li</w:t>
      </w:r>
      <w:r w:rsidRPr="0092670C">
        <w:rPr>
          <w:rFonts w:ascii="Arial" w:hAnsi="Arial" w:cs="Arial"/>
          <w:vertAlign w:val="subscript"/>
        </w:rPr>
        <w:t>x</w:t>
      </w:r>
      <w:r w:rsidRPr="0092670C">
        <w:rPr>
          <w:rFonts w:ascii="Arial" w:hAnsi="Arial" w:cs="Arial"/>
        </w:rPr>
        <w:t>Si-Li</w:t>
      </w:r>
      <w:r w:rsidRPr="0092670C">
        <w:rPr>
          <w:rFonts w:ascii="Arial" w:hAnsi="Arial" w:cs="Arial"/>
          <w:vertAlign w:val="subscript"/>
        </w:rPr>
        <w:t>2</w:t>
      </w:r>
      <w:r w:rsidRPr="0092670C">
        <w:rPr>
          <w:rFonts w:ascii="Arial" w:hAnsi="Arial" w:cs="Arial"/>
        </w:rPr>
        <w:t>O nanoparticles with the lithiated Si surrounding the Li</w:t>
      </w:r>
      <w:r w:rsidRPr="0092670C">
        <w:rPr>
          <w:rFonts w:ascii="Arial" w:hAnsi="Arial" w:cs="Arial"/>
          <w:vertAlign w:val="subscript"/>
        </w:rPr>
        <w:t>2</w:t>
      </w:r>
      <w:r w:rsidRPr="0092670C">
        <w:rPr>
          <w:rFonts w:ascii="Arial" w:hAnsi="Arial" w:cs="Arial"/>
        </w:rPr>
        <w:t>O</w:t>
      </w:r>
      <w:r w:rsidR="00AB2879"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&lt;EndNote&gt;&lt;Cite&gt;&lt;Author&gt;Zhao&lt;/Author&gt;&lt;Year&gt;2014&lt;/Year&gt;&lt;RecNum&gt;299&lt;/RecNum&gt;&lt;DisplayText&gt;[146]&lt;/DisplayText&gt;&lt;record&gt;&lt;rec-number&gt;299&lt;/rec-number&gt;&lt;foreign-keys&gt;&lt;key app="EN" db-id="5sa9s0e0r0d9fnexra7pr5xdwd5ztevx95s2" timestamp="1559741698"&gt;299&lt;/key&gt;&lt;/foreign-keys&gt;&lt;ref-type name="Journal Article"&gt;17&lt;/ref-type&gt;&lt;contributors&gt;&lt;authors&gt;&lt;author&gt;Zhao, Jie&lt;/author&gt;&lt;author&gt;Lu, Zhenda&lt;/author&gt;&lt;author&gt;Liu, Nian&lt;/author&gt;&lt;author&gt;Lee, Hyun-Wook&lt;/author&gt;&lt;author&gt;McDowell, Matthew T.&lt;/author&gt;&lt;author&gt;Cui, Yi&lt;/author&gt;&lt;/authors&gt;&lt;/contributors&gt;&lt;titles&gt;&lt;title&gt;Dry-air-stable lithium silicide–lithium oxide core–shell nanoparticles as high-capacity prelithiation reagents&lt;/title&gt;&lt;secondary-title&gt;Nature Communications&lt;/secondary-title&gt;&lt;/titles&gt;&lt;periodical&gt;&lt;full-title&gt;Nature Communications&lt;/full-title&gt;&lt;/periodical&gt;&lt;pages&gt;5088&lt;/pages&gt;&lt;volume&gt;5&lt;/volume&gt;&lt;dates&gt;&lt;year&gt;2014&lt;/year&gt;&lt;pub-dates&gt;&lt;date&gt;10/03/online&lt;/date&gt;&lt;/pub-dates&gt;&lt;/dates&gt;&lt;publisher&gt;Nature Publishing Group, a division of Macmillan Publishers Limited. All Rights Reserved.&lt;/publisher&gt;&lt;work-type&gt;Article&lt;/work-type&gt;&lt;urls&gt;&lt;related-urls&gt;&lt;url&gt;https://doi.org/10.1038/ncomms6088&lt;/url&gt;&lt;/related-urls&gt;&lt;/urls&gt;&lt;electronic-resource-num&gt;10.1038/ncomms6088&amp;#xD;https://www.nature.com/articles/ncomms6088#supplementary-information&lt;/electronic-resource-num&gt;&lt;/record&gt;&lt;/Cite&gt;&lt;/EndNote&gt;</w:instrText>
      </w:r>
      <w:r w:rsidRPr="0092670C">
        <w:rPr>
          <w:rFonts w:ascii="Arial" w:hAnsi="Arial" w:cs="Arial"/>
        </w:rPr>
        <w:fldChar w:fldCharType="separate"/>
      </w:r>
      <w:r w:rsidR="0034337D">
        <w:rPr>
          <w:rFonts w:ascii="Arial" w:hAnsi="Arial" w:cs="Arial"/>
          <w:noProof/>
        </w:rPr>
        <w:t>[146]</w:t>
      </w:r>
      <w:r w:rsidRPr="0092670C">
        <w:rPr>
          <w:rFonts w:ascii="Arial" w:hAnsi="Arial" w:cs="Arial"/>
        </w:rPr>
        <w:fldChar w:fldCharType="end"/>
      </w:r>
      <w:r w:rsidRPr="0092670C">
        <w:rPr>
          <w:rFonts w:ascii="Arial" w:hAnsi="Arial" w:cs="Arial"/>
        </w:rPr>
        <w:t>. The presence of oxygen was attributed to SiO species present during processing. Pre-lithiation using these nanoparticles resulted in increases in initial columbic efficiencies to 94% and even higher in some samples. Due to the presence of Li</w:t>
      </w:r>
      <w:r w:rsidRPr="0092670C">
        <w:rPr>
          <w:rFonts w:ascii="Arial" w:hAnsi="Arial" w:cs="Arial"/>
          <w:vertAlign w:val="subscript"/>
        </w:rPr>
        <w:t>2</w:t>
      </w:r>
      <w:r w:rsidRPr="0092670C">
        <w:rPr>
          <w:rFonts w:ascii="Arial" w:hAnsi="Arial" w:cs="Arial"/>
        </w:rPr>
        <w:t xml:space="preserve">O the capacity </w:t>
      </w:r>
      <w:r w:rsidR="009F1EDB">
        <w:rPr>
          <w:rFonts w:ascii="Arial" w:hAnsi="Arial" w:cs="Arial"/>
        </w:rPr>
        <w:t>o</w:t>
      </w:r>
      <w:r w:rsidRPr="0092670C">
        <w:rPr>
          <w:rFonts w:ascii="Arial" w:hAnsi="Arial" w:cs="Arial"/>
        </w:rPr>
        <w:t>f the particles was limited to ≈1300</w:t>
      </w:r>
      <w:r w:rsidR="00157C93">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instead of Si theoretical capacity of 3579</w:t>
      </w:r>
      <w:r w:rsidR="00157C93">
        <w:rPr>
          <w:rFonts w:ascii="Arial" w:hAnsi="Arial" w:cs="Arial"/>
        </w:rPr>
        <w:t xml:space="preserve"> </w:t>
      </w:r>
      <w:r w:rsidRPr="0092670C">
        <w:rPr>
          <w:rFonts w:ascii="Arial" w:hAnsi="Arial" w:cs="Arial"/>
        </w:rPr>
        <w:t>mAhg</w:t>
      </w:r>
      <w:r w:rsidRPr="0092670C">
        <w:rPr>
          <w:rFonts w:ascii="Arial" w:hAnsi="Arial" w:cs="Arial"/>
          <w:vertAlign w:val="superscript"/>
        </w:rPr>
        <w:t>-1</w:t>
      </w:r>
      <w:r w:rsidR="00C05F31" w:rsidRPr="0092670C">
        <w:rPr>
          <w:rFonts w:ascii="Arial" w:hAnsi="Arial" w:cs="Arial"/>
          <w:vertAlign w:val="superscript"/>
        </w:rPr>
        <w:t xml:space="preserve"> </w:t>
      </w:r>
      <w:r w:rsidRPr="0092670C">
        <w:rPr>
          <w:rFonts w:ascii="Arial" w:hAnsi="Arial" w:cs="Arial"/>
        </w:rPr>
        <w:fldChar w:fldCharType="begin"/>
      </w:r>
      <w:r w:rsidR="0034337D">
        <w:rPr>
          <w:rFonts w:ascii="Arial" w:hAnsi="Arial" w:cs="Arial"/>
        </w:rPr>
        <w:instrText xml:space="preserve"> ADDIN EN.CITE &lt;EndNote&gt;&lt;Cite&gt;&lt;Author&gt;Loveridge&lt;/Author&gt;&lt;Year&gt;2016&lt;/Year&gt;&lt;RecNum&gt;300&lt;/RecNum&gt;&lt;DisplayText&gt;[147]&lt;/DisplayText&gt;&lt;record&gt;&lt;rec-number&gt;300&lt;/rec-number&gt;&lt;foreign-keys&gt;&lt;key app="EN" db-id="5sa9s0e0r0d9fnexra7pr5xdwd5ztevx95s2" timestamp="1559743196"&gt;300&lt;/key&gt;&lt;/foreign-keys&gt;&lt;ref-type name="Journal Article"&gt;17&lt;/ref-type&gt;&lt;contributors&gt;&lt;authors&gt;&lt;author&gt;Loveridge, M. J.&lt;/author&gt;&lt;author&gt;Lain, M. J.&lt;/author&gt;&lt;author&gt;Johnson, I. D.&lt;/author&gt;&lt;author&gt;Roberts, A.&lt;/author&gt;&lt;author&gt;Beattie, S. D.&lt;/author&gt;&lt;author&gt;Dashwood, R.&lt;/author&gt;&lt;author&gt;Darr, J. A.&lt;/author&gt;&lt;author&gt;Bhagat, R.&lt;/author&gt;&lt;/authors&gt;&lt;/contributors&gt;&lt;titles&gt;&lt;title&gt;Towards High Capacity Li-ion Batteries Based on Silicon-Graphene Composite Anodes and Sub-micron V-doped LiFePO4 Cathodes&lt;/title&gt;&lt;secondary-title&gt;Scientific Reports&lt;/secondary-title&gt;&lt;/titles&gt;&lt;periodical&gt;&lt;full-title&gt;Scientific Reports&lt;/full-title&gt;&lt;/periodical&gt;&lt;pages&gt;37787&lt;/pages&gt;&lt;volume&gt;6&lt;/volume&gt;&lt;dates&gt;&lt;year&gt;2016&lt;/year&gt;&lt;pub-dates&gt;&lt;date&gt;11/29/online&lt;/date&gt;&lt;/pub-dates&gt;&lt;/dates&gt;&lt;publisher&gt;The Author(s)&lt;/publisher&gt;&lt;work-type&gt;Article&lt;/work-type&gt;&lt;urls&gt;&lt;related-urls&gt;&lt;url&gt;https://doi.org/10.1038/srep37787&lt;/url&gt;&lt;/related-urls&gt;&lt;/urls&gt;&lt;electronic-resource-num&gt;10.1038/srep37787&amp;#xD;https://www.nature.com/articles/srep37787#supplementary-information&lt;/electronic-resource-num&gt;&lt;/record&gt;&lt;/Cite&gt;&lt;/EndNote&gt;</w:instrText>
      </w:r>
      <w:r w:rsidRPr="0092670C">
        <w:rPr>
          <w:rFonts w:ascii="Arial" w:hAnsi="Arial" w:cs="Arial"/>
        </w:rPr>
        <w:fldChar w:fldCharType="separate"/>
      </w:r>
      <w:r w:rsidR="0034337D">
        <w:rPr>
          <w:rFonts w:ascii="Arial" w:hAnsi="Arial" w:cs="Arial"/>
          <w:noProof/>
        </w:rPr>
        <w:t>[147]</w:t>
      </w:r>
      <w:r w:rsidRPr="0092670C">
        <w:rPr>
          <w:rFonts w:ascii="Arial" w:hAnsi="Arial" w:cs="Arial"/>
        </w:rPr>
        <w:fldChar w:fldCharType="end"/>
      </w:r>
      <w:r w:rsidRPr="0092670C">
        <w:rPr>
          <w:rFonts w:ascii="Arial" w:hAnsi="Arial" w:cs="Arial"/>
        </w:rPr>
        <w:t xml:space="preserve">. These particles were resilient after exposure to dry air retaining 91% capacity after 24hrs of exposure. This resilience was lost in the presence of moisture retaining only 5% of capacity after 6 hours. To try and overcome these deficiencies Zhao </w:t>
      </w:r>
      <w:r w:rsidRPr="0092670C">
        <w:rPr>
          <w:rFonts w:ascii="Arial" w:hAnsi="Arial" w:cs="Arial"/>
          <w:i/>
          <w:iCs/>
        </w:rPr>
        <w:t xml:space="preserve">et al. </w:t>
      </w:r>
      <w:r w:rsidRPr="0092670C">
        <w:rPr>
          <w:rFonts w:ascii="Arial" w:hAnsi="Arial" w:cs="Arial"/>
        </w:rPr>
        <w:t>created an artificial SEI around the nanoparticles using 1-fluorodecane, where they had improved the silicon purity to lower the amount of oxygen present</w:t>
      </w:r>
      <w:r w:rsidR="00C05F31"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&lt;EndNote&gt;&lt;Cite&gt;&lt;Author&gt;Zhao&lt;/Author&gt;&lt;Year&gt;2015&lt;/Year&gt;&lt;RecNum&gt;301&lt;/RecNum&gt;&lt;DisplayText&gt;[148]&lt;/DisplayText&gt;&lt;record&gt;&lt;rec-number&gt;301&lt;/rec-number&gt;&lt;foreign-keys&gt;&lt;key app="EN" db-id="5sa9s0e0r0d9fnexra7pr5xdwd5ztevx95s2" timestamp="1559747939"&gt;301&lt;/key&gt;&lt;/foreign-keys&gt;&lt;ref-type name="Journal Article"&gt;17&lt;/ref-type&gt;&lt;contributors&gt;&lt;authors&gt;&lt;author&gt;Zhao, Jie&lt;/author&gt;&lt;author&gt;Lu, Zhenda&lt;/author&gt;&lt;author&gt;Wang, Haotian&lt;/author&gt;&lt;author&gt;Liu, Wei&lt;/author&gt;&lt;author&gt;Lee, Hyun-Wook&lt;/author&gt;&lt;author&gt;Yan, Kai&lt;/author&gt;&lt;author&gt;Zhuo, Denys&lt;/author&gt;&lt;author&gt;Lin, Dingchang&lt;/author&gt;&lt;author&gt;Liu, Nian&lt;/author&gt;&lt;author&gt;Cui, Yi&lt;/author&gt;&lt;/authors&gt;&lt;/contributors&gt;&lt;titles&gt;&lt;title&gt;Artificial Solid Electrolyte Interphase-Protected LixSi Nanoparticles: An Efficient and Stable Prelithiation Reagent for Lithium-Ion Batteries&lt;/title&gt;&lt;secondary-title&gt;Journal of the American Chemical Society&lt;/secondary-title&gt;&lt;/titles&gt;&lt;periodical&gt;&lt;full-title&gt;Journal of the American Chemical Society&lt;/full-title&gt;&lt;/periodical&gt;&lt;pages&gt;8372-8375&lt;/pages&gt;&lt;volume&gt;137&lt;/volume&gt;&lt;number&gt;26&lt;/number&gt;&lt;dates&gt;&lt;year&gt;2015&lt;/year&gt;&lt;pub-dates&gt;&lt;date&gt;2015/07/08&lt;/date&gt;&lt;/pub-dates&gt;&lt;/dates&gt;&lt;publisher&gt;American Chemical Society&lt;/publisher&gt;&lt;isbn&gt;0002-7863&lt;/isbn&gt;&lt;urls&gt;&lt;related-urls&gt;&lt;url&gt;https://doi.org/10.1021/jacs.5b04526&lt;/url&gt;&lt;/related-urls&gt;&lt;/urls&gt;&lt;electronic-resource-num&gt;10.1021/jacs.5b04526&lt;/electronic-resource-num&gt;&lt;/record&gt;&lt;/Cite&gt;&lt;/EndNote&gt;</w:instrText>
      </w:r>
      <w:r w:rsidRPr="0092670C">
        <w:rPr>
          <w:rFonts w:ascii="Arial" w:hAnsi="Arial" w:cs="Arial"/>
        </w:rPr>
        <w:fldChar w:fldCharType="separate"/>
      </w:r>
      <w:r w:rsidR="0034337D">
        <w:rPr>
          <w:rFonts w:ascii="Arial" w:hAnsi="Arial" w:cs="Arial"/>
          <w:noProof/>
        </w:rPr>
        <w:t>[148]</w:t>
      </w:r>
      <w:r w:rsidRPr="0092670C">
        <w:rPr>
          <w:rFonts w:ascii="Arial" w:hAnsi="Arial" w:cs="Arial"/>
        </w:rPr>
        <w:fldChar w:fldCharType="end"/>
      </w:r>
      <w:r w:rsidRPr="0092670C">
        <w:rPr>
          <w:rFonts w:ascii="Arial" w:hAnsi="Arial" w:cs="Arial"/>
        </w:rPr>
        <w:t>. This method significantly increased capacity of the nanoparticles to ≈2100</w:t>
      </w:r>
      <w:r w:rsidR="00157C93">
        <w:rPr>
          <w:rFonts w:ascii="Arial" w:hAnsi="Arial" w:cs="Arial"/>
        </w:rPr>
        <w:t>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and it also retained ≈1600</w:t>
      </w:r>
      <w:r w:rsidR="00157C93">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after 6hrs in an environment with 10% relative humidity. This shows that the SEI at least partially shields the lithium from external reactants.  </w:t>
      </w:r>
    </w:p>
    <w:p w14:paraId="7AF9C92C" w14:textId="15E872E5" w:rsidR="003E14AA" w:rsidRPr="0092670C" w:rsidRDefault="003E14AA" w:rsidP="003E14AA">
      <w:pPr>
        <w:spacing w:line="360" w:lineRule="auto"/>
        <w:jc w:val="both"/>
        <w:rPr>
          <w:rFonts w:ascii="Arial" w:hAnsi="Arial" w:cs="Arial"/>
        </w:rPr>
      </w:pPr>
      <w:r w:rsidRPr="0092670C">
        <w:rPr>
          <w:rFonts w:ascii="Arial" w:hAnsi="Arial" w:cs="Arial"/>
        </w:rPr>
        <w:t>With these encapsulated particles the main issue is that encapsulation must be flawless, or the Li can leave the particle rendering it unu</w:t>
      </w:r>
      <w:r w:rsidR="0051341F">
        <w:rPr>
          <w:rFonts w:ascii="Arial" w:hAnsi="Arial" w:cs="Arial"/>
        </w:rPr>
        <w:t>sable</w:t>
      </w:r>
      <w:r w:rsidRPr="0092670C">
        <w:rPr>
          <w:rFonts w:ascii="Arial" w:hAnsi="Arial" w:cs="Arial"/>
        </w:rPr>
        <w:t>. One attempt to circumvent this was again by Zhao et al. who used SiO</w:t>
      </w:r>
      <w:r w:rsidRPr="0092670C">
        <w:rPr>
          <w:rFonts w:ascii="Arial" w:hAnsi="Arial" w:cs="Arial"/>
          <w:vertAlign w:val="subscript"/>
        </w:rPr>
        <w:t>x</w:t>
      </w:r>
      <w:r w:rsidRPr="0092670C">
        <w:rPr>
          <w:rFonts w:ascii="Arial" w:hAnsi="Arial" w:cs="Arial"/>
        </w:rPr>
        <w:t xml:space="preserve"> particles</w:t>
      </w:r>
      <w:r w:rsidR="00C05F31"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&lt;EndNote&gt;&lt;Cite&gt;&lt;Author&gt;Zhao&lt;/Author&gt;&lt;Year&gt;2016&lt;/Year&gt;&lt;RecNum&gt;302&lt;/RecNum&gt;&lt;DisplayText&gt;[149]&lt;/DisplayText&gt;&lt;record&gt;&lt;rec-number&gt;302&lt;/rec-number&gt;&lt;foreign-keys&gt;&lt;key app="EN" db-id="5sa9s0e0r0d9fnexra7pr5xdwd5ztevx95s2" timestamp="1559906282"&gt;302&lt;/key&gt;&lt;/foreign-keys&gt;&lt;ref-type name="Journal Article"&gt;17&lt;/ref-type&gt;&lt;contributors&gt;&lt;authors&gt;&lt;author&gt;Zhao, Jie&lt;/author&gt;&lt;author&gt;Lee, Hyun-Wook&lt;/author&gt;&lt;author&gt;Sun, Jie&lt;/author&gt;&lt;author&gt;Yan, Kai&lt;/author&gt;&lt;author&gt;Liu, Yayuan&lt;/author&gt;&lt;author&gt;Liu, Wei&lt;/author&gt;&lt;author&gt;Lu, Zhenda&lt;/author&gt;&lt;author&gt;Lin, Dingchang&lt;/author&gt;&lt;author&gt;Zhou, Guangmin&lt;/author&gt;&lt;author&gt;Cui, Yi&lt;/author&gt;&lt;/authors&gt;&lt;/contributors&gt;&lt;titles&gt;&lt;title&gt;Metallurgically lithiated SiO&amp;lt;sub&amp;gt;x&amp;lt;/sub&amp;gt; anode with high capacity and ambient air compatibility&lt;/title&gt;&lt;secondary-title&gt;Proceedings of the National Academy of Sciences&lt;/secondary-title&gt;&lt;/titles&gt;&lt;periodical&gt;&lt;full-title&gt;Proceedings of the National Academy of Sciences&lt;/full-title&gt;&lt;/periodical&gt;&lt;pages&gt;7408-7413&lt;/pages&gt;&lt;volume&gt;113&lt;/volume&gt;&lt;number&gt;27&lt;/number&gt;&lt;dates&gt;&lt;year&gt;2016&lt;/year&gt;&lt;/dates&gt;&lt;urls&gt;&lt;related-urls&gt;&lt;url&gt;https://www.pnas.org/content/pnas/113/27/7408.full.pdf&lt;/url&gt;&lt;/related-urls&gt;&lt;/urls&gt;&lt;electronic-resource-num&gt;10.1073/pnas.1603810113&lt;/electronic-resource-num&gt;&lt;/record&gt;&lt;/Cite&gt;&lt;/EndNote&gt;</w:instrText>
      </w:r>
      <w:r w:rsidRPr="0092670C">
        <w:rPr>
          <w:rFonts w:ascii="Arial" w:hAnsi="Arial" w:cs="Arial"/>
        </w:rPr>
        <w:fldChar w:fldCharType="separate"/>
      </w:r>
      <w:r w:rsidR="0034337D">
        <w:rPr>
          <w:rFonts w:ascii="Arial" w:hAnsi="Arial" w:cs="Arial"/>
          <w:noProof/>
        </w:rPr>
        <w:t>[149]</w:t>
      </w:r>
      <w:r w:rsidRPr="0092670C">
        <w:rPr>
          <w:rFonts w:ascii="Arial" w:hAnsi="Arial" w:cs="Arial"/>
        </w:rPr>
        <w:fldChar w:fldCharType="end"/>
      </w:r>
      <w:r w:rsidRPr="0092670C">
        <w:rPr>
          <w:rFonts w:ascii="Arial" w:hAnsi="Arial" w:cs="Arial"/>
        </w:rPr>
        <w:t>. Using SiO</w:t>
      </w:r>
      <w:r w:rsidRPr="0092670C">
        <w:rPr>
          <w:rFonts w:ascii="Arial" w:hAnsi="Arial" w:cs="Arial"/>
          <w:vertAlign w:val="subscript"/>
        </w:rPr>
        <w:t>x</w:t>
      </w:r>
      <w:r w:rsidRPr="0092670C">
        <w:rPr>
          <w:rFonts w:ascii="Arial" w:hAnsi="Arial" w:cs="Arial"/>
        </w:rPr>
        <w:t xml:space="preserve"> as the starting reagent led to the formation of dispersed Li</w:t>
      </w:r>
      <w:r w:rsidRPr="0092670C">
        <w:rPr>
          <w:rFonts w:ascii="Arial" w:hAnsi="Arial" w:cs="Arial"/>
          <w:vertAlign w:val="subscript"/>
        </w:rPr>
        <w:t>x</w:t>
      </w:r>
      <w:r w:rsidRPr="0092670C">
        <w:rPr>
          <w:rFonts w:ascii="Arial" w:hAnsi="Arial" w:cs="Arial"/>
        </w:rPr>
        <w:t>Si in a Li</w:t>
      </w:r>
      <w:r w:rsidRPr="0092670C">
        <w:rPr>
          <w:rFonts w:ascii="Arial" w:hAnsi="Arial" w:cs="Arial"/>
          <w:vertAlign w:val="subscript"/>
        </w:rPr>
        <w:t>2</w:t>
      </w:r>
      <w:r w:rsidRPr="0092670C">
        <w:rPr>
          <w:rFonts w:ascii="Arial" w:hAnsi="Arial" w:cs="Arial"/>
        </w:rPr>
        <w:t>O matrix. This more robust system again held up well to dry air retaining 91% capacity after 5 days of exposure. These samples were created by stirring the SiO</w:t>
      </w:r>
      <w:r w:rsidRPr="0092670C">
        <w:rPr>
          <w:rFonts w:ascii="Arial" w:hAnsi="Arial" w:cs="Arial"/>
          <w:vertAlign w:val="subscript"/>
        </w:rPr>
        <w:t>x</w:t>
      </w:r>
      <w:r w:rsidRPr="0092670C">
        <w:rPr>
          <w:rFonts w:ascii="Arial" w:hAnsi="Arial" w:cs="Arial"/>
        </w:rPr>
        <w:t xml:space="preserve"> particles in molten Li metal for 5 days and this energy intensive process is not an appealing process for manufacturing at scale. Other group IV elements have been used more recently</w:t>
      </w:r>
      <w:r w:rsidR="00C05F31"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&lt;EndNote&gt;&lt;Cite&gt;&lt;Author&gt;Zhao&lt;/Author&gt;&lt;Year&gt;2018&lt;/Year&gt;&lt;RecNum&gt;303&lt;/RecNum&gt;&lt;DisplayText&gt;[150]&lt;/DisplayText&gt;&lt;record&gt;&lt;rec-number&gt;303&lt;/rec-number&gt;&lt;foreign-keys&gt;&lt;key app="EN" db-id="5sa9s0e0r0d9fnexra7pr5xdwd5ztevx95s2" timestamp="1559908379"&gt;303&lt;/key&gt;&lt;/foreign-keys&gt;&lt;ref-type name="Journal Article"&gt;17&lt;/ref-type&gt;&lt;contributors&gt;&lt;authors&gt;&lt;author&gt;Zhao, Jie&lt;/author&gt;&lt;author&gt;Sun, Jie&lt;/author&gt;&lt;author&gt;Pei, Allen&lt;/author&gt;&lt;author&gt;Zhou, Guangmin&lt;/author&gt;&lt;author&gt;Yan, Kai&lt;/author&gt;&lt;author&gt;Liu, Yayuan&lt;/author&gt;&lt;author&gt;Lin, Dingchang&lt;/author&gt;&lt;author&gt;Cui, Yi&lt;/author&gt;&lt;/authors&gt;&lt;/contributors&gt;&lt;titles&gt;&lt;title&gt;A general prelithiation approach for group IV elements and corresponding oxides&lt;/title&gt;&lt;secondary-title&gt;Energy Storage Materials&lt;/secondary-title&gt;&lt;/titles&gt;&lt;periodical&gt;&lt;full-title&gt;Energy Storage Materials&lt;/full-title&gt;&lt;/periodical&gt;&lt;pages&gt;275-281&lt;/pages&gt;&lt;volume&gt;10&lt;/volume&gt;&lt;keywords&gt;&lt;keyword&gt;Prelithiation&lt;/keyword&gt;&lt;keyword&gt;Anode materials&lt;/keyword&gt;&lt;keyword&gt;Group IV elements&lt;/keyword&gt;&lt;keyword&gt;First cycle Coulombic efficiency&lt;/keyword&gt;&lt;/keywords&gt;&lt;dates&gt;&lt;year&gt;2018&lt;/year&gt;&lt;pub-dates&gt;&lt;date&gt;2018/01/01/&lt;/date&gt;&lt;/pub-dates&gt;&lt;/dates&gt;&lt;isbn&gt;2405-8297&lt;/isbn&gt;&lt;urls&gt;&lt;related-urls&gt;&lt;url&gt;http://www.sciencedirect.com/science/article/pii/S2405829717302568&lt;/url&gt;&lt;/related-urls&gt;&lt;/urls&gt;&lt;electronic-resource-num&gt;https://doi.org/10.1016/j.ensm.2017.06.013&lt;/electronic-resource-num&gt;&lt;/record&gt;&lt;/Cite&gt;&lt;/EndNote&gt;</w:instrText>
      </w:r>
      <w:r w:rsidRPr="0092670C">
        <w:rPr>
          <w:rFonts w:ascii="Arial" w:hAnsi="Arial" w:cs="Arial"/>
        </w:rPr>
        <w:fldChar w:fldCharType="separate"/>
      </w:r>
      <w:r w:rsidR="0034337D">
        <w:rPr>
          <w:rFonts w:ascii="Arial" w:hAnsi="Arial" w:cs="Arial"/>
          <w:noProof/>
        </w:rPr>
        <w:t>[150]</w:t>
      </w:r>
      <w:r w:rsidRPr="0092670C">
        <w:rPr>
          <w:rFonts w:ascii="Arial" w:hAnsi="Arial" w:cs="Arial"/>
        </w:rPr>
        <w:fldChar w:fldCharType="end"/>
      </w:r>
      <w:r w:rsidRPr="0092670C">
        <w:rPr>
          <w:rFonts w:ascii="Arial" w:hAnsi="Arial" w:cs="Arial"/>
        </w:rPr>
        <w:t xml:space="preserve">. These elements suffered from lower capacity than the Si based option but due to their </w:t>
      </w:r>
      <w:r w:rsidR="006021A9">
        <w:rPr>
          <w:rFonts w:ascii="Arial" w:hAnsi="Arial" w:cs="Arial"/>
        </w:rPr>
        <w:t>higher</w:t>
      </w:r>
      <w:r w:rsidRPr="0092670C">
        <w:rPr>
          <w:rFonts w:ascii="Arial" w:hAnsi="Arial" w:cs="Arial"/>
        </w:rPr>
        <w:t xml:space="preserve"> potentials they withstood ambient conditions for longer with higher capacity retention.</w:t>
      </w:r>
    </w:p>
    <w:p w14:paraId="5BA78C67" w14:textId="7BCEF0A8" w:rsidR="003E14AA" w:rsidRPr="0092670C" w:rsidRDefault="003E14AA" w:rsidP="003E14AA">
      <w:pPr>
        <w:spacing w:line="360" w:lineRule="auto"/>
        <w:jc w:val="both"/>
        <w:rPr>
          <w:rFonts w:ascii="Arial" w:hAnsi="Arial" w:cs="Arial"/>
        </w:rPr>
      </w:pPr>
      <w:r w:rsidRPr="0092670C">
        <w:rPr>
          <w:rFonts w:ascii="Arial" w:hAnsi="Arial" w:cs="Arial"/>
        </w:rPr>
        <w:t>A cell can also be pre-lithiated by providing an additive that is lithium rich, imbedded into the anode. Li</w:t>
      </w:r>
      <w:r w:rsidRPr="0092670C">
        <w:rPr>
          <w:rFonts w:ascii="Arial" w:hAnsi="Arial" w:cs="Arial"/>
          <w:vertAlign w:val="subscript"/>
        </w:rPr>
        <w:t>2.6</w:t>
      </w:r>
      <w:r w:rsidRPr="0092670C">
        <w:rPr>
          <w:rFonts w:ascii="Arial" w:hAnsi="Arial" w:cs="Arial"/>
        </w:rPr>
        <w:t>Co</w:t>
      </w:r>
      <w:r w:rsidRPr="0092670C">
        <w:rPr>
          <w:rFonts w:ascii="Arial" w:hAnsi="Arial" w:cs="Arial"/>
          <w:vertAlign w:val="subscript"/>
        </w:rPr>
        <w:t>0.4</w:t>
      </w:r>
      <w:r w:rsidRPr="0092670C">
        <w:rPr>
          <w:rFonts w:ascii="Arial" w:hAnsi="Arial" w:cs="Arial"/>
        </w:rPr>
        <w:t>N, with a capacity of 760</w:t>
      </w:r>
      <w:r w:rsidR="006F149E">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has been used to pre-lithiate a range of anode materials including hard carbon, graphite, LiTi</w:t>
      </w:r>
      <w:r w:rsidRPr="0092670C">
        <w:rPr>
          <w:rFonts w:ascii="Arial" w:hAnsi="Arial" w:cs="Arial"/>
          <w:vertAlign w:val="subscript"/>
        </w:rPr>
        <w:t>2</w:t>
      </w:r>
      <w:r w:rsidRPr="0092670C">
        <w:rPr>
          <w:rFonts w:ascii="Arial" w:hAnsi="Arial" w:cs="Arial"/>
        </w:rPr>
        <w:t>O</w:t>
      </w:r>
      <w:r w:rsidRPr="0092670C">
        <w:rPr>
          <w:rFonts w:ascii="Arial" w:hAnsi="Arial" w:cs="Arial"/>
          <w:vertAlign w:val="subscript"/>
        </w:rPr>
        <w:t>4</w:t>
      </w:r>
      <w:r w:rsidRPr="0092670C">
        <w:rPr>
          <w:rFonts w:ascii="Arial" w:hAnsi="Arial" w:cs="Arial"/>
        </w:rPr>
        <w:t xml:space="preserve"> and Si</w:t>
      </w:r>
      <w:r w:rsidR="00C05F31" w:rsidRPr="0092670C">
        <w:rPr>
          <w:rFonts w:ascii="Arial" w:hAnsi="Arial" w:cs="Arial"/>
        </w:rPr>
        <w:t xml:space="preserve"> </w:t>
      </w:r>
      <w:r w:rsidRPr="0092670C">
        <w:rPr>
          <w:rFonts w:ascii="Arial" w:hAnsi="Arial" w:cs="Arial"/>
        </w:rPr>
        <w:fldChar w:fldCharType="begin">
          <w:fldData xml:space="preserve">PEVuZE5vdGU+PENpdGU+PEF1dGhvcj5MaXU8L0F1dGhvcj48WWVhcj4yMDA5PC9ZZWFyPjxSZWNO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PEVuZE5vdGU+PENpdGU+PEF1dGhvcj5MaXU8L0F1dGhvcj48WWVhcj4yMDA5PC9ZZWFyPjxSZWNO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[151-154]</w:t>
      </w:r>
      <w:r w:rsidRPr="0092670C">
        <w:rPr>
          <w:rFonts w:ascii="Arial" w:hAnsi="Arial" w:cs="Arial"/>
        </w:rPr>
        <w:fldChar w:fldCharType="end"/>
      </w:r>
      <w:r w:rsidRPr="0092670C">
        <w:rPr>
          <w:rFonts w:ascii="Arial" w:hAnsi="Arial" w:cs="Arial"/>
        </w:rPr>
        <w:t>. These electrodes had to be created in an argon glovebox without any solvent due to the high reactivity of Li</w:t>
      </w:r>
      <w:r w:rsidRPr="0092670C">
        <w:rPr>
          <w:rFonts w:ascii="Arial" w:hAnsi="Arial" w:cs="Arial"/>
          <w:vertAlign w:val="subscript"/>
        </w:rPr>
        <w:t>2.6</w:t>
      </w:r>
      <w:r w:rsidRPr="0092670C">
        <w:rPr>
          <w:rFonts w:ascii="Arial" w:hAnsi="Arial" w:cs="Arial"/>
        </w:rPr>
        <w:t>Co</w:t>
      </w:r>
      <w:r w:rsidRPr="0092670C">
        <w:rPr>
          <w:rFonts w:ascii="Arial" w:hAnsi="Arial" w:cs="Arial"/>
          <w:vertAlign w:val="subscript"/>
        </w:rPr>
        <w:t>0.4</w:t>
      </w:r>
      <w:r w:rsidRPr="0092670C">
        <w:rPr>
          <w:rFonts w:ascii="Arial" w:hAnsi="Arial" w:cs="Arial"/>
        </w:rPr>
        <w:t xml:space="preserve">N which limits the viability of this method. </w:t>
      </w:r>
    </w:p>
    <w:p w14:paraId="45C22927" w14:textId="3F1D1C88" w:rsidR="003E14AA" w:rsidRPr="0092670C" w:rsidRDefault="003E14AA" w:rsidP="003E14AA">
      <w:pPr>
        <w:spacing w:line="360" w:lineRule="auto"/>
        <w:jc w:val="both"/>
        <w:rPr>
          <w:rFonts w:ascii="Arial" w:hAnsi="Arial" w:cs="Arial"/>
        </w:rPr>
      </w:pPr>
      <w:r w:rsidRPr="0092670C">
        <w:rPr>
          <w:rFonts w:ascii="Arial" w:hAnsi="Arial" w:cs="Arial"/>
        </w:rPr>
        <w:t>There are several other methods such as using a sacrificial Li electrode, using a cathode with excess Li or using a highly concentrated electrolyte</w:t>
      </w:r>
      <w:r w:rsidR="00C05F31"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&lt;EndNote&gt;&lt;Cite&gt;&lt;Author&gt;Sun&lt;/Author&gt;&lt;Year&gt;2016&lt;/Year&gt;&lt;RecNum&gt;240&lt;/RecNum&gt;&lt;DisplayText&gt;[155]&lt;/DisplayText&gt;&lt;record&gt;&lt;rec-number&gt;240&lt;/rec-number&gt;&lt;foreign-keys&gt;&lt;key app="EN" db-id="5sa9s0e0r0d9fnexra7pr5xdwd5ztevx95s2" timestamp="1557749635"&gt;240&lt;/key&gt;&lt;/foreign-keys&gt;&lt;ref-type name="Journal Article"&gt;17&lt;/ref-type&gt;&lt;contributors&gt;&lt;authors&gt;&lt;author&gt;Sun, Yongming&lt;/author&gt;&lt;author&gt;Lee, Hyun-Wook&lt;/author&gt;&lt;author&gt;Seh, Zhi Wei&lt;/author&gt;&lt;author&gt;Liu, Nian&lt;/author&gt;&lt;author&gt;Sun, Jie&lt;/author&gt;&lt;author&gt;Li, Yuzhang&lt;/author&gt;&lt;author&gt;Cui, Yi&lt;/author&gt;&lt;/authors&gt;&lt;/contributors&gt;&lt;titles&gt;&lt;title&gt;High-capacity battery cathode prelithiation to offset initial lithium loss&lt;/title&gt;&lt;secondary-title&gt;Nature Energy&lt;/secondary-title&gt;&lt;/titles&gt;&lt;periodical&gt;&lt;full-title&gt;Nature Energy&lt;/full-title&gt;&lt;/periodical&gt;&lt;pages&gt;15008&lt;/pages&gt;&lt;volume&gt;1&lt;/volume&gt;&lt;dates&gt;&lt;year&gt;2016&lt;/year&gt;&lt;pub-dates&gt;&lt;date&gt;01/11/online&lt;/date&gt;&lt;/pub-dates&gt;&lt;/dates&gt;&lt;publisher&gt;Nature Publishing Group&lt;/publisher&gt;&lt;work-type&gt;Article&lt;/work-type&gt;&lt;urls&gt;&lt;related-urls&gt;&lt;url&gt;https://doi.org/10.1038/nenergy.2015.8&lt;/url&gt;&lt;/related-urls&gt;&lt;/urls&gt;&lt;electronic-resource-num&gt;10.1038/nenergy.2015.8&amp;#xD;https://www.nature.com/articles/nenergy20158#supplementary-information&lt;/electronic-resource-num&gt;&lt;/record&gt;&lt;/Cite&gt;&lt;/EndNote&gt;</w:instrText>
      </w:r>
      <w:r w:rsidRPr="0092670C">
        <w:rPr>
          <w:rFonts w:ascii="Arial" w:hAnsi="Arial" w:cs="Arial"/>
        </w:rPr>
        <w:fldChar w:fldCharType="separate"/>
      </w:r>
      <w:r w:rsidR="0034337D">
        <w:rPr>
          <w:rFonts w:ascii="Arial" w:hAnsi="Arial" w:cs="Arial"/>
          <w:noProof/>
        </w:rPr>
        <w:t>[155]</w:t>
      </w:r>
      <w:r w:rsidRPr="0092670C">
        <w:rPr>
          <w:rFonts w:ascii="Arial" w:hAnsi="Arial" w:cs="Arial"/>
        </w:rPr>
        <w:fldChar w:fldCharType="end"/>
      </w:r>
      <w:r w:rsidRPr="0092670C">
        <w:rPr>
          <w:rFonts w:ascii="Arial" w:hAnsi="Arial" w:cs="Arial"/>
        </w:rPr>
        <w:t xml:space="preserve">. These are less common though and have seen little use. </w:t>
      </w:r>
    </w:p>
    <w:p w14:paraId="44B19FEC" w14:textId="6EB469DF" w:rsidR="003E14AA" w:rsidRPr="0092670C" w:rsidRDefault="003E14AA" w:rsidP="003E14AA">
      <w:pPr>
        <w:spacing w:line="360" w:lineRule="auto"/>
        <w:jc w:val="both"/>
        <w:rPr>
          <w:rFonts w:ascii="Arial" w:hAnsi="Arial" w:cs="Arial"/>
        </w:rPr>
      </w:pPr>
      <w:r w:rsidRPr="0092670C">
        <w:rPr>
          <w:rFonts w:ascii="Arial" w:hAnsi="Arial" w:cs="Arial"/>
        </w:rPr>
        <w:t xml:space="preserve">While all of these systems helped to improve the coulombic efficiency of the </w:t>
      </w:r>
      <w:r w:rsidR="00CD2A0D" w:rsidRPr="0092670C">
        <w:rPr>
          <w:rFonts w:ascii="Arial" w:hAnsi="Arial" w:cs="Arial"/>
        </w:rPr>
        <w:t>battery,</w:t>
      </w:r>
      <w:r w:rsidRPr="0092670C">
        <w:rPr>
          <w:rFonts w:ascii="Arial" w:hAnsi="Arial" w:cs="Arial"/>
        </w:rPr>
        <w:t xml:space="preserve"> they also added extra mass to the system. This is important to consider when one of the main promises of pre-lithiation is to increase the gravimetric capacity of the system. This is why more cathode mass isn’t simply added to the battery. Pre-lithiation has been shown to increase the rate capabilities of cells, which has been attributed to the lower impedance that a robust SEI provides</w:t>
      </w:r>
      <w:r w:rsidR="00C05F31" w:rsidRPr="0092670C">
        <w:rPr>
          <w:rFonts w:ascii="Arial" w:hAnsi="Arial" w:cs="Arial"/>
        </w:rPr>
        <w:t xml:space="preserve"> </w:t>
      </w:r>
      <w:r w:rsidRPr="0092670C">
        <w:rPr>
          <w:rFonts w:ascii="Arial" w:hAnsi="Arial" w:cs="Arial"/>
        </w:rPr>
        <w:fldChar w:fldCharType="begin">
          <w:fldData xml:space="preserve">PEVuZE5vdGU+PENpdGU+PEF1dGhvcj5NYXJpbmFybzwvQXV0aG9yPjxZZWFyPjIwMTY8L1llYXI+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PEVuZE5vdGU+PENpdGU+PEF1dGhvcj5NYXJpbmFybzwvQXV0aG9yPjxZZWFyPjIwMTY8L1llYXI+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[130, 156, 157]</w:t>
      </w:r>
      <w:r w:rsidRPr="0092670C">
        <w:rPr>
          <w:rFonts w:ascii="Arial" w:hAnsi="Arial" w:cs="Arial"/>
        </w:rPr>
        <w:fldChar w:fldCharType="end"/>
      </w:r>
      <w:r w:rsidRPr="0092670C">
        <w:rPr>
          <w:rFonts w:ascii="Arial" w:hAnsi="Arial" w:cs="Arial"/>
        </w:rPr>
        <w:t>. It has also been suggested that Pre-lithiation of Si anodes can cause a volume expansion, which reduces the volume expansion during cycling</w:t>
      </w:r>
      <w:r w:rsidR="00C05F31"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&lt;EndNote&gt;&lt;Cite&gt;&lt;Author&gt;Domi&lt;/Author&gt;&lt;Year&gt;2017&lt;/Year&gt;&lt;RecNum&gt;136&lt;/RecNum&gt;&lt;DisplayText&gt;[158]&lt;/DisplayText&gt;&lt;record&gt;&lt;rec-number&gt;136&lt;/rec-number&gt;&lt;foreign-keys&gt;&lt;key app="EN" db-id="5sa9s0e0r0d9fnexra7pr5xdwd5ztevx95s2" timestamp="1524752808"&gt;136&lt;/key&gt;&lt;/foreign-keys&gt;&lt;ref-type name="Journal Article"&gt;17&lt;/ref-type&gt;&lt;contributors&gt;&lt;authors&gt;&lt;author&gt;Domi, Yasuhiro&lt;/author&gt;&lt;author&gt;Usui, Hiroyuki&lt;/author&gt;&lt;author&gt;Iwanari, Daichi&lt;/author&gt;&lt;author&gt;Sakaguchi, Hiroki&lt;/author&gt;&lt;/authors&gt;&lt;/contributors&gt;&lt;titles&gt;&lt;title&gt;Effect of Mechanical Pre-Lithiation on Electrochemical Performance of Silicon Negative Electrode for Lithium-Ion Batteries&lt;/title&gt;&lt;secondary-title&gt;Journal of The Electrochemical Society&lt;/secondary-title&gt;&lt;/titles&gt;&lt;periodical&gt;&lt;full-title&gt;Journal of the Electrochemical Society&lt;/full-title&gt;&lt;abbr-1&gt;J. Electrochem. Soc.&lt;/abbr-1&gt;&lt;/periodical&gt;&lt;pages&gt;A1651-A1654&lt;/pages&gt;&lt;volume&gt;164&lt;/volume&gt;&lt;number&gt;7&lt;/number&gt;&lt;dates&gt;&lt;year&gt;2017&lt;/year&gt;&lt;pub-dates&gt;&lt;date&gt;January 1, 2017&lt;/date&gt;&lt;/pub-dates&gt;&lt;/dates&gt;&lt;urls&gt;&lt;related-urls&gt;&lt;url&gt;http://jes.ecsdl.org/content/164/7/A1651.abstract&lt;/url&gt;&lt;/related-urls&gt;&lt;/urls&gt;&lt;electronic-resource-num&gt;10.1149/2.1361707jes&lt;/electronic-resource-num&gt;&lt;/record&gt;&lt;/Cite&gt;&lt;/EndNote&gt;</w:instrText>
      </w:r>
      <w:r w:rsidRPr="0092670C">
        <w:rPr>
          <w:rFonts w:ascii="Arial" w:hAnsi="Arial" w:cs="Arial"/>
        </w:rPr>
        <w:fldChar w:fldCharType="separate"/>
      </w:r>
      <w:r w:rsidR="0034337D">
        <w:rPr>
          <w:rFonts w:ascii="Arial" w:hAnsi="Arial" w:cs="Arial"/>
          <w:noProof/>
        </w:rPr>
        <w:t>[158]</w:t>
      </w:r>
      <w:r w:rsidRPr="0092670C">
        <w:rPr>
          <w:rFonts w:ascii="Arial" w:hAnsi="Arial" w:cs="Arial"/>
        </w:rPr>
        <w:fldChar w:fldCharType="end"/>
      </w:r>
      <w:r w:rsidRPr="0092670C">
        <w:rPr>
          <w:rFonts w:ascii="Arial" w:hAnsi="Arial" w:cs="Arial"/>
        </w:rPr>
        <w:t xml:space="preserve">. </w:t>
      </w:r>
    </w:p>
    <w:p w14:paraId="6D510A02" w14:textId="77777777" w:rsidR="003E14AA" w:rsidRPr="0092670C" w:rsidRDefault="003E14AA" w:rsidP="00F80BDA">
      <w:pPr>
        <w:pStyle w:val="Heading2"/>
        <w:rPr>
          <w:rFonts w:ascii="Arial" w:hAnsi="Arial" w:cs="Arial"/>
        </w:rPr>
      </w:pPr>
      <w:bookmarkStart w:id="62" w:name="_Toc82538729"/>
      <w:r w:rsidRPr="0092670C">
        <w:rPr>
          <w:rFonts w:ascii="Arial" w:hAnsi="Arial" w:cs="Arial"/>
        </w:rPr>
        <w:t>Other artificial SEI’s</w:t>
      </w:r>
      <w:bookmarkEnd w:id="62"/>
    </w:p>
    <w:p w14:paraId="58F9D06F" w14:textId="19D4974B"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Anode pre-lithiation isn’t the only way that researchers have used to form an SEI before cycling. The earliest methods involved forming the SEI anode using thin layer coatings</w:t>
      </w:r>
      <w:r w:rsidR="00C05F31"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&lt;EndNote&gt;&lt;Cite&gt;&lt;Author&gt;Menkin&lt;/Author&gt;&lt;Year&gt;2009&lt;/Year&gt;&lt;RecNum&gt;237&lt;/RecNum&gt;&lt;DisplayText&gt;[159]&lt;/DisplayText&gt;&lt;record&gt;&lt;rec-number&gt;237&lt;/rec-number&gt;&lt;foreign-keys&gt;&lt;key app="EN" db-id="5sa9s0e0r0d9fnexra7pr5xdwd5ztevx95s2" timestamp="1557421028"&gt;237&lt;/key&gt;&lt;/foreign-keys&gt;&lt;ref-type name="Journal Article"&gt;17&lt;/ref-type&gt;&lt;contributors&gt;&lt;authors&gt;&lt;author&gt;Menkin, S.&lt;/author&gt;&lt;author&gt;Golodnitsky, D.&lt;/author&gt;&lt;author&gt;Peled, E.&lt;/author&gt;&lt;/authors&gt;&lt;/contributors&gt;&lt;titles&gt;&lt;title&gt;Artificial solid-electrolyte interphase (SEI) for improved cycleability and safety of lithium–ion cells for EV applications&lt;/title&gt;&lt;secondary-title&gt;Electrochemistry Communications&lt;/secondary-title&gt;&lt;/titles&gt;&lt;periodical&gt;&lt;full-title&gt;Electrochemistry Communications&lt;/full-title&gt;&lt;/periodical&gt;&lt;pages&gt;1789-1791&lt;/pages&gt;&lt;volume&gt;11&lt;/volume&gt;&lt;number&gt;9&lt;/number&gt;&lt;keywords&gt;&lt;keyword&gt;Lithium ion battery&lt;/keyword&gt;&lt;keyword&gt;SEI&lt;/keyword&gt;&lt;keyword&gt;Anode&lt;/keyword&gt;&lt;keyword&gt;Safety&lt;/keyword&gt;&lt;keyword&gt;Tin&lt;/keyword&gt;&lt;keyword&gt;Electric-vehicle&lt;/keyword&gt;&lt;/keywords&gt;&lt;dates&gt;&lt;year&gt;2009&lt;/year&gt;&lt;pub-dates&gt;&lt;date&gt;2009/09/01/&lt;/date&gt;&lt;/pub-dates&gt;&lt;/dates&gt;&lt;isbn&gt;1388-2481&lt;/isbn&gt;&lt;urls&gt;&lt;related-urls&gt;&lt;url&gt;http://www.sciencedirect.com/science/article/pii/S1388248109003464&lt;/url&gt;&lt;/related-urls&gt;&lt;/urls&gt;&lt;electronic-resource-num&gt;https://doi.org/10.1016/j.elecom.2009.07.019&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[159]</w:t>
      </w:r>
      <w:r w:rsidRPr="0092670C">
        <w:rPr>
          <w:rFonts w:ascii="Arial" w:eastAsia="Calibri" w:hAnsi="Arial" w:cs="Arial"/>
        </w:rPr>
        <w:fldChar w:fldCharType="end"/>
      </w:r>
      <w:r w:rsidRPr="0092670C">
        <w:rPr>
          <w:rFonts w:ascii="Arial" w:eastAsia="Calibri" w:hAnsi="Arial" w:cs="Arial"/>
        </w:rPr>
        <w:t>. These were commonly used techniques in manufacturing such as electrodeposition and vacuum insertion. This idea of using a thin layer SEI has led to a variety of single layer inorganic salts being applied such as TiO</w:t>
      </w:r>
      <w:r w:rsidRPr="0092670C">
        <w:rPr>
          <w:rFonts w:ascii="Arial" w:eastAsia="Calibri" w:hAnsi="Arial" w:cs="Arial"/>
          <w:vertAlign w:val="subscript"/>
        </w:rPr>
        <w:t>2</w:t>
      </w:r>
      <w:r w:rsidRPr="0092670C">
        <w:rPr>
          <w:rFonts w:ascii="Arial" w:eastAsia="Calibri" w:hAnsi="Arial" w:cs="Arial"/>
        </w:rPr>
        <w:t xml:space="preserve"> &amp; Al</w:t>
      </w:r>
      <w:r w:rsidRPr="0092670C">
        <w:rPr>
          <w:rFonts w:ascii="Arial" w:eastAsia="Calibri" w:hAnsi="Arial" w:cs="Arial"/>
          <w:vertAlign w:val="subscript"/>
        </w:rPr>
        <w:t>2</w:t>
      </w:r>
      <w:r w:rsidRPr="0092670C">
        <w:rPr>
          <w:rFonts w:ascii="Arial" w:eastAsia="Calibri" w:hAnsi="Arial" w:cs="Arial"/>
        </w:rPr>
        <w:t>O</w:t>
      </w:r>
      <w:r w:rsidRPr="0092670C">
        <w:rPr>
          <w:rFonts w:ascii="Arial" w:eastAsia="Calibri" w:hAnsi="Arial" w:cs="Arial"/>
          <w:vertAlign w:val="subscript"/>
        </w:rPr>
        <w:t>3</w:t>
      </w:r>
      <w:r w:rsidRPr="0092670C">
        <w:rPr>
          <w:rFonts w:ascii="Arial" w:eastAsia="Calibri" w:hAnsi="Arial" w:cs="Arial"/>
        </w:rPr>
        <w:t xml:space="preserve"> to both graphite and Li </w:t>
      </w:r>
      <w:r w:rsidRPr="0092670C">
        <w:rPr>
          <w:rFonts w:ascii="Arial" w:eastAsia="Calibri" w:hAnsi="Arial" w:cs="Arial"/>
        </w:rPr>
        <w:fldChar w:fldCharType="begin">
          <w:fldData xml:space="preserve">PEVuZE5vdGU+PENpdGU+PEF1dGhvcj5QZWxlZDwvQXV0aG9yPjxZZWFyPjIwMTc8L1llYXI+PFJl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PEVuZE5vdGU+PENpdGU+PEF1dGhvcj5QZWxlZDwvQXV0aG9yPjxZZWFyPjIwMTc8L1llYXI+PFJl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[51, 160, 161]</w:t>
      </w:r>
      <w:r w:rsidRPr="0092670C">
        <w:rPr>
          <w:rFonts w:ascii="Arial" w:eastAsia="Calibri" w:hAnsi="Arial" w:cs="Arial"/>
        </w:rPr>
        <w:fldChar w:fldCharType="end"/>
      </w:r>
      <w:r w:rsidRPr="0092670C">
        <w:rPr>
          <w:rFonts w:ascii="Arial" w:eastAsia="Calibri" w:hAnsi="Arial" w:cs="Arial"/>
        </w:rPr>
        <w:t xml:space="preserve">. </w:t>
      </w:r>
    </w:p>
    <w:p w14:paraId="02BE06C6" w14:textId="31F7EDB3"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As the SEI became better understood the artificial SEI became more complex to be more accomplished at fulfilling the role of the SEI. </w:t>
      </w:r>
      <w:r w:rsidR="006C1A05">
        <w:rPr>
          <w:rFonts w:ascii="Arial" w:eastAsia="Calibri" w:hAnsi="Arial" w:cs="Arial"/>
        </w:rPr>
        <w:t>Wu and co-workers</w:t>
      </w:r>
      <w:r w:rsidRPr="0092670C">
        <w:rPr>
          <w:rFonts w:ascii="Arial" w:eastAsia="Calibri" w:hAnsi="Arial" w:cs="Arial"/>
        </w:rPr>
        <w:t xml:space="preserve"> showed how knowledge of natural SEI systems could be used to direct development of artificial ones</w:t>
      </w:r>
      <w:r w:rsidR="00C05F31"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&lt;EndNote&gt;&lt;Cite&gt;&lt;Author&gt;Li&lt;/Author&gt;&lt;Year&gt;2015&lt;/Year&gt;&lt;RecNum&gt;248&lt;/RecNum&gt;&lt;DisplayText&gt;[162]&lt;/DisplayText&gt;&lt;record&gt;&lt;rec-number&gt;248&lt;/rec-number&gt;&lt;foreign-keys&gt;&lt;key app="EN" db-id="5sa9s0e0r0d9fnexra7pr5xdwd5ztevx95s2" timestamp="1558024155"&gt;248&lt;/key&gt;&lt;/foreign-keys&gt;&lt;ref-type name="Journal Article"&gt;17&lt;/ref-type&gt;&lt;contributors&gt;&lt;authors&gt;&lt;author&gt;Li, Fu-Sheng&lt;/author&gt;&lt;author&gt;Wu, Yu-Shiang&lt;/author&gt;&lt;author&gt;Chou, Jackey&lt;/author&gt;&lt;author&gt;Winter, Martin&lt;/author&gt;&lt;author&gt;Wu, Nae-Lih&lt;/author&gt;&lt;/authors&gt;&lt;/contributors&gt;&lt;titles&gt;&lt;title&gt;A Mechanically Robust and Highly Ion-Conductive Polymer-Blend Coating for High-Power and Long-Life Lithium-Ion Battery Anodes&lt;/title&gt;&lt;secondary-title&gt;Advanced Materials&lt;/secondary-title&gt;&lt;/titles&gt;&lt;periodical&gt;&lt;full-title&gt;Advanced Materials&lt;/full-title&gt;&lt;abbr-1&gt;Adv. Mater.&lt;/abbr-1&gt;&lt;/periodical&gt;&lt;pages&gt;130-137&lt;/pages&gt;&lt;volume&gt;27&lt;/volume&gt;&lt;number&gt;1&lt;/number&gt;&lt;dates&gt;&lt;year&gt;2015&lt;/year&gt;&lt;/dates&gt;&lt;isbn&gt;0935-9648&lt;/isbn&gt;&lt;urls&gt;&lt;related-urls&gt;&lt;url&gt;https://onlinelibrary.wiley.com/doi/abs/10.1002/adma.201403880&lt;/url&gt;&lt;/related-urls&gt;&lt;/urls&gt;&lt;electronic-resource-num&gt;10.1002/adma.201403880&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[162]</w:t>
      </w:r>
      <w:r w:rsidRPr="0092670C">
        <w:rPr>
          <w:rFonts w:ascii="Arial" w:eastAsia="Calibri" w:hAnsi="Arial" w:cs="Arial"/>
        </w:rPr>
        <w:fldChar w:fldCharType="end"/>
      </w:r>
      <w:r w:rsidRPr="0092670C">
        <w:rPr>
          <w:rFonts w:ascii="Arial" w:eastAsia="Calibri" w:hAnsi="Arial" w:cs="Arial"/>
        </w:rPr>
        <w:t>. They used a polymer backbone that directed Li ions down dedicated channels. These channels help to ensure fast Li diffusion. This faster diffusion meant that even at high C</w:t>
      </w:r>
      <w:r w:rsidR="007B40EE" w:rsidRPr="0092670C">
        <w:rPr>
          <w:rFonts w:ascii="Arial" w:eastAsia="Calibri" w:hAnsi="Arial" w:cs="Arial"/>
        </w:rPr>
        <w:t>-</w:t>
      </w:r>
      <w:r w:rsidRPr="0092670C">
        <w:rPr>
          <w:rFonts w:ascii="Arial" w:eastAsia="Calibri" w:hAnsi="Arial" w:cs="Arial"/>
        </w:rPr>
        <w:t>rates (25</w:t>
      </w:r>
      <w:r w:rsidR="006F149E">
        <w:rPr>
          <w:rFonts w:ascii="Arial" w:eastAsia="Calibri" w:hAnsi="Arial" w:cs="Arial"/>
        </w:rPr>
        <w:t xml:space="preserve"> </w:t>
      </w:r>
      <w:r w:rsidRPr="0092670C">
        <w:rPr>
          <w:rFonts w:ascii="Arial" w:eastAsia="Calibri" w:hAnsi="Arial" w:cs="Arial"/>
        </w:rPr>
        <w:t xml:space="preserve">C) they retained most of their capacity (80%). They used a polymer with an aromatic group that undergoes π stacking with the graphite, ensuring that the polymer adheres to it. An extensive hydrogen bonding network ensures that the </w:t>
      </w:r>
      <w:r w:rsidR="007B40EE" w:rsidRPr="0092670C">
        <w:rPr>
          <w:rFonts w:ascii="Arial" w:eastAsia="Calibri" w:hAnsi="Arial" w:cs="Arial"/>
        </w:rPr>
        <w:t>two</w:t>
      </w:r>
      <w:r w:rsidRPr="0092670C">
        <w:rPr>
          <w:rFonts w:ascii="Arial" w:eastAsia="Calibri" w:hAnsi="Arial" w:cs="Arial"/>
        </w:rPr>
        <w:t xml:space="preserve"> polymers used bind to each other. The main issue with this technique is that to ensure that the SEI doesn’t dissolve during the tape casting process N-methyl-2-pyrrolidine (NMP) was used as a solvent. This is more expensive, toxic and requires more energy to remove than water. </w:t>
      </w:r>
    </w:p>
    <w:p w14:paraId="18FB931A" w14:textId="77777777" w:rsidR="00F53239" w:rsidRPr="0092670C" w:rsidRDefault="0067644A" w:rsidP="00F53239">
      <w:pPr>
        <w:keepNext/>
        <w:spacing w:line="256"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2556" w:dyaOrig="2475" w14:anchorId="0577B67D">
          <v:shape id="_x0000_i1059" type="#_x0000_t75" style="width:132.1pt;height:119.9pt" o:ole="">
            <v:imagedata r:id="rId106" o:title=""/>
          </v:shape>
          <o:OLEObject Type="Embed" ProgID="ChemDraw.Document.6.0" ShapeID="_x0000_i1059" DrawAspect="Content" ObjectID="_1700733948" r:id="rId107"/>
        </w:object>
      </w:r>
      <w:r w:rsidRPr="0092670C">
        <w:rPr>
          <w:rFonts w:ascii="Arial" w:hAnsi="Arial" w:cs="Arial"/>
          <w:noProof/>
        </w:rPr>
      </w:r>
      <w:r w:rsidR="0067644A" w:rsidRPr="0092670C">
        <w:rPr>
          <w:rFonts w:ascii="Arial" w:hAnsi="Arial" w:cs="Arial"/>
          <w:noProof/>
        </w:rPr>
        <w:object w:dxaOrig="1641" w:dyaOrig="3053" w14:anchorId="5CA09EDE">
          <v:shape id="_x0000_i1060" type="#_x0000_t75" style="width:83.9pt;height:150.1pt" o:ole="">
            <v:imagedata r:id="rId108" o:title=""/>
          </v:shape>
          <o:OLEObject Type="Embed" ProgID="ChemDraw.Document.6.0" ShapeID="_x0000_i1060" DrawAspect="Content" ObjectID="_1700733949" r:id="rId109"/>
        </w:object>
      </w:r>
    </w:p>
    <w:p w14:paraId="7F3D0AEA" w14:textId="48609D74" w:rsidR="00F53239" w:rsidRPr="006F149E" w:rsidRDefault="00F53239" w:rsidP="00586C2F">
      <w:pPr>
        <w:spacing w:after="200" w:line="240" w:lineRule="auto"/>
        <w:jc w:val="center"/>
        <w:rPr>
          <w:rFonts w:ascii="Arial" w:hAnsi="Arial" w:cs="Arial"/>
          <w:i/>
          <w:iCs/>
          <w:color w:val="44546A" w:themeColor="text2"/>
          <w:sz w:val="20"/>
          <w:szCs w:val="20"/>
        </w:rPr>
      </w:pPr>
      <w:bookmarkStart w:id="63" w:name="_Ref30625944"/>
      <w:r w:rsidRPr="006F149E">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21</w:t>
      </w:r>
      <w:r w:rsidR="00356A26">
        <w:rPr>
          <w:rFonts w:ascii="Arial" w:hAnsi="Arial" w:cs="Arial"/>
          <w:i/>
          <w:iCs/>
          <w:color w:val="44546A" w:themeColor="text2"/>
          <w:sz w:val="20"/>
          <w:szCs w:val="20"/>
        </w:rPr>
        <w:fldChar w:fldCharType="end"/>
      </w:r>
      <w:bookmarkEnd w:id="63"/>
      <w:r w:rsidRPr="006F149E">
        <w:rPr>
          <w:rFonts w:ascii="Arial" w:hAnsi="Arial" w:cs="Arial"/>
          <w:i/>
          <w:iCs/>
          <w:color w:val="44546A" w:themeColor="text2"/>
          <w:sz w:val="20"/>
          <w:szCs w:val="20"/>
        </w:rPr>
        <w:t xml:space="preserve">: Structure of polydially dimethyl-ammonium chloride (PDDA, left) and polysodium 4-styrenesulfonate (PSS, right) used for the water insoluble artificial SEI  </w:t>
      </w:r>
      <w:r w:rsidR="00411F12" w:rsidRPr="006F149E">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&lt;EndNote&gt;&lt;Cite&gt;&lt;Author&gt;Wu&lt;/Author&gt;&lt;Year&gt;2015&lt;/Year&gt;&lt;RecNum&gt;203&lt;/RecNum&gt;&lt;DisplayText&gt;[163]&lt;/DisplayText&gt;&lt;record&gt;&lt;rec-number&gt;203&lt;/rec-number&gt;&lt;foreign-keys&gt;&lt;key app="EN" db-id="5sa9s0e0r0d9fnexra7pr5xdwd5ztevx95s2" timestamp="1553358496"&gt;203&lt;/key&gt;&lt;/foreign-keys&gt;&lt;ref-type name="Journal Article"&gt;17&lt;/ref-type&gt;&lt;contributors&gt;&lt;authors&gt;&lt;author&gt;Wu, Nae-Lih&lt;/author&gt;&lt;author&gt;Weng, Yu-Ting&lt;/author&gt;&lt;author&gt;Li, Fu-Sheng&lt;/author&gt;&lt;author&gt;Yang, Nai-Hsuan&lt;/author&gt;&lt;author&gt;Kuo, Chin-Lung&lt;/author&gt;&lt;author&gt;Li, Dong-Sheng&lt;/author&gt;&lt;/authors&gt;&lt;/contributors&gt;&lt;titles&gt;&lt;title&gt;Polymeric artificial solid/electrolyte interphases for Li-ion batteries&lt;/title&gt;&lt;secondary-title&gt;Progress in Natural Science: Materials International&lt;/secondary-title&gt;&lt;/titles&gt;&lt;periodical&gt;&lt;full-title&gt;Progress in Natural Science: Materials International&lt;/full-title&gt;&lt;/periodical&gt;&lt;pages&gt;563-571&lt;/pages&gt;&lt;volume&gt;25&lt;/volume&gt;&lt;number&gt;6&lt;/number&gt;&lt;keywords&gt;&lt;keyword&gt;Li ion battery&lt;/keyword&gt;&lt;keyword&gt;Solid electrolyte interphase&lt;/keyword&gt;&lt;keyword&gt;Surface modification&lt;/keyword&gt;&lt;keyword&gt;Polymer blend&lt;/keyword&gt;&lt;/keywords&gt;&lt;dates&gt;&lt;year&gt;2015&lt;/year&gt;&lt;pub-dates&gt;&lt;date&gt;2015/12/01/&lt;/date&gt;&lt;/pub-dates&gt;&lt;/dates&gt;&lt;isbn&gt;1002-0071&lt;/isbn&gt;&lt;urls&gt;&lt;related-urls&gt;&lt;url&gt;http://www.sciencedirect.com/science/article/pii/S1002007115001276&lt;/url&gt;&lt;/related-urls&gt;&lt;/urls&gt;&lt;electronic-resource-num&gt;https://doi.org/10.1016/j.pnsc.2015.11.009&lt;/electronic-resource-num&gt;&lt;/record&gt;&lt;/Cite&gt;&lt;/EndNote&gt;</w:instrText>
      </w:r>
      <w:r w:rsidR="00411F12" w:rsidRPr="006F149E">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[163]</w:t>
      </w:r>
      <w:r w:rsidR="00411F12" w:rsidRPr="006F149E">
        <w:rPr>
          <w:rFonts w:ascii="Arial" w:hAnsi="Arial" w:cs="Arial"/>
          <w:i/>
          <w:iCs/>
          <w:color w:val="44546A" w:themeColor="text2"/>
          <w:sz w:val="20"/>
          <w:szCs w:val="20"/>
        </w:rPr>
        <w:fldChar w:fldCharType="end"/>
      </w:r>
      <w:r w:rsidR="006F149E" w:rsidRPr="006F149E">
        <w:rPr>
          <w:rFonts w:ascii="Arial" w:hAnsi="Arial" w:cs="Arial"/>
          <w:i/>
          <w:iCs/>
          <w:color w:val="44546A" w:themeColor="text2"/>
          <w:sz w:val="20"/>
          <w:szCs w:val="20"/>
        </w:rPr>
        <w:t>.</w:t>
      </w:r>
    </w:p>
    <w:p w14:paraId="4F16823E" w14:textId="6677813D" w:rsidR="003E14AA" w:rsidRPr="0092670C" w:rsidRDefault="003E14AA" w:rsidP="003E14AA">
      <w:pPr>
        <w:spacing w:line="360" w:lineRule="auto"/>
        <w:jc w:val="both"/>
        <w:rPr>
          <w:rFonts w:ascii="Arial" w:hAnsi="Arial" w:cs="Arial"/>
          <w:noProof/>
        </w:rPr>
      </w:pPr>
      <w:r w:rsidRPr="0092670C">
        <w:rPr>
          <w:rFonts w:ascii="Arial" w:eastAsia="Calibri" w:hAnsi="Arial" w:cs="Arial"/>
        </w:rPr>
        <w:t xml:space="preserve">This work was further improved by Wu </w:t>
      </w:r>
      <w:r w:rsidRPr="0092670C">
        <w:rPr>
          <w:rFonts w:ascii="Arial" w:eastAsia="Calibri" w:hAnsi="Arial" w:cs="Arial"/>
          <w:i/>
        </w:rPr>
        <w:t>et al.</w:t>
      </w:r>
      <w:r w:rsidRPr="0092670C">
        <w:rPr>
          <w:rFonts w:ascii="Arial" w:eastAsia="Calibri" w:hAnsi="Arial" w:cs="Arial"/>
        </w:rPr>
        <w:t xml:space="preserve"> </w:t>
      </w:r>
      <w:r w:rsidR="00AB4B5C">
        <w:rPr>
          <w:rFonts w:ascii="Arial" w:eastAsia="Calibri" w:hAnsi="Arial" w:cs="Arial"/>
        </w:rPr>
        <w:fldChar w:fldCharType="begin"/>
      </w:r>
      <w:r w:rsidR="0034337D">
        <w:rPr>
          <w:rFonts w:ascii="Arial" w:eastAsia="Calibri" w:hAnsi="Arial" w:cs="Arial"/>
        </w:rPr>
        <w:instrText xml:space="preserve"> ADDIN EN.CITE &lt;EndNote&gt;&lt;Cite&gt;&lt;Author&gt;Wu&lt;/Author&gt;&lt;Year&gt;2015&lt;/Year&gt;&lt;RecNum&gt;203&lt;/RecNum&gt;&lt;DisplayText&gt;[163]&lt;/DisplayText&gt;&lt;record&gt;&lt;rec-number&gt;203&lt;/rec-number&gt;&lt;foreign-keys&gt;&lt;key app="EN" db-id="5sa9s0e0r0d9fnexra7pr5xdwd5ztevx95s2" timestamp="1553358496"&gt;203&lt;/key&gt;&lt;/foreign-keys&gt;&lt;ref-type name="Journal Article"&gt;17&lt;/ref-type&gt;&lt;contributors&gt;&lt;authors&gt;&lt;author&gt;Wu, Nae-Lih&lt;/author&gt;&lt;author&gt;Weng, Yu-Ting&lt;/author&gt;&lt;author&gt;Li, Fu-Sheng&lt;/author&gt;&lt;author&gt;Yang, Nai-Hsuan&lt;/author&gt;&lt;author&gt;Kuo, Chin-Lung&lt;/author&gt;&lt;author&gt;Li, Dong-Sheng&lt;/author&gt;&lt;/authors&gt;&lt;/contributors&gt;&lt;titles&gt;&lt;title&gt;Polymeric artificial solid/electrolyte interphases for Li-ion batteries&lt;/title&gt;&lt;secondary-title&gt;Progress in Natural Science: Materials International&lt;/secondary-title&gt;&lt;/titles&gt;&lt;periodical&gt;&lt;full-title&gt;Progress in Natural Science: Materials International&lt;/full-title&gt;&lt;/periodical&gt;&lt;pages&gt;563-571&lt;/pages&gt;&lt;volume&gt;25&lt;/volume&gt;&lt;number&gt;6&lt;/number&gt;&lt;keywords&gt;&lt;keyword&gt;Li ion battery&lt;/keyword&gt;&lt;keyword&gt;Solid electrolyte interphase&lt;/keyword&gt;&lt;keyword&gt;Surface modification&lt;/keyword&gt;&lt;keyword&gt;Polymer blend&lt;/keyword&gt;&lt;/keywords&gt;&lt;dates&gt;&lt;year&gt;2015&lt;/year&gt;&lt;pub-dates&gt;&lt;date&gt;2015/12/01/&lt;/date&gt;&lt;/pub-dates&gt;&lt;/dates&gt;&lt;isbn&gt;1002-0071&lt;/isbn&gt;&lt;urls&gt;&lt;related-urls&gt;&lt;url&gt;http://www.sciencedirect.com/science/article/pii/S1002007115001276&lt;/url&gt;&lt;/related-urls&gt;&lt;/urls&gt;&lt;electronic-resource-num&gt;https://doi.org/10.1016/j.pnsc.2015.11.009&lt;/electronic-resource-num&gt;&lt;/record&gt;&lt;/Cite&gt;&lt;/EndNote&gt;</w:instrText>
      </w:r>
      <w:r w:rsidR="00AB4B5C">
        <w:rPr>
          <w:rFonts w:ascii="Arial" w:eastAsia="Calibri" w:hAnsi="Arial" w:cs="Arial"/>
        </w:rPr>
        <w:fldChar w:fldCharType="separate"/>
      </w:r>
      <w:r w:rsidR="0034337D">
        <w:rPr>
          <w:rFonts w:ascii="Arial" w:eastAsia="Calibri" w:hAnsi="Arial" w:cs="Arial"/>
          <w:noProof/>
        </w:rPr>
        <w:t>[163]</w:t>
      </w:r>
      <w:r w:rsidR="00AB4B5C">
        <w:rPr>
          <w:rFonts w:ascii="Arial" w:eastAsia="Calibri" w:hAnsi="Arial" w:cs="Arial"/>
        </w:rPr>
        <w:fldChar w:fldCharType="end"/>
      </w:r>
      <w:r w:rsidR="00AB4B5C">
        <w:rPr>
          <w:rFonts w:ascii="Arial" w:eastAsia="Calibri" w:hAnsi="Arial" w:cs="Arial"/>
        </w:rPr>
        <w:t xml:space="preserve">. </w:t>
      </w:r>
      <w:r w:rsidRPr="0092670C">
        <w:rPr>
          <w:rFonts w:ascii="Arial" w:eastAsia="Calibri" w:hAnsi="Arial" w:cs="Arial"/>
        </w:rPr>
        <w:t>To overcome the issue of water solubility the group used a ternary polymer solution. 2 of these were polyelectrolytes that together formed a water insoluble blend</w:t>
      </w:r>
      <w:r w:rsidR="003B60A8" w:rsidRPr="0092670C">
        <w:rPr>
          <w:rFonts w:ascii="Arial" w:eastAsia="Calibri" w:hAnsi="Arial" w:cs="Arial"/>
        </w:rPr>
        <w:t xml:space="preserve"> and these are shown in </w:t>
      </w:r>
      <w:r w:rsidR="003B60A8" w:rsidRPr="0092670C">
        <w:rPr>
          <w:rFonts w:ascii="Arial" w:eastAsia="Calibri" w:hAnsi="Arial" w:cs="Arial"/>
        </w:rPr>
        <w:fldChar w:fldCharType="begin"/>
      </w:r>
      <w:r w:rsidR="003B60A8" w:rsidRPr="0092670C">
        <w:rPr>
          <w:rFonts w:ascii="Arial" w:eastAsia="Calibri" w:hAnsi="Arial" w:cs="Arial"/>
        </w:rPr>
        <w:instrText xml:space="preserve"> REF _Ref30625944 \h  \* MERGEFORMAT </w:instrText>
      </w:r>
      <w:r w:rsidR="003B60A8" w:rsidRPr="0092670C">
        <w:rPr>
          <w:rFonts w:ascii="Arial" w:eastAsia="Calibri" w:hAnsi="Arial" w:cs="Arial"/>
        </w:rPr>
      </w:r>
      <w:r w:rsidR="003B60A8" w:rsidRPr="0092670C">
        <w:rPr>
          <w:rFonts w:ascii="Arial" w:eastAsia="Calibri"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21</w:t>
      </w:r>
      <w:r w:rsidR="003B60A8" w:rsidRPr="0092670C">
        <w:rPr>
          <w:rFonts w:ascii="Arial" w:eastAsia="Calibri" w:hAnsi="Arial" w:cs="Arial"/>
        </w:rPr>
        <w:fldChar w:fldCharType="end"/>
      </w:r>
      <w:r w:rsidRPr="0092670C">
        <w:rPr>
          <w:rFonts w:ascii="Arial" w:eastAsia="Calibri" w:hAnsi="Arial" w:cs="Arial"/>
        </w:rPr>
        <w:t xml:space="preserve">. The third polymer is a binder that helped to ensure that the carbon black was distributed evenly through the slurry. This </w:t>
      </w:r>
      <w:r w:rsidR="00294FBD" w:rsidRPr="0092670C">
        <w:rPr>
          <w:rFonts w:ascii="Arial" w:eastAsia="Calibri" w:hAnsi="Arial" w:cs="Arial"/>
        </w:rPr>
        <w:t>water-soluble</w:t>
      </w:r>
      <w:r w:rsidRPr="0092670C">
        <w:rPr>
          <w:rFonts w:ascii="Arial" w:eastAsia="Calibri" w:hAnsi="Arial" w:cs="Arial"/>
        </w:rPr>
        <w:t xml:space="preserve"> blend displayed improved retention at high C-rates as well as better coulombic efficiency.</w:t>
      </w:r>
      <w:r w:rsidRPr="0092670C">
        <w:rPr>
          <w:rFonts w:ascii="Arial" w:hAnsi="Arial" w:cs="Arial"/>
          <w:noProof/>
        </w:rPr>
        <w:t xml:space="preserve"> </w:t>
      </w:r>
    </w:p>
    <w:p w14:paraId="04D708B8" w14:textId="5B37FF4E" w:rsidR="003E14AA" w:rsidRPr="0092670C" w:rsidRDefault="003E14AA" w:rsidP="003E14AA">
      <w:pPr>
        <w:spacing w:line="360" w:lineRule="auto"/>
        <w:jc w:val="both"/>
        <w:rPr>
          <w:rFonts w:ascii="Arial" w:hAnsi="Arial" w:cs="Arial"/>
        </w:rPr>
      </w:pPr>
      <w:r w:rsidRPr="0092670C">
        <w:rPr>
          <w:rFonts w:ascii="Arial" w:eastAsia="Calibri" w:hAnsi="Arial" w:cs="Arial"/>
        </w:rPr>
        <w:t xml:space="preserve">Another study of note is that by Li </w:t>
      </w:r>
      <w:r w:rsidRPr="0092670C">
        <w:rPr>
          <w:rFonts w:ascii="Arial" w:eastAsia="Calibri" w:hAnsi="Arial" w:cs="Arial"/>
          <w:i/>
        </w:rPr>
        <w:t>et al</w:t>
      </w:r>
      <w:r w:rsidRPr="0092670C">
        <w:rPr>
          <w:rFonts w:ascii="Arial" w:eastAsia="Calibri" w:hAnsi="Arial" w:cs="Arial"/>
        </w:rPr>
        <w:t>.</w:t>
      </w:r>
      <w:r w:rsidR="00C05F31"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&lt;EndNote&gt;&lt;Cite&gt;&lt;Author&gt;Li&lt;/Author&gt;&lt;Year&gt;2014&lt;/Year&gt;&lt;RecNum&gt;249&lt;/RecNum&gt;&lt;DisplayText&gt;[164]&lt;/DisplayText&gt;&lt;record&gt;&lt;rec-number&gt;249&lt;/rec-number&gt;&lt;foreign-keys&gt;&lt;key app="EN" db-id="5sa9s0e0r0d9fnexra7pr5xdwd5ztevx95s2" timestamp="1558103098"&gt;249&lt;/key&gt;&lt;/foreign-keys&gt;&lt;ref-type name="Journal Article"&gt;17&lt;/ref-type&gt;&lt;contributors&gt;&lt;authors&gt;&lt;author&gt;Li, Juchuan&lt;/author&gt;&lt;author&gt;Dudney, Nancy J.&lt;/author&gt;&lt;author&gt;Nanda, Jagjit&lt;/author&gt;&lt;author&gt;Liang, Chengdu&lt;/author&gt;&lt;/authors&gt;&lt;/contributors&gt;&lt;titles&gt;&lt;title&gt;Artificial Solid Electrolyte Interphase To Address the Electrochemical Degradation of Silicon Electrodes&lt;/title&gt;&lt;secondary-title&gt;ACS Applied Materials &amp;amp; Interfaces&lt;/secondary-title&gt;&lt;/titles&gt;&lt;periodical&gt;&lt;full-title&gt;ACS Applied Materials &amp;amp; Interfaces&lt;/full-title&gt;&lt;/periodical&gt;&lt;pages&gt;10083-10088&lt;/pages&gt;&lt;volume&gt;6&lt;/volume&gt;&lt;number&gt;13&lt;/number&gt;&lt;dates&gt;&lt;year&gt;2014&lt;/year&gt;&lt;pub-dates&gt;&lt;date&gt;2014/07/09&lt;/date&gt;&lt;/pub-dates&gt;&lt;/dates&gt;&lt;publisher&gt;American Chemical Society&lt;/publisher&gt;&lt;isbn&gt;1944-8244&lt;/isbn&gt;&lt;urls&gt;&lt;related-urls&gt;&lt;url&gt;https://doi.org/10.1021/am5009419&lt;/url&gt;&lt;/related-urls&gt;&lt;/urls&gt;&lt;electronic-resource-num&gt;10.1021/am5009419&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[164]</w:t>
      </w:r>
      <w:r w:rsidRPr="0092670C">
        <w:rPr>
          <w:rFonts w:ascii="Arial" w:eastAsia="Calibri" w:hAnsi="Arial" w:cs="Arial"/>
        </w:rPr>
        <w:fldChar w:fldCharType="end"/>
      </w:r>
      <w:r w:rsidRPr="0092670C">
        <w:rPr>
          <w:rFonts w:ascii="Arial" w:eastAsia="Calibri" w:hAnsi="Arial" w:cs="Arial"/>
        </w:rPr>
        <w:t>.</w:t>
      </w:r>
      <w:r w:rsidRPr="0092670C">
        <w:rPr>
          <w:rFonts w:ascii="Arial" w:eastAsia="Calibri" w:hAnsi="Arial" w:cs="Arial"/>
          <w:i/>
        </w:rPr>
        <w:t xml:space="preserve"> </w:t>
      </w:r>
      <w:r w:rsidRPr="0092670C">
        <w:rPr>
          <w:rFonts w:ascii="Arial" w:eastAsia="Calibri" w:hAnsi="Arial" w:cs="Arial"/>
        </w:rPr>
        <w:t xml:space="preserve">They demonstrated the importance of optimising the thickness of the artificial SEI to ensure that it has the desired properties. They used </w:t>
      </w:r>
      <w:r w:rsidRPr="0092670C">
        <w:rPr>
          <w:rFonts w:ascii="Arial" w:hAnsi="Arial" w:cs="Arial"/>
        </w:rPr>
        <w:t>lithium phosphorus oxynitride (LIPON) which has frequently been touted as a solid electrolyte</w:t>
      </w:r>
      <w:r w:rsidR="0047209F"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&lt;EndNote&gt;&lt;Cite&gt;&lt;Author&gt;Yu&lt;/Author&gt;&lt;Year&gt;1997&lt;/Year&gt;&lt;RecNum&gt;23&lt;/RecNum&gt;&lt;DisplayText&gt;[165]&lt;/DisplayText&gt;&lt;record&gt;&lt;rec-number&gt;23&lt;/rec-number&gt;&lt;foreign-keys&gt;&lt;key app="EN" db-id="5sa9s0e0r0d9fnexra7pr5xdwd5ztevx95s2" timestamp="1503066362"&gt;23&lt;/key&gt;&lt;/foreign-keys&gt;&lt;ref-type name="Journal Article"&gt;17&lt;/ref-type&gt;&lt;contributors&gt;&lt;authors&gt;&lt;author&gt;Yu, Xiaohua&lt;/author&gt;&lt;author&gt;Bates, J. B.&lt;/author&gt;&lt;author&gt;Jellison, G. E.&lt;/author&gt;&lt;author&gt;Hart, F. X.&lt;/author&gt;&lt;/authors&gt;&lt;/contributors&gt;&lt;titles&gt;&lt;title&gt;A Stable Thin</w:instrText>
      </w:r>
      <w:r w:rsidR="0034337D">
        <w:rPr>
          <w:rFonts w:ascii="Cambria Math" w:hAnsi="Cambria Math" w:cs="Cambria Math"/>
        </w:rPr>
        <w:instrText>‐</w:instrText>
      </w:r>
      <w:r w:rsidR="0034337D">
        <w:rPr>
          <w:rFonts w:ascii="Arial" w:hAnsi="Arial" w:cs="Arial"/>
        </w:rPr>
        <w:instrText>Film Lithium Electrolyte: Lithium Phosphorus Oxynitride&lt;/title&gt;&lt;secondary-title&gt;Journal of The Electrochemical Society&lt;/secondary-title&gt;&lt;/titles&gt;&lt;periodical&gt;&lt;full-title&gt;Journal of the Electrochemical Society&lt;/full-title&gt;&lt;abbr-1&gt;J. Electrochem. Soc.&lt;/abbr-1&gt;&lt;/periodical&gt;&lt;pages&gt;524-532&lt;/pages&gt;&lt;volume&gt;144&lt;/volume&gt;&lt;number&gt;2&lt;/number&gt;&lt;dates&gt;&lt;year&gt;1997&lt;/year&gt;&lt;pub-dates&gt;&lt;date&gt;February 1, 1997&lt;/date&gt;&lt;/pub-dates&gt;&lt;/dates&gt;&lt;urls&gt;&lt;related-urls&gt;&lt;url&gt;http://jes.ecsdl.org/content/144/2/524.abstract&lt;/url&gt;&lt;/related-urls&gt;&lt;/urls&gt;&lt;electronic-resource-num&gt;10.1149/1.1837443&lt;/electronic-resource-num&gt;&lt;/record&gt;&lt;/Cite&gt;&lt;/EndNote&gt;</w:instrText>
      </w:r>
      <w:r w:rsidRPr="0092670C">
        <w:rPr>
          <w:rFonts w:ascii="Arial" w:hAnsi="Arial" w:cs="Arial"/>
        </w:rPr>
        <w:fldChar w:fldCharType="separate"/>
      </w:r>
      <w:r w:rsidR="0034337D">
        <w:rPr>
          <w:rFonts w:ascii="Arial" w:hAnsi="Arial" w:cs="Arial"/>
          <w:noProof/>
        </w:rPr>
        <w:t>[165]</w:t>
      </w:r>
      <w:r w:rsidRPr="0092670C">
        <w:rPr>
          <w:rFonts w:ascii="Arial" w:hAnsi="Arial" w:cs="Arial"/>
        </w:rPr>
        <w:fldChar w:fldCharType="end"/>
      </w:r>
      <w:r w:rsidRPr="0092670C">
        <w:rPr>
          <w:rFonts w:ascii="Arial" w:hAnsi="Arial" w:cs="Arial"/>
        </w:rPr>
        <w:t>. They found that when the SEI layer was thinner that 40</w:t>
      </w:r>
      <w:r w:rsidR="0047209F" w:rsidRPr="0092670C">
        <w:rPr>
          <w:rFonts w:ascii="Arial" w:hAnsi="Arial" w:cs="Arial"/>
        </w:rPr>
        <w:t xml:space="preserve"> </w:t>
      </w:r>
      <w:r w:rsidRPr="0092670C">
        <w:rPr>
          <w:rFonts w:ascii="Arial" w:hAnsi="Arial" w:cs="Arial"/>
        </w:rPr>
        <w:t>nm it wasn’t effective with low coulombic efficiency and capacity degradation at higher cycle number. As soon as LIPON thickness reaches 50</w:t>
      </w:r>
      <w:r w:rsidR="006F149E">
        <w:rPr>
          <w:rFonts w:ascii="Arial" w:hAnsi="Arial" w:cs="Arial"/>
        </w:rPr>
        <w:t xml:space="preserve"> </w:t>
      </w:r>
      <w:r w:rsidRPr="0092670C">
        <w:rPr>
          <w:rFonts w:ascii="Arial" w:hAnsi="Arial" w:cs="Arial"/>
        </w:rPr>
        <w:t>nm both of these outputs improve making them comparable to graphite. They used EIS to probe these different films and found that at 50</w:t>
      </w:r>
      <w:r w:rsidR="0047209F" w:rsidRPr="0092670C">
        <w:rPr>
          <w:rFonts w:ascii="Arial" w:hAnsi="Arial" w:cs="Arial"/>
        </w:rPr>
        <w:t xml:space="preserve"> </w:t>
      </w:r>
      <w:r w:rsidRPr="0092670C">
        <w:rPr>
          <w:rFonts w:ascii="Arial" w:hAnsi="Arial" w:cs="Arial"/>
        </w:rPr>
        <w:t>nm the electronic conductivity of the LIPON dropped significantly</w:t>
      </w:r>
      <w:r w:rsidR="00687982" w:rsidRPr="0092670C">
        <w:rPr>
          <w:rFonts w:ascii="Arial" w:hAnsi="Arial" w:cs="Arial"/>
        </w:rPr>
        <w:t xml:space="preserve"> as can be seen in </w:t>
      </w:r>
      <w:r w:rsidR="00F53239" w:rsidRPr="0092670C">
        <w:rPr>
          <w:rFonts w:ascii="Arial" w:hAnsi="Arial" w:cs="Arial"/>
        </w:rPr>
        <w:fldChar w:fldCharType="begin"/>
      </w:r>
      <w:r w:rsidR="00F53239" w:rsidRPr="0092670C">
        <w:rPr>
          <w:rFonts w:ascii="Arial" w:hAnsi="Arial" w:cs="Arial"/>
        </w:rPr>
        <w:instrText xml:space="preserve"> REF _Ref30625699 \h  \* MERGEFORMAT </w:instrText>
      </w:r>
      <w:r w:rsidR="00F53239" w:rsidRPr="0092670C">
        <w:rPr>
          <w:rFonts w:ascii="Arial" w:hAnsi="Arial" w:cs="Arial"/>
        </w:rPr>
      </w:r>
      <w:r w:rsidR="00F53239"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1</w:t>
      </w:r>
      <w:r w:rsidR="007342C8" w:rsidRPr="007342C8">
        <w:rPr>
          <w:rFonts w:ascii="Arial" w:hAnsi="Arial" w:cs="Arial"/>
          <w:noProof/>
        </w:rPr>
        <w:noBreakHyphen/>
        <w:t>22</w:t>
      </w:r>
      <w:r w:rsidR="00F53239" w:rsidRPr="0092670C">
        <w:rPr>
          <w:rFonts w:ascii="Arial" w:hAnsi="Arial" w:cs="Arial"/>
        </w:rPr>
        <w:fldChar w:fldCharType="end"/>
      </w:r>
      <w:r w:rsidRPr="0092670C">
        <w:rPr>
          <w:rFonts w:ascii="Arial" w:hAnsi="Arial" w:cs="Arial"/>
        </w:rPr>
        <w:t xml:space="preserve">. </w:t>
      </w:r>
      <w:r w:rsidR="009B5D71">
        <w:rPr>
          <w:rFonts w:ascii="Arial" w:hAnsi="Arial" w:cs="Arial"/>
        </w:rPr>
        <w:t xml:space="preserve">It is therefore preferable to </w:t>
      </w:r>
      <w:r w:rsidR="0065178E">
        <w:rPr>
          <w:rFonts w:ascii="Arial" w:hAnsi="Arial" w:cs="Arial"/>
        </w:rPr>
        <w:t xml:space="preserve">have the Lipon </w:t>
      </w:r>
      <w:r w:rsidR="006B2569">
        <w:rPr>
          <w:rFonts w:ascii="Arial" w:hAnsi="Arial" w:cs="Arial"/>
        </w:rPr>
        <w:t xml:space="preserve">as a homogenous layer </w:t>
      </w:r>
      <w:r w:rsidR="0065178E">
        <w:rPr>
          <w:rFonts w:ascii="Arial" w:hAnsi="Arial" w:cs="Arial"/>
        </w:rPr>
        <w:t xml:space="preserve">at least 50nm thick to ensure that the SEI isn’t an electronic conductor, limiting degradation of the </w:t>
      </w:r>
      <w:r w:rsidR="002C760F">
        <w:rPr>
          <w:rFonts w:ascii="Arial" w:hAnsi="Arial" w:cs="Arial"/>
        </w:rPr>
        <w:t>electrolyte. The</w:t>
      </w:r>
      <w:r w:rsidRPr="0092670C">
        <w:rPr>
          <w:rFonts w:ascii="Arial" w:hAnsi="Arial" w:cs="Arial"/>
        </w:rPr>
        <w:t xml:space="preserve"> demonstrates how important it is that the SEI is electrically insulating as otherwise the electrolyte degrades. The LIPON thickness required to inhibit electron conduction is far greater than has been seen with natural SEIs</w:t>
      </w:r>
      <w:r w:rsidR="00C05F31"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&lt;EndNote&gt;&lt;Cite&gt;&lt;Author&gt;Peled&lt;/Author&gt;&lt;Year&gt;1983&lt;/Year&gt;&lt;RecNum&gt;241&lt;/RecNum&gt;&lt;DisplayText&gt;[62]&lt;/DisplayText&gt;&lt;record&gt;&lt;rec-number&gt;241&lt;/rec-number&gt;&lt;foreign-keys&gt;&lt;key app="EN" db-id="5sa9s0e0r0d9fnexra7pr5xdwd5ztevx95s2" timestamp="1557919248"&gt;241&lt;/key&gt;&lt;/foreign-keys&gt;&lt;ref-type name="Journal Article"&gt;17&lt;/ref-type&gt;&lt;contributors&gt;&lt;authors&gt;&lt;author&gt;Peled, E.&lt;/author&gt;&lt;/authors&gt;&lt;/contributors&gt;&lt;titles&gt;&lt;title&gt;Film forming reaction at the lithium/electrolyte interface&lt;/title&gt;&lt;secondary-title&gt;Journal of Power Sources&lt;/secondary-title&gt;&lt;/titles&gt;&lt;periodical&gt;&lt;full-title&gt;Journal of Power Sources&lt;/full-title&gt;&lt;/periodical&gt;&lt;pages&gt;253-266&lt;/pages&gt;&lt;volume&gt;9&lt;/volume&gt;&lt;number&gt;3&lt;/number&gt;&lt;dates&gt;&lt;year&gt;1983&lt;/year&gt;&lt;pub-dates&gt;&lt;date&gt;1983/01/01/&lt;/date&gt;&lt;/pub-dates&gt;&lt;/dates&gt;&lt;isbn&gt;0378-7753&lt;/isbn&gt;&lt;urls&gt;&lt;related-urls&gt;&lt;url&gt;http://www.sciencedirect.com/science/article/pii/0378775383870268&lt;/url&gt;&lt;/related-urls&gt;&lt;/urls&gt;&lt;electronic-resource-num&gt;https://doi.org/10.1016/0378-7753(83)87026-8&lt;/electronic-resource-num&gt;&lt;/record&gt;&lt;/Cite&gt;&lt;/EndNote&gt;</w:instrText>
      </w:r>
      <w:r w:rsidRPr="0092670C">
        <w:rPr>
          <w:rFonts w:ascii="Arial" w:hAnsi="Arial" w:cs="Arial"/>
        </w:rPr>
        <w:fldChar w:fldCharType="separate"/>
      </w:r>
      <w:r w:rsidR="00C10A8D">
        <w:rPr>
          <w:rFonts w:ascii="Arial" w:hAnsi="Arial" w:cs="Arial"/>
          <w:noProof/>
        </w:rPr>
        <w:t>[62]</w:t>
      </w:r>
      <w:r w:rsidRPr="0092670C">
        <w:rPr>
          <w:rFonts w:ascii="Arial" w:hAnsi="Arial" w:cs="Arial"/>
        </w:rPr>
        <w:fldChar w:fldCharType="end"/>
      </w:r>
      <w:r w:rsidRPr="0092670C">
        <w:rPr>
          <w:rFonts w:ascii="Arial" w:hAnsi="Arial" w:cs="Arial"/>
        </w:rPr>
        <w:t>. The group attributed this to heterojunctions in the structure but they stressed that further study was required</w:t>
      </w:r>
      <w:r w:rsidR="00C05F31"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&lt;EndNote&gt;&lt;Cite&gt;&lt;Author&gt;Sata&lt;/Author&gt;&lt;Year&gt;2000&lt;/Year&gt;&lt;RecNum&gt;251&lt;/RecNum&gt;&lt;DisplayText&gt;[166]&lt;/DisplayText&gt;&lt;record&gt;&lt;rec-number&gt;251&lt;/rec-number&gt;&lt;foreign-keys&gt;&lt;key app="EN" db-id="5sa9s0e0r0d9fnexra7pr5xdwd5ztevx95s2" timestamp="1558347970"&gt;251&lt;/key&gt;&lt;/foreign-keys&gt;&lt;ref-type name="Journal Article"&gt;17&lt;/ref-type&gt;&lt;contributors&gt;&lt;authors&gt;&lt;author&gt;Sata, N.&lt;/author&gt;&lt;author&gt;Eberman, K.&lt;/author&gt;&lt;author&gt;Eberl, K.&lt;/author&gt;&lt;author&gt;Maier, J.&lt;/author&gt;&lt;/authors&gt;&lt;/contributors&gt;&lt;titles&gt;&lt;title&gt;Mesoscopic fast ion conduction in nanometre-scale planar heterostructures&lt;/title&gt;&lt;secondary-title&gt;Nature&lt;/secondary-title&gt;&lt;/titles&gt;&lt;periodical&gt;&lt;full-title&gt;Nature&lt;/full-title&gt;&lt;/periodical&gt;&lt;pages&gt;946-949&lt;/pages&gt;&lt;volume&gt;408&lt;/volume&gt;&lt;number&gt;6815&lt;/number&gt;&lt;dates&gt;&lt;year&gt;2000&lt;/year&gt;&lt;pub-dates&gt;&lt;date&gt;2000/12/01&lt;/date&gt;&lt;/pub-dates&gt;&lt;/dates&gt;&lt;isbn&gt;1476-4687&lt;/isbn&gt;&lt;urls&gt;&lt;related-urls&gt;&lt;url&gt;https://doi.org/10.1038/35050047&lt;/url&gt;&lt;/related-urls&gt;&lt;/urls&gt;&lt;electronic-resource-num&gt;10.1038/35050047&lt;/electronic-resource-num&gt;&lt;/record&gt;&lt;/Cite&gt;&lt;/EndNote&gt;</w:instrText>
      </w:r>
      <w:r w:rsidRPr="0092670C">
        <w:rPr>
          <w:rFonts w:ascii="Arial" w:hAnsi="Arial" w:cs="Arial"/>
        </w:rPr>
        <w:fldChar w:fldCharType="separate"/>
      </w:r>
      <w:r w:rsidR="0034337D">
        <w:rPr>
          <w:rFonts w:ascii="Arial" w:hAnsi="Arial" w:cs="Arial"/>
          <w:noProof/>
        </w:rPr>
        <w:t>[166]</w:t>
      </w:r>
      <w:r w:rsidRPr="0092670C">
        <w:rPr>
          <w:rFonts w:ascii="Arial" w:hAnsi="Arial" w:cs="Arial"/>
        </w:rPr>
        <w:fldChar w:fldCharType="end"/>
      </w:r>
      <w:r w:rsidRPr="0092670C">
        <w:rPr>
          <w:rFonts w:ascii="Arial" w:hAnsi="Arial" w:cs="Arial"/>
        </w:rPr>
        <w:t>.</w:t>
      </w:r>
    </w:p>
    <w:p w14:paraId="24925897" w14:textId="14CEE90C" w:rsidR="004738F6" w:rsidRPr="0092670C" w:rsidRDefault="004738F6" w:rsidP="003E14AA">
      <w:pPr>
        <w:spacing w:line="360" w:lineRule="auto"/>
        <w:jc w:val="both"/>
        <w:rPr>
          <w:rFonts w:ascii="Arial" w:hAnsi="Arial" w:cs="Arial"/>
        </w:rPr>
      </w:pPr>
    </w:p>
    <w:p w14:paraId="60CF3D69" w14:textId="10F8638C" w:rsidR="004738F6" w:rsidRPr="0092670C" w:rsidRDefault="004738F6" w:rsidP="003E14AA">
      <w:pPr>
        <w:spacing w:line="360" w:lineRule="auto"/>
        <w:jc w:val="both"/>
        <w:rPr>
          <w:rFonts w:ascii="Arial" w:hAnsi="Arial" w:cs="Arial"/>
        </w:rPr>
      </w:pPr>
    </w:p>
    <w:p w14:paraId="240FAC88" w14:textId="7C49493E" w:rsidR="004738F6" w:rsidRPr="0092670C" w:rsidRDefault="004738F6" w:rsidP="003E14AA">
      <w:pPr>
        <w:spacing w:line="360" w:lineRule="auto"/>
        <w:jc w:val="both"/>
        <w:rPr>
          <w:rFonts w:ascii="Arial" w:hAnsi="Arial" w:cs="Arial"/>
        </w:rPr>
      </w:pPr>
    </w:p>
    <w:p w14:paraId="228BC311" w14:textId="77A409A1" w:rsidR="004738F6" w:rsidRPr="0092670C" w:rsidRDefault="004738F6" w:rsidP="003E14AA">
      <w:pPr>
        <w:spacing w:line="360" w:lineRule="auto"/>
        <w:jc w:val="both"/>
        <w:rPr>
          <w:rFonts w:ascii="Arial" w:hAnsi="Arial" w:cs="Arial"/>
        </w:rPr>
      </w:pPr>
    </w:p>
    <w:p w14:paraId="6B1251E8" w14:textId="3B63EF60" w:rsidR="004738F6" w:rsidRPr="0092670C" w:rsidRDefault="004738F6" w:rsidP="003E14AA">
      <w:pPr>
        <w:spacing w:line="360" w:lineRule="auto"/>
        <w:jc w:val="both"/>
        <w:rPr>
          <w:rFonts w:ascii="Arial" w:hAnsi="Arial" w:cs="Arial"/>
        </w:rPr>
      </w:pPr>
    </w:p>
    <w:p w14:paraId="03E319E9" w14:textId="6A06C2E1" w:rsidR="004738F6" w:rsidRPr="0092670C" w:rsidRDefault="004738F6" w:rsidP="003E14AA">
      <w:pPr>
        <w:spacing w:line="360" w:lineRule="auto"/>
        <w:jc w:val="both"/>
        <w:rPr>
          <w:rFonts w:ascii="Arial" w:hAnsi="Arial" w:cs="Arial"/>
        </w:rPr>
      </w:pPr>
    </w:p>
    <w:p w14:paraId="206F2E7F" w14:textId="77777777" w:rsidR="004738F6" w:rsidRPr="0092670C" w:rsidRDefault="004738F6" w:rsidP="003E14AA">
      <w:pPr>
        <w:spacing w:line="360" w:lineRule="auto"/>
        <w:jc w:val="both"/>
        <w:rPr>
          <w:rFonts w:ascii="Arial" w:hAnsi="Arial" w:cs="Arial"/>
        </w:rPr>
      </w:pPr>
    </w:p>
    <w:p w14:paraId="0C5FAA98" w14:textId="77777777" w:rsidR="00F53239" w:rsidRPr="0092670C" w:rsidRDefault="00F53239" w:rsidP="009E2A54">
      <w:pPr>
        <w:keepNext/>
        <w:spacing w:before="200" w:line="256" w:lineRule="auto"/>
        <w:ind w:right="850"/>
        <w:jc w:val="center"/>
        <w:rPr>
          <w:rFonts w:ascii="Arial" w:hAnsi="Arial" w:cs="Arial"/>
        </w:rPr>
      </w:pPr>
      <w:r w:rsidRPr="0092670C">
        <w:rPr>
          <w:rFonts w:ascii="Arial" w:hAnsi="Arial" w:cs="Arial"/>
          <w:noProof/>
        </w:rPr>
        <w:drawing>
          <wp:inline distT="0" distB="0" distL="0" distR="0" wp14:anchorId="66B74D81" wp14:editId="212528D4">
            <wp:extent cx="3590925" cy="2631517"/>
            <wp:effectExtent l="0" t="0" r="0" b="0"/>
            <wp:docPr id="3077" name="Picture 5">
              <a:extLst xmlns:a="http://schemas.openxmlformats.org/drawingml/2006/main">
                <a:ext uri="{FF2B5EF4-FFF2-40B4-BE49-F238E27FC236}">
                  <a16:creationId xmlns:a16="http://schemas.microsoft.com/office/drawing/2014/main" id="{E95476D8-262C-4069-BC7D-0FC5AF8AF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a:extLst>
                        <a:ext uri="{FF2B5EF4-FFF2-40B4-BE49-F238E27FC236}">
                          <a16:creationId xmlns:a16="http://schemas.microsoft.com/office/drawing/2014/main" id="{E95476D8-262C-4069-BC7D-0FC5AF8AF250}"/>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8773" cy="2644596"/>
                    </a:xfrm>
                    <a:prstGeom prst="rect">
                      <a:avLst/>
                    </a:prstGeom>
                    <a:noFill/>
                    <a:ln>
                      <a:noFill/>
                    </a:ln>
                    <a:effectLst/>
                  </pic:spPr>
                </pic:pic>
              </a:graphicData>
            </a:graphic>
          </wp:inline>
        </w:drawing>
      </w:r>
    </w:p>
    <w:p w14:paraId="4D202EFC" w14:textId="22034CDB" w:rsidR="00F53239" w:rsidRPr="006F149E" w:rsidRDefault="00F53239" w:rsidP="00F53239">
      <w:pPr>
        <w:spacing w:after="200" w:line="240" w:lineRule="auto"/>
        <w:jc w:val="center"/>
        <w:rPr>
          <w:rFonts w:ascii="Arial" w:eastAsia="Calibri" w:hAnsi="Arial" w:cs="Arial"/>
          <w:i/>
          <w:iCs/>
          <w:color w:val="44546A" w:themeColor="text2"/>
          <w:sz w:val="20"/>
          <w:szCs w:val="20"/>
        </w:rPr>
      </w:pPr>
      <w:bookmarkStart w:id="64" w:name="_Ref30625699"/>
      <w:r w:rsidRPr="006F149E">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22</w:t>
      </w:r>
      <w:r w:rsidR="00356A26">
        <w:rPr>
          <w:rFonts w:ascii="Arial" w:hAnsi="Arial" w:cs="Arial"/>
          <w:i/>
          <w:iCs/>
          <w:color w:val="44546A" w:themeColor="text2"/>
          <w:sz w:val="20"/>
          <w:szCs w:val="20"/>
        </w:rPr>
        <w:fldChar w:fldCharType="end"/>
      </w:r>
      <w:bookmarkEnd w:id="64"/>
      <w:r w:rsidRPr="006F149E">
        <w:rPr>
          <w:rFonts w:ascii="Arial" w:hAnsi="Arial" w:cs="Arial"/>
          <w:i/>
          <w:iCs/>
          <w:color w:val="44546A" w:themeColor="text2"/>
          <w:sz w:val="20"/>
          <w:szCs w:val="20"/>
        </w:rPr>
        <w:t xml:space="preserve">: How conductivity of an artificial SEI varies with increasing film thickness </w:t>
      </w:r>
      <w:r w:rsidRPr="006F149E">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&lt;EndNote&gt;&lt;Cite&gt;&lt;Author&gt;Li&lt;/Author&gt;&lt;Year&gt;2014&lt;/Year&gt;&lt;RecNum&gt;249&lt;/RecNum&gt;&lt;DisplayText&gt;[164]&lt;/DisplayText&gt;&lt;record&gt;&lt;rec-number&gt;249&lt;/rec-number&gt;&lt;foreign-keys&gt;&lt;key app="EN" db-id="5sa9s0e0r0d9fnexra7pr5xdwd5ztevx95s2" timestamp="1558103098"&gt;249&lt;/key&gt;&lt;/foreign-keys&gt;&lt;ref-type name="Journal Article"&gt;17&lt;/ref-type&gt;&lt;contributors&gt;&lt;authors&gt;&lt;author&gt;Li, Juchuan&lt;/author&gt;&lt;author&gt;Dudney, Nancy J.&lt;/author&gt;&lt;author&gt;Nanda, Jagjit&lt;/author&gt;&lt;author&gt;Liang, Chengdu&lt;/author&gt;&lt;/authors&gt;&lt;/contributors&gt;&lt;titles&gt;&lt;title&gt;Artificial Solid Electrolyte Interphase To Address the Electrochemical Degradation of Silicon Electrodes&lt;/title&gt;&lt;secondary-title&gt;ACS Applied Materials &amp;amp; Interfaces&lt;/secondary-title&gt;&lt;/titles&gt;&lt;periodical&gt;&lt;full-title&gt;ACS Applied Materials &amp;amp; Interfaces&lt;/full-title&gt;&lt;/periodical&gt;&lt;pages&gt;10083-10088&lt;/pages&gt;&lt;volume&gt;6&lt;/volume&gt;&lt;number&gt;13&lt;/number&gt;&lt;dates&gt;&lt;year&gt;2014&lt;/year&gt;&lt;pub-dates&gt;&lt;date&gt;2014/07/09&lt;/date&gt;&lt;/pub-dates&gt;&lt;/dates&gt;&lt;publisher&gt;American Chemical Society&lt;/publisher&gt;&lt;isbn&gt;1944-8244&lt;/isbn&gt;&lt;urls&gt;&lt;related-urls&gt;&lt;url&gt;https://doi.org/10.1021/am5009419&lt;/url&gt;&lt;/related-urls&gt;&lt;/urls&gt;&lt;electronic-resource-num&gt;10.1021/am5009419&lt;/electronic-resource-num&gt;&lt;/record&gt;&lt;/Cite&gt;&lt;/EndNote&gt;</w:instrText>
      </w:r>
      <w:r w:rsidRPr="006F149E">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[164]</w:t>
      </w:r>
      <w:r w:rsidRPr="006F149E">
        <w:rPr>
          <w:rFonts w:ascii="Arial" w:hAnsi="Arial" w:cs="Arial"/>
          <w:i/>
          <w:iCs/>
          <w:color w:val="44546A" w:themeColor="text2"/>
          <w:sz w:val="20"/>
          <w:szCs w:val="20"/>
        </w:rPr>
        <w:fldChar w:fldCharType="end"/>
      </w:r>
      <w:r w:rsidR="006F149E" w:rsidRPr="006F149E">
        <w:rPr>
          <w:rFonts w:ascii="Arial" w:hAnsi="Arial" w:cs="Arial"/>
          <w:i/>
          <w:iCs/>
          <w:color w:val="44546A" w:themeColor="text2"/>
          <w:sz w:val="20"/>
          <w:szCs w:val="20"/>
        </w:rPr>
        <w:t>.</w:t>
      </w:r>
    </w:p>
    <w:p w14:paraId="34C53141" w14:textId="30922248" w:rsidR="00F53239" w:rsidRDefault="00FC1A90" w:rsidP="001D5CAF">
      <w:pPr>
        <w:pStyle w:val="Heading2"/>
        <w:rPr>
          <w:rFonts w:ascii="Arial" w:eastAsia="Calibri" w:hAnsi="Arial" w:cs="Arial"/>
        </w:rPr>
      </w:pPr>
      <w:bookmarkStart w:id="65" w:name="_Toc82538730"/>
      <w:r>
        <w:rPr>
          <w:rFonts w:ascii="Arial" w:eastAsia="Calibri" w:hAnsi="Arial" w:cs="Arial"/>
        </w:rPr>
        <w:t>Sodium-io</w:t>
      </w:r>
      <w:r w:rsidR="001D5CAF">
        <w:rPr>
          <w:rFonts w:ascii="Arial" w:eastAsia="Calibri" w:hAnsi="Arial" w:cs="Arial"/>
        </w:rPr>
        <w:t>n batteries</w:t>
      </w:r>
      <w:bookmarkEnd w:id="65"/>
    </w:p>
    <w:p w14:paraId="238591FA" w14:textId="3C6EE36E" w:rsidR="00A1140E" w:rsidRDefault="00A8661D" w:rsidP="00621A17">
      <w:pPr>
        <w:spacing w:line="360" w:lineRule="auto"/>
        <w:jc w:val="both"/>
        <w:rPr>
          <w:rFonts w:ascii="Arial" w:hAnsi="Arial" w:cs="Arial"/>
        </w:rPr>
      </w:pPr>
      <w:r>
        <w:rPr>
          <w:rFonts w:ascii="Arial" w:hAnsi="Arial" w:cs="Arial"/>
        </w:rPr>
        <w:t xml:space="preserve">Sodium-ion batteries are </w:t>
      </w:r>
      <w:r w:rsidR="00C64643">
        <w:rPr>
          <w:rFonts w:ascii="Arial" w:hAnsi="Arial" w:cs="Arial"/>
        </w:rPr>
        <w:t xml:space="preserve">seeing as massive surge in interest due to </w:t>
      </w:r>
      <w:r w:rsidR="00CF1BBA">
        <w:rPr>
          <w:rFonts w:ascii="Arial" w:hAnsi="Arial" w:cs="Arial"/>
        </w:rPr>
        <w:t>worries</w:t>
      </w:r>
      <w:r w:rsidR="00C64643">
        <w:rPr>
          <w:rFonts w:ascii="Arial" w:hAnsi="Arial" w:cs="Arial"/>
        </w:rPr>
        <w:t xml:space="preserve"> about the sustainability of </w:t>
      </w:r>
      <w:r w:rsidR="00CF1BBA">
        <w:rPr>
          <w:rFonts w:ascii="Arial" w:hAnsi="Arial" w:cs="Arial"/>
        </w:rPr>
        <w:t>some part of the Li-ion battery supply chain</w:t>
      </w:r>
    </w:p>
    <w:p w14:paraId="4AE5ADB0" w14:textId="5CA97C70" w:rsidR="00621A17" w:rsidRPr="0092670C" w:rsidRDefault="00621A17" w:rsidP="00621A17">
      <w:pPr>
        <w:spacing w:line="360" w:lineRule="auto"/>
        <w:jc w:val="both"/>
        <w:rPr>
          <w:rFonts w:ascii="Arial" w:hAnsi="Arial" w:cs="Arial"/>
        </w:rPr>
      </w:pPr>
      <w:r w:rsidRPr="0092670C">
        <w:rPr>
          <w:rFonts w:ascii="Arial" w:hAnsi="Arial" w:cs="Arial"/>
        </w:rPr>
        <w:t xml:space="preserve">Na-ion cells are based upon a </w:t>
      </w:r>
      <w:r w:rsidR="00DA0F0D">
        <w:rPr>
          <w:rFonts w:ascii="Arial" w:hAnsi="Arial" w:cs="Arial"/>
        </w:rPr>
        <w:t>rocking chair</w:t>
      </w:r>
      <w:r w:rsidRPr="0092670C">
        <w:rPr>
          <w:rFonts w:ascii="Arial" w:hAnsi="Arial" w:cs="Arial"/>
        </w:rPr>
        <w:t xml:space="preserve"> mechanism with Na replacing Li as the charge carrier. As Na</w:t>
      </w:r>
      <w:r w:rsidRPr="0092670C">
        <w:rPr>
          <w:rFonts w:ascii="Arial" w:hAnsi="Arial" w:cs="Arial"/>
          <w:vertAlign w:val="superscript"/>
        </w:rPr>
        <w:t>+</w:t>
      </w:r>
      <w:r w:rsidRPr="0092670C">
        <w:rPr>
          <w:rFonts w:ascii="Arial" w:hAnsi="Arial" w:cs="Arial"/>
        </w:rPr>
        <w:t xml:space="preserve"> has a larger ionic radius than Li</w:t>
      </w:r>
      <w:r w:rsidRPr="0092670C">
        <w:rPr>
          <w:rFonts w:ascii="Arial" w:hAnsi="Arial" w:cs="Arial"/>
          <w:vertAlign w:val="superscript"/>
        </w:rPr>
        <w:t>+</w:t>
      </w:r>
      <w:r w:rsidRPr="0092670C">
        <w:rPr>
          <w:rFonts w:ascii="Arial" w:hAnsi="Arial" w:cs="Arial"/>
        </w:rPr>
        <w:t xml:space="preserve"> it can’t intercalate into graphite. This means that hard carbon is the most common anode material </w:t>
      </w:r>
      <w:r w:rsidRPr="0092670C">
        <w:rPr>
          <w:rFonts w:ascii="Arial" w:hAnsi="Arial" w:cs="Arial"/>
        </w:rPr>
        <w:fldChar w:fldCharType="begin"/>
      </w:r>
      <w:r w:rsidR="0034337D">
        <w:rPr>
          <w:rFonts w:ascii="Arial" w:hAnsi="Arial" w:cs="Arial"/>
        </w:rPr>
        <w:instrText xml:space="preserve"> ADDIN EN.CITE &lt;EndNote&gt;&lt;Cite&gt;&lt;Author&gt;Stevens&lt;/Author&gt;&lt;Year&gt;2000&lt;/Year&gt;&lt;RecNum&gt;84&lt;/RecNum&gt;&lt;DisplayText&gt;[167]&lt;/DisplayText&gt;&lt;record&gt;&lt;rec-number&gt;84&lt;/rec-number&gt;&lt;foreign-keys&gt;&lt;key app="EN" db-id="5sa9s0e0r0d9fnexra7pr5xdwd5ztevx95s2" timestamp="1516185735"&gt;84&lt;/key&gt;&lt;/foreign-keys&gt;&lt;ref-type name="Journal Article"&gt;17&lt;/ref-type&gt;&lt;contributors&gt;&lt;authors&gt;&lt;author&gt;Stevens, D. A.&lt;/author&gt;&lt;author&gt;Dahn, J. R.&lt;/author&gt;&lt;/authors&gt;&lt;/contributors&gt;&lt;titles&gt;&lt;title&gt;High Capacity Anode Materials for Rechargeable Sodium</w:instrText>
      </w:r>
      <w:r w:rsidR="0034337D">
        <w:rPr>
          <w:rFonts w:ascii="Cambria Math" w:hAnsi="Cambria Math" w:cs="Cambria Math"/>
        </w:rPr>
        <w:instrText>‐</w:instrText>
      </w:r>
      <w:r w:rsidR="0034337D">
        <w:rPr>
          <w:rFonts w:ascii="Arial" w:hAnsi="Arial" w:cs="Arial"/>
        </w:rPr>
        <w:instrText>Ion Batteries&lt;/title&gt;&lt;secondary-title&gt;Journal of The Electrochemical Society&lt;/secondary-title&gt;&lt;/titles&gt;&lt;periodical&gt;&lt;full-title&gt;Journal of the Electrochemical Society&lt;/full-title&gt;&lt;abbr-1&gt;J. Electrochem. Soc.&lt;/abbr-1&gt;&lt;/periodical&gt;&lt;pages&gt;1271-1273&lt;/pages&gt;&lt;volume&gt;147&lt;/volume&gt;&lt;number&gt;4&lt;/number&gt;&lt;dates&gt;&lt;year&gt;2000&lt;/year&gt;&lt;pub-dates&gt;&lt;date&gt;April 1, 2000&lt;/date&gt;&lt;/pub-dates&gt;&lt;/dates&gt;&lt;urls&gt;&lt;related-urls&gt;&lt;url&gt;http://jes.ecsdl.org/content/147/4/1271.abstract&lt;/url&gt;&lt;/related-urls&gt;&lt;/urls&gt;&lt;electronic-resource-num&gt;10.1149/1.1393348&lt;/electronic-resource-num&gt;&lt;/record&gt;&lt;/Cite&gt;&lt;/EndNote&gt;</w:instrText>
      </w:r>
      <w:r w:rsidRPr="0092670C">
        <w:rPr>
          <w:rFonts w:ascii="Arial" w:hAnsi="Arial" w:cs="Arial"/>
        </w:rPr>
        <w:fldChar w:fldCharType="separate"/>
      </w:r>
      <w:r w:rsidR="0034337D">
        <w:rPr>
          <w:rFonts w:ascii="Arial" w:hAnsi="Arial" w:cs="Arial"/>
          <w:noProof/>
        </w:rPr>
        <w:t>[167]</w:t>
      </w:r>
      <w:r w:rsidRPr="0092670C">
        <w:rPr>
          <w:rFonts w:ascii="Arial" w:hAnsi="Arial" w:cs="Arial"/>
        </w:rPr>
        <w:fldChar w:fldCharType="end"/>
      </w:r>
      <w:r w:rsidRPr="0092670C">
        <w:rPr>
          <w:rFonts w:ascii="Arial" w:hAnsi="Arial" w:cs="Arial"/>
        </w:rPr>
        <w:t xml:space="preserve">. Hard carbon can also intercalate Li although it has a lower specific capacity than graphite. It is believed that the hard carbon stores the Na in a ‘house of cards’ formation where disorganised carbon sheets envelop the Na and this is visualised in </w:t>
      </w:r>
      <w:r w:rsidRPr="0092670C">
        <w:rPr>
          <w:rFonts w:ascii="Arial" w:hAnsi="Arial" w:cs="Arial"/>
        </w:rPr>
        <w:fldChar w:fldCharType="begin"/>
      </w:r>
      <w:r w:rsidRPr="0092670C">
        <w:rPr>
          <w:rFonts w:ascii="Arial" w:hAnsi="Arial" w:cs="Arial"/>
        </w:rPr>
        <w:instrText xml:space="preserve"> REF _Ref30859524 \h  \* MERGEFORMAT </w:instrText>
      </w:r>
      <w:r w:rsidRPr="0092670C">
        <w:rPr>
          <w:rFonts w:ascii="Arial" w:hAnsi="Arial" w:cs="Arial"/>
        </w:rPr>
      </w:r>
      <w:r w:rsidRPr="0092670C">
        <w:rPr>
          <w:rFonts w:ascii="Arial" w:hAnsi="Arial" w:cs="Arial"/>
        </w:rPr>
        <w:fldChar w:fldCharType="separate"/>
      </w:r>
      <w:r w:rsidRPr="007342C8">
        <w:rPr>
          <w:rFonts w:ascii="Arial" w:hAnsi="Arial" w:cs="Arial"/>
        </w:rPr>
        <w:t xml:space="preserve">Figure </w:t>
      </w:r>
      <w:r w:rsidRPr="007342C8">
        <w:rPr>
          <w:rFonts w:ascii="Arial" w:hAnsi="Arial" w:cs="Arial"/>
          <w:noProof/>
        </w:rPr>
        <w:t>6</w:t>
      </w:r>
      <w:r w:rsidRPr="007342C8">
        <w:rPr>
          <w:rFonts w:ascii="Arial" w:hAnsi="Arial" w:cs="Arial"/>
          <w:noProof/>
        </w:rPr>
        <w:noBreakHyphen/>
        <w:t>1</w:t>
      </w:r>
      <w:r w:rsidRPr="0092670C">
        <w:rPr>
          <w:rFonts w:ascii="Arial" w:hAnsi="Arial" w:cs="Arial"/>
        </w:rPr>
        <w:fldChar w:fldCharType="end"/>
      </w:r>
      <w:r w:rsidRPr="0092670C">
        <w:rPr>
          <w:rFonts w:ascii="Arial" w:hAnsi="Arial" w:cs="Arial"/>
        </w:rPr>
        <w:t>. Due to this there isn’t a well-defined stoichiometry for the Na-hard carbon complex and so as a result of this there isn’t a defined theoretical capacity, although the realised capacity is typically 200-300</w:t>
      </w:r>
      <w:r>
        <w:rPr>
          <w:rFonts w:ascii="Arial" w:hAnsi="Arial" w:cs="Arial"/>
        </w:rPr>
        <w:t>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w:t>
      </w:r>
    </w:p>
    <w:p w14:paraId="6845285B" w14:textId="77777777" w:rsidR="00621A17" w:rsidRPr="0092670C" w:rsidRDefault="00621A17" w:rsidP="00621A17">
      <w:pPr>
        <w:keepNext/>
        <w:jc w:val="both"/>
        <w:rPr>
          <w:rFonts w:ascii="Arial" w:hAnsi="Arial" w:cs="Arial"/>
        </w:rPr>
      </w:pPr>
      <w:r w:rsidRPr="0092670C">
        <w:rPr>
          <w:rFonts w:ascii="Arial" w:hAnsi="Arial" w:cs="Arial"/>
          <w:noProof/>
        </w:rPr>
        <w:drawing>
          <wp:inline distT="0" distB="0" distL="0" distR="0" wp14:anchorId="5205015A" wp14:editId="2511B0D7">
            <wp:extent cx="5731510" cy="2612390"/>
            <wp:effectExtent l="0" t="0" r="2540" b="0"/>
            <wp:docPr id="46" name="Picture 46"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atter chart&#10;&#10;Description automatically generated with low confidence"/>
                    <pic:cNvPicPr/>
                  </pic:nvPicPr>
                  <pic:blipFill>
                    <a:blip r:embed="rId111"/>
                    <a:stretch>
                      <a:fillRect/>
                    </a:stretch>
                  </pic:blipFill>
                  <pic:spPr>
                    <a:xfrm>
                      <a:off x="0" y="0"/>
                      <a:ext cx="5731510" cy="2612390"/>
                    </a:xfrm>
                    <a:prstGeom prst="rect">
                      <a:avLst/>
                    </a:prstGeom>
                  </pic:spPr>
                </pic:pic>
              </a:graphicData>
            </a:graphic>
          </wp:inline>
        </w:drawing>
      </w:r>
    </w:p>
    <w:p w14:paraId="402A08B8" w14:textId="36F9D9F3" w:rsidR="00621A17" w:rsidRPr="0092670C" w:rsidRDefault="00621A17" w:rsidP="00621A17">
      <w:pPr>
        <w:spacing w:after="200" w:line="240" w:lineRule="auto"/>
        <w:jc w:val="center"/>
        <w:rPr>
          <w:rFonts w:ascii="Arial" w:hAnsi="Arial" w:cs="Arial"/>
          <w:i/>
          <w:iCs/>
          <w:color w:val="44546A" w:themeColor="text2"/>
          <w:sz w:val="20"/>
          <w:szCs w:val="20"/>
        </w:rPr>
      </w:pPr>
      <w:bookmarkStart w:id="66" w:name="_Ref30859524"/>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23</w:t>
      </w:r>
      <w:r w:rsidR="00356A26">
        <w:rPr>
          <w:rFonts w:ascii="Arial" w:hAnsi="Arial" w:cs="Arial"/>
          <w:i/>
          <w:iCs/>
          <w:color w:val="44546A" w:themeColor="text2"/>
          <w:sz w:val="20"/>
          <w:szCs w:val="20"/>
        </w:rPr>
        <w:fldChar w:fldCharType="end"/>
      </w:r>
      <w:bookmarkEnd w:id="66"/>
      <w:r w:rsidRPr="0092670C">
        <w:rPr>
          <w:rFonts w:ascii="Arial" w:hAnsi="Arial" w:cs="Arial"/>
          <w:i/>
          <w:iCs/>
          <w:color w:val="44546A" w:themeColor="text2"/>
          <w:sz w:val="20"/>
          <w:szCs w:val="20"/>
        </w:rPr>
        <w:t xml:space="preserve">: House of cards formation with hard carbon sheets surrounding the sodium </w:t>
      </w:r>
      <w:r w:rsidRPr="0092670C">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&lt;EndNote&gt;&lt;Cite&gt;&lt;Author&gt;Stevens&lt;/Author&gt;&lt;Year&gt;2000&lt;/Year&gt;&lt;RecNum&gt;84&lt;/RecNum&gt;&lt;DisplayText&gt;[167]&lt;/DisplayText&gt;&lt;record&gt;&lt;rec-number&gt;84&lt;/rec-number&gt;&lt;foreign-keys&gt;&lt;key app="EN" db-id="5sa9s0e0r0d9fnexra7pr5xdwd5ztevx95s2" timestamp="1516185735"&gt;84&lt;/key&gt;&lt;/foreign-keys&gt;&lt;ref-type name="Journal Article"&gt;17&lt;/ref-type&gt;&lt;contributors&gt;&lt;authors&gt;&lt;author&gt;Stevens, D. A.&lt;/author&gt;&lt;author&gt;Dahn, J. R.&lt;/author&gt;&lt;/authors&gt;&lt;/contributors&gt;&lt;titles&gt;&lt;title&gt;High Capacity Anode Materials for Rechargeable Sodium</w:instrText>
      </w:r>
      <w:r w:rsidR="0034337D">
        <w:rPr>
          <w:rFonts w:ascii="Cambria Math" w:hAnsi="Cambria Math" w:cs="Cambria Math"/>
          <w:i/>
          <w:iCs/>
          <w:color w:val="44546A" w:themeColor="text2"/>
          <w:sz w:val="20"/>
          <w:szCs w:val="20"/>
        </w:rPr>
        <w:instrText>‐</w:instrText>
      </w:r>
      <w:r w:rsidR="0034337D">
        <w:rPr>
          <w:rFonts w:ascii="Arial" w:hAnsi="Arial" w:cs="Arial"/>
          <w:i/>
          <w:iCs/>
          <w:color w:val="44546A" w:themeColor="text2"/>
          <w:sz w:val="20"/>
          <w:szCs w:val="20"/>
        </w:rPr>
        <w:instrText>Ion Batteries&lt;/title&gt;&lt;secondary-title&gt;Journal of The Electrochemical Society&lt;/secondary-title&gt;&lt;/titles&gt;&lt;periodical&gt;&lt;full-title&gt;Journal of the Electrochemical Society&lt;/full-title&gt;&lt;abbr-1&gt;J. Electrochem. Soc.&lt;/abbr-1&gt;&lt;/periodical&gt;&lt;pages&gt;1271-1273&lt;/pages&gt;&lt;volume&gt;147&lt;/volume&gt;&lt;number&gt;4&lt;/number&gt;&lt;dates&gt;&lt;year&gt;2000&lt;/year&gt;&lt;pub-dates&gt;&lt;date&gt;April 1, 2000&lt;/date&gt;&lt;/pub-dates&gt;&lt;/dates&gt;&lt;urls&gt;&lt;related-urls&gt;&lt;url&gt;http://jes.ecsdl.org/content/147/4/1271.abstract&lt;/url&gt;&lt;/related-urls&gt;&lt;/urls&gt;&lt;electronic-resource-num&gt;10.1149/1.1393348&lt;/electronic-resource-num&gt;&lt;/record&gt;&lt;/Cite&gt;&lt;/EndNote&gt;</w:instrText>
      </w:r>
      <w:r w:rsidRPr="0092670C">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[167]</w:t>
      </w:r>
      <w:r w:rsidRPr="0092670C">
        <w:rPr>
          <w:rFonts w:ascii="Arial" w:hAnsi="Arial" w:cs="Arial"/>
          <w:i/>
          <w:iCs/>
          <w:color w:val="44546A" w:themeColor="text2"/>
          <w:sz w:val="20"/>
          <w:szCs w:val="20"/>
        </w:rPr>
        <w:fldChar w:fldCharType="end"/>
      </w:r>
      <w:r w:rsidRPr="0092670C">
        <w:rPr>
          <w:rFonts w:ascii="Arial" w:hAnsi="Arial" w:cs="Arial"/>
          <w:i/>
          <w:iCs/>
          <w:color w:val="44546A" w:themeColor="text2"/>
          <w:sz w:val="20"/>
          <w:szCs w:val="20"/>
        </w:rPr>
        <w:t>.</w:t>
      </w:r>
    </w:p>
    <w:p w14:paraId="279D56A2" w14:textId="11610269" w:rsidR="00621A17" w:rsidRPr="0092670C" w:rsidRDefault="00621A17" w:rsidP="00621A17">
      <w:pPr>
        <w:spacing w:line="360" w:lineRule="auto"/>
        <w:jc w:val="both"/>
        <w:rPr>
          <w:rFonts w:ascii="Arial" w:hAnsi="Arial" w:cs="Arial"/>
        </w:rPr>
      </w:pPr>
      <w:r w:rsidRPr="0092670C">
        <w:rPr>
          <w:rFonts w:ascii="Arial" w:hAnsi="Arial" w:cs="Arial"/>
        </w:rPr>
        <w:t>For the cathode there are again similarities with Li-ion cells. The cathode is typically based on a transition metal oxide such as NaNi</w:t>
      </w:r>
      <w:r w:rsidRPr="0092670C">
        <w:rPr>
          <w:rFonts w:ascii="Arial" w:hAnsi="Arial" w:cs="Arial"/>
          <w:vertAlign w:val="subscript"/>
        </w:rPr>
        <w:t>0.25</w:t>
      </w:r>
      <w:r w:rsidRPr="0092670C">
        <w:rPr>
          <w:rFonts w:ascii="Arial" w:hAnsi="Arial" w:cs="Arial"/>
        </w:rPr>
        <w:t>Mn</w:t>
      </w:r>
      <w:r w:rsidRPr="0092670C">
        <w:rPr>
          <w:rFonts w:ascii="Arial" w:hAnsi="Arial" w:cs="Arial"/>
          <w:vertAlign w:val="subscript"/>
        </w:rPr>
        <w:t>0.75</w:t>
      </w:r>
      <w:r w:rsidRPr="0092670C">
        <w:rPr>
          <w:rFonts w:ascii="Arial" w:hAnsi="Arial" w:cs="Arial"/>
        </w:rPr>
        <w:t>O</w:t>
      </w:r>
      <w:r w:rsidRPr="0092670C">
        <w:rPr>
          <w:rFonts w:ascii="Arial" w:hAnsi="Arial" w:cs="Arial"/>
          <w:vertAlign w:val="subscript"/>
        </w:rPr>
        <w:t xml:space="preserve">2 </w:t>
      </w:r>
      <w:r w:rsidRPr="0092670C">
        <w:rPr>
          <w:rFonts w:ascii="Arial" w:hAnsi="Arial" w:cs="Arial"/>
        </w:rPr>
        <w:fldChar w:fldCharType="begin"/>
      </w:r>
      <w:r w:rsidR="0034337D">
        <w:rPr>
          <w:rFonts w:ascii="Arial" w:hAnsi="Arial" w:cs="Arial"/>
        </w:rPr>
        <w:instrText xml:space="preserve"> ADDIN EN.CITE &lt;EndNote&gt;&lt;Cite&gt;&lt;Author&gt;Palanisamy&lt;/Author&gt;&lt;Year&gt;2017&lt;/Year&gt;&lt;RecNum&gt;286&lt;/RecNum&gt;&lt;DisplayText&gt;[168]&lt;/DisplayText&gt;&lt;record&gt;&lt;rec-number&gt;286&lt;/rec-number&gt;&lt;foreign-keys&gt;&lt;key app="EN" db-id="5sa9s0e0r0d9fnexra7pr5xdwd5ztevx95s2" timestamp="1559575360"&gt;286&lt;/key&gt;&lt;/foreign-keys&gt;&lt;ref-type name="Journal Article"&gt;17&lt;/ref-type&gt;&lt;contributors&gt;&lt;authors&gt;&lt;author&gt;Palanisamy, Manikandan&lt;/author&gt;&lt;author&gt;Kim, Hyun Woo&lt;/author&gt;&lt;author&gt;Heo, Seongwoo&lt;/author&gt;&lt;author&gt;Lee, Eungje&lt;/author&gt;&lt;author&gt;Kim, Youngsik&lt;/author&gt;&lt;/authors&gt;&lt;/contributors&gt;&lt;titles&gt;&lt;title&gt;Insights into the Dual-Electrode Characteristics of Layered Na0.5Ni0.25Mn0.75O2 Materials for Sodium-Ion Batteries&lt;/title&gt;&lt;secondary-title&gt;ACS Applied Materials &amp;amp; Interfaces&lt;/secondary-title&gt;&lt;/titles&gt;&lt;periodical&gt;&lt;full-title&gt;ACS Applied Materials &amp;amp; Interfaces&lt;/full-title&gt;&lt;/periodical&gt;&lt;pages&gt;10618-10625&lt;/pages&gt;&lt;volume&gt;9&lt;/volume&gt;&lt;number&gt;12&lt;/number&gt;&lt;dates&gt;&lt;year&gt;2017&lt;/year&gt;&lt;pub-dates&gt;&lt;date&gt;2017/03/29&lt;/date&gt;&lt;/pub-dates&gt;&lt;/dates&gt;&lt;publisher&gt;American Chemical Society&lt;/publisher&gt;&lt;isbn&gt;1944-8244&lt;/isbn&gt;&lt;urls&gt;&lt;related-urls&gt;&lt;url&gt;https://doi.org/10.1021/acsami.6b15355&lt;/url&gt;&lt;/related-urls&gt;&lt;/urls&gt;&lt;electronic-resource-num&gt;10.1021/acsami.6b15355&lt;/electronic-resource-num&gt;&lt;/record&gt;&lt;/Cite&gt;&lt;/EndNote&gt;</w:instrText>
      </w:r>
      <w:r w:rsidRPr="0092670C">
        <w:rPr>
          <w:rFonts w:ascii="Arial" w:hAnsi="Arial" w:cs="Arial"/>
        </w:rPr>
        <w:fldChar w:fldCharType="separate"/>
      </w:r>
      <w:r w:rsidR="0034337D">
        <w:rPr>
          <w:rFonts w:ascii="Arial" w:hAnsi="Arial" w:cs="Arial"/>
          <w:noProof/>
        </w:rPr>
        <w:t>[168]</w:t>
      </w:r>
      <w:r w:rsidRPr="0092670C">
        <w:rPr>
          <w:rFonts w:ascii="Arial" w:hAnsi="Arial" w:cs="Arial"/>
        </w:rPr>
        <w:fldChar w:fldCharType="end"/>
      </w:r>
      <w:r w:rsidRPr="0092670C">
        <w:rPr>
          <w:rFonts w:ascii="Arial" w:hAnsi="Arial" w:cs="Arial"/>
        </w:rPr>
        <w:t>. Again, Na’s larger ionic radius means that the cathodes typically used in Li-ion batteries are generally unsuitable. With the example used there is a similar Li Cathode LiMnO</w:t>
      </w:r>
      <w:r w:rsidRPr="0092670C">
        <w:rPr>
          <w:rFonts w:ascii="Arial" w:hAnsi="Arial" w:cs="Arial"/>
          <w:vertAlign w:val="subscript"/>
        </w:rPr>
        <w:t xml:space="preserve">2 </w:t>
      </w:r>
      <w:r w:rsidRPr="0092670C">
        <w:rPr>
          <w:rFonts w:ascii="Arial" w:hAnsi="Arial" w:cs="Arial"/>
        </w:rPr>
        <w:fldChar w:fldCharType="begin"/>
      </w:r>
      <w:r w:rsidR="0034337D">
        <w:rPr>
          <w:rFonts w:ascii="Arial" w:hAnsi="Arial" w:cs="Arial"/>
        </w:rPr>
        <w:instrText xml:space="preserve"> ADDIN EN.CITE &lt;EndNote&gt;&lt;Cite&gt;&lt;Author&gt;Pistoia&lt;/Author&gt;&lt;Year&gt;1995&lt;/Year&gt;&lt;RecNum&gt;287&lt;/RecNum&gt;&lt;DisplayText&gt;[169]&lt;/DisplayText&gt;&lt;record&gt;&lt;rec-number&gt;287&lt;/rec-number&gt;&lt;foreign-keys&gt;&lt;key app="EN" db-id="5sa9s0e0r0d9fnexra7pr5xdwd5ztevx95s2" timestamp="1559575483"&gt;287&lt;/key&gt;&lt;/foreign-keys&gt;&lt;ref-type name="Journal Article"&gt;17&lt;/ref-type&gt;&lt;contributors&gt;&lt;authors&gt;&lt;author&gt;Pistoia, G.&lt;/author&gt;&lt;author&gt;Antonini, A.&lt;/author&gt;&lt;author&gt;Zane, D.&lt;/author&gt;&lt;/authors&gt;&lt;/contributors&gt;&lt;titles&gt;&lt;title&gt;Synthesis of LiMnO2 and its characterization as a cathode for rechargeable Li cells&lt;/title&gt;&lt;secondary-title&gt;Solid State Ionics&lt;/secondary-title&gt;&lt;/titles&gt;&lt;periodical&gt;&lt;full-title&gt;Solid State Ionics&lt;/full-title&gt;&lt;/periodical&gt;&lt;pages&gt;115-122&lt;/pages&gt;&lt;volume&gt;78&lt;/volume&gt;&lt;number&gt;1&lt;/number&gt;&lt;keywords&gt;&lt;keyword&gt;Electrochemical behaviour&lt;/keyword&gt;&lt;keyword&gt;Lithium manganese oxide&lt;/keyword&gt;&lt;keyword&gt;Synthesis&lt;/keyword&gt;&lt;/keywords&gt;&lt;dates&gt;&lt;year&gt;1995&lt;/year&gt;&lt;pub-dates&gt;&lt;date&gt;1995/05/01/&lt;/date&gt;&lt;/pub-dates&gt;&lt;/dates&gt;&lt;isbn&gt;0167-2738&lt;/isbn&gt;&lt;urls&gt;&lt;related-urls&gt;&lt;url&gt;http://www.sciencedirect.com/science/article/pii/0167273895000182&lt;/url&gt;&lt;/related-urls&gt;&lt;/urls&gt;&lt;electronic-resource-num&gt;https://doi.org/10.1016/0167-2738(95)00018-2&lt;/electronic-resource-num&gt;&lt;/record&gt;&lt;/Cite&gt;&lt;/EndNote&gt;</w:instrText>
      </w:r>
      <w:r w:rsidRPr="0092670C">
        <w:rPr>
          <w:rFonts w:ascii="Arial" w:hAnsi="Arial" w:cs="Arial"/>
        </w:rPr>
        <w:fldChar w:fldCharType="separate"/>
      </w:r>
      <w:r w:rsidR="0034337D">
        <w:rPr>
          <w:rFonts w:ascii="Arial" w:hAnsi="Arial" w:cs="Arial"/>
          <w:noProof/>
        </w:rPr>
        <w:t>[169]</w:t>
      </w:r>
      <w:r w:rsidRPr="0092670C">
        <w:rPr>
          <w:rFonts w:ascii="Arial" w:hAnsi="Arial" w:cs="Arial"/>
        </w:rPr>
        <w:fldChar w:fldCharType="end"/>
      </w:r>
      <w:r w:rsidRPr="0092670C">
        <w:rPr>
          <w:rFonts w:ascii="Arial" w:hAnsi="Arial" w:cs="Arial"/>
        </w:rPr>
        <w:t>. By partially replacing manganese with nickel the inter-spacing distance increases to better accommodate the Na insertion.</w:t>
      </w:r>
    </w:p>
    <w:p w14:paraId="5A114BE2" w14:textId="05AC3076" w:rsidR="00621A17" w:rsidRPr="0092670C" w:rsidRDefault="00621A17" w:rsidP="00621A17">
      <w:pPr>
        <w:spacing w:line="360" w:lineRule="auto"/>
        <w:jc w:val="both"/>
        <w:rPr>
          <w:rFonts w:ascii="Arial" w:hAnsi="Arial" w:cs="Arial"/>
        </w:rPr>
      </w:pPr>
      <w:r w:rsidRPr="0092670C">
        <w:rPr>
          <w:rFonts w:ascii="Arial" w:hAnsi="Arial" w:cs="Arial"/>
        </w:rPr>
        <w:t>Currently the electrolytes used for Na-ion batteries are similar to those in Li-ion batteries with NaPF</w:t>
      </w:r>
      <w:r w:rsidRPr="0092670C">
        <w:rPr>
          <w:rFonts w:ascii="Arial" w:hAnsi="Arial" w:cs="Arial"/>
          <w:vertAlign w:val="subscript"/>
        </w:rPr>
        <w:t>6</w:t>
      </w:r>
      <w:r w:rsidRPr="0092670C">
        <w:rPr>
          <w:rFonts w:ascii="Arial" w:hAnsi="Arial" w:cs="Arial"/>
        </w:rPr>
        <w:t xml:space="preserve"> being used instead of LiPF</w:t>
      </w:r>
      <w:r w:rsidRPr="0092670C">
        <w:rPr>
          <w:rFonts w:ascii="Arial" w:hAnsi="Arial" w:cs="Arial"/>
          <w:vertAlign w:val="subscript"/>
        </w:rPr>
        <w:t>6</w:t>
      </w:r>
      <w:r w:rsidRPr="0092670C">
        <w:rPr>
          <w:rFonts w:ascii="Arial" w:hAnsi="Arial" w:cs="Arial"/>
        </w:rPr>
        <w:t xml:space="preserve"> with the same carbonate solvent components being used. The current collect</w:t>
      </w:r>
      <w:r>
        <w:rPr>
          <w:rFonts w:ascii="Arial" w:hAnsi="Arial" w:cs="Arial"/>
        </w:rPr>
        <w:t>or</w:t>
      </w:r>
      <w:r w:rsidRPr="0092670C">
        <w:rPr>
          <w:rFonts w:ascii="Arial" w:hAnsi="Arial" w:cs="Arial"/>
        </w:rPr>
        <w:t xml:space="preserve">s are typically both aluminium as it is cheaper than copper and there isn’t a </w:t>
      </w:r>
      <w:r>
        <w:rPr>
          <w:rFonts w:ascii="Arial" w:hAnsi="Arial" w:cs="Arial"/>
        </w:rPr>
        <w:t>concern</w:t>
      </w:r>
      <w:r w:rsidRPr="0092670C">
        <w:rPr>
          <w:rFonts w:ascii="Arial" w:hAnsi="Arial" w:cs="Arial"/>
        </w:rPr>
        <w:t xml:space="preserve"> with Na-ion cells of intercalation </w:t>
      </w:r>
      <w:r w:rsidRPr="0092670C">
        <w:rPr>
          <w:rFonts w:ascii="Arial" w:hAnsi="Arial" w:cs="Arial"/>
        </w:rPr>
        <w:fldChar w:fldCharType="begin"/>
      </w:r>
      <w:r w:rsidR="0034337D">
        <w:rPr>
          <w:rFonts w:ascii="Arial" w:hAnsi="Arial" w:cs="Arial"/>
        </w:rPr>
        <w:instrText xml:space="preserve"> ADDIN EN.CITE &lt;EndNote&gt;&lt;Cite&gt;&lt;Author&gt;Wood&lt;/Author&gt;&lt;Year&gt;2015&lt;/Year&gt;&lt;RecNum&gt;167&lt;/RecNum&gt;&lt;DisplayText&gt;[101]&lt;/DisplayText&gt;&lt;record&gt;&lt;rec-number&gt;167&lt;/rec-number&gt;&lt;foreign-keys&gt;&lt;key app="EN" db-id="5sa9s0e0r0d9fnexra7pr5xdwd5ztevx95s2" timestamp="1550165465"&gt;167&lt;/key&gt;&lt;/foreign-keys&gt;&lt;ref-type name="Journal Article"&gt;17&lt;/ref-type&gt;&lt;contributors&gt;&lt;authors&gt;&lt;author&gt;Wood, David L.&lt;/author&gt;&lt;author&gt;Li, Jianlin&lt;/author&gt;&lt;author&gt;Daniel, Claus&lt;/author&gt;&lt;/authors&gt;&lt;/contributors&gt;&lt;titles&gt;&lt;title&gt;Prospects for reducing the processing cost of lithium ion batteries&lt;/title&gt;&lt;secondary-title&gt;Journal of Power Sources&lt;/secondary-title&gt;&lt;/titles&gt;&lt;periodical&gt;&lt;full-title&gt;Journal of Power Sources&lt;/full-title&gt;&lt;/periodical&gt;&lt;pages&gt;234-242&lt;/pages&gt;&lt;volume&gt;275&lt;/volume&gt;&lt;keywords&gt;&lt;keyword&gt;Lithium-ion battery&lt;/keyword&gt;&lt;keyword&gt;Cost reduction study&lt;/keyword&gt;&lt;keyword&gt;Electrode processing&lt;/keyword&gt;&lt;keyword&gt;Aqueous colloidal chemistry&lt;/keyword&gt;&lt;keyword&gt;Thick electrodes&lt;/keyword&gt;&lt;keyword&gt;Formation cycle&lt;/keyword&gt;&lt;/keywords&gt;&lt;dates&gt;&lt;year&gt;2015&lt;/year&gt;&lt;pub-dates&gt;&lt;date&gt;2015/02/01/&lt;/date&gt;&lt;/pub-dates&gt;&lt;/dates&gt;&lt;isbn&gt;0378-7753&lt;/isbn&gt;&lt;urls&gt;&lt;related-urls&gt;&lt;url&gt;http://www.sciencedirect.com/science/article/pii/S037877531401845X&lt;/url&gt;&lt;/related-urls&gt;&lt;/urls&gt;&lt;electronic-resource-num&gt;https://doi.org/10.1016/j.jpowsour.2014.11.019&lt;/electronic-resource-num&gt;&lt;/record&gt;&lt;/Cite&gt;&lt;/EndNote&gt;</w:instrText>
      </w:r>
      <w:r w:rsidRPr="0092670C">
        <w:rPr>
          <w:rFonts w:ascii="Arial" w:hAnsi="Arial" w:cs="Arial"/>
        </w:rPr>
        <w:fldChar w:fldCharType="separate"/>
      </w:r>
      <w:r w:rsidR="0034337D">
        <w:rPr>
          <w:rFonts w:ascii="Arial" w:hAnsi="Arial" w:cs="Arial"/>
          <w:noProof/>
        </w:rPr>
        <w:t>[101]</w:t>
      </w:r>
      <w:r w:rsidRPr="0092670C">
        <w:rPr>
          <w:rFonts w:ascii="Arial" w:hAnsi="Arial" w:cs="Arial"/>
        </w:rPr>
        <w:fldChar w:fldCharType="end"/>
      </w:r>
      <w:r w:rsidRPr="0092670C">
        <w:rPr>
          <w:rFonts w:ascii="Arial" w:hAnsi="Arial" w:cs="Arial"/>
        </w:rPr>
        <w:t xml:space="preserve">. </w:t>
      </w:r>
      <w:r w:rsidRPr="0092670C">
        <w:rPr>
          <w:rFonts w:ascii="Arial" w:hAnsi="Arial" w:cs="Arial"/>
        </w:rPr>
        <w:tab/>
      </w:r>
    </w:p>
    <w:p w14:paraId="6498FE6E" w14:textId="77777777" w:rsidR="00621A17" w:rsidRPr="0092670C" w:rsidRDefault="00621A17" w:rsidP="00621A17">
      <w:pPr>
        <w:pStyle w:val="Heading2"/>
        <w:rPr>
          <w:rFonts w:ascii="Arial" w:hAnsi="Arial" w:cs="Arial"/>
        </w:rPr>
      </w:pPr>
      <w:bookmarkStart w:id="67" w:name="_Toc82538731"/>
      <w:r w:rsidRPr="0092670C">
        <w:rPr>
          <w:rFonts w:ascii="Arial" w:hAnsi="Arial" w:cs="Arial"/>
        </w:rPr>
        <w:t>Na-ion SEI</w:t>
      </w:r>
      <w:bookmarkEnd w:id="67"/>
    </w:p>
    <w:p w14:paraId="5C65C04A" w14:textId="4509B13E" w:rsidR="00621A17" w:rsidRPr="00C56CCC" w:rsidRDefault="00621A17" w:rsidP="00621A17">
      <w:pPr>
        <w:spacing w:line="360" w:lineRule="auto"/>
        <w:jc w:val="both"/>
        <w:rPr>
          <w:rFonts w:ascii="Arial" w:hAnsi="Arial" w:cs="Arial"/>
        </w:rPr>
      </w:pPr>
      <w:r w:rsidRPr="0092670C">
        <w:rPr>
          <w:rFonts w:ascii="Arial" w:hAnsi="Arial" w:cs="Arial"/>
        </w:rPr>
        <w:t xml:space="preserve">The SEI formed Na-ion anodes </w:t>
      </w:r>
      <w:r>
        <w:rPr>
          <w:rFonts w:ascii="Arial" w:hAnsi="Arial" w:cs="Arial"/>
        </w:rPr>
        <w:t>are</w:t>
      </w:r>
      <w:r w:rsidRPr="0092670C">
        <w:rPr>
          <w:rFonts w:ascii="Arial" w:hAnsi="Arial" w:cs="Arial"/>
        </w:rPr>
        <w:t xml:space="preserve"> rather different to that formed on Li-ion anodes. Work by Ponrouch </w:t>
      </w:r>
      <w:r w:rsidRPr="0092670C">
        <w:rPr>
          <w:rFonts w:ascii="Arial" w:hAnsi="Arial" w:cs="Arial"/>
          <w:i/>
        </w:rPr>
        <w:t>et al.</w:t>
      </w:r>
      <w:r w:rsidRPr="0092670C">
        <w:rPr>
          <w:rFonts w:ascii="Arial" w:hAnsi="Arial" w:cs="Arial"/>
        </w:rPr>
        <w:t xml:space="preserve"> compared the SEI formed on Na and Li symmetrical cells </w:t>
      </w:r>
      <w:r w:rsidRPr="0092670C">
        <w:rPr>
          <w:rFonts w:ascii="Arial" w:hAnsi="Arial" w:cs="Arial"/>
        </w:rPr>
        <w:fldChar w:fldCharType="begin"/>
      </w:r>
      <w:r w:rsidR="0034337D">
        <w:rPr>
          <w:rFonts w:ascii="Arial" w:hAnsi="Arial" w:cs="Arial"/>
        </w:rPr>
        <w:instrText xml:space="preserve"> ADDIN EN.CITE &lt;EndNote&gt;&lt;Cite&gt;&lt;Author&gt;Ponrouch&lt;/Author&gt;&lt;Year&gt;2015&lt;/Year&gt;&lt;RecNum&gt;283&lt;/RecNum&gt;&lt;DisplayText&gt;[170]&lt;/DisplayText&gt;&lt;record&gt;&lt;rec-number&gt;283&lt;/rec-number&gt;&lt;foreign-keys&gt;&lt;key app="EN" db-id="5sa9s0e0r0d9fnexra7pr5xdwd5ztevx95s2" timestamp="1559562327"&gt;283&lt;/key&gt;&lt;/foreign-keys&gt;&lt;ref-type name="Journal Article"&gt;17&lt;/ref-type&gt;&lt;contributors&gt;&lt;authors&gt;&lt;author&gt;Ponrouch, A.&lt;/author&gt;&lt;author&gt;Palacín, M. R.&lt;/author&gt;&lt;/authors&gt;&lt;/contributors&gt;&lt;titles&gt;&lt;title&gt;On the high and low temperature performances of Na-ion battery materials: Hard carbon as a case study&lt;/title&gt;&lt;secondary-title&gt;Electrochemistry Communications&lt;/secondary-title&gt;&lt;/titles&gt;&lt;periodical&gt;&lt;full-title&gt;Electrochemistry Communications&lt;/full-title&gt;&lt;/periodical&gt;&lt;pages&gt;51-54&lt;/pages&gt;&lt;volume&gt;54&lt;/volume&gt;&lt;keywords&gt;&lt;keyword&gt;Na-ion batteries&lt;/keyword&gt;&lt;keyword&gt;Negative electrode&lt;/keyword&gt;&lt;keyword&gt;Hard carbon&lt;/keyword&gt;&lt;keyword&gt;Temperature&lt;/keyword&gt;&lt;keyword&gt;Electrolyte&lt;/keyword&gt;&lt;keyword&gt;Coating&lt;/keyword&gt;&lt;/keywords&gt;&lt;dates&gt;&lt;year&gt;2015&lt;/year&gt;&lt;pub-dates&gt;&lt;date&gt;2015/05/01/&lt;/date&gt;&lt;/pub-dates&gt;&lt;/dates&gt;&lt;isbn&gt;1388-2481&lt;/isbn&gt;&lt;urls&gt;&lt;related-urls&gt;&lt;url&gt;http://www.sciencedirect.com/science/article/pii/S1388248115000624&lt;/url&gt;&lt;/related-urls&gt;&lt;/urls&gt;&lt;electronic-resource-num&gt;https://doi.org/10.1016/j.elecom.2015.03.002&lt;/electronic-resource-num&gt;&lt;/record&gt;&lt;/Cite&gt;&lt;/EndNote&gt;</w:instrText>
      </w:r>
      <w:r w:rsidRPr="0092670C">
        <w:rPr>
          <w:rFonts w:ascii="Arial" w:hAnsi="Arial" w:cs="Arial"/>
        </w:rPr>
        <w:fldChar w:fldCharType="separate"/>
      </w:r>
      <w:r w:rsidR="0034337D">
        <w:rPr>
          <w:rFonts w:ascii="Arial" w:hAnsi="Arial" w:cs="Arial"/>
          <w:noProof/>
        </w:rPr>
        <w:t>[170]</w:t>
      </w:r>
      <w:r w:rsidRPr="0092670C">
        <w:rPr>
          <w:rFonts w:ascii="Arial" w:hAnsi="Arial" w:cs="Arial"/>
        </w:rPr>
        <w:fldChar w:fldCharType="end"/>
      </w:r>
      <w:r w:rsidRPr="0092670C">
        <w:rPr>
          <w:rFonts w:ascii="Arial" w:hAnsi="Arial" w:cs="Arial"/>
        </w:rPr>
        <w:t xml:space="preserve">. They found that Na-based SEI has a much higher impedance than a Li-based SEI. This higher impedance led to larger IR drops which has been to adversely affect the performance of hard carbon </w:t>
      </w:r>
      <w:r w:rsidRPr="0092670C">
        <w:rPr>
          <w:rFonts w:ascii="Arial" w:hAnsi="Arial" w:cs="Arial"/>
        </w:rPr>
        <w:fldChar w:fldCharType="begin"/>
      </w:r>
      <w:r w:rsidR="0034337D">
        <w:rPr>
          <w:rFonts w:ascii="Arial" w:hAnsi="Arial" w:cs="Arial"/>
        </w:rPr>
        <w:instrText xml:space="preserve"> ADDIN EN.CITE &lt;EndNote&gt;&lt;Cite&gt;&lt;Author&gt;!!! INVALID CITATION !!! {}&lt;/Author&gt;&lt;RecNum&gt;0&lt;/RecNum&gt;&lt;DisplayText&gt;[171]&lt;/DisplayText&gt;&lt;record&gt;&lt;dates&gt;&lt;year&gt;!!! INVALID CITATION !!! {}&lt;/year&gt;&lt;/dates&gt;&lt;/record&gt;&lt;/Cite&gt;&lt;/EndNote&gt;</w:instrText>
      </w:r>
      <w:r w:rsidRPr="0092670C">
        <w:rPr>
          <w:rFonts w:ascii="Arial" w:hAnsi="Arial" w:cs="Arial"/>
        </w:rPr>
        <w:fldChar w:fldCharType="separate"/>
      </w:r>
      <w:r w:rsidR="0034337D">
        <w:rPr>
          <w:rFonts w:ascii="Arial" w:hAnsi="Arial" w:cs="Arial"/>
          <w:noProof/>
        </w:rPr>
        <w:t>[171]</w:t>
      </w:r>
      <w:r w:rsidRPr="0092670C">
        <w:rPr>
          <w:rFonts w:ascii="Arial" w:hAnsi="Arial" w:cs="Arial"/>
        </w:rPr>
        <w:fldChar w:fldCharType="end"/>
      </w:r>
      <w:r w:rsidRPr="0092670C">
        <w:rPr>
          <w:rFonts w:ascii="Arial" w:hAnsi="Arial" w:cs="Arial"/>
        </w:rPr>
        <w:t>. They attributed the poor performance of the SEI to its higher solubility, suggesting that it partially dissolves back into the electrolyte. This team proceeded to use FEC, the common electrolyte additive to see if it also improved the SEI performance. They found that FEC actually increased the impedance of the cell, which led to large overpotentials upon cycling. This overpotential meant that 3-electrode cells had to be used to ensure full sodiation</w:t>
      </w:r>
      <w:r>
        <w:rPr>
          <w:rFonts w:ascii="Arial" w:hAnsi="Arial" w:cs="Arial"/>
        </w:rPr>
        <w:t>, where the reference electrode would stop the hard carbon from falling below 0 V Vs. Na/ Na</w:t>
      </w:r>
      <w:r>
        <w:rPr>
          <w:rFonts w:ascii="Arial" w:hAnsi="Arial" w:cs="Arial"/>
          <w:vertAlign w:val="superscript"/>
        </w:rPr>
        <w:t>+</w:t>
      </w:r>
      <w:r>
        <w:rPr>
          <w:rFonts w:ascii="Arial" w:hAnsi="Arial" w:cs="Arial"/>
        </w:rPr>
        <w:t xml:space="preserve">. </w:t>
      </w:r>
    </w:p>
    <w:p w14:paraId="468EBA2A" w14:textId="5F9A0827" w:rsidR="00621A17" w:rsidRPr="0092670C" w:rsidRDefault="00621A17" w:rsidP="00621A17">
      <w:pPr>
        <w:spacing w:line="360" w:lineRule="auto"/>
        <w:jc w:val="both"/>
        <w:rPr>
          <w:rFonts w:ascii="Arial" w:hAnsi="Arial" w:cs="Arial"/>
        </w:rPr>
      </w:pPr>
      <w:r w:rsidRPr="0092670C">
        <w:rPr>
          <w:rFonts w:ascii="Arial" w:hAnsi="Arial" w:cs="Arial"/>
        </w:rPr>
        <w:t xml:space="preserve">Work by Komaba used TOF-SIMS to look at the </w:t>
      </w:r>
      <w:r>
        <w:rPr>
          <w:rFonts w:ascii="Arial" w:hAnsi="Arial" w:cs="Arial"/>
        </w:rPr>
        <w:t xml:space="preserve">hard carbon surface and </w:t>
      </w:r>
      <w:r w:rsidRPr="0092670C">
        <w:rPr>
          <w:rFonts w:ascii="Arial" w:hAnsi="Arial" w:cs="Arial"/>
        </w:rPr>
        <w:t xml:space="preserve">found that Na-based SEI had a much lower organic content than Li-based SEIs </w:t>
      </w:r>
      <w:r w:rsidRPr="0092670C">
        <w:rPr>
          <w:rFonts w:ascii="Arial" w:hAnsi="Arial" w:cs="Arial"/>
        </w:rPr>
        <w:fldChar w:fldCharType="begin">
          <w:fldData xml:space="preserve">PEVuZE5vdGU+PENpdGU+PEF1dGhvcj5Lb21hYmE8L0F1dGhvcj48WWVhcj4yMDExPC9ZZWFyPjxS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PEVuZE5vdGU+PENpdGU+PEF1dGhvcj5Lb21hYmE8L0F1dGhvcj48WWVhcj4yMDExPC9ZZWFyPjxS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[172]</w:t>
      </w:r>
      <w:r w:rsidRPr="0092670C">
        <w:rPr>
          <w:rFonts w:ascii="Arial" w:hAnsi="Arial" w:cs="Arial"/>
        </w:rPr>
        <w:fldChar w:fldCharType="end"/>
      </w:r>
      <w:r w:rsidRPr="0092670C">
        <w:rPr>
          <w:rFonts w:ascii="Arial" w:hAnsi="Arial" w:cs="Arial"/>
        </w:rPr>
        <w:t xml:space="preserve">. This was affirmed by Edstrom </w:t>
      </w:r>
      <w:r w:rsidRPr="00652CFE">
        <w:rPr>
          <w:rFonts w:ascii="Arial" w:hAnsi="Arial" w:cs="Arial"/>
          <w:i/>
          <w:iCs/>
        </w:rPr>
        <w:t>et al.</w:t>
      </w:r>
      <w:r w:rsidRPr="0092670C">
        <w:rPr>
          <w:rFonts w:ascii="Arial" w:hAnsi="Arial" w:cs="Arial"/>
        </w:rPr>
        <w:t xml:space="preserve"> who found that the SEI was predominantly based on carbonates instead of polymers </w:t>
      </w:r>
      <w:r w:rsidRPr="0092670C">
        <w:rPr>
          <w:rFonts w:ascii="Arial" w:hAnsi="Arial" w:cs="Arial"/>
        </w:rPr>
        <w:fldChar w:fldCharType="begin"/>
      </w:r>
      <w:r w:rsidR="0034337D">
        <w:rPr>
          <w:rFonts w:ascii="Arial" w:hAnsi="Arial" w:cs="Arial"/>
        </w:rPr>
        <w:instrText xml:space="preserve"> ADDIN EN.CITE &lt;EndNote&gt;&lt;Cite&gt;&lt;Author&gt;Philippe&lt;/Author&gt;&lt;Year&gt;2014&lt;/Year&gt;&lt;RecNum&gt;344&lt;/RecNum&gt;&lt;DisplayText&gt;[173]&lt;/DisplayText&gt;&lt;record&gt;&lt;rec-number&gt;344&lt;/rec-number&gt;&lt;foreign-keys&gt;&lt;key app="EN" db-id="5sa9s0e0r0d9fnexra7pr5xdwd5ztevx95s2" timestamp="1563373329"&gt;344&lt;/key&gt;&lt;/foreign-keys&gt;&lt;ref-type name="Journal Article"&gt;17&lt;/ref-type&gt;&lt;contributors&gt;&lt;authors&gt;&lt;author&gt;Philippe, Bertrand&lt;/author&gt;&lt;author&gt;Valvo, Mario&lt;/author&gt;&lt;author&gt;Lindgren, Fredrik&lt;/author&gt;&lt;author&gt;Rensmo, Håkan&lt;/author&gt;&lt;author&gt;Edström, Kristina&lt;/author&gt;&lt;/authors&gt;&lt;/contributors&gt;&lt;titles&gt;&lt;title&gt;Investigation of the Electrode/Electrolyte Interface of Fe2O3 Composite Electrodes: Li vs Na Batteries&lt;/title&gt;&lt;secondary-title&gt;Chemistry of Materials&lt;/secondary-title&gt;&lt;/titles&gt;&lt;periodical&gt;&lt;full-title&gt;Chemistry of Materials&lt;/full-title&gt;&lt;/periodical&gt;&lt;pages&gt;5028-5041&lt;/pages&gt;&lt;volume&gt;26&lt;/volume&gt;&lt;number&gt;17&lt;/number&gt;&lt;dates&gt;&lt;year&gt;2014&lt;/year&gt;&lt;pub-dates&gt;&lt;date&gt;2014/09/09&lt;/date&gt;&lt;/pub-dates&gt;&lt;/dates&gt;&lt;publisher&gt;American Chemical Society&lt;/publisher&gt;&lt;isbn&gt;0897-4756&lt;/isbn&gt;&lt;urls&gt;&lt;related-urls&gt;&lt;url&gt;https://doi.org/10.1021/cm5021367&lt;/url&gt;&lt;/related-urls&gt;&lt;/urls&gt;&lt;electronic-resource-num&gt;10.1021/cm5021367&lt;/electronic-resource-num&gt;&lt;/record&gt;&lt;/Cite&gt;&lt;/EndNote&gt;</w:instrText>
      </w:r>
      <w:r w:rsidRPr="0092670C">
        <w:rPr>
          <w:rFonts w:ascii="Arial" w:hAnsi="Arial" w:cs="Arial"/>
        </w:rPr>
        <w:fldChar w:fldCharType="separate"/>
      </w:r>
      <w:r w:rsidR="0034337D">
        <w:rPr>
          <w:rFonts w:ascii="Arial" w:hAnsi="Arial" w:cs="Arial"/>
          <w:noProof/>
        </w:rPr>
        <w:t>[173]</w:t>
      </w:r>
      <w:r w:rsidRPr="0092670C">
        <w:rPr>
          <w:rFonts w:ascii="Arial" w:hAnsi="Arial" w:cs="Arial"/>
        </w:rPr>
        <w:fldChar w:fldCharType="end"/>
      </w:r>
      <w:r w:rsidRPr="0092670C">
        <w:rPr>
          <w:rFonts w:ascii="Arial" w:hAnsi="Arial" w:cs="Arial"/>
        </w:rPr>
        <w:t>. This information suggests that Na is fully oxidising the electrolyte whereas Li only partially oxidises the electrolyte leading to polymerisation. This is expected considering that Na is more reactive (kinetically) than Li</w:t>
      </w:r>
      <w:r>
        <w:rPr>
          <w:rFonts w:ascii="Arial" w:hAnsi="Arial" w:cs="Arial"/>
        </w:rPr>
        <w:t xml:space="preserve"> </w:t>
      </w:r>
      <w:r>
        <w:rPr>
          <w:rFonts w:ascii="Arial" w:hAnsi="Arial" w:cs="Arial"/>
        </w:rPr>
        <w:fldChar w:fldCharType="begin"/>
      </w:r>
      <w:r w:rsidR="0034337D">
        <w:rPr>
          <w:rFonts w:ascii="Arial" w:hAnsi="Arial" w:cs="Arial"/>
        </w:rPr>
        <w:instrText xml:space="preserve"> ADDIN EN.CITE &lt;EndNote&gt;&lt;Cite&gt;&lt;Author&gt;Pyykkö&lt;/Author&gt;&lt;Year&gt;2001&lt;/Year&gt;&lt;RecNum&gt;360&lt;/RecNum&gt;&lt;DisplayText&gt;[174]&lt;/DisplayText&gt;&lt;record&gt;&lt;rec-number&gt;360&lt;/rec-number&gt;&lt;foreign-keys&gt;&lt;key app="EN" db-id="5sa9s0e0r0d9fnexra7pr5xdwd5ztevx95s2" timestamp="1592163692"&gt;360&lt;/key&gt;&lt;/foreign-keys&gt;&lt;ref-type name="Journal Article"&gt;17&lt;/ref-type&gt;&lt;contributors&gt;&lt;authors&gt;&lt;author&gt;Pyykkö, Pekka&lt;/author&gt;&lt;/authors&gt;&lt;/contributors&gt;&lt;titles&gt;&lt;title&gt;A note on nodal structures, partial screening, and periodic trends among alkali metals and alkaline earths&lt;/title&gt;&lt;secondary-title&gt;International Journal of Quantum Chemistry&lt;/secondary-title&gt;&lt;/titles&gt;&lt;periodical&gt;&lt;full-title&gt;International Journal of Quantum Chemistry&lt;/full-title&gt;&lt;/periodical&gt;&lt;pages&gt;18-21&lt;/pages&gt;&lt;volume&gt;85&lt;/volume&gt;&lt;number&gt;1&lt;/number&gt;&lt;dates&gt;&lt;year&gt;2001&lt;/year&gt;&lt;/dates&gt;&lt;isbn&gt;0020-7608&lt;/isbn&gt;&lt;urls&gt;&lt;related-urls&gt;&lt;url&gt;https://onlinelibrary.wiley.com/doi/abs/10.1002/qua.1096&lt;/url&gt;&lt;/related-urls&gt;&lt;/urls&gt;&lt;electronic-resource-num&gt;10.1002/qua.1096&lt;/electronic-resource-num&gt;&lt;/record&gt;&lt;/Cite&gt;&lt;/EndNote&gt;</w:instrText>
      </w:r>
      <w:r>
        <w:rPr>
          <w:rFonts w:ascii="Arial" w:hAnsi="Arial" w:cs="Arial"/>
        </w:rPr>
        <w:fldChar w:fldCharType="separate"/>
      </w:r>
      <w:r w:rsidR="0034337D">
        <w:rPr>
          <w:rFonts w:ascii="Arial" w:hAnsi="Arial" w:cs="Arial"/>
          <w:noProof/>
        </w:rPr>
        <w:t>[174]</w:t>
      </w:r>
      <w:r>
        <w:rPr>
          <w:rFonts w:ascii="Arial" w:hAnsi="Arial" w:cs="Arial"/>
        </w:rPr>
        <w:fldChar w:fldCharType="end"/>
      </w:r>
      <w:r w:rsidRPr="0092670C">
        <w:rPr>
          <w:rFonts w:ascii="Arial" w:hAnsi="Arial" w:cs="Arial"/>
        </w:rPr>
        <w:t xml:space="preserve">. The literature suggests that current carbonate electrolytes lead to poorly performing SEIs due to excessive carbonate formation, limiting the potential of Na-ion batteries. </w:t>
      </w:r>
    </w:p>
    <w:p w14:paraId="6C88AA95" w14:textId="46EE3C32" w:rsidR="00621A17" w:rsidRPr="0092670C" w:rsidRDefault="00621A17" w:rsidP="00621A17">
      <w:pPr>
        <w:spacing w:line="360" w:lineRule="auto"/>
        <w:jc w:val="both"/>
        <w:rPr>
          <w:rFonts w:ascii="Arial" w:hAnsi="Arial" w:cs="Arial"/>
        </w:rPr>
      </w:pPr>
      <w:r w:rsidRPr="0092670C">
        <w:rPr>
          <w:rFonts w:ascii="Arial" w:hAnsi="Arial" w:cs="Arial"/>
        </w:rPr>
        <w:t xml:space="preserve">Na-based SEIs are also known to suffer from high solubility. The dissolution of the SEI is believed to be one of the main reasons for the capacity fade seen in current Na-ion batteries. This was studied by Mogensen </w:t>
      </w:r>
      <w:r w:rsidRPr="00652CFE">
        <w:rPr>
          <w:rFonts w:ascii="Arial" w:hAnsi="Arial" w:cs="Arial"/>
          <w:i/>
          <w:iCs/>
        </w:rPr>
        <w:t>et al.</w:t>
      </w:r>
      <w:r w:rsidRPr="0092670C">
        <w:rPr>
          <w:rFonts w:ascii="Arial" w:hAnsi="Arial" w:cs="Arial"/>
        </w:rPr>
        <w:t xml:space="preserve"> who found that the longer a cell is left to rest the more capacity is lost </w:t>
      </w:r>
      <w:r w:rsidRPr="0092670C">
        <w:rPr>
          <w:rFonts w:ascii="Arial" w:hAnsi="Arial" w:cs="Arial"/>
        </w:rPr>
        <w:fldChar w:fldCharType="begin"/>
      </w:r>
      <w:r w:rsidR="0034337D">
        <w:rPr>
          <w:rFonts w:ascii="Arial" w:hAnsi="Arial" w:cs="Arial"/>
        </w:rPr>
        <w:instrText xml:space="preserve"> ADDIN EN.CITE &lt;EndNote&gt;&lt;Cite&gt;&lt;Author&gt;Mogensen&lt;/Author&gt;&lt;Year&gt;2016&lt;/Year&gt;&lt;RecNum&gt;83&lt;/RecNum&gt;&lt;DisplayText&gt;[175]&lt;/DisplayText&gt;&lt;record&gt;&lt;rec-number&gt;83&lt;/rec-number&gt;&lt;foreign-keys&gt;&lt;key app="EN" db-id="5sa9s0e0r0d9fnexra7pr5xdwd5ztevx95s2" timestamp="1516185253"&gt;83&lt;/key&gt;&lt;/foreign-keys&gt;&lt;ref-type name="Journal Article"&gt;17&lt;/ref-type&gt;&lt;contributors&gt;&lt;authors&gt;&lt;author&gt;Mogensen, Ronnie&lt;/author&gt;&lt;author&gt;Brandell, Daniel&lt;/author&gt;&lt;author&gt;Younesi, Reza&lt;/author&gt;&lt;/authors&gt;&lt;/contributors&gt;&lt;titles&gt;&lt;title&gt;Solubility of the Solid Electrolyte Interphase (SEI) in Sodium Ion Batteries&lt;/title&gt;&lt;secondary-title&gt;ACS Energy Letters&lt;/secondary-title&gt;&lt;/titles&gt;&lt;periodical&gt;&lt;full-title&gt;Acs Energy Letters&lt;/full-title&gt;&lt;abbr-1&gt;ACS Energy Lett.&lt;/abbr-1&gt;&lt;/periodical&gt;&lt;pages&gt;1173-1178&lt;/pages&gt;&lt;volume&gt;1&lt;/volume&gt;&lt;number&gt;6&lt;/number&gt;&lt;dates&gt;&lt;year&gt;2016&lt;/year&gt;&lt;pub-dates&gt;&lt;date&gt;2016/12/09&lt;/date&gt;&lt;/pub-dates&gt;&lt;/dates&gt;&lt;publisher&gt;American Chemical Society&lt;/publisher&gt;&lt;urls&gt;&lt;related-urls&gt;&lt;url&gt;http://dx.doi.org/10.1021/acsenergylett.6b00491&lt;/url&gt;&lt;/related-urls&gt;&lt;/urls&gt;&lt;electronic-resource-num&gt;10.1021/acsenergylett.6b00491&lt;/electronic-resource-num&gt;&lt;/record&gt;&lt;/Cite&gt;&lt;/EndNote&gt;</w:instrText>
      </w:r>
      <w:r w:rsidRPr="0092670C">
        <w:rPr>
          <w:rFonts w:ascii="Arial" w:hAnsi="Arial" w:cs="Arial"/>
        </w:rPr>
        <w:fldChar w:fldCharType="separate"/>
      </w:r>
      <w:r w:rsidR="0034337D">
        <w:rPr>
          <w:rFonts w:ascii="Arial" w:hAnsi="Arial" w:cs="Arial"/>
          <w:noProof/>
        </w:rPr>
        <w:t>[175]</w:t>
      </w:r>
      <w:r w:rsidRPr="0092670C">
        <w:rPr>
          <w:rFonts w:ascii="Arial" w:hAnsi="Arial" w:cs="Arial"/>
        </w:rPr>
        <w:fldChar w:fldCharType="end"/>
      </w:r>
      <w:r w:rsidRPr="0092670C">
        <w:rPr>
          <w:rFonts w:ascii="Arial" w:hAnsi="Arial" w:cs="Arial"/>
        </w:rPr>
        <w:t>. This increased dissolution could be attributed to the lower polymer content of Na-based SEIs.</w:t>
      </w:r>
    </w:p>
    <w:p w14:paraId="360BA812" w14:textId="77777777" w:rsidR="00FC1A90" w:rsidRPr="0092670C" w:rsidRDefault="00FC1A90" w:rsidP="003E14AA">
      <w:pPr>
        <w:spacing w:line="360" w:lineRule="auto"/>
        <w:jc w:val="both"/>
        <w:rPr>
          <w:rFonts w:ascii="Arial" w:eastAsia="Calibri" w:hAnsi="Arial" w:cs="Arial"/>
        </w:rPr>
      </w:pPr>
    </w:p>
    <w:p w14:paraId="3B4E9A74" w14:textId="77777777" w:rsidR="003E14AA" w:rsidRPr="0092670C" w:rsidRDefault="003E14AA" w:rsidP="00F80BDA">
      <w:pPr>
        <w:pStyle w:val="Heading2"/>
        <w:rPr>
          <w:rFonts w:ascii="Arial" w:eastAsia="Calibri" w:hAnsi="Arial" w:cs="Arial"/>
        </w:rPr>
      </w:pPr>
      <w:bookmarkStart w:id="68" w:name="_Toc82538732"/>
      <w:r w:rsidRPr="0092670C">
        <w:rPr>
          <w:rFonts w:ascii="Arial" w:eastAsia="Calibri" w:hAnsi="Arial" w:cs="Arial"/>
        </w:rPr>
        <w:t>Conclusion</w:t>
      </w:r>
      <w:bookmarkEnd w:id="68"/>
    </w:p>
    <w:p w14:paraId="51881627" w14:textId="1091C7BB"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The SEI is vital for ensuring that Li-ion cells can maintain a high coulombic efficiency and capacity</w:t>
      </w:r>
      <w:r w:rsidR="009F1EDB">
        <w:rPr>
          <w:rFonts w:ascii="Arial" w:eastAsia="Calibri" w:hAnsi="Arial" w:cs="Arial"/>
        </w:rPr>
        <w:t xml:space="preserve"> retention</w:t>
      </w:r>
      <w:r w:rsidRPr="0092670C">
        <w:rPr>
          <w:rFonts w:ascii="Arial" w:eastAsia="Calibri" w:hAnsi="Arial" w:cs="Arial"/>
        </w:rPr>
        <w:t xml:space="preserve">. The use of additives can improve the cyclability of the cell and improve other properties such as non-ambient temperature performance. </w:t>
      </w:r>
      <w:r w:rsidR="007D1B30">
        <w:rPr>
          <w:rFonts w:ascii="Arial" w:eastAsia="Calibri" w:hAnsi="Arial" w:cs="Arial"/>
        </w:rPr>
        <w:t>F</w:t>
      </w:r>
      <w:r w:rsidRPr="0092670C">
        <w:rPr>
          <w:rFonts w:ascii="Arial" w:eastAsia="Calibri" w:hAnsi="Arial" w:cs="Arial"/>
        </w:rPr>
        <w:t xml:space="preserve">ormation cycling </w:t>
      </w:r>
      <w:r w:rsidR="007D1B30">
        <w:rPr>
          <w:rFonts w:ascii="Arial" w:eastAsia="Calibri" w:hAnsi="Arial" w:cs="Arial"/>
        </w:rPr>
        <w:t>is</w:t>
      </w:r>
      <w:r w:rsidRPr="0092670C">
        <w:rPr>
          <w:rFonts w:ascii="Arial" w:eastAsia="Calibri" w:hAnsi="Arial" w:cs="Arial"/>
        </w:rPr>
        <w:t xml:space="preserve"> both expensive and time consuming, driving up the cost of batteries and undermining their competitiveness with </w:t>
      </w:r>
      <w:r w:rsidR="005A7530" w:rsidRPr="0092670C">
        <w:rPr>
          <w:rFonts w:ascii="Arial" w:eastAsia="Calibri" w:hAnsi="Arial" w:cs="Arial"/>
        </w:rPr>
        <w:t>hydrocarbons</w:t>
      </w:r>
      <w:r w:rsidRPr="0092670C">
        <w:rPr>
          <w:rFonts w:ascii="Arial" w:eastAsia="Calibri" w:hAnsi="Arial" w:cs="Arial"/>
        </w:rPr>
        <w:t xml:space="preserve"> for powering cars.  </w:t>
      </w:r>
    </w:p>
    <w:p w14:paraId="17AE73DC" w14:textId="76A2CB14" w:rsidR="004C4758" w:rsidRPr="0092670C" w:rsidRDefault="003E14AA" w:rsidP="003E14AA">
      <w:pPr>
        <w:spacing w:line="360" w:lineRule="auto"/>
        <w:jc w:val="both"/>
        <w:rPr>
          <w:rFonts w:ascii="Arial" w:eastAsia="Calibri" w:hAnsi="Arial" w:cs="Arial"/>
        </w:rPr>
      </w:pPr>
      <w:r w:rsidRPr="0092670C">
        <w:rPr>
          <w:rFonts w:ascii="Arial" w:eastAsia="Calibri" w:hAnsi="Arial" w:cs="Arial"/>
        </w:rPr>
        <w:t>Pre-lithiating the anode and artificial SEIs are both viable techniques that could be used to improve the natural SEI ensuring that it prevents electrolyte degradation.</w:t>
      </w:r>
      <w:r w:rsidR="00711431">
        <w:rPr>
          <w:rFonts w:ascii="Arial" w:eastAsia="Calibri" w:hAnsi="Arial" w:cs="Arial"/>
        </w:rPr>
        <w:t xml:space="preserve"> </w:t>
      </w:r>
      <w:r w:rsidR="0007470F">
        <w:rPr>
          <w:rFonts w:ascii="Arial" w:eastAsia="Calibri" w:hAnsi="Arial" w:cs="Arial"/>
        </w:rPr>
        <w:t xml:space="preserve">Further work is required with pre-lithiation to achieve higher coulombic efficiency and </w:t>
      </w:r>
      <w:r w:rsidR="004E73AB">
        <w:rPr>
          <w:rFonts w:ascii="Arial" w:eastAsia="Calibri" w:hAnsi="Arial" w:cs="Arial"/>
        </w:rPr>
        <w:t>long-term</w:t>
      </w:r>
      <w:r w:rsidR="0007470F">
        <w:rPr>
          <w:rFonts w:ascii="Arial" w:eastAsia="Calibri" w:hAnsi="Arial" w:cs="Arial"/>
        </w:rPr>
        <w:t xml:space="preserve"> c</w:t>
      </w:r>
      <w:r w:rsidR="004E73AB">
        <w:rPr>
          <w:rFonts w:ascii="Arial" w:eastAsia="Calibri" w:hAnsi="Arial" w:cs="Arial"/>
        </w:rPr>
        <w:t xml:space="preserve">apacity retention than can currently be achieved. Work will also be required to lower the costs of </w:t>
      </w:r>
      <w:r w:rsidR="00E61877">
        <w:rPr>
          <w:rFonts w:ascii="Arial" w:eastAsia="Calibri" w:hAnsi="Arial" w:cs="Arial"/>
        </w:rPr>
        <w:t xml:space="preserve">pre-lithiation </w:t>
      </w:r>
      <w:r w:rsidR="009C6F95">
        <w:rPr>
          <w:rFonts w:ascii="Arial" w:eastAsia="Calibri" w:hAnsi="Arial" w:cs="Arial"/>
        </w:rPr>
        <w:t xml:space="preserve">although recent press reports have suggested that the </w:t>
      </w:r>
      <w:r w:rsidR="001D1B4C">
        <w:rPr>
          <w:rFonts w:ascii="Arial" w:eastAsia="Calibri" w:hAnsi="Arial" w:cs="Arial"/>
        </w:rPr>
        <w:t>pre-lithiation process is becoming</w:t>
      </w:r>
      <w:r w:rsidR="00035186">
        <w:rPr>
          <w:rFonts w:ascii="Arial" w:eastAsia="Calibri" w:hAnsi="Arial" w:cs="Arial"/>
        </w:rPr>
        <w:t xml:space="preserve"> a</w:t>
      </w:r>
      <w:r w:rsidR="001D1B4C">
        <w:rPr>
          <w:rFonts w:ascii="Arial" w:eastAsia="Calibri" w:hAnsi="Arial" w:cs="Arial"/>
        </w:rPr>
        <w:t xml:space="preserve"> commercially viable process</w:t>
      </w:r>
      <w:r w:rsidR="00035186">
        <w:rPr>
          <w:rFonts w:ascii="Arial" w:eastAsia="Calibri" w:hAnsi="Arial" w:cs="Arial"/>
        </w:rPr>
        <w:t xml:space="preserve"> </w:t>
      </w:r>
      <w:r w:rsidR="00035186">
        <w:rPr>
          <w:rFonts w:ascii="Arial" w:eastAsia="Calibri" w:hAnsi="Arial" w:cs="Arial"/>
        </w:rPr>
        <w:fldChar w:fldCharType="begin"/>
      </w:r>
      <w:r w:rsidR="0034337D">
        <w:rPr>
          <w:rFonts w:ascii="Arial" w:eastAsia="Calibri" w:hAnsi="Arial" w:cs="Arial"/>
        </w:rPr>
        <w:instrText xml:space="preserve"> ADDIN EN.CITE &lt;EndNote&gt;&lt;Cite&gt;&lt;Author&gt;Hampel&lt;/Author&gt;&lt;Year&gt;2021&lt;/Year&gt;&lt;RecNum&gt;370&lt;/RecNum&gt;&lt;DisplayText&gt;[176]&lt;/DisplayText&gt;&lt;record&gt;&lt;rec-number&gt;370&lt;/rec-number&gt;&lt;foreign-keys&gt;&lt;key app="EN" db-id="5sa9s0e0r0d9fnexra7pr5xdwd5ztevx95s2" timestamp="1631637866"&gt;370&lt;/key&gt;&lt;/foreign-keys&gt;&lt;ref-type name="Web Page"&gt;12&lt;/ref-type&gt;&lt;contributors&gt;&lt;authors&gt;&lt;author&gt; Carrie Hampel&lt;/author&gt;&lt;/authors&gt;&lt;/contributors&gt;&lt;titles&gt;&lt;title&gt;Gotion High-Tech presents LFP new battery cell&lt;/title&gt;&lt;/titles&gt;&lt;volume&gt;2021&lt;/volume&gt;&lt;number&gt;14/09/21&lt;/number&gt;&lt;dates&gt;&lt;year&gt;2021&lt;/year&gt;&lt;/dates&gt;&lt;pub-location&gt;Electrive&lt;/pub-location&gt;&lt;urls&gt;&lt;related-urls&gt;&lt;url&gt;https://www.electrive.com/2021/01/25/guoxuan-high-tech-presents-lfp-new-battery-cell/&lt;/url&gt;&lt;/related-urls&gt;&lt;/urls&gt;&lt;/record&gt;&lt;/Cite&gt;&lt;/EndNote&gt;</w:instrText>
      </w:r>
      <w:r w:rsidR="00035186">
        <w:rPr>
          <w:rFonts w:ascii="Arial" w:eastAsia="Calibri" w:hAnsi="Arial" w:cs="Arial"/>
        </w:rPr>
        <w:fldChar w:fldCharType="separate"/>
      </w:r>
      <w:r w:rsidR="0034337D">
        <w:rPr>
          <w:rFonts w:ascii="Arial" w:eastAsia="Calibri" w:hAnsi="Arial" w:cs="Arial"/>
          <w:noProof/>
        </w:rPr>
        <w:t>[176]</w:t>
      </w:r>
      <w:r w:rsidR="00035186">
        <w:rPr>
          <w:rFonts w:ascii="Arial" w:eastAsia="Calibri" w:hAnsi="Arial" w:cs="Arial"/>
        </w:rPr>
        <w:fldChar w:fldCharType="end"/>
      </w:r>
      <w:r w:rsidR="00035186">
        <w:rPr>
          <w:rFonts w:ascii="Arial" w:eastAsia="Calibri" w:hAnsi="Arial" w:cs="Arial"/>
        </w:rPr>
        <w:t>.</w:t>
      </w:r>
    </w:p>
    <w:p w14:paraId="6CC6B0FB" w14:textId="7A728D95" w:rsidR="004C4758"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 </w:t>
      </w:r>
      <w:r w:rsidR="004C4758" w:rsidRPr="0092670C">
        <w:rPr>
          <w:rFonts w:ascii="Arial" w:eastAsia="Calibri" w:hAnsi="Arial" w:cs="Arial"/>
        </w:rPr>
        <w:br w:type="page"/>
      </w:r>
    </w:p>
    <w:p w14:paraId="33DE9B44" w14:textId="77777777" w:rsidR="003E14AA" w:rsidRPr="0092670C" w:rsidRDefault="003E14AA" w:rsidP="003E14AA">
      <w:pPr>
        <w:spacing w:line="360" w:lineRule="auto"/>
        <w:jc w:val="both"/>
        <w:rPr>
          <w:rFonts w:ascii="Arial" w:eastAsia="Calibri" w:hAnsi="Arial" w:cs="Arial"/>
        </w:rPr>
      </w:pPr>
    </w:p>
    <w:p w14:paraId="1D806CB8" w14:textId="24DD78C5" w:rsidR="003E14AA" w:rsidRPr="0092670C" w:rsidRDefault="007D18AC" w:rsidP="007373D8">
      <w:pPr>
        <w:pStyle w:val="Heading1"/>
        <w:spacing w:before="4000" w:line="360" w:lineRule="auto"/>
        <w:rPr>
          <w:rFonts w:ascii="Arial" w:eastAsia="Calibri" w:hAnsi="Arial" w:cs="Arial"/>
          <w:b/>
        </w:rPr>
      </w:pPr>
      <w:bookmarkStart w:id="69" w:name="_Toc82538733"/>
      <w:r w:rsidRPr="0092670C">
        <w:rPr>
          <w:rFonts w:ascii="Arial" w:eastAsia="Calibri" w:hAnsi="Arial" w:cs="Arial"/>
          <w:b/>
        </w:rPr>
        <w:t>Experimental techni</w:t>
      </w:r>
      <w:r w:rsidR="00B604D7" w:rsidRPr="0092670C">
        <w:rPr>
          <w:rFonts w:ascii="Arial" w:eastAsia="Calibri" w:hAnsi="Arial" w:cs="Arial"/>
          <w:b/>
        </w:rPr>
        <w:t>ques</w:t>
      </w:r>
      <w:bookmarkEnd w:id="69"/>
    </w:p>
    <w:p w14:paraId="58335915" w14:textId="2F7C51D7" w:rsidR="008A7942" w:rsidRDefault="008A7942" w:rsidP="008A7942">
      <w:pPr>
        <w:spacing w:line="360" w:lineRule="auto"/>
        <w:jc w:val="both"/>
        <w:rPr>
          <w:rFonts w:ascii="Arial" w:hAnsi="Arial" w:cs="Arial"/>
        </w:rPr>
      </w:pPr>
      <w:r w:rsidRPr="0092670C">
        <w:rPr>
          <w:rFonts w:ascii="Arial" w:hAnsi="Arial" w:cs="Arial"/>
        </w:rPr>
        <w:t>This thesis utilises a range of techniques to help further understand the SEI and the relationship between its structure and performance. This section outlines some of the theoretical basis for these techniques and how the</w:t>
      </w:r>
      <w:r w:rsidR="00D41C52" w:rsidRPr="0092670C">
        <w:rPr>
          <w:rFonts w:ascii="Arial" w:hAnsi="Arial" w:cs="Arial"/>
        </w:rPr>
        <w:t xml:space="preserve"> information the</w:t>
      </w:r>
      <w:r w:rsidR="00AC7EAD" w:rsidRPr="0092670C">
        <w:rPr>
          <w:rFonts w:ascii="Arial" w:hAnsi="Arial" w:cs="Arial"/>
        </w:rPr>
        <w:t xml:space="preserve">y give can be used to </w:t>
      </w:r>
      <w:r w:rsidR="00D90AB0" w:rsidRPr="0092670C">
        <w:rPr>
          <w:rFonts w:ascii="Arial" w:hAnsi="Arial" w:cs="Arial"/>
        </w:rPr>
        <w:t>derive information about the SEI.</w:t>
      </w:r>
    </w:p>
    <w:p w14:paraId="79555E1C" w14:textId="77777777" w:rsidR="009D0B40" w:rsidRDefault="009D0B40">
      <w:pPr>
        <w:rPr>
          <w:rFonts w:ascii="Arial" w:hAnsi="Arial" w:cs="Arial"/>
        </w:rPr>
      </w:pPr>
      <w:r>
        <w:rPr>
          <w:rFonts w:ascii="Arial" w:hAnsi="Arial" w:cs="Arial"/>
        </w:rPr>
        <w:br w:type="page"/>
      </w:r>
    </w:p>
    <w:p w14:paraId="2F2EA42A" w14:textId="0156C878" w:rsidR="001D21CD" w:rsidRDefault="0008629F" w:rsidP="009D0B40">
      <w:pPr>
        <w:pStyle w:val="Heading2"/>
        <w:rPr>
          <w:rFonts w:ascii="Arial" w:hAnsi="Arial" w:cs="Arial"/>
        </w:rPr>
      </w:pPr>
      <w:bookmarkStart w:id="70" w:name="_Toc82538734"/>
      <w:r>
        <w:rPr>
          <w:rFonts w:ascii="Arial" w:hAnsi="Arial" w:cs="Arial"/>
        </w:rPr>
        <w:t>Material</w:t>
      </w:r>
      <w:r w:rsidR="001D21CD">
        <w:rPr>
          <w:rFonts w:ascii="Arial" w:hAnsi="Arial" w:cs="Arial"/>
        </w:rPr>
        <w:t xml:space="preserve"> </w:t>
      </w:r>
      <w:r>
        <w:rPr>
          <w:rFonts w:ascii="Arial" w:hAnsi="Arial" w:cs="Arial"/>
        </w:rPr>
        <w:t>synthesis</w:t>
      </w:r>
      <w:bookmarkEnd w:id="70"/>
      <w:r>
        <w:rPr>
          <w:rFonts w:ascii="Arial" w:hAnsi="Arial" w:cs="Arial"/>
        </w:rPr>
        <w:t xml:space="preserve"> </w:t>
      </w:r>
    </w:p>
    <w:p w14:paraId="3472AE91" w14:textId="72B323DA" w:rsidR="00885FD0" w:rsidRDefault="005631E9" w:rsidP="008A7942">
      <w:pPr>
        <w:spacing w:line="360" w:lineRule="auto"/>
        <w:jc w:val="both"/>
        <w:rPr>
          <w:rFonts w:ascii="Arial" w:hAnsi="Arial" w:cs="Arial"/>
        </w:rPr>
      </w:pPr>
      <w:r>
        <w:rPr>
          <w:rFonts w:ascii="Arial" w:hAnsi="Arial" w:cs="Arial"/>
        </w:rPr>
        <w:t xml:space="preserve">Due to the </w:t>
      </w:r>
      <w:r w:rsidR="00AE744C">
        <w:rPr>
          <w:rFonts w:ascii="Arial" w:hAnsi="Arial" w:cs="Arial"/>
        </w:rPr>
        <w:t xml:space="preserve">novelty of some new </w:t>
      </w:r>
      <w:r w:rsidR="00410D93">
        <w:rPr>
          <w:rFonts w:ascii="Arial" w:hAnsi="Arial" w:cs="Arial"/>
        </w:rPr>
        <w:t xml:space="preserve">battery component and the current commercial restrictions on their sale it is </w:t>
      </w:r>
      <w:r w:rsidR="00CF5935">
        <w:rPr>
          <w:rFonts w:ascii="Arial" w:hAnsi="Arial" w:cs="Arial"/>
        </w:rPr>
        <w:t>necessary to tes</w:t>
      </w:r>
      <w:r w:rsidR="00221BA5">
        <w:rPr>
          <w:rFonts w:ascii="Arial" w:hAnsi="Arial" w:cs="Arial"/>
        </w:rPr>
        <w:t xml:space="preserve">t the </w:t>
      </w:r>
    </w:p>
    <w:p w14:paraId="217FB9D6" w14:textId="07C89116" w:rsidR="00885FD0" w:rsidRDefault="00885FD0" w:rsidP="005037AC">
      <w:pPr>
        <w:pStyle w:val="Heading3"/>
        <w:rPr>
          <w:rFonts w:ascii="Arial" w:hAnsi="Arial" w:cs="Arial"/>
        </w:rPr>
      </w:pPr>
      <w:bookmarkStart w:id="71" w:name="_Toc82538735"/>
      <w:r>
        <w:rPr>
          <w:rFonts w:ascii="Arial" w:hAnsi="Arial" w:cs="Arial"/>
        </w:rPr>
        <w:t>Hard carbon</w:t>
      </w:r>
      <w:bookmarkEnd w:id="71"/>
    </w:p>
    <w:p w14:paraId="2708DD45" w14:textId="6F18B25E" w:rsidR="00A747C6" w:rsidRDefault="00FC355C" w:rsidP="008A7942">
      <w:pPr>
        <w:spacing w:line="360" w:lineRule="auto"/>
        <w:jc w:val="both"/>
        <w:rPr>
          <w:rFonts w:ascii="Arial" w:hAnsi="Arial" w:cs="Arial"/>
        </w:rPr>
      </w:pPr>
      <w:r>
        <w:rPr>
          <w:rFonts w:ascii="Arial" w:hAnsi="Arial" w:cs="Arial"/>
        </w:rPr>
        <w:t xml:space="preserve">As </w:t>
      </w:r>
      <w:r w:rsidR="00284F43">
        <w:rPr>
          <w:rFonts w:ascii="Arial" w:hAnsi="Arial" w:cs="Arial"/>
        </w:rPr>
        <w:t xml:space="preserve">Na-ion cells aren’t yet commercially available many of the </w:t>
      </w:r>
      <w:r w:rsidR="004F2BEF">
        <w:rPr>
          <w:rFonts w:ascii="Arial" w:hAnsi="Arial" w:cs="Arial"/>
        </w:rPr>
        <w:t xml:space="preserve">materials used are difficult </w:t>
      </w:r>
      <w:r w:rsidR="00C941EC">
        <w:rPr>
          <w:rFonts w:ascii="Arial" w:hAnsi="Arial" w:cs="Arial"/>
        </w:rPr>
        <w:t xml:space="preserve">or unavailable </w:t>
      </w:r>
      <w:r w:rsidR="004F2BEF">
        <w:rPr>
          <w:rFonts w:ascii="Arial" w:hAnsi="Arial" w:cs="Arial"/>
        </w:rPr>
        <w:t>to purchase.</w:t>
      </w:r>
      <w:r w:rsidR="00C941EC">
        <w:rPr>
          <w:rFonts w:ascii="Arial" w:hAnsi="Arial" w:cs="Arial"/>
        </w:rPr>
        <w:t xml:space="preserve"> This means that </w:t>
      </w:r>
      <w:r w:rsidR="00D221F4">
        <w:rPr>
          <w:rFonts w:ascii="Arial" w:hAnsi="Arial" w:cs="Arial"/>
        </w:rPr>
        <w:t xml:space="preserve">the materials need to be produced in house to be able to test them. </w:t>
      </w:r>
    </w:p>
    <w:p w14:paraId="0D152071" w14:textId="271D8DB6" w:rsidR="0008629F" w:rsidRDefault="0008629F" w:rsidP="008A7942">
      <w:pPr>
        <w:spacing w:line="360" w:lineRule="auto"/>
        <w:jc w:val="both"/>
        <w:rPr>
          <w:rFonts w:ascii="Arial" w:hAnsi="Arial" w:cs="Arial"/>
        </w:rPr>
      </w:pPr>
      <w:r>
        <w:rPr>
          <w:rFonts w:ascii="Arial" w:hAnsi="Arial" w:cs="Arial"/>
        </w:rPr>
        <w:t xml:space="preserve">Hard carbon </w:t>
      </w:r>
      <w:r w:rsidR="003B3994">
        <w:rPr>
          <w:rFonts w:ascii="Arial" w:hAnsi="Arial" w:cs="Arial"/>
        </w:rPr>
        <w:t xml:space="preserve">was prepared </w:t>
      </w:r>
      <w:r w:rsidR="007B5DF2">
        <w:rPr>
          <w:rFonts w:ascii="Arial" w:hAnsi="Arial" w:cs="Arial"/>
        </w:rPr>
        <w:t>by first caramelising glucose at 180</w:t>
      </w:r>
      <w:r w:rsidR="00F701EF">
        <w:rPr>
          <w:rFonts w:ascii="Arial" w:hAnsi="Arial" w:cs="Arial"/>
        </w:rPr>
        <w:t>°C in a</w:t>
      </w:r>
      <w:r w:rsidR="00E02490">
        <w:rPr>
          <w:rFonts w:ascii="Arial" w:hAnsi="Arial" w:cs="Arial"/>
        </w:rPr>
        <w:t xml:space="preserve">n oven for </w:t>
      </w:r>
      <w:r w:rsidR="007E6AE0">
        <w:rPr>
          <w:rFonts w:ascii="Arial" w:hAnsi="Arial" w:cs="Arial"/>
        </w:rPr>
        <w:t>24</w:t>
      </w:r>
      <w:r w:rsidR="00E02490">
        <w:rPr>
          <w:rFonts w:ascii="Arial" w:hAnsi="Arial" w:cs="Arial"/>
        </w:rPr>
        <w:t xml:space="preserve"> </w:t>
      </w:r>
      <w:r w:rsidR="00F75294">
        <w:rPr>
          <w:rFonts w:ascii="Arial" w:hAnsi="Arial" w:cs="Arial"/>
        </w:rPr>
        <w:t>h</w:t>
      </w:r>
      <w:r w:rsidR="00E02490">
        <w:rPr>
          <w:rFonts w:ascii="Arial" w:hAnsi="Arial" w:cs="Arial"/>
        </w:rPr>
        <w:t xml:space="preserve">ours. </w:t>
      </w:r>
      <w:r w:rsidR="00F82433">
        <w:rPr>
          <w:rFonts w:ascii="Arial" w:hAnsi="Arial" w:cs="Arial"/>
        </w:rPr>
        <w:t>The caramel was b</w:t>
      </w:r>
      <w:r w:rsidR="00106060">
        <w:rPr>
          <w:rFonts w:ascii="Arial" w:hAnsi="Arial" w:cs="Arial"/>
        </w:rPr>
        <w:t xml:space="preserve">roken </w:t>
      </w:r>
      <w:r w:rsidR="00A450E1">
        <w:rPr>
          <w:rFonts w:ascii="Arial" w:hAnsi="Arial" w:cs="Arial"/>
        </w:rPr>
        <w:t xml:space="preserve">up </w:t>
      </w:r>
      <w:r w:rsidR="005D7DE4">
        <w:rPr>
          <w:rFonts w:ascii="Arial" w:hAnsi="Arial" w:cs="Arial"/>
        </w:rPr>
        <w:t xml:space="preserve">using a pestle and mortar. </w:t>
      </w:r>
      <w:r w:rsidR="00E02490">
        <w:rPr>
          <w:rFonts w:ascii="Arial" w:hAnsi="Arial" w:cs="Arial"/>
        </w:rPr>
        <w:t xml:space="preserve">The caramel was then heated </w:t>
      </w:r>
      <w:r w:rsidR="00F75294">
        <w:rPr>
          <w:rFonts w:ascii="Arial" w:hAnsi="Arial" w:cs="Arial"/>
        </w:rPr>
        <w:t xml:space="preserve">in a tube furnace at </w:t>
      </w:r>
      <w:r w:rsidR="00DD21B1">
        <w:rPr>
          <w:rFonts w:ascii="Arial" w:hAnsi="Arial" w:cs="Arial"/>
        </w:rPr>
        <w:t>10</w:t>
      </w:r>
      <w:r w:rsidR="00F75294">
        <w:rPr>
          <w:rFonts w:ascii="Arial" w:hAnsi="Arial" w:cs="Arial"/>
        </w:rPr>
        <w:t xml:space="preserve">00°C </w:t>
      </w:r>
      <w:r w:rsidR="00DD21B1">
        <w:rPr>
          <w:rFonts w:ascii="Arial" w:hAnsi="Arial" w:cs="Arial"/>
        </w:rPr>
        <w:t>under flowing argon</w:t>
      </w:r>
      <w:r w:rsidR="00F75294">
        <w:rPr>
          <w:rFonts w:ascii="Arial" w:hAnsi="Arial" w:cs="Arial"/>
        </w:rPr>
        <w:t xml:space="preserve"> with a heating and cooling ramp of 1°C/min.</w:t>
      </w:r>
      <w:r w:rsidR="00A747C6">
        <w:rPr>
          <w:rFonts w:ascii="Arial" w:hAnsi="Arial" w:cs="Arial"/>
        </w:rPr>
        <w:t xml:space="preserve"> </w:t>
      </w:r>
      <w:r w:rsidR="002A3587">
        <w:rPr>
          <w:rFonts w:ascii="Arial" w:hAnsi="Arial" w:cs="Arial"/>
        </w:rPr>
        <w:t xml:space="preserve">The resulting material was crushed </w:t>
      </w:r>
      <w:r w:rsidR="00236F1B">
        <w:rPr>
          <w:rFonts w:ascii="Arial" w:hAnsi="Arial" w:cs="Arial"/>
        </w:rPr>
        <w:t xml:space="preserve">again </w:t>
      </w:r>
      <w:r w:rsidR="002A3587">
        <w:rPr>
          <w:rFonts w:ascii="Arial" w:hAnsi="Arial" w:cs="Arial"/>
        </w:rPr>
        <w:t xml:space="preserve">with a pestle and mortar to reduce the </w:t>
      </w:r>
      <w:r w:rsidR="00C321F1">
        <w:rPr>
          <w:rFonts w:ascii="Arial" w:hAnsi="Arial" w:cs="Arial"/>
        </w:rPr>
        <w:t>p</w:t>
      </w:r>
      <w:r w:rsidR="002A3587">
        <w:rPr>
          <w:rFonts w:ascii="Arial" w:hAnsi="Arial" w:cs="Arial"/>
        </w:rPr>
        <w:t xml:space="preserve">article size. </w:t>
      </w:r>
      <w:r w:rsidR="00A747C6">
        <w:rPr>
          <w:rFonts w:ascii="Arial" w:hAnsi="Arial" w:cs="Arial"/>
        </w:rPr>
        <w:t xml:space="preserve">This </w:t>
      </w:r>
      <w:r w:rsidR="00D84523">
        <w:rPr>
          <w:rFonts w:ascii="Arial" w:hAnsi="Arial" w:cs="Arial"/>
        </w:rPr>
        <w:t xml:space="preserve">experimental was based on the one described by Dahn et al. in their paper on hard carbon </w:t>
      </w:r>
      <w:r w:rsidR="00253216">
        <w:rPr>
          <w:rFonts w:ascii="Arial" w:hAnsi="Arial" w:cs="Arial"/>
        </w:rPr>
        <w:t>anodes for sodium</w:t>
      </w:r>
      <w:r w:rsidR="00662DAB">
        <w:rPr>
          <w:rFonts w:ascii="Arial" w:hAnsi="Arial" w:cs="Arial"/>
        </w:rPr>
        <w:fldChar w:fldCharType="begin"/>
      </w:r>
      <w:r w:rsidR="0034337D">
        <w:rPr>
          <w:rFonts w:ascii="Arial" w:hAnsi="Arial" w:cs="Arial"/>
        </w:rPr>
        <w:instrText xml:space="preserve"> ADDIN EN.CITE &lt;EndNote&gt;&lt;Cite&gt;&lt;Author&gt;Stevens&lt;/Author&gt;&lt;Year&gt;2000&lt;/Year&gt;&lt;RecNum&gt;84&lt;/RecNum&gt;&lt;DisplayText&gt;[167]&lt;/DisplayText&gt;&lt;record&gt;&lt;rec-number&gt;84&lt;/rec-number&gt;&lt;foreign-keys&gt;&lt;key app="EN" db-id="5sa9s0e0r0d9fnexra7pr5xdwd5ztevx95s2" timestamp="1516185735"&gt;84&lt;/key&gt;&lt;/foreign-keys&gt;&lt;ref-type name="Journal Article"&gt;17&lt;/ref-type&gt;&lt;contributors&gt;&lt;authors&gt;&lt;author&gt;Stevens, D. A.&lt;/author&gt;&lt;author&gt;Dahn, J. R.&lt;/author&gt;&lt;/authors&gt;&lt;/contributors&gt;&lt;titles&gt;&lt;title&gt;High Capacity Anode Materials for Rechargeable Sodium</w:instrText>
      </w:r>
      <w:r w:rsidR="0034337D">
        <w:rPr>
          <w:rFonts w:ascii="Cambria Math" w:hAnsi="Cambria Math" w:cs="Cambria Math"/>
        </w:rPr>
        <w:instrText>‐</w:instrText>
      </w:r>
      <w:r w:rsidR="0034337D">
        <w:rPr>
          <w:rFonts w:ascii="Arial" w:hAnsi="Arial" w:cs="Arial"/>
        </w:rPr>
        <w:instrText>Ion Batteries&lt;/title&gt;&lt;secondary-title&gt;Journal of The Electrochemical Society&lt;/secondary-title&gt;&lt;/titles&gt;&lt;periodical&gt;&lt;full-title&gt;Journal of the Electrochemical Society&lt;/full-title&gt;&lt;abbr-1&gt;J. Electrochem. Soc.&lt;/abbr-1&gt;&lt;/periodical&gt;&lt;pages&gt;1271-1273&lt;/pages&gt;&lt;volume&gt;147&lt;/volume&gt;&lt;number&gt;4&lt;/number&gt;&lt;dates&gt;&lt;year&gt;2000&lt;/year&gt;&lt;pub-dates&gt;&lt;date&gt;April 1, 2000&lt;/date&gt;&lt;/pub-dates&gt;&lt;/dates&gt;&lt;urls&gt;&lt;related-urls&gt;&lt;url&gt;http://jes.ecsdl.org/content/147/4/1271.abstract&lt;/url&gt;&lt;/related-urls&gt;&lt;/urls&gt;&lt;electronic-resource-num&gt;10.1149/1.1393348&lt;/electronic-resource-num&gt;&lt;/record&gt;&lt;/Cite&gt;&lt;/EndNote&gt;</w:instrText>
      </w:r>
      <w:r w:rsidR="00662DAB">
        <w:rPr>
          <w:rFonts w:ascii="Arial" w:hAnsi="Arial" w:cs="Arial"/>
        </w:rPr>
        <w:fldChar w:fldCharType="separate"/>
      </w:r>
      <w:r w:rsidR="0034337D">
        <w:rPr>
          <w:rFonts w:ascii="Arial" w:hAnsi="Arial" w:cs="Arial"/>
          <w:noProof/>
        </w:rPr>
        <w:t>[167]</w:t>
      </w:r>
      <w:r w:rsidR="00662DAB">
        <w:rPr>
          <w:rFonts w:ascii="Arial" w:hAnsi="Arial" w:cs="Arial"/>
        </w:rPr>
        <w:fldChar w:fldCharType="end"/>
      </w:r>
      <w:r w:rsidR="00253216">
        <w:rPr>
          <w:rFonts w:ascii="Arial" w:hAnsi="Arial" w:cs="Arial"/>
        </w:rPr>
        <w:t xml:space="preserve">. </w:t>
      </w:r>
      <w:r w:rsidR="00F75294">
        <w:rPr>
          <w:rFonts w:ascii="Arial" w:hAnsi="Arial" w:cs="Arial"/>
        </w:rPr>
        <w:t xml:space="preserve"> </w:t>
      </w:r>
    </w:p>
    <w:p w14:paraId="4878957E" w14:textId="016EF302" w:rsidR="00EA56F5" w:rsidRDefault="005631E9" w:rsidP="005037AC">
      <w:pPr>
        <w:pStyle w:val="Heading3"/>
        <w:rPr>
          <w:rFonts w:ascii="Arial" w:hAnsi="Arial" w:cs="Arial"/>
        </w:rPr>
      </w:pPr>
      <w:bookmarkStart w:id="72" w:name="_Toc82538736"/>
      <w:bookmarkStart w:id="73" w:name="_Ref82861713"/>
      <w:bookmarkStart w:id="74" w:name="_Ref82862201"/>
      <w:bookmarkStart w:id="75" w:name="_Ref82866623"/>
      <w:bookmarkStart w:id="76" w:name="_Ref82867708"/>
      <w:r>
        <w:rPr>
          <w:rFonts w:ascii="Arial" w:hAnsi="Arial" w:cs="Arial"/>
        </w:rPr>
        <w:t>SiO</w:t>
      </w:r>
      <w:r w:rsidR="00EA56F5" w:rsidRPr="00EA56F5">
        <w:rPr>
          <w:rFonts w:ascii="Arial" w:hAnsi="Arial" w:cs="Arial"/>
          <w:vertAlign w:val="subscript"/>
        </w:rPr>
        <w:t>X</w:t>
      </w:r>
      <w:bookmarkEnd w:id="72"/>
      <w:bookmarkEnd w:id="73"/>
      <w:bookmarkEnd w:id="74"/>
      <w:bookmarkEnd w:id="75"/>
      <w:bookmarkEnd w:id="76"/>
    </w:p>
    <w:p w14:paraId="73EBCFD9" w14:textId="23A1B209" w:rsidR="005631E9" w:rsidRPr="0084163C" w:rsidRDefault="005631E9" w:rsidP="008A7942">
      <w:pPr>
        <w:spacing w:line="360" w:lineRule="auto"/>
        <w:jc w:val="both"/>
        <w:rPr>
          <w:rFonts w:ascii="Arial" w:hAnsi="Arial" w:cs="Arial"/>
        </w:rPr>
      </w:pPr>
      <w:r>
        <w:rPr>
          <w:rFonts w:ascii="Arial" w:hAnsi="Arial" w:cs="Arial"/>
        </w:rPr>
        <w:t>Oxygenated Si species</w:t>
      </w:r>
      <w:r w:rsidR="00944485">
        <w:rPr>
          <w:rFonts w:ascii="Arial" w:hAnsi="Arial" w:cs="Arial"/>
        </w:rPr>
        <w:t xml:space="preserve"> are of great interest to </w:t>
      </w:r>
      <w:r w:rsidR="00965560">
        <w:rPr>
          <w:rFonts w:ascii="Arial" w:hAnsi="Arial" w:cs="Arial"/>
        </w:rPr>
        <w:t>anode research due to</w:t>
      </w:r>
      <w:r w:rsidR="008C5F91">
        <w:rPr>
          <w:rFonts w:ascii="Arial" w:hAnsi="Arial" w:cs="Arial"/>
        </w:rPr>
        <w:t xml:space="preserve"> t</w:t>
      </w:r>
      <w:r w:rsidR="00600094">
        <w:rPr>
          <w:rFonts w:ascii="Arial" w:hAnsi="Arial" w:cs="Arial"/>
        </w:rPr>
        <w:t xml:space="preserve">heir high </w:t>
      </w:r>
      <w:r w:rsidR="0094126A">
        <w:rPr>
          <w:rFonts w:ascii="Arial" w:hAnsi="Arial" w:cs="Arial"/>
        </w:rPr>
        <w:t>capacities</w:t>
      </w:r>
      <w:r w:rsidR="00600094">
        <w:rPr>
          <w:rFonts w:ascii="Arial" w:hAnsi="Arial" w:cs="Arial"/>
        </w:rPr>
        <w:t xml:space="preserve"> of ≈1200mAhg</w:t>
      </w:r>
      <w:r w:rsidR="00600094">
        <w:rPr>
          <w:rFonts w:ascii="Arial" w:hAnsi="Arial" w:cs="Arial"/>
          <w:vertAlign w:val="superscript"/>
        </w:rPr>
        <w:t xml:space="preserve">-1 </w:t>
      </w:r>
      <w:r w:rsidR="0094126A">
        <w:rPr>
          <w:rFonts w:ascii="Arial" w:hAnsi="Arial" w:cs="Arial"/>
        </w:rPr>
        <w:t xml:space="preserve">and wide natural abundance. </w:t>
      </w:r>
      <w:r w:rsidR="00EA089D">
        <w:rPr>
          <w:rFonts w:ascii="Arial" w:hAnsi="Arial" w:cs="Arial"/>
        </w:rPr>
        <w:t xml:space="preserve">One of the big reasons for interest in these cells is the </w:t>
      </w:r>
      <w:r w:rsidR="00C81C2E">
        <w:rPr>
          <w:rFonts w:ascii="Arial" w:hAnsi="Arial" w:cs="Arial"/>
        </w:rPr>
        <w:t xml:space="preserve">first lithiation step which produces </w:t>
      </w:r>
      <w:r w:rsidR="0084163C">
        <w:rPr>
          <w:rFonts w:ascii="Arial" w:hAnsi="Arial" w:cs="Arial"/>
        </w:rPr>
        <w:t>Li</w:t>
      </w:r>
      <w:r w:rsidR="0084163C">
        <w:rPr>
          <w:rFonts w:ascii="Arial" w:hAnsi="Arial" w:cs="Arial"/>
          <w:vertAlign w:val="subscript"/>
        </w:rPr>
        <w:t>4</w:t>
      </w:r>
      <w:r w:rsidR="0084163C">
        <w:rPr>
          <w:rFonts w:ascii="Arial" w:hAnsi="Arial" w:cs="Arial"/>
        </w:rPr>
        <w:t>SiO</w:t>
      </w:r>
      <w:r w:rsidR="0084163C">
        <w:rPr>
          <w:rFonts w:ascii="Arial" w:hAnsi="Arial" w:cs="Arial"/>
          <w:vertAlign w:val="subscript"/>
        </w:rPr>
        <w:t>4</w:t>
      </w:r>
      <w:r w:rsidR="0084163C">
        <w:rPr>
          <w:rFonts w:ascii="Arial" w:hAnsi="Arial" w:cs="Arial"/>
        </w:rPr>
        <w:t xml:space="preserve"> which helps to buffer the volume change of Si</w:t>
      </w:r>
      <w:r w:rsidR="002A7060">
        <w:rPr>
          <w:rFonts w:ascii="Arial" w:hAnsi="Arial" w:cs="Arial"/>
        </w:rPr>
        <w:t xml:space="preserve"> expansion</w:t>
      </w:r>
      <w:r w:rsidR="0084163C">
        <w:rPr>
          <w:rFonts w:ascii="Arial" w:hAnsi="Arial" w:cs="Arial"/>
        </w:rPr>
        <w:t xml:space="preserve"> in the cell </w:t>
      </w:r>
      <w:r w:rsidR="0084163C">
        <w:rPr>
          <w:rFonts w:ascii="Arial" w:hAnsi="Arial" w:cs="Arial"/>
        </w:rPr>
        <w:fldChar w:fldCharType="begin"/>
      </w:r>
      <w:r w:rsidR="0034337D">
        <w:rPr>
          <w:rFonts w:ascii="Arial" w:hAnsi="Arial" w:cs="Arial"/>
        </w:rPr>
        <w:instrText xml:space="preserve"> ADDIN EN.CITE &lt;EndNote&gt;&lt;Cite&gt;&lt;Author&gt;Chen&lt;/Author&gt;&lt;Year&gt;2017&lt;/Year&gt;&lt;RecNum&gt;371&lt;/RecNum&gt;&lt;DisplayText&gt;[177]&lt;/DisplayText&gt;&lt;record&gt;&lt;rec-number&gt;371&lt;/rec-number&gt;&lt;foreign-keys&gt;&lt;key app="EN" db-id="5sa9s0e0r0d9fnexra7pr5xdwd5ztevx95s2" timestamp="1631640847"&gt;371&lt;/key&gt;&lt;/foreign-keys&gt;&lt;ref-type name="Journal Article"&gt;17&lt;/ref-type&gt;&lt;contributors&gt;&lt;authors&gt;&lt;author&gt;Chen, Tao&lt;/author&gt;&lt;author&gt;Wu, Ji&lt;/author&gt;&lt;author&gt;Zhang, Qinglin&lt;/author&gt;&lt;author&gt;Su, Xin&lt;/author&gt;&lt;/authors&gt;&lt;/contributors&gt;&lt;titles&gt;&lt;title&gt;Recent advancement of SiOx based anodes for lithium-ion batteries&lt;/title&gt;&lt;secondary-title&gt;Journal of Power Sources&lt;/secondary-title&gt;&lt;/titles&gt;&lt;periodical&gt;&lt;full-title&gt;Journal of Power Sources&lt;/full-title&gt;&lt;/periodical&gt;&lt;pages&gt;126-144&lt;/pages&gt;&lt;volume&gt;363&lt;/volume&gt;&lt;keywords&gt;&lt;keyword&gt;Lithium-ion batteries&lt;/keyword&gt;&lt;keyword&gt;SiO&lt;/keyword&gt;&lt;keyword&gt;Si&lt;/keyword&gt;&lt;keyword&gt;Anode&lt;/keyword&gt;&lt;/keywords&gt;&lt;dates&gt;&lt;year&gt;2017&lt;/year&gt;&lt;pub-dates&gt;&lt;date&gt;2017/09/30/&lt;/date&gt;&lt;/pub-dates&gt;&lt;/dates&gt;&lt;isbn&gt;0378-7753&lt;/isbn&gt;&lt;urls&gt;&lt;related-urls&gt;&lt;url&gt;https://www.sciencedirect.com/science/article/pii/S0378775317309655&lt;/url&gt;&lt;/related-urls&gt;&lt;/urls&gt;&lt;electronic-resource-num&gt;https://doi.org/10.1016/j.jpowsour.2017.07.073&lt;/electronic-resource-num&gt;&lt;/record&gt;&lt;/Cite&gt;&lt;/EndNote&gt;</w:instrText>
      </w:r>
      <w:r w:rsidR="0084163C">
        <w:rPr>
          <w:rFonts w:ascii="Arial" w:hAnsi="Arial" w:cs="Arial"/>
        </w:rPr>
        <w:fldChar w:fldCharType="separate"/>
      </w:r>
      <w:r w:rsidR="0034337D">
        <w:rPr>
          <w:rFonts w:ascii="Arial" w:hAnsi="Arial" w:cs="Arial"/>
          <w:noProof/>
        </w:rPr>
        <w:t>[177]</w:t>
      </w:r>
      <w:r w:rsidR="0084163C">
        <w:rPr>
          <w:rFonts w:ascii="Arial" w:hAnsi="Arial" w:cs="Arial"/>
        </w:rPr>
        <w:fldChar w:fldCharType="end"/>
      </w:r>
      <w:r w:rsidR="0084163C">
        <w:rPr>
          <w:rFonts w:ascii="Arial" w:hAnsi="Arial" w:cs="Arial"/>
        </w:rPr>
        <w:t>.</w:t>
      </w:r>
      <w:r w:rsidR="002A7060">
        <w:rPr>
          <w:rFonts w:ascii="Arial" w:hAnsi="Arial" w:cs="Arial"/>
        </w:rPr>
        <w:t xml:space="preserve"> </w:t>
      </w:r>
    </w:p>
    <w:p w14:paraId="34E9C2F3" w14:textId="77777777" w:rsidR="00870348" w:rsidRDefault="00634AB7" w:rsidP="00870348">
      <w:pPr>
        <w:keepNext/>
        <w:spacing w:line="360" w:lineRule="auto"/>
        <w:jc w:val="both"/>
      </w:pPr>
      <m:oMathPara>
        <m:oMath>
          <m:r>
            <w:rPr>
              <w:rFonts w:ascii="Cambria Math" w:hAnsi="Cambria Math" w:cs="Arial"/>
            </w:rPr>
            <m:t>17.2Li+4SiO→</m:t>
          </m:r>
          <m:sSub>
            <m:sSubPr>
              <m:ctrlPr>
                <w:rPr>
                  <w:rFonts w:ascii="Cambria Math" w:hAnsi="Cambria Math" w:cs="Arial"/>
                  <w:i/>
                </w:rPr>
              </m:ctrlPr>
            </m:sSubPr>
            <m:e>
              <m:r>
                <w:rPr>
                  <w:rFonts w:ascii="Cambria Math" w:hAnsi="Cambria Math" w:cs="Arial"/>
                </w:rPr>
                <m:t>Li</m:t>
              </m:r>
            </m:e>
            <m:sub>
              <m:r>
                <w:rPr>
                  <w:rFonts w:ascii="Cambria Math" w:hAnsi="Cambria Math" w:cs="Arial"/>
                </w:rPr>
                <m:t>4</m:t>
              </m:r>
            </m:sub>
          </m:sSub>
          <m:r>
            <w:rPr>
              <w:rFonts w:ascii="Cambria Math" w:hAnsi="Cambria Math" w:cs="Arial"/>
            </w:rPr>
            <m:t>S</m:t>
          </m:r>
          <m:sSub>
            <m:sSubPr>
              <m:ctrlPr>
                <w:rPr>
                  <w:rFonts w:ascii="Cambria Math" w:hAnsi="Cambria Math" w:cs="Arial"/>
                  <w:i/>
                </w:rPr>
              </m:ctrlPr>
            </m:sSubPr>
            <m:e>
              <m:r>
                <w:rPr>
                  <w:rFonts w:ascii="Cambria Math" w:hAnsi="Cambria Math" w:cs="Arial"/>
                </w:rPr>
                <m:t>O</m:t>
              </m:r>
            </m:e>
            <m:sub>
              <m:r>
                <w:rPr>
                  <w:rFonts w:ascii="Cambria Math" w:hAnsi="Cambria Math" w:cs="Arial"/>
                </w:rPr>
                <m:t>4</m:t>
              </m:r>
            </m:sub>
          </m:sSub>
          <m:r>
            <w:rPr>
              <w:rFonts w:ascii="Cambria Math" w:hAnsi="Cambria Math" w:cs="Arial"/>
            </w:rPr>
            <m:t>+3</m:t>
          </m:r>
          <m:sSub>
            <m:sSubPr>
              <m:ctrlPr>
                <w:rPr>
                  <w:rFonts w:ascii="Cambria Math" w:hAnsi="Cambria Math" w:cs="Arial"/>
                  <w:i/>
                </w:rPr>
              </m:ctrlPr>
            </m:sSubPr>
            <m:e>
              <m:r>
                <w:rPr>
                  <w:rFonts w:ascii="Cambria Math" w:hAnsi="Cambria Math" w:cs="Arial"/>
                </w:rPr>
                <m:t>Li</m:t>
              </m:r>
            </m:e>
            <m:sub>
              <m:r>
                <w:rPr>
                  <w:rFonts w:ascii="Cambria Math" w:hAnsi="Cambria Math" w:cs="Arial"/>
                </w:rPr>
                <m:t>4.4</m:t>
              </m:r>
            </m:sub>
          </m:sSub>
          <m:r>
            <w:rPr>
              <w:rFonts w:ascii="Cambria Math" w:hAnsi="Cambria Math" w:cs="Arial"/>
            </w:rPr>
            <m:t xml:space="preserve">Si </m:t>
          </m:r>
        </m:oMath>
      </m:oMathPara>
    </w:p>
    <w:p w14:paraId="57618236" w14:textId="33CFBE8A" w:rsidR="00B73B6B" w:rsidRDefault="00870348" w:rsidP="00870348">
      <w:pPr>
        <w:pStyle w:val="Caption"/>
        <w:jc w:val="center"/>
        <w:rPr>
          <w:rFonts w:ascii="Arial" w:hAnsi="Arial" w:cs="Arial"/>
          <w:sz w:val="20"/>
          <w:szCs w:val="20"/>
        </w:rPr>
      </w:pPr>
      <w:r w:rsidRPr="00870348">
        <w:rPr>
          <w:rFonts w:ascii="Arial" w:hAnsi="Arial" w:cs="Arial"/>
          <w:sz w:val="20"/>
          <w:szCs w:val="20"/>
        </w:rPr>
        <w:t xml:space="preserve">Equation </w:t>
      </w:r>
      <w:r w:rsidR="0059014F">
        <w:rPr>
          <w:rFonts w:ascii="Arial" w:hAnsi="Arial" w:cs="Arial"/>
          <w:sz w:val="20"/>
          <w:szCs w:val="20"/>
        </w:rPr>
        <w:fldChar w:fldCharType="begin"/>
      </w:r>
      <w:r w:rsidR="0059014F">
        <w:rPr>
          <w:rFonts w:ascii="Arial" w:hAnsi="Arial" w:cs="Arial"/>
          <w:sz w:val="20"/>
          <w:szCs w:val="20"/>
        </w:rPr>
        <w:instrText xml:space="preserve"> SEQ Equation \* ARABIC </w:instrText>
      </w:r>
      <w:r w:rsidR="0059014F">
        <w:rPr>
          <w:rFonts w:ascii="Arial" w:hAnsi="Arial" w:cs="Arial"/>
          <w:sz w:val="20"/>
          <w:szCs w:val="20"/>
        </w:rPr>
        <w:fldChar w:fldCharType="separate"/>
      </w:r>
      <w:r w:rsidR="0059014F">
        <w:rPr>
          <w:rFonts w:ascii="Arial" w:hAnsi="Arial" w:cs="Arial"/>
          <w:noProof/>
          <w:sz w:val="20"/>
          <w:szCs w:val="20"/>
        </w:rPr>
        <w:t>4</w:t>
      </w:r>
      <w:r w:rsidR="0059014F">
        <w:rPr>
          <w:rFonts w:ascii="Arial" w:hAnsi="Arial" w:cs="Arial"/>
          <w:sz w:val="20"/>
          <w:szCs w:val="20"/>
        </w:rPr>
        <w:fldChar w:fldCharType="end"/>
      </w:r>
      <w:r w:rsidRPr="00870348">
        <w:rPr>
          <w:rFonts w:ascii="Arial" w:hAnsi="Arial" w:cs="Arial"/>
          <w:sz w:val="20"/>
          <w:szCs w:val="20"/>
        </w:rPr>
        <w:t>: initial reaction between SiO species and Li</w:t>
      </w:r>
      <w:r w:rsidR="004F1DA7">
        <w:rPr>
          <w:rFonts w:ascii="Arial" w:hAnsi="Arial" w:cs="Arial"/>
          <w:sz w:val="20"/>
          <w:szCs w:val="20"/>
        </w:rPr>
        <w:t xml:space="preserve"> </w:t>
      </w:r>
      <w:r w:rsidR="004F1DA7">
        <w:rPr>
          <w:rFonts w:ascii="Arial" w:hAnsi="Arial" w:cs="Arial"/>
          <w:sz w:val="20"/>
          <w:szCs w:val="20"/>
        </w:rPr>
        <w:fldChar w:fldCharType="begin"/>
      </w:r>
      <w:r w:rsidR="0034337D">
        <w:rPr>
          <w:rFonts w:ascii="Arial" w:hAnsi="Arial" w:cs="Arial"/>
          <w:sz w:val="20"/>
          <w:szCs w:val="20"/>
        </w:rPr>
        <w:instrText xml:space="preserve"> ADDIN EN.CITE &lt;EndNote&gt;&lt;Cite&gt;&lt;Author&gt;Chen&lt;/Author&gt;&lt;Year&gt;2017&lt;/Year&gt;&lt;RecNum&gt;371&lt;/RecNum&gt;&lt;DisplayText&gt;[177]&lt;/DisplayText&gt;&lt;record&gt;&lt;rec-number&gt;371&lt;/rec-number&gt;&lt;foreign-keys&gt;&lt;key app="EN" db-id="5sa9s0e0r0d9fnexra7pr5xdwd5ztevx95s2" timestamp="1631640847"&gt;371&lt;/key&gt;&lt;/foreign-keys&gt;&lt;ref-type name="Journal Article"&gt;17&lt;/ref-type&gt;&lt;contributors&gt;&lt;authors&gt;&lt;author&gt;Chen, Tao&lt;/author&gt;&lt;author&gt;Wu, Ji&lt;/author&gt;&lt;author&gt;Zhang, Qinglin&lt;/author&gt;&lt;author&gt;Su, Xin&lt;/author&gt;&lt;/authors&gt;&lt;/contributors&gt;&lt;titles&gt;&lt;title&gt;Recent advancement of SiOx based anodes for lithium-ion batteries&lt;/title&gt;&lt;secondary-title&gt;Journal of Power Sources&lt;/secondary-title&gt;&lt;/titles&gt;&lt;periodical&gt;&lt;full-title&gt;Journal of Power Sources&lt;/full-title&gt;&lt;/periodical&gt;&lt;pages&gt;126-144&lt;/pages&gt;&lt;volume&gt;363&lt;/volume&gt;&lt;keywords&gt;&lt;keyword&gt;Lithium-ion batteries&lt;/keyword&gt;&lt;keyword&gt;SiO&lt;/keyword&gt;&lt;keyword&gt;Si&lt;/keyword&gt;&lt;keyword&gt;Anode&lt;/keyword&gt;&lt;/keywords&gt;&lt;dates&gt;&lt;year&gt;2017&lt;/year&gt;&lt;pub-dates&gt;&lt;date&gt;2017/09/30/&lt;/date&gt;&lt;/pub-dates&gt;&lt;/dates&gt;&lt;isbn&gt;0378-7753&lt;/isbn&gt;&lt;urls&gt;&lt;related-urls&gt;&lt;url&gt;https://www.sciencedirect.com/science/article/pii/S0378775317309655&lt;/url&gt;&lt;/related-urls&gt;&lt;/urls&gt;&lt;electronic-resource-num&gt;https://doi.org/10.1016/j.jpowsour.2017.07.073&lt;/electronic-resource-num&gt;&lt;/record&gt;&lt;/Cite&gt;&lt;/EndNote&gt;</w:instrText>
      </w:r>
      <w:r w:rsidR="004F1DA7">
        <w:rPr>
          <w:rFonts w:ascii="Arial" w:hAnsi="Arial" w:cs="Arial"/>
          <w:sz w:val="20"/>
          <w:szCs w:val="20"/>
        </w:rPr>
        <w:fldChar w:fldCharType="separate"/>
      </w:r>
      <w:r w:rsidR="0034337D">
        <w:rPr>
          <w:rFonts w:ascii="Arial" w:hAnsi="Arial" w:cs="Arial"/>
          <w:noProof/>
          <w:sz w:val="20"/>
          <w:szCs w:val="20"/>
        </w:rPr>
        <w:t>[177]</w:t>
      </w:r>
      <w:r w:rsidR="004F1DA7">
        <w:rPr>
          <w:rFonts w:ascii="Arial" w:hAnsi="Arial" w:cs="Arial"/>
          <w:sz w:val="20"/>
          <w:szCs w:val="20"/>
        </w:rPr>
        <w:fldChar w:fldCharType="end"/>
      </w:r>
    </w:p>
    <w:p w14:paraId="60FB7575" w14:textId="05E7C0A0" w:rsidR="00835138" w:rsidRPr="00DA1335" w:rsidRDefault="00835138" w:rsidP="00DA1335">
      <w:pPr>
        <w:spacing w:line="360" w:lineRule="auto"/>
        <w:jc w:val="both"/>
        <w:rPr>
          <w:rFonts w:ascii="Arial" w:hAnsi="Arial" w:cs="Arial"/>
        </w:rPr>
      </w:pPr>
      <w:r w:rsidRPr="00DA1335">
        <w:rPr>
          <w:rFonts w:ascii="Arial" w:hAnsi="Arial" w:cs="Arial"/>
        </w:rPr>
        <w:t>SiO</w:t>
      </w:r>
      <w:r w:rsidRPr="00DA1335">
        <w:rPr>
          <w:rFonts w:ascii="Arial" w:hAnsi="Arial" w:cs="Arial"/>
          <w:vertAlign w:val="subscript"/>
        </w:rPr>
        <w:t>X</w:t>
      </w:r>
      <w:r w:rsidRPr="00DA1335">
        <w:rPr>
          <w:rFonts w:ascii="Arial" w:hAnsi="Arial" w:cs="Arial"/>
        </w:rPr>
        <w:t xml:space="preserve"> </w:t>
      </w:r>
      <w:r w:rsidR="00186938" w:rsidRPr="00DA1335">
        <w:rPr>
          <w:rFonts w:ascii="Arial" w:hAnsi="Arial" w:cs="Arial"/>
        </w:rPr>
        <w:t xml:space="preserve">electrodes used in this thesis were kindly provided </w:t>
      </w:r>
      <w:r w:rsidR="00384574" w:rsidRPr="00DA1335">
        <w:rPr>
          <w:rFonts w:ascii="Arial" w:hAnsi="Arial" w:cs="Arial"/>
        </w:rPr>
        <w:t xml:space="preserve">by Dr. Entwistle. The electrodes were produced </w:t>
      </w:r>
      <w:r w:rsidR="0084163C" w:rsidRPr="00DA1335">
        <w:rPr>
          <w:rFonts w:ascii="Arial" w:hAnsi="Arial" w:cs="Arial"/>
        </w:rPr>
        <w:t>v</w:t>
      </w:r>
      <w:r w:rsidR="00384574" w:rsidRPr="00DA1335">
        <w:rPr>
          <w:rFonts w:ascii="Arial" w:hAnsi="Arial" w:cs="Arial"/>
        </w:rPr>
        <w:t xml:space="preserve">ia magnesiothermic reduction. </w:t>
      </w:r>
      <w:r w:rsidR="0084163C" w:rsidRPr="00DA1335">
        <w:rPr>
          <w:rFonts w:ascii="Arial" w:hAnsi="Arial" w:cs="Arial"/>
        </w:rPr>
        <w:t xml:space="preserve">This is done by taking </w:t>
      </w:r>
      <w:r w:rsidR="0041152D" w:rsidRPr="00DA1335">
        <w:rPr>
          <w:rFonts w:ascii="Arial" w:hAnsi="Arial" w:cs="Arial"/>
        </w:rPr>
        <w:t xml:space="preserve">quartz </w:t>
      </w:r>
      <w:r w:rsidR="00616D97" w:rsidRPr="00DA1335">
        <w:rPr>
          <w:rFonts w:ascii="Arial" w:hAnsi="Arial" w:cs="Arial"/>
        </w:rPr>
        <w:t xml:space="preserve">and </w:t>
      </w:r>
      <w:r w:rsidR="007D586C" w:rsidRPr="00DA1335">
        <w:rPr>
          <w:rFonts w:ascii="Arial" w:hAnsi="Arial" w:cs="Arial"/>
        </w:rPr>
        <w:t xml:space="preserve">grinding it with Mg to create a well dispersed mixture. The powder was then placed in a tube furnace that was purged with Ar. </w:t>
      </w:r>
      <w:r w:rsidR="00DA1335" w:rsidRPr="00DA1335">
        <w:rPr>
          <w:rFonts w:ascii="Arial" w:hAnsi="Arial" w:cs="Arial"/>
        </w:rPr>
        <w:t xml:space="preserve">The </w:t>
      </w:r>
      <w:r w:rsidR="00D717D3">
        <w:rPr>
          <w:rFonts w:ascii="Arial" w:hAnsi="Arial" w:cs="Arial"/>
        </w:rPr>
        <w:t xml:space="preserve">tube furnace was heated at 5°C/min until </w:t>
      </w:r>
      <w:r w:rsidR="004F23BD">
        <w:rPr>
          <w:rFonts w:ascii="Arial" w:hAnsi="Arial" w:cs="Arial"/>
        </w:rPr>
        <w:t xml:space="preserve">400°C and then 1°C/min </w:t>
      </w:r>
      <w:r w:rsidR="00750C57">
        <w:rPr>
          <w:rFonts w:ascii="Arial" w:hAnsi="Arial" w:cs="Arial"/>
        </w:rPr>
        <w:t xml:space="preserve">until it reached the </w:t>
      </w:r>
      <w:r w:rsidR="00567FC1">
        <w:rPr>
          <w:rFonts w:ascii="Arial" w:hAnsi="Arial" w:cs="Arial"/>
        </w:rPr>
        <w:t xml:space="preserve">desired temperature. This </w:t>
      </w:r>
      <w:r w:rsidR="00F03DB0">
        <w:rPr>
          <w:rFonts w:ascii="Arial" w:hAnsi="Arial" w:cs="Arial"/>
        </w:rPr>
        <w:t xml:space="preserve">was then held </w:t>
      </w:r>
      <w:r w:rsidR="002B3F68">
        <w:rPr>
          <w:rFonts w:ascii="Arial" w:hAnsi="Arial" w:cs="Arial"/>
        </w:rPr>
        <w:t xml:space="preserve">at temperature for 1hour before being allowed to cool overnight. The </w:t>
      </w:r>
      <w:r w:rsidR="009675FC">
        <w:rPr>
          <w:rFonts w:ascii="Arial" w:hAnsi="Arial" w:cs="Arial"/>
        </w:rPr>
        <w:t>product was the</w:t>
      </w:r>
      <w:r w:rsidR="00B36B7F">
        <w:rPr>
          <w:rFonts w:ascii="Arial" w:hAnsi="Arial" w:cs="Arial"/>
        </w:rPr>
        <w:t>n slowly</w:t>
      </w:r>
      <w:r w:rsidR="009675FC">
        <w:rPr>
          <w:rFonts w:ascii="Arial" w:hAnsi="Arial" w:cs="Arial"/>
        </w:rPr>
        <w:t xml:space="preserve"> </w:t>
      </w:r>
      <w:r w:rsidR="00D94620">
        <w:rPr>
          <w:rFonts w:ascii="Arial" w:hAnsi="Arial" w:cs="Arial"/>
        </w:rPr>
        <w:t>mixed</w:t>
      </w:r>
      <w:r w:rsidR="009675FC">
        <w:rPr>
          <w:rFonts w:ascii="Arial" w:hAnsi="Arial" w:cs="Arial"/>
        </w:rPr>
        <w:t xml:space="preserve"> with 1M HCL </w:t>
      </w:r>
      <w:r w:rsidR="00B36B7F">
        <w:rPr>
          <w:rFonts w:ascii="Arial" w:hAnsi="Arial" w:cs="Arial"/>
        </w:rPr>
        <w:t>and</w:t>
      </w:r>
      <w:r w:rsidR="00D94620">
        <w:rPr>
          <w:rFonts w:ascii="Arial" w:hAnsi="Arial" w:cs="Arial"/>
        </w:rPr>
        <w:t xml:space="preserve"> reacted for 48hrs. This </w:t>
      </w:r>
      <w:r w:rsidR="001C277E">
        <w:rPr>
          <w:rFonts w:ascii="Arial" w:hAnsi="Arial" w:cs="Arial"/>
        </w:rPr>
        <w:t>was then</w:t>
      </w:r>
      <w:r w:rsidR="005C6926">
        <w:rPr>
          <w:rFonts w:ascii="Arial" w:hAnsi="Arial" w:cs="Arial"/>
        </w:rPr>
        <w:t xml:space="preserve"> filtered with a Buchner funnel </w:t>
      </w:r>
      <w:r w:rsidR="001C277E">
        <w:rPr>
          <w:rFonts w:ascii="Arial" w:hAnsi="Arial" w:cs="Arial"/>
        </w:rPr>
        <w:t xml:space="preserve">and washed with water. The SiOx material was then dried overnight at 120°C under vacuum to remove any moisture. </w:t>
      </w:r>
    </w:p>
    <w:p w14:paraId="4F5C68EA" w14:textId="1CC43B96" w:rsidR="009B4064" w:rsidRDefault="00DA3D1B" w:rsidP="001876BB">
      <w:pPr>
        <w:pStyle w:val="Heading2"/>
        <w:rPr>
          <w:rFonts w:ascii="Arial" w:hAnsi="Arial" w:cs="Arial"/>
        </w:rPr>
      </w:pPr>
      <w:bookmarkStart w:id="77" w:name="_Toc82538737"/>
      <w:r>
        <w:rPr>
          <w:rFonts w:ascii="Arial" w:hAnsi="Arial" w:cs="Arial"/>
        </w:rPr>
        <w:t>Cell preparation</w:t>
      </w:r>
      <w:bookmarkEnd w:id="77"/>
    </w:p>
    <w:p w14:paraId="2A800279" w14:textId="5930EFAC" w:rsidR="00DA3D1B" w:rsidRDefault="007F729E" w:rsidP="008A7942">
      <w:pPr>
        <w:spacing w:line="360" w:lineRule="auto"/>
        <w:jc w:val="both"/>
        <w:rPr>
          <w:rFonts w:ascii="Arial" w:hAnsi="Arial" w:cs="Arial"/>
        </w:rPr>
      </w:pPr>
      <w:r>
        <w:rPr>
          <w:rFonts w:ascii="Arial" w:hAnsi="Arial" w:cs="Arial"/>
        </w:rPr>
        <w:t>There are several stages to prepare</w:t>
      </w:r>
      <w:r w:rsidR="00416CDB">
        <w:rPr>
          <w:rFonts w:ascii="Arial" w:hAnsi="Arial" w:cs="Arial"/>
        </w:rPr>
        <w:t xml:space="preserve"> electrochemical cell from the active material of interest. </w:t>
      </w:r>
      <w:r w:rsidR="00427624">
        <w:rPr>
          <w:rFonts w:ascii="Arial" w:hAnsi="Arial" w:cs="Arial"/>
        </w:rPr>
        <w:t>These are divided in</w:t>
      </w:r>
      <w:r w:rsidR="00FF2C42">
        <w:rPr>
          <w:rFonts w:ascii="Arial" w:hAnsi="Arial" w:cs="Arial"/>
        </w:rPr>
        <w:t xml:space="preserve">to 3 stages: Mixing and coating, calendaring and cell assembly </w:t>
      </w:r>
    </w:p>
    <w:p w14:paraId="09B8595C" w14:textId="3BBAE4BD" w:rsidR="000954D1" w:rsidRDefault="000954D1" w:rsidP="001876BB">
      <w:pPr>
        <w:pStyle w:val="Heading3"/>
        <w:rPr>
          <w:rFonts w:ascii="Arial" w:hAnsi="Arial" w:cs="Arial"/>
        </w:rPr>
      </w:pPr>
      <w:bookmarkStart w:id="78" w:name="_Toc82538738"/>
      <w:bookmarkStart w:id="79" w:name="_Ref82861747"/>
      <w:r>
        <w:rPr>
          <w:rFonts w:ascii="Arial" w:hAnsi="Arial" w:cs="Arial"/>
        </w:rPr>
        <w:t xml:space="preserve">Slurry </w:t>
      </w:r>
      <w:r w:rsidR="00FF2C42">
        <w:rPr>
          <w:rFonts w:ascii="Arial" w:hAnsi="Arial" w:cs="Arial"/>
        </w:rPr>
        <w:t>mixing</w:t>
      </w:r>
      <w:r>
        <w:rPr>
          <w:rFonts w:ascii="Arial" w:hAnsi="Arial" w:cs="Arial"/>
        </w:rPr>
        <w:t xml:space="preserve"> and coating</w:t>
      </w:r>
      <w:bookmarkEnd w:id="78"/>
      <w:bookmarkEnd w:id="79"/>
    </w:p>
    <w:p w14:paraId="6B58E052" w14:textId="39EEB8D1" w:rsidR="000954D1" w:rsidRDefault="00DD40A4" w:rsidP="008A7942">
      <w:pPr>
        <w:spacing w:line="360" w:lineRule="auto"/>
        <w:jc w:val="both"/>
        <w:rPr>
          <w:rFonts w:ascii="Arial" w:hAnsi="Arial" w:cs="Arial"/>
        </w:rPr>
      </w:pPr>
      <w:r>
        <w:rPr>
          <w:rFonts w:ascii="Arial" w:hAnsi="Arial" w:cs="Arial"/>
        </w:rPr>
        <w:t xml:space="preserve">There are 3 common components for </w:t>
      </w:r>
      <w:r w:rsidR="00DF72E6">
        <w:rPr>
          <w:rFonts w:ascii="Arial" w:hAnsi="Arial" w:cs="Arial"/>
        </w:rPr>
        <w:t>Li-ion electrodes</w:t>
      </w:r>
      <w:r>
        <w:rPr>
          <w:rFonts w:ascii="Arial" w:hAnsi="Arial" w:cs="Arial"/>
        </w:rPr>
        <w:t xml:space="preserve">: the </w:t>
      </w:r>
      <w:r w:rsidR="00B20687">
        <w:rPr>
          <w:rFonts w:ascii="Arial" w:hAnsi="Arial" w:cs="Arial"/>
        </w:rPr>
        <w:t xml:space="preserve">active material that undergoes the electrochemical reaction, the </w:t>
      </w:r>
      <w:r w:rsidR="006B00AB">
        <w:rPr>
          <w:rFonts w:ascii="Arial" w:hAnsi="Arial" w:cs="Arial"/>
        </w:rPr>
        <w:t xml:space="preserve">carbon additive that forms a conductive pathway between the active material and the </w:t>
      </w:r>
      <w:r w:rsidR="007A0EE0">
        <w:rPr>
          <w:rFonts w:ascii="Arial" w:hAnsi="Arial" w:cs="Arial"/>
        </w:rPr>
        <w:t xml:space="preserve">binder that </w:t>
      </w:r>
      <w:r w:rsidR="00F91DA6">
        <w:rPr>
          <w:rFonts w:ascii="Arial" w:hAnsi="Arial" w:cs="Arial"/>
        </w:rPr>
        <w:t xml:space="preserve">adheres the materials together and to the current collector. </w:t>
      </w:r>
    </w:p>
    <w:p w14:paraId="170E1329" w14:textId="74993533" w:rsidR="00D403F7" w:rsidRDefault="00413203" w:rsidP="008A7942">
      <w:pPr>
        <w:spacing w:line="360" w:lineRule="auto"/>
        <w:jc w:val="both"/>
        <w:rPr>
          <w:rFonts w:ascii="Arial" w:hAnsi="Arial" w:cs="Arial"/>
        </w:rPr>
      </w:pPr>
      <w:r>
        <w:rPr>
          <w:rFonts w:ascii="Arial" w:hAnsi="Arial" w:cs="Arial"/>
        </w:rPr>
        <w:t xml:space="preserve">Anode slurries are typically made with water due to the </w:t>
      </w:r>
      <w:r w:rsidR="00F27728">
        <w:rPr>
          <w:rFonts w:ascii="Arial" w:hAnsi="Arial" w:cs="Arial"/>
        </w:rPr>
        <w:t>abundant</w:t>
      </w:r>
      <w:r w:rsidR="00520EB6">
        <w:rPr>
          <w:rFonts w:ascii="Arial" w:hAnsi="Arial" w:cs="Arial"/>
        </w:rPr>
        <w:t xml:space="preserve"> </w:t>
      </w:r>
      <w:r w:rsidR="00314352">
        <w:rPr>
          <w:rFonts w:ascii="Arial" w:hAnsi="Arial" w:cs="Arial"/>
        </w:rPr>
        <w:t xml:space="preserve">availability </w:t>
      </w:r>
      <w:r w:rsidR="00F27728">
        <w:rPr>
          <w:rFonts w:ascii="Arial" w:hAnsi="Arial" w:cs="Arial"/>
        </w:rPr>
        <w:t>o</w:t>
      </w:r>
      <w:r w:rsidR="00314352">
        <w:rPr>
          <w:rFonts w:ascii="Arial" w:hAnsi="Arial" w:cs="Arial"/>
        </w:rPr>
        <w:t>f water and i</w:t>
      </w:r>
      <w:r w:rsidR="00C60FB9">
        <w:rPr>
          <w:rFonts w:ascii="Arial" w:hAnsi="Arial" w:cs="Arial"/>
        </w:rPr>
        <w:t>t</w:t>
      </w:r>
      <w:r w:rsidR="00F27728">
        <w:rPr>
          <w:rFonts w:ascii="Arial" w:hAnsi="Arial" w:cs="Arial"/>
        </w:rPr>
        <w:t>s</w:t>
      </w:r>
      <w:r w:rsidR="00434646">
        <w:rPr>
          <w:rFonts w:ascii="Arial" w:hAnsi="Arial" w:cs="Arial"/>
        </w:rPr>
        <w:t xml:space="preserve"> </w:t>
      </w:r>
      <w:r w:rsidR="00DF72E6">
        <w:rPr>
          <w:rFonts w:ascii="Arial" w:hAnsi="Arial" w:cs="Arial"/>
        </w:rPr>
        <w:t>non-toxicity</w:t>
      </w:r>
      <w:r w:rsidR="00434646">
        <w:rPr>
          <w:rFonts w:ascii="Arial" w:hAnsi="Arial" w:cs="Arial"/>
        </w:rPr>
        <w:t xml:space="preserve">. </w:t>
      </w:r>
      <w:r w:rsidR="00C60FB9">
        <w:rPr>
          <w:rFonts w:ascii="Arial" w:hAnsi="Arial" w:cs="Arial"/>
        </w:rPr>
        <w:t xml:space="preserve">In this case </w:t>
      </w:r>
      <w:r w:rsidR="007E1238">
        <w:rPr>
          <w:rFonts w:ascii="Arial" w:hAnsi="Arial" w:cs="Arial"/>
        </w:rPr>
        <w:t>a low surface area carbon such as C45 is used as the conductive additive as its low surface area makes it easier to disperse in water</w:t>
      </w:r>
      <w:r w:rsidR="00477B8A">
        <w:rPr>
          <w:rFonts w:ascii="Arial" w:hAnsi="Arial" w:cs="Arial"/>
        </w:rPr>
        <w:t>.</w:t>
      </w:r>
      <w:r w:rsidR="00EC3FD0">
        <w:rPr>
          <w:rFonts w:ascii="Arial" w:hAnsi="Arial" w:cs="Arial"/>
        </w:rPr>
        <w:t xml:space="preserve"> Wate</w:t>
      </w:r>
      <w:r w:rsidR="00A04A1E">
        <w:rPr>
          <w:rFonts w:ascii="Arial" w:hAnsi="Arial" w:cs="Arial"/>
        </w:rPr>
        <w:t>r based slurries use 2 binde</w:t>
      </w:r>
      <w:r w:rsidR="00F315DB">
        <w:rPr>
          <w:rFonts w:ascii="Arial" w:hAnsi="Arial" w:cs="Arial"/>
        </w:rPr>
        <w:t>rs: Carboxymethyl cellulose (CMC)</w:t>
      </w:r>
      <w:r w:rsidR="00BE1C45">
        <w:rPr>
          <w:rFonts w:ascii="Arial" w:hAnsi="Arial" w:cs="Arial"/>
        </w:rPr>
        <w:t xml:space="preserve"> is used to bind the materials together as well help to di</w:t>
      </w:r>
      <w:r w:rsidR="00CD4DB3">
        <w:rPr>
          <w:rFonts w:ascii="Arial" w:hAnsi="Arial" w:cs="Arial"/>
        </w:rPr>
        <w:t xml:space="preserve">sperse the second binder, </w:t>
      </w:r>
      <w:r w:rsidR="00803687">
        <w:rPr>
          <w:rFonts w:ascii="Arial" w:hAnsi="Arial" w:cs="Arial"/>
        </w:rPr>
        <w:t>styrene-butadiene rubber (SBR). SBR helps</w:t>
      </w:r>
      <w:r w:rsidR="000A137A">
        <w:rPr>
          <w:rFonts w:ascii="Arial" w:hAnsi="Arial" w:cs="Arial"/>
        </w:rPr>
        <w:t xml:space="preserve"> </w:t>
      </w:r>
      <w:r w:rsidR="00E3169C">
        <w:rPr>
          <w:rFonts w:ascii="Arial" w:hAnsi="Arial" w:cs="Arial"/>
        </w:rPr>
        <w:t>adhere the other components</w:t>
      </w:r>
      <w:r w:rsidR="00E17199">
        <w:rPr>
          <w:rFonts w:ascii="Arial" w:hAnsi="Arial" w:cs="Arial"/>
        </w:rPr>
        <w:t xml:space="preserve"> of </w:t>
      </w:r>
      <w:r w:rsidR="00F27728">
        <w:rPr>
          <w:rFonts w:ascii="Arial" w:hAnsi="Arial" w:cs="Arial"/>
        </w:rPr>
        <w:t>the electrode</w:t>
      </w:r>
      <w:r w:rsidR="00E3169C">
        <w:rPr>
          <w:rFonts w:ascii="Arial" w:hAnsi="Arial" w:cs="Arial"/>
        </w:rPr>
        <w:t xml:space="preserve"> to the copper current collector.</w:t>
      </w:r>
      <w:r w:rsidR="007E1238">
        <w:rPr>
          <w:rFonts w:ascii="Arial" w:hAnsi="Arial" w:cs="Arial"/>
        </w:rPr>
        <w:t xml:space="preserve"> </w:t>
      </w:r>
    </w:p>
    <w:p w14:paraId="6589E257" w14:textId="1C6535C5" w:rsidR="00E26328" w:rsidRDefault="00E26328" w:rsidP="008A7942">
      <w:pPr>
        <w:spacing w:line="360" w:lineRule="auto"/>
        <w:jc w:val="both"/>
        <w:rPr>
          <w:rFonts w:ascii="Arial" w:hAnsi="Arial" w:cs="Arial"/>
        </w:rPr>
      </w:pPr>
      <w:r>
        <w:rPr>
          <w:rFonts w:ascii="Arial" w:hAnsi="Arial" w:cs="Arial"/>
        </w:rPr>
        <w:t xml:space="preserve">In this thesis the </w:t>
      </w:r>
      <w:r w:rsidR="001D21CD">
        <w:rPr>
          <w:rFonts w:ascii="Arial" w:hAnsi="Arial" w:cs="Arial"/>
        </w:rPr>
        <w:t>slurry was prepared by</w:t>
      </w:r>
      <w:r w:rsidR="00A236AA">
        <w:rPr>
          <w:rFonts w:ascii="Arial" w:hAnsi="Arial" w:cs="Arial"/>
        </w:rPr>
        <w:t xml:space="preserve"> </w:t>
      </w:r>
      <w:r w:rsidR="002016A5">
        <w:rPr>
          <w:rFonts w:ascii="Arial" w:hAnsi="Arial" w:cs="Arial"/>
        </w:rPr>
        <w:t xml:space="preserve">dissolving </w:t>
      </w:r>
      <w:r w:rsidR="0069094F">
        <w:rPr>
          <w:rFonts w:ascii="Arial" w:hAnsi="Arial" w:cs="Arial"/>
        </w:rPr>
        <w:t>C</w:t>
      </w:r>
      <w:r w:rsidR="00151741">
        <w:rPr>
          <w:rFonts w:ascii="Arial" w:hAnsi="Arial" w:cs="Arial"/>
        </w:rPr>
        <w:t xml:space="preserve">MC in water using a Thinky mixer. Whilst this was </w:t>
      </w:r>
      <w:r w:rsidR="008F7093">
        <w:rPr>
          <w:rFonts w:ascii="Arial" w:hAnsi="Arial" w:cs="Arial"/>
        </w:rPr>
        <w:t>happening the</w:t>
      </w:r>
      <w:r w:rsidR="00841F65">
        <w:rPr>
          <w:rFonts w:ascii="Arial" w:hAnsi="Arial" w:cs="Arial"/>
        </w:rPr>
        <w:t xml:space="preserve"> </w:t>
      </w:r>
      <w:r w:rsidR="00517663">
        <w:rPr>
          <w:rFonts w:ascii="Arial" w:hAnsi="Arial" w:cs="Arial"/>
        </w:rPr>
        <w:t xml:space="preserve">active material and carbon black were ground together in a </w:t>
      </w:r>
      <w:r w:rsidR="00EB29AA">
        <w:rPr>
          <w:rFonts w:ascii="Arial" w:hAnsi="Arial" w:cs="Arial"/>
        </w:rPr>
        <w:t>pestle and mortar. Th</w:t>
      </w:r>
      <w:r w:rsidR="00172CB1">
        <w:rPr>
          <w:rFonts w:ascii="Arial" w:hAnsi="Arial" w:cs="Arial"/>
        </w:rPr>
        <w:t xml:space="preserve">e ground materials were then </w:t>
      </w:r>
      <w:r w:rsidR="00623208">
        <w:rPr>
          <w:rFonts w:ascii="Arial" w:hAnsi="Arial" w:cs="Arial"/>
        </w:rPr>
        <w:t xml:space="preserve">added to the CMC solution using a thinky mixer. </w:t>
      </w:r>
      <w:r w:rsidR="00FA0F88">
        <w:rPr>
          <w:rFonts w:ascii="Arial" w:hAnsi="Arial" w:cs="Arial"/>
        </w:rPr>
        <w:t>To this the SBR solution was added. This slurry was coated on</w:t>
      </w:r>
      <w:r w:rsidR="005452BF">
        <w:rPr>
          <w:rFonts w:ascii="Arial" w:hAnsi="Arial" w:cs="Arial"/>
        </w:rPr>
        <w:t>to copper foil using a doctor blade set at 250</w:t>
      </w:r>
      <w:r w:rsidR="00B71CD3">
        <w:rPr>
          <w:rFonts w:ascii="Arial" w:hAnsi="Arial" w:cs="Arial"/>
        </w:rPr>
        <w:t>µm and dried at 50°C on a vacuum bed.</w:t>
      </w:r>
      <w:r w:rsidR="00365334">
        <w:rPr>
          <w:rFonts w:ascii="Arial" w:hAnsi="Arial" w:cs="Arial"/>
        </w:rPr>
        <w:t xml:space="preserve"> All </w:t>
      </w:r>
      <w:r w:rsidR="00845D3C">
        <w:rPr>
          <w:rFonts w:ascii="Arial" w:hAnsi="Arial" w:cs="Arial"/>
        </w:rPr>
        <w:t xml:space="preserve">electrodes in this thesis were made with a 90:5:2.5:2.5 </w:t>
      </w:r>
      <w:r w:rsidR="00743B34">
        <w:rPr>
          <w:rFonts w:ascii="Arial" w:hAnsi="Arial" w:cs="Arial"/>
        </w:rPr>
        <w:t>percentage of active material:C45:CMC:SBR respectively, unless stated otherwise.</w:t>
      </w:r>
    </w:p>
    <w:p w14:paraId="264D5551" w14:textId="2D43B260" w:rsidR="000954D1" w:rsidRDefault="000954D1" w:rsidP="001876BB">
      <w:pPr>
        <w:pStyle w:val="Heading3"/>
        <w:rPr>
          <w:rFonts w:ascii="Arial" w:hAnsi="Arial" w:cs="Arial"/>
        </w:rPr>
      </w:pPr>
      <w:bookmarkStart w:id="80" w:name="_Toc82538739"/>
      <w:r>
        <w:rPr>
          <w:rFonts w:ascii="Arial" w:hAnsi="Arial" w:cs="Arial"/>
        </w:rPr>
        <w:t>Calendering and drying</w:t>
      </w:r>
      <w:bookmarkEnd w:id="80"/>
      <w:r>
        <w:rPr>
          <w:rFonts w:ascii="Arial" w:hAnsi="Arial" w:cs="Arial"/>
        </w:rPr>
        <w:t xml:space="preserve"> </w:t>
      </w:r>
    </w:p>
    <w:p w14:paraId="191ED662" w14:textId="01430E42" w:rsidR="00BE08A0" w:rsidRDefault="00BE08A0" w:rsidP="008A7942">
      <w:pPr>
        <w:spacing w:line="360" w:lineRule="auto"/>
        <w:jc w:val="both"/>
        <w:rPr>
          <w:rFonts w:ascii="Arial" w:hAnsi="Arial" w:cs="Arial"/>
        </w:rPr>
      </w:pPr>
      <w:r>
        <w:rPr>
          <w:rFonts w:ascii="Arial" w:hAnsi="Arial" w:cs="Arial"/>
        </w:rPr>
        <w:t xml:space="preserve">Once the slurry has dried it </w:t>
      </w:r>
      <w:r w:rsidR="0026104F">
        <w:rPr>
          <w:rFonts w:ascii="Arial" w:hAnsi="Arial" w:cs="Arial"/>
        </w:rPr>
        <w:t xml:space="preserve">can be calendered. </w:t>
      </w:r>
      <w:r w:rsidR="006C4B16">
        <w:rPr>
          <w:rFonts w:ascii="Arial" w:hAnsi="Arial" w:cs="Arial"/>
        </w:rPr>
        <w:t xml:space="preserve">Calendering is a process where the electrode is pressed between 2 </w:t>
      </w:r>
      <w:r w:rsidR="004F658C">
        <w:rPr>
          <w:rFonts w:ascii="Arial" w:hAnsi="Arial" w:cs="Arial"/>
        </w:rPr>
        <w:t xml:space="preserve">chrome rollers. This helps to reduce the thickness of the material, increasing </w:t>
      </w:r>
      <w:r w:rsidR="007D5915">
        <w:rPr>
          <w:rFonts w:ascii="Arial" w:hAnsi="Arial" w:cs="Arial"/>
        </w:rPr>
        <w:t xml:space="preserve">the volumetric density of the cell. </w:t>
      </w:r>
      <w:r w:rsidR="00431B89">
        <w:rPr>
          <w:rFonts w:ascii="Arial" w:hAnsi="Arial" w:cs="Arial"/>
        </w:rPr>
        <w:t>It can also help to improve the electronic con</w:t>
      </w:r>
      <w:r w:rsidR="00123212">
        <w:rPr>
          <w:rFonts w:ascii="Arial" w:hAnsi="Arial" w:cs="Arial"/>
        </w:rPr>
        <w:t>ductivity of the electrode</w:t>
      </w:r>
      <w:r w:rsidR="00C01150">
        <w:rPr>
          <w:rFonts w:ascii="Arial" w:hAnsi="Arial" w:cs="Arial"/>
        </w:rPr>
        <w:t>, this is especially important for cathode materials</w:t>
      </w:r>
      <w:r w:rsidR="001D6FB5">
        <w:rPr>
          <w:rFonts w:ascii="Arial" w:hAnsi="Arial" w:cs="Arial"/>
        </w:rPr>
        <w:t xml:space="preserve">. For these reasons there have been numerous studies on the </w:t>
      </w:r>
      <w:r w:rsidR="00240C3F">
        <w:rPr>
          <w:rFonts w:ascii="Arial" w:hAnsi="Arial" w:cs="Arial"/>
        </w:rPr>
        <w:t xml:space="preserve">effect </w:t>
      </w:r>
      <w:r w:rsidR="00E96222">
        <w:rPr>
          <w:rFonts w:ascii="Arial" w:hAnsi="Arial" w:cs="Arial"/>
        </w:rPr>
        <w:t>that</w:t>
      </w:r>
      <w:r w:rsidR="00240C3F">
        <w:rPr>
          <w:rFonts w:ascii="Arial" w:hAnsi="Arial" w:cs="Arial"/>
        </w:rPr>
        <w:t xml:space="preserve"> slurry </w:t>
      </w:r>
      <w:r w:rsidR="00172CB1">
        <w:rPr>
          <w:rFonts w:ascii="Arial" w:hAnsi="Arial" w:cs="Arial"/>
        </w:rPr>
        <w:t>formulations have</w:t>
      </w:r>
      <w:r w:rsidR="00240C3F">
        <w:rPr>
          <w:rFonts w:ascii="Arial" w:hAnsi="Arial" w:cs="Arial"/>
        </w:rPr>
        <w:t xml:space="preserve"> o</w:t>
      </w:r>
      <w:r w:rsidR="00172CB1">
        <w:rPr>
          <w:rFonts w:ascii="Arial" w:hAnsi="Arial" w:cs="Arial"/>
        </w:rPr>
        <w:t>n</w:t>
      </w:r>
      <w:r w:rsidR="00240C3F">
        <w:rPr>
          <w:rFonts w:ascii="Arial" w:hAnsi="Arial" w:cs="Arial"/>
        </w:rPr>
        <w:t xml:space="preserve"> the achievable</w:t>
      </w:r>
      <w:r w:rsidR="00172CB1">
        <w:rPr>
          <w:rFonts w:ascii="Arial" w:hAnsi="Arial" w:cs="Arial"/>
        </w:rPr>
        <w:t xml:space="preserve"> electrode</w:t>
      </w:r>
      <w:r w:rsidR="00240C3F">
        <w:rPr>
          <w:rFonts w:ascii="Arial" w:hAnsi="Arial" w:cs="Arial"/>
        </w:rPr>
        <w:t xml:space="preserve"> densit</w:t>
      </w:r>
      <w:r w:rsidR="00172CB1">
        <w:rPr>
          <w:rFonts w:ascii="Arial" w:hAnsi="Arial" w:cs="Arial"/>
        </w:rPr>
        <w:t>y</w:t>
      </w:r>
      <w:r w:rsidR="00240C3F">
        <w:rPr>
          <w:rFonts w:ascii="Arial" w:hAnsi="Arial" w:cs="Arial"/>
        </w:rPr>
        <w:t xml:space="preserve">. </w:t>
      </w:r>
    </w:p>
    <w:p w14:paraId="19BC3CA8" w14:textId="5322451A" w:rsidR="008313E8" w:rsidRPr="00F16332" w:rsidRDefault="008313E8" w:rsidP="008A7942">
      <w:pPr>
        <w:spacing w:line="360" w:lineRule="auto"/>
        <w:jc w:val="both"/>
        <w:rPr>
          <w:rFonts w:ascii="Arial" w:hAnsi="Arial" w:cs="Arial"/>
        </w:rPr>
      </w:pPr>
      <w:r>
        <w:rPr>
          <w:rFonts w:ascii="Arial" w:hAnsi="Arial" w:cs="Arial"/>
        </w:rPr>
        <w:t>The target density for the graphite electrodes</w:t>
      </w:r>
      <w:r w:rsidR="003B2D24">
        <w:rPr>
          <w:rFonts w:ascii="Arial" w:hAnsi="Arial" w:cs="Arial"/>
        </w:rPr>
        <w:t xml:space="preserve"> </w:t>
      </w:r>
      <w:r w:rsidR="00D66020">
        <w:rPr>
          <w:rFonts w:ascii="Arial" w:hAnsi="Arial" w:cs="Arial"/>
        </w:rPr>
        <w:t xml:space="preserve">in this thesis </w:t>
      </w:r>
      <w:r w:rsidR="000E07F1">
        <w:rPr>
          <w:rFonts w:ascii="Arial" w:hAnsi="Arial" w:cs="Arial"/>
        </w:rPr>
        <w:t>is</w:t>
      </w:r>
      <w:r w:rsidR="003B2D24">
        <w:rPr>
          <w:rFonts w:ascii="Arial" w:hAnsi="Arial" w:cs="Arial"/>
        </w:rPr>
        <w:t xml:space="preserve"> 1.5 </w:t>
      </w:r>
      <w:r w:rsidR="00F16332">
        <w:rPr>
          <w:rFonts w:ascii="Arial" w:hAnsi="Arial" w:cs="Arial"/>
        </w:rPr>
        <w:t>gcm</w:t>
      </w:r>
      <w:r w:rsidR="00F16332">
        <w:rPr>
          <w:rFonts w:ascii="Arial" w:hAnsi="Arial" w:cs="Arial"/>
          <w:vertAlign w:val="superscript"/>
        </w:rPr>
        <w:t>-3</w:t>
      </w:r>
      <w:r w:rsidR="00A52852">
        <w:rPr>
          <w:rFonts w:ascii="Arial" w:hAnsi="Arial" w:cs="Arial"/>
        </w:rPr>
        <w:t>.</w:t>
      </w:r>
      <w:r w:rsidR="00D66020">
        <w:rPr>
          <w:rFonts w:ascii="Arial" w:hAnsi="Arial" w:cs="Arial"/>
        </w:rPr>
        <w:t xml:space="preserve"> </w:t>
      </w:r>
    </w:p>
    <w:p w14:paraId="3FC58464" w14:textId="6A3AE862" w:rsidR="000954D1" w:rsidRDefault="000954D1" w:rsidP="001876BB">
      <w:pPr>
        <w:pStyle w:val="Heading3"/>
        <w:rPr>
          <w:rFonts w:ascii="Arial" w:hAnsi="Arial" w:cs="Arial"/>
        </w:rPr>
      </w:pPr>
      <w:bookmarkStart w:id="81" w:name="_Ref79321250"/>
      <w:bookmarkStart w:id="82" w:name="_Ref79321260"/>
      <w:bookmarkStart w:id="83" w:name="_Ref79321267"/>
      <w:bookmarkStart w:id="84" w:name="_Ref79321298"/>
      <w:bookmarkStart w:id="85" w:name="_Ref79321305"/>
      <w:bookmarkStart w:id="86" w:name="_Ref79321333"/>
      <w:bookmarkStart w:id="87" w:name="_Ref79321341"/>
      <w:bookmarkStart w:id="88" w:name="_Toc82538740"/>
      <w:r>
        <w:rPr>
          <w:rFonts w:ascii="Arial" w:hAnsi="Arial" w:cs="Arial"/>
        </w:rPr>
        <w:t>Cell assembly</w:t>
      </w:r>
      <w:bookmarkEnd w:id="81"/>
      <w:bookmarkEnd w:id="82"/>
      <w:bookmarkEnd w:id="83"/>
      <w:bookmarkEnd w:id="84"/>
      <w:bookmarkEnd w:id="85"/>
      <w:bookmarkEnd w:id="86"/>
      <w:bookmarkEnd w:id="87"/>
      <w:bookmarkEnd w:id="88"/>
    </w:p>
    <w:p w14:paraId="70F1E06C" w14:textId="4FE49323" w:rsidR="00674B87" w:rsidRDefault="00D31206" w:rsidP="008A7942">
      <w:pPr>
        <w:spacing w:line="360" w:lineRule="auto"/>
        <w:jc w:val="both"/>
        <w:rPr>
          <w:rFonts w:ascii="Arial" w:hAnsi="Arial" w:cs="Arial"/>
        </w:rPr>
      </w:pPr>
      <w:r>
        <w:rPr>
          <w:rFonts w:ascii="Arial" w:hAnsi="Arial" w:cs="Arial"/>
        </w:rPr>
        <w:t xml:space="preserve">Cell assembly is </w:t>
      </w:r>
      <w:r w:rsidR="00684F5A">
        <w:rPr>
          <w:rFonts w:ascii="Arial" w:hAnsi="Arial" w:cs="Arial"/>
        </w:rPr>
        <w:t xml:space="preserve">conducted in a low moisture </w:t>
      </w:r>
      <w:r w:rsidR="009C72C4">
        <w:rPr>
          <w:rFonts w:ascii="Arial" w:hAnsi="Arial" w:cs="Arial"/>
        </w:rPr>
        <w:t>environment</w:t>
      </w:r>
      <w:r w:rsidR="00913457">
        <w:rPr>
          <w:rFonts w:ascii="Arial" w:hAnsi="Arial" w:cs="Arial"/>
        </w:rPr>
        <w:t xml:space="preserve"> to ensure that </w:t>
      </w:r>
      <w:r w:rsidR="00B334C0">
        <w:rPr>
          <w:rFonts w:ascii="Arial" w:hAnsi="Arial" w:cs="Arial"/>
        </w:rPr>
        <w:t xml:space="preserve">Li </w:t>
      </w:r>
      <w:r w:rsidR="00F52BF5">
        <w:rPr>
          <w:rFonts w:ascii="Arial" w:hAnsi="Arial" w:cs="Arial"/>
        </w:rPr>
        <w:t xml:space="preserve">doesn’t degrade. This </w:t>
      </w:r>
      <w:r w:rsidR="002A30F2">
        <w:rPr>
          <w:rFonts w:ascii="Arial" w:hAnsi="Arial" w:cs="Arial"/>
        </w:rPr>
        <w:t>can be either a dr</w:t>
      </w:r>
      <w:r w:rsidR="00BB2F0D">
        <w:rPr>
          <w:rFonts w:ascii="Arial" w:hAnsi="Arial" w:cs="Arial"/>
        </w:rPr>
        <w:t xml:space="preserve">y room that is specially designed to have a relative humidity of </w:t>
      </w:r>
      <w:r w:rsidR="002A5249">
        <w:rPr>
          <w:rFonts w:ascii="Arial" w:hAnsi="Arial" w:cs="Arial"/>
        </w:rPr>
        <w:t>&lt;0.5% or an argon filled glovebox. I</w:t>
      </w:r>
      <w:r w:rsidR="001876BB">
        <w:rPr>
          <w:rFonts w:ascii="Arial" w:hAnsi="Arial" w:cs="Arial"/>
        </w:rPr>
        <w:t>n</w:t>
      </w:r>
      <w:r w:rsidR="002A5249">
        <w:rPr>
          <w:rFonts w:ascii="Arial" w:hAnsi="Arial" w:cs="Arial"/>
        </w:rPr>
        <w:t xml:space="preserve"> this thesis all cells we produced in an Ar filled glovebox with both O</w:t>
      </w:r>
      <w:r w:rsidR="002A5249">
        <w:rPr>
          <w:rFonts w:ascii="Arial" w:hAnsi="Arial" w:cs="Arial"/>
          <w:vertAlign w:val="subscript"/>
        </w:rPr>
        <w:t>2</w:t>
      </w:r>
      <w:r w:rsidR="002A5249">
        <w:rPr>
          <w:rFonts w:ascii="Arial" w:hAnsi="Arial" w:cs="Arial"/>
        </w:rPr>
        <w:t xml:space="preserve"> and H</w:t>
      </w:r>
      <w:r w:rsidR="002A5249">
        <w:rPr>
          <w:rFonts w:ascii="Arial" w:hAnsi="Arial" w:cs="Arial"/>
          <w:vertAlign w:val="subscript"/>
        </w:rPr>
        <w:t>2</w:t>
      </w:r>
      <w:r w:rsidR="002A5249">
        <w:rPr>
          <w:rFonts w:ascii="Arial" w:hAnsi="Arial" w:cs="Arial"/>
        </w:rPr>
        <w:t xml:space="preserve">O </w:t>
      </w:r>
      <w:r w:rsidR="00E410AC">
        <w:rPr>
          <w:rFonts w:ascii="Arial" w:hAnsi="Arial" w:cs="Arial"/>
        </w:rPr>
        <w:t xml:space="preserve">&lt;0.1ppm. </w:t>
      </w:r>
    </w:p>
    <w:p w14:paraId="0EED73CB" w14:textId="36F881D1" w:rsidR="003339C5" w:rsidRDefault="003339C5" w:rsidP="008A7942">
      <w:pPr>
        <w:spacing w:line="360" w:lineRule="auto"/>
        <w:jc w:val="both"/>
        <w:rPr>
          <w:rFonts w:ascii="Arial" w:hAnsi="Arial" w:cs="Arial"/>
        </w:rPr>
      </w:pPr>
      <w:r>
        <w:rPr>
          <w:rFonts w:ascii="Arial" w:hAnsi="Arial" w:cs="Arial"/>
        </w:rPr>
        <w:t xml:space="preserve">The </w:t>
      </w:r>
      <w:r w:rsidR="000F12DE">
        <w:rPr>
          <w:rFonts w:ascii="Arial" w:hAnsi="Arial" w:cs="Arial"/>
        </w:rPr>
        <w:t xml:space="preserve">cell building process starts with the case. A 2032 cell </w:t>
      </w:r>
      <w:r w:rsidR="00A334FE">
        <w:rPr>
          <w:rFonts w:ascii="Arial" w:hAnsi="Arial" w:cs="Arial"/>
        </w:rPr>
        <w:t xml:space="preserve">format was chosen </w:t>
      </w:r>
      <w:r w:rsidR="00511A26">
        <w:rPr>
          <w:rFonts w:ascii="Arial" w:hAnsi="Arial" w:cs="Arial"/>
        </w:rPr>
        <w:t xml:space="preserve">as it </w:t>
      </w:r>
      <w:r w:rsidR="00A62E36">
        <w:rPr>
          <w:rFonts w:ascii="Arial" w:hAnsi="Arial" w:cs="Arial"/>
        </w:rPr>
        <w:t>has good electrical contact with the cell holders.</w:t>
      </w:r>
      <w:r w:rsidR="004E3E15">
        <w:rPr>
          <w:rFonts w:ascii="Arial" w:hAnsi="Arial" w:cs="Arial"/>
        </w:rPr>
        <w:t xml:space="preserve"> In the bottom </w:t>
      </w:r>
      <w:r w:rsidR="00C31A20">
        <w:rPr>
          <w:rFonts w:ascii="Arial" w:hAnsi="Arial" w:cs="Arial"/>
        </w:rPr>
        <w:t xml:space="preserve">of the cell </w:t>
      </w:r>
      <w:r w:rsidR="001B2D67">
        <w:rPr>
          <w:rFonts w:ascii="Arial" w:hAnsi="Arial" w:cs="Arial"/>
        </w:rPr>
        <w:t xml:space="preserve">a wave spring </w:t>
      </w:r>
      <w:r w:rsidR="00B40238">
        <w:rPr>
          <w:rFonts w:ascii="Arial" w:hAnsi="Arial" w:cs="Arial"/>
        </w:rPr>
        <w:t xml:space="preserve">and 1mm spacer were placed. These help to ensure that the </w:t>
      </w:r>
      <w:r w:rsidR="004F3095">
        <w:rPr>
          <w:rFonts w:ascii="Arial" w:hAnsi="Arial" w:cs="Arial"/>
        </w:rPr>
        <w:t xml:space="preserve">electrode </w:t>
      </w:r>
      <w:r w:rsidR="009956BC">
        <w:rPr>
          <w:rFonts w:ascii="Arial" w:hAnsi="Arial" w:cs="Arial"/>
        </w:rPr>
        <w:t xml:space="preserve">is </w:t>
      </w:r>
      <w:r w:rsidR="004F3095">
        <w:rPr>
          <w:rFonts w:ascii="Arial" w:hAnsi="Arial" w:cs="Arial"/>
        </w:rPr>
        <w:t>effectively wetted</w:t>
      </w:r>
      <w:r w:rsidR="009956BC">
        <w:rPr>
          <w:rFonts w:ascii="Arial" w:hAnsi="Arial" w:cs="Arial"/>
        </w:rPr>
        <w:t xml:space="preserve"> and in good contact with the separator. </w:t>
      </w:r>
      <w:r w:rsidR="007E6281">
        <w:rPr>
          <w:rFonts w:ascii="Arial" w:hAnsi="Arial" w:cs="Arial"/>
        </w:rPr>
        <w:t xml:space="preserve">On top of the spacer Li </w:t>
      </w:r>
      <w:r w:rsidR="00CD6AEC">
        <w:rPr>
          <w:rFonts w:ascii="Arial" w:hAnsi="Arial" w:cs="Arial"/>
        </w:rPr>
        <w:t xml:space="preserve">metal was placed. This has be cleaned with a wire brush to remove any surface impurities. The next layer is the separator </w:t>
      </w:r>
      <w:r w:rsidR="000553C6">
        <w:rPr>
          <w:rFonts w:ascii="Arial" w:hAnsi="Arial" w:cs="Arial"/>
        </w:rPr>
        <w:t xml:space="preserve">for which glass fibre was chosen due to </w:t>
      </w:r>
      <w:r w:rsidR="00BE32E3">
        <w:rPr>
          <w:rFonts w:ascii="Arial" w:hAnsi="Arial" w:cs="Arial"/>
        </w:rPr>
        <w:t>easy wettability and thickness which limits the likelihood of a short circ</w:t>
      </w:r>
      <w:r w:rsidR="00B561AE">
        <w:rPr>
          <w:rFonts w:ascii="Arial" w:hAnsi="Arial" w:cs="Arial"/>
        </w:rPr>
        <w:t xml:space="preserve">uit via dendrite formation. </w:t>
      </w:r>
      <w:r w:rsidR="00D70A16">
        <w:rPr>
          <w:rFonts w:ascii="Arial" w:hAnsi="Arial" w:cs="Arial"/>
        </w:rPr>
        <w:t xml:space="preserve">The </w:t>
      </w:r>
      <w:r w:rsidR="003D0FA0">
        <w:rPr>
          <w:rFonts w:ascii="Arial" w:hAnsi="Arial" w:cs="Arial"/>
        </w:rPr>
        <w:t xml:space="preserve">electrolyte (100µl) was added to the </w:t>
      </w:r>
      <w:r w:rsidR="00C557BC">
        <w:rPr>
          <w:rFonts w:ascii="Arial" w:hAnsi="Arial" w:cs="Arial"/>
        </w:rPr>
        <w:t>separator using a micropipette. The electrode was placed on top</w:t>
      </w:r>
      <w:r w:rsidR="007E6FBE">
        <w:rPr>
          <w:rFonts w:ascii="Arial" w:hAnsi="Arial" w:cs="Arial"/>
        </w:rPr>
        <w:t xml:space="preserve"> of the wetted separator and finally </w:t>
      </w:r>
      <w:r w:rsidR="00455387">
        <w:rPr>
          <w:rFonts w:ascii="Arial" w:hAnsi="Arial" w:cs="Arial"/>
        </w:rPr>
        <w:t xml:space="preserve">the top of the case was placed on top. This completed cell is sealed using a </w:t>
      </w:r>
      <w:r w:rsidR="008E2FB2">
        <w:rPr>
          <w:rFonts w:ascii="Arial" w:hAnsi="Arial" w:cs="Arial"/>
        </w:rPr>
        <w:t>crimping machine.</w:t>
      </w:r>
      <w:r w:rsidR="007E6281">
        <w:rPr>
          <w:rFonts w:ascii="Arial" w:hAnsi="Arial" w:cs="Arial"/>
        </w:rPr>
        <w:t xml:space="preserve"> diagram of this setup can be seen in</w:t>
      </w:r>
      <w:r w:rsidR="004F3095">
        <w:rPr>
          <w:rFonts w:ascii="Arial" w:hAnsi="Arial" w:cs="Arial"/>
        </w:rPr>
        <w:t xml:space="preserve"> </w:t>
      </w:r>
      <w:r w:rsidR="0088634B">
        <w:rPr>
          <w:rFonts w:ascii="Arial" w:hAnsi="Arial" w:cs="Arial"/>
        </w:rPr>
        <w:fldChar w:fldCharType="begin"/>
      </w:r>
      <w:r w:rsidR="0088634B">
        <w:rPr>
          <w:rFonts w:ascii="Arial" w:hAnsi="Arial" w:cs="Arial"/>
        </w:rPr>
        <w:instrText xml:space="preserve"> REF _Ref81150308 \h </w:instrText>
      </w:r>
      <w:r w:rsidR="0088634B">
        <w:rPr>
          <w:rFonts w:ascii="Arial" w:hAnsi="Arial" w:cs="Arial"/>
        </w:rPr>
      </w:r>
      <w:r w:rsidR="0088634B">
        <w:rPr>
          <w:rFonts w:ascii="Arial" w:hAnsi="Arial" w:cs="Arial"/>
        </w:rPr>
        <w:fldChar w:fldCharType="separate"/>
      </w:r>
      <w:r w:rsidR="0088634B" w:rsidRPr="0088634B">
        <w:rPr>
          <w:rFonts w:ascii="Arial" w:hAnsi="Arial" w:cs="Arial"/>
          <w:sz w:val="20"/>
          <w:szCs w:val="20"/>
        </w:rPr>
        <w:t xml:space="preserve">Figure </w:t>
      </w:r>
      <w:r w:rsidR="0088634B" w:rsidRPr="0088634B">
        <w:rPr>
          <w:rFonts w:ascii="Arial" w:hAnsi="Arial" w:cs="Arial"/>
          <w:noProof/>
          <w:sz w:val="20"/>
          <w:szCs w:val="20"/>
        </w:rPr>
        <w:t>2</w:t>
      </w:r>
      <w:r w:rsidR="0088634B" w:rsidRPr="0088634B">
        <w:rPr>
          <w:rFonts w:ascii="Arial" w:hAnsi="Arial" w:cs="Arial"/>
          <w:sz w:val="20"/>
          <w:szCs w:val="20"/>
        </w:rPr>
        <w:noBreakHyphen/>
      </w:r>
      <w:r w:rsidR="0088634B" w:rsidRPr="0088634B">
        <w:rPr>
          <w:rFonts w:ascii="Arial" w:hAnsi="Arial" w:cs="Arial"/>
          <w:noProof/>
          <w:sz w:val="20"/>
          <w:szCs w:val="20"/>
        </w:rPr>
        <w:t>1</w:t>
      </w:r>
      <w:r w:rsidR="0088634B">
        <w:rPr>
          <w:rFonts w:ascii="Arial" w:hAnsi="Arial" w:cs="Arial"/>
        </w:rPr>
        <w:fldChar w:fldCharType="end"/>
      </w:r>
      <w:r w:rsidR="0088634B">
        <w:rPr>
          <w:rFonts w:ascii="Arial" w:hAnsi="Arial" w:cs="Arial"/>
        </w:rPr>
        <w:t>.</w:t>
      </w:r>
    </w:p>
    <w:p w14:paraId="63B4A2AE" w14:textId="77777777" w:rsidR="0088634B" w:rsidRDefault="006E05CC" w:rsidP="0088634B">
      <w:pPr>
        <w:keepNext/>
        <w:spacing w:line="360" w:lineRule="auto"/>
        <w:jc w:val="center"/>
      </w:pPr>
      <w:r>
        <w:rPr>
          <w:noProof/>
        </w:rPr>
        <w:drawing>
          <wp:inline distT="0" distB="0" distL="0" distR="0" wp14:anchorId="192B8E48" wp14:editId="40E95340">
            <wp:extent cx="3814403" cy="3276600"/>
            <wp:effectExtent l="0" t="0" r="0" b="0"/>
            <wp:docPr id="3100" name="Picture 310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Picture 3100" descr="Chart, funnel chart&#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23247" cy="3284197"/>
                    </a:xfrm>
                    <a:prstGeom prst="rect">
                      <a:avLst/>
                    </a:prstGeom>
                    <a:noFill/>
                    <a:ln>
                      <a:noFill/>
                    </a:ln>
                  </pic:spPr>
                </pic:pic>
              </a:graphicData>
            </a:graphic>
          </wp:inline>
        </w:drawing>
      </w:r>
    </w:p>
    <w:p w14:paraId="7BE6FD40" w14:textId="1D0D7AEC" w:rsidR="00F01940" w:rsidRPr="0088634B" w:rsidRDefault="0088634B" w:rsidP="0088634B">
      <w:pPr>
        <w:pStyle w:val="Caption"/>
        <w:jc w:val="center"/>
        <w:rPr>
          <w:rFonts w:ascii="Arial" w:hAnsi="Arial" w:cs="Arial"/>
          <w:sz w:val="20"/>
          <w:szCs w:val="20"/>
        </w:rPr>
      </w:pPr>
      <w:bookmarkStart w:id="89" w:name="_Ref81150308"/>
      <w:r w:rsidRPr="0088634B">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2</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bookmarkEnd w:id="89"/>
      <w:r w:rsidRPr="0088634B">
        <w:rPr>
          <w:rFonts w:ascii="Arial" w:hAnsi="Arial" w:cs="Arial"/>
          <w:sz w:val="20"/>
          <w:szCs w:val="20"/>
        </w:rPr>
        <w:t>: coin cell breakdown</w:t>
      </w:r>
    </w:p>
    <w:p w14:paraId="1581A464" w14:textId="240883EC" w:rsidR="00851FD3" w:rsidRDefault="00851FD3" w:rsidP="009427C2">
      <w:pPr>
        <w:pStyle w:val="Heading2"/>
        <w:rPr>
          <w:rFonts w:ascii="Arial" w:hAnsi="Arial" w:cs="Arial"/>
        </w:rPr>
      </w:pPr>
      <w:bookmarkStart w:id="90" w:name="_Toc82538741"/>
      <w:r>
        <w:rPr>
          <w:rFonts w:ascii="Arial" w:hAnsi="Arial" w:cs="Arial"/>
        </w:rPr>
        <w:t>Pre-lithiation</w:t>
      </w:r>
      <w:bookmarkEnd w:id="90"/>
      <w:r>
        <w:rPr>
          <w:rFonts w:ascii="Arial" w:hAnsi="Arial" w:cs="Arial"/>
        </w:rPr>
        <w:t xml:space="preserve"> </w:t>
      </w:r>
    </w:p>
    <w:p w14:paraId="75B9CA00" w14:textId="6FDC8929" w:rsidR="00851FD3" w:rsidRDefault="001E1628" w:rsidP="008A7942">
      <w:pPr>
        <w:spacing w:line="360" w:lineRule="auto"/>
        <w:jc w:val="both"/>
        <w:rPr>
          <w:rFonts w:ascii="Arial" w:hAnsi="Arial" w:cs="Arial"/>
        </w:rPr>
      </w:pPr>
      <w:r>
        <w:rPr>
          <w:rFonts w:ascii="Arial" w:hAnsi="Arial" w:cs="Arial"/>
        </w:rPr>
        <w:t xml:space="preserve">Pre-lithiation is </w:t>
      </w:r>
      <w:r w:rsidR="00037A32">
        <w:rPr>
          <w:rFonts w:ascii="Arial" w:hAnsi="Arial" w:cs="Arial"/>
        </w:rPr>
        <w:t>a major part of the experimental work</w:t>
      </w:r>
      <w:r w:rsidR="00293880">
        <w:rPr>
          <w:rFonts w:ascii="Arial" w:hAnsi="Arial" w:cs="Arial"/>
        </w:rPr>
        <w:t xml:space="preserve"> in this thesis</w:t>
      </w:r>
      <w:r w:rsidR="00037A32">
        <w:rPr>
          <w:rFonts w:ascii="Arial" w:hAnsi="Arial" w:cs="Arial"/>
        </w:rPr>
        <w:t xml:space="preserve"> </w:t>
      </w:r>
      <w:r w:rsidR="00F82459">
        <w:rPr>
          <w:rFonts w:ascii="Arial" w:hAnsi="Arial" w:cs="Arial"/>
        </w:rPr>
        <w:t xml:space="preserve">and so is outlined here </w:t>
      </w:r>
      <w:r w:rsidR="0015671F">
        <w:rPr>
          <w:rFonts w:ascii="Arial" w:hAnsi="Arial" w:cs="Arial"/>
        </w:rPr>
        <w:t xml:space="preserve">to avoid the need for repetition. There are </w:t>
      </w:r>
      <w:r w:rsidR="005E2FAC">
        <w:rPr>
          <w:rFonts w:ascii="Arial" w:hAnsi="Arial" w:cs="Arial"/>
        </w:rPr>
        <w:t xml:space="preserve">two types of pre-lithiation used in this thesis which are outlined below. </w:t>
      </w:r>
      <w:r w:rsidR="00DC1FCB">
        <w:rPr>
          <w:rFonts w:ascii="Arial" w:hAnsi="Arial" w:cs="Arial"/>
        </w:rPr>
        <w:t xml:space="preserve">For details on the </w:t>
      </w:r>
      <w:r w:rsidR="00900A85">
        <w:rPr>
          <w:rFonts w:ascii="Arial" w:hAnsi="Arial" w:cs="Arial"/>
        </w:rPr>
        <w:t>theoretical underpinnings on these techniques</w:t>
      </w:r>
      <w:r w:rsidR="008A78F4">
        <w:rPr>
          <w:rFonts w:ascii="Arial" w:hAnsi="Arial" w:cs="Arial"/>
        </w:rPr>
        <w:t xml:space="preserve">, please see </w:t>
      </w:r>
      <w:r w:rsidR="003665C5">
        <w:rPr>
          <w:rFonts w:ascii="Arial" w:hAnsi="Arial" w:cs="Arial"/>
        </w:rPr>
        <w:fldChar w:fldCharType="begin"/>
      </w:r>
      <w:r w:rsidR="003665C5">
        <w:rPr>
          <w:rFonts w:ascii="Arial" w:hAnsi="Arial" w:cs="Arial"/>
        </w:rPr>
        <w:instrText xml:space="preserve"> REF _Ref79323178 \r \h </w:instrText>
      </w:r>
      <w:r w:rsidR="003665C5">
        <w:rPr>
          <w:rFonts w:ascii="Arial" w:hAnsi="Arial" w:cs="Arial"/>
        </w:rPr>
      </w:r>
      <w:r w:rsidR="003665C5">
        <w:rPr>
          <w:rFonts w:ascii="Arial" w:hAnsi="Arial" w:cs="Arial"/>
        </w:rPr>
        <w:fldChar w:fldCharType="separate"/>
      </w:r>
      <w:r w:rsidR="003665C5">
        <w:rPr>
          <w:rFonts w:ascii="Arial" w:hAnsi="Arial" w:cs="Arial"/>
        </w:rPr>
        <w:t>1.11</w:t>
      </w:r>
      <w:r w:rsidR="003665C5">
        <w:rPr>
          <w:rFonts w:ascii="Arial" w:hAnsi="Arial" w:cs="Arial"/>
        </w:rPr>
        <w:fldChar w:fldCharType="end"/>
      </w:r>
      <w:r w:rsidR="008A78F4">
        <w:rPr>
          <w:rFonts w:ascii="Arial" w:hAnsi="Arial" w:cs="Arial"/>
        </w:rPr>
        <w:t xml:space="preserve">. </w:t>
      </w:r>
    </w:p>
    <w:p w14:paraId="5F0A0A80" w14:textId="14EEDE73" w:rsidR="00A0339C" w:rsidRDefault="00A0339C" w:rsidP="009427C2">
      <w:pPr>
        <w:pStyle w:val="Heading3"/>
        <w:rPr>
          <w:rFonts w:ascii="Arial" w:hAnsi="Arial" w:cs="Arial"/>
        </w:rPr>
      </w:pPr>
      <w:bookmarkStart w:id="91" w:name="_Toc82538742"/>
      <w:r>
        <w:rPr>
          <w:rFonts w:ascii="Arial" w:hAnsi="Arial" w:cs="Arial"/>
        </w:rPr>
        <w:t>Mechanical pre-lithiation</w:t>
      </w:r>
      <w:bookmarkEnd w:id="91"/>
    </w:p>
    <w:p w14:paraId="3CE35692" w14:textId="77641311" w:rsidR="009427C2" w:rsidRDefault="0009713F" w:rsidP="008A7942">
      <w:pPr>
        <w:spacing w:line="360" w:lineRule="auto"/>
        <w:jc w:val="both"/>
        <w:rPr>
          <w:rFonts w:ascii="Arial" w:hAnsi="Arial" w:cs="Arial"/>
        </w:rPr>
      </w:pPr>
      <w:r>
        <w:rPr>
          <w:rFonts w:ascii="Arial" w:hAnsi="Arial" w:cs="Arial"/>
        </w:rPr>
        <w:t xml:space="preserve">Mechanical pre-lithiation </w:t>
      </w:r>
      <w:r w:rsidR="00B215BD">
        <w:rPr>
          <w:rFonts w:ascii="Arial" w:hAnsi="Arial" w:cs="Arial"/>
        </w:rPr>
        <w:t xml:space="preserve">was performed by placing the </w:t>
      </w:r>
      <w:r w:rsidR="00BB5B30">
        <w:rPr>
          <w:rFonts w:ascii="Arial" w:hAnsi="Arial" w:cs="Arial"/>
        </w:rPr>
        <w:t>electrod</w:t>
      </w:r>
      <w:r w:rsidR="008128B7">
        <w:rPr>
          <w:rFonts w:ascii="Arial" w:hAnsi="Arial" w:cs="Arial"/>
        </w:rPr>
        <w:t>e next to a disk of Li in a PTFE container</w:t>
      </w:r>
      <w:r w:rsidR="00C61857">
        <w:rPr>
          <w:rFonts w:ascii="Arial" w:hAnsi="Arial" w:cs="Arial"/>
        </w:rPr>
        <w:t>. Electrolyte was placed on top</w:t>
      </w:r>
      <w:r w:rsidR="003665C5">
        <w:rPr>
          <w:rFonts w:ascii="Arial" w:hAnsi="Arial" w:cs="Arial"/>
        </w:rPr>
        <w:t xml:space="preserve"> (100µl)</w:t>
      </w:r>
      <w:r w:rsidR="00C61857">
        <w:rPr>
          <w:rFonts w:ascii="Arial" w:hAnsi="Arial" w:cs="Arial"/>
        </w:rPr>
        <w:t xml:space="preserve"> </w:t>
      </w:r>
      <w:r w:rsidR="00DE7CF5">
        <w:rPr>
          <w:rFonts w:ascii="Arial" w:hAnsi="Arial" w:cs="Arial"/>
        </w:rPr>
        <w:t>and the container was sealed</w:t>
      </w:r>
      <w:r w:rsidR="00C05E20">
        <w:rPr>
          <w:rFonts w:ascii="Arial" w:hAnsi="Arial" w:cs="Arial"/>
        </w:rPr>
        <w:t xml:space="preserve"> to minimise electrolyte evaporation</w:t>
      </w:r>
      <w:r w:rsidR="00DE7CF5">
        <w:rPr>
          <w:rFonts w:ascii="Arial" w:hAnsi="Arial" w:cs="Arial"/>
        </w:rPr>
        <w:t xml:space="preserve">. </w:t>
      </w:r>
      <w:r w:rsidR="00C05E20">
        <w:rPr>
          <w:rFonts w:ascii="Arial" w:hAnsi="Arial" w:cs="Arial"/>
        </w:rPr>
        <w:t>Once the electrode had been pre</w:t>
      </w:r>
      <w:r w:rsidR="003665C5">
        <w:rPr>
          <w:rFonts w:ascii="Arial" w:hAnsi="Arial" w:cs="Arial"/>
        </w:rPr>
        <w:t>-lithiated for the desired time it</w:t>
      </w:r>
      <w:r w:rsidR="000C5B35">
        <w:rPr>
          <w:rFonts w:ascii="Arial" w:hAnsi="Arial" w:cs="Arial"/>
        </w:rPr>
        <w:t xml:space="preserve"> was washed with DMC to remove unreacted electrolyte before being left to dry under vacuum overnight. The dry electrode was then assembled into a new cell with the desired electrolyte and a fresh Li disk. </w:t>
      </w:r>
      <w:r w:rsidR="00B90514">
        <w:rPr>
          <w:rFonts w:ascii="Arial" w:hAnsi="Arial" w:cs="Arial"/>
        </w:rPr>
        <w:t>This was cond</w:t>
      </w:r>
      <w:r w:rsidR="00C05E20">
        <w:rPr>
          <w:rFonts w:ascii="Arial" w:hAnsi="Arial" w:cs="Arial"/>
        </w:rPr>
        <w:t>ucted</w:t>
      </w:r>
      <w:r w:rsidR="00B90514">
        <w:rPr>
          <w:rFonts w:ascii="Arial" w:hAnsi="Arial" w:cs="Arial"/>
        </w:rPr>
        <w:t xml:space="preserve"> in an Ar filled glovebox with both O</w:t>
      </w:r>
      <w:r w:rsidR="00B90514">
        <w:rPr>
          <w:rFonts w:ascii="Arial" w:hAnsi="Arial" w:cs="Arial"/>
          <w:vertAlign w:val="subscript"/>
        </w:rPr>
        <w:t>2</w:t>
      </w:r>
      <w:r w:rsidR="00B90514">
        <w:rPr>
          <w:rFonts w:ascii="Arial" w:hAnsi="Arial" w:cs="Arial"/>
        </w:rPr>
        <w:t xml:space="preserve"> and H</w:t>
      </w:r>
      <w:r w:rsidR="00B90514">
        <w:rPr>
          <w:rFonts w:ascii="Arial" w:hAnsi="Arial" w:cs="Arial"/>
          <w:vertAlign w:val="subscript"/>
        </w:rPr>
        <w:t>2</w:t>
      </w:r>
      <w:r w:rsidR="00B90514">
        <w:rPr>
          <w:rFonts w:ascii="Arial" w:hAnsi="Arial" w:cs="Arial"/>
        </w:rPr>
        <w:t>O &lt;0.1ppm.</w:t>
      </w:r>
    </w:p>
    <w:p w14:paraId="603DA439" w14:textId="10A59F77" w:rsidR="003339C5" w:rsidRDefault="00A0339C" w:rsidP="009427C2">
      <w:pPr>
        <w:pStyle w:val="Heading3"/>
        <w:rPr>
          <w:rFonts w:ascii="Arial" w:hAnsi="Arial" w:cs="Arial"/>
        </w:rPr>
      </w:pPr>
      <w:bookmarkStart w:id="92" w:name="_Toc82538743"/>
      <w:r>
        <w:rPr>
          <w:rFonts w:ascii="Arial" w:hAnsi="Arial" w:cs="Arial"/>
        </w:rPr>
        <w:t>Electrochemical</w:t>
      </w:r>
      <w:r w:rsidR="003339C5">
        <w:rPr>
          <w:rFonts w:ascii="Arial" w:hAnsi="Arial" w:cs="Arial"/>
        </w:rPr>
        <w:t xml:space="preserve"> pre-lithiation</w:t>
      </w:r>
      <w:bookmarkEnd w:id="92"/>
    </w:p>
    <w:p w14:paraId="5EF085F4" w14:textId="77777777" w:rsidR="00700E2F" w:rsidRDefault="0009158F" w:rsidP="008A7942">
      <w:pPr>
        <w:spacing w:line="360" w:lineRule="auto"/>
        <w:jc w:val="both"/>
        <w:rPr>
          <w:rFonts w:ascii="Arial" w:hAnsi="Arial" w:cs="Arial"/>
        </w:rPr>
      </w:pPr>
      <w:r>
        <w:rPr>
          <w:rFonts w:ascii="Arial" w:hAnsi="Arial" w:cs="Arial"/>
        </w:rPr>
        <w:t xml:space="preserve">Electrochemical pre-lithiation </w:t>
      </w:r>
      <w:r w:rsidR="00187037">
        <w:rPr>
          <w:rFonts w:ascii="Arial" w:hAnsi="Arial" w:cs="Arial"/>
        </w:rPr>
        <w:t xml:space="preserve">was performed </w:t>
      </w:r>
      <w:r w:rsidR="00C03E6F">
        <w:rPr>
          <w:rFonts w:ascii="Arial" w:hAnsi="Arial" w:cs="Arial"/>
        </w:rPr>
        <w:t>by making a coin cell with the material to be pre-lithiated as described in</w:t>
      </w:r>
      <w:r w:rsidR="00511C96">
        <w:rPr>
          <w:rFonts w:ascii="Arial" w:hAnsi="Arial" w:cs="Arial"/>
        </w:rPr>
        <w:t xml:space="preserve"> </w:t>
      </w:r>
      <w:r w:rsidR="00511C96">
        <w:rPr>
          <w:rFonts w:ascii="Arial" w:hAnsi="Arial" w:cs="Arial"/>
        </w:rPr>
        <w:fldChar w:fldCharType="begin"/>
      </w:r>
      <w:r w:rsidR="00511C96">
        <w:rPr>
          <w:rFonts w:ascii="Arial" w:hAnsi="Arial" w:cs="Arial"/>
        </w:rPr>
        <w:instrText xml:space="preserve"> REF _Ref79321333 \w \h </w:instrText>
      </w:r>
      <w:r w:rsidR="00511C96">
        <w:rPr>
          <w:rFonts w:ascii="Arial" w:hAnsi="Arial" w:cs="Arial"/>
        </w:rPr>
      </w:r>
      <w:r w:rsidR="00511C96">
        <w:rPr>
          <w:rFonts w:ascii="Arial" w:hAnsi="Arial" w:cs="Arial"/>
        </w:rPr>
        <w:fldChar w:fldCharType="separate"/>
      </w:r>
      <w:r w:rsidR="00511C96">
        <w:rPr>
          <w:rFonts w:ascii="Arial" w:hAnsi="Arial" w:cs="Arial"/>
        </w:rPr>
        <w:t>2.2.3</w:t>
      </w:r>
      <w:r w:rsidR="00511C96">
        <w:rPr>
          <w:rFonts w:ascii="Arial" w:hAnsi="Arial" w:cs="Arial"/>
        </w:rPr>
        <w:fldChar w:fldCharType="end"/>
      </w:r>
      <w:r w:rsidR="00511C96">
        <w:rPr>
          <w:rFonts w:ascii="Arial" w:hAnsi="Arial" w:cs="Arial"/>
        </w:rPr>
        <w:t>.</w:t>
      </w:r>
      <w:r w:rsidR="00AB0040">
        <w:rPr>
          <w:rFonts w:ascii="Arial" w:hAnsi="Arial" w:cs="Arial"/>
        </w:rPr>
        <w:t xml:space="preserve"> Once the cell was assem</w:t>
      </w:r>
      <w:r w:rsidR="005F74B3">
        <w:rPr>
          <w:rFonts w:ascii="Arial" w:hAnsi="Arial" w:cs="Arial"/>
        </w:rPr>
        <w:t xml:space="preserve">bled, the cells are </w:t>
      </w:r>
      <w:r w:rsidR="002C50C8">
        <w:rPr>
          <w:rFonts w:ascii="Arial" w:hAnsi="Arial" w:cs="Arial"/>
        </w:rPr>
        <w:t xml:space="preserve">placed on a Maccor series 4000M to </w:t>
      </w:r>
      <w:r w:rsidR="006A1A05">
        <w:rPr>
          <w:rFonts w:ascii="Arial" w:hAnsi="Arial" w:cs="Arial"/>
        </w:rPr>
        <w:t xml:space="preserve">discharge at C/10 for the time required by the </w:t>
      </w:r>
      <w:r w:rsidR="00A47089">
        <w:rPr>
          <w:rFonts w:ascii="Arial" w:hAnsi="Arial" w:cs="Arial"/>
        </w:rPr>
        <w:t>experiment</w:t>
      </w:r>
      <w:r w:rsidR="006A1A05">
        <w:rPr>
          <w:rFonts w:ascii="Arial" w:hAnsi="Arial" w:cs="Arial"/>
        </w:rPr>
        <w:t>.</w:t>
      </w:r>
      <w:r w:rsidR="00A47089">
        <w:rPr>
          <w:rFonts w:ascii="Arial" w:hAnsi="Arial" w:cs="Arial"/>
        </w:rPr>
        <w:t xml:space="preserve"> </w:t>
      </w:r>
    </w:p>
    <w:p w14:paraId="31B7B9DE" w14:textId="502AC1AF" w:rsidR="009427C2" w:rsidRDefault="0009158F" w:rsidP="008A7942">
      <w:pPr>
        <w:spacing w:line="360" w:lineRule="auto"/>
        <w:jc w:val="both"/>
        <w:rPr>
          <w:rFonts w:ascii="Arial" w:hAnsi="Arial" w:cs="Arial"/>
        </w:rPr>
      </w:pPr>
      <w:r>
        <w:rPr>
          <w:rFonts w:ascii="Arial" w:hAnsi="Arial" w:cs="Arial"/>
        </w:rPr>
        <w:t xml:space="preserve">Electrochemical pre-lithiation can </w:t>
      </w:r>
      <w:r w:rsidR="00FD2E0D">
        <w:rPr>
          <w:rFonts w:ascii="Arial" w:hAnsi="Arial" w:cs="Arial"/>
        </w:rPr>
        <w:t xml:space="preserve">be </w:t>
      </w:r>
      <w:r w:rsidR="00700E2F">
        <w:rPr>
          <w:rFonts w:ascii="Arial" w:hAnsi="Arial" w:cs="Arial"/>
        </w:rPr>
        <w:t xml:space="preserve">Once the cell had finished discharging the </w:t>
      </w:r>
      <w:r w:rsidR="0027031D">
        <w:rPr>
          <w:rFonts w:ascii="Arial" w:hAnsi="Arial" w:cs="Arial"/>
        </w:rPr>
        <w:t xml:space="preserve">cell was disassembled and the pre-lithiated electrode was </w:t>
      </w:r>
      <w:r w:rsidR="002F11C7">
        <w:rPr>
          <w:rFonts w:ascii="Arial" w:hAnsi="Arial" w:cs="Arial"/>
        </w:rPr>
        <w:t>removed</w:t>
      </w:r>
      <w:r w:rsidR="0027031D">
        <w:rPr>
          <w:rFonts w:ascii="Arial" w:hAnsi="Arial" w:cs="Arial"/>
        </w:rPr>
        <w:t xml:space="preserve">. </w:t>
      </w:r>
      <w:r w:rsidR="00592A9B">
        <w:rPr>
          <w:rFonts w:ascii="Arial" w:hAnsi="Arial" w:cs="Arial"/>
        </w:rPr>
        <w:t xml:space="preserve">This was washed with DMC </w:t>
      </w:r>
      <w:r w:rsidR="00514391">
        <w:rPr>
          <w:rFonts w:ascii="Arial" w:hAnsi="Arial" w:cs="Arial"/>
        </w:rPr>
        <w:t xml:space="preserve">to remove </w:t>
      </w:r>
      <w:r w:rsidR="00F20B6E">
        <w:rPr>
          <w:rFonts w:ascii="Arial" w:hAnsi="Arial" w:cs="Arial"/>
        </w:rPr>
        <w:t>unreacted electrolyte before being left to dry under vacuum overnight</w:t>
      </w:r>
      <w:r w:rsidR="006777D7">
        <w:rPr>
          <w:rFonts w:ascii="Arial" w:hAnsi="Arial" w:cs="Arial"/>
        </w:rPr>
        <w:t xml:space="preserve">. </w:t>
      </w:r>
      <w:r w:rsidR="004F392C">
        <w:rPr>
          <w:rFonts w:ascii="Arial" w:hAnsi="Arial" w:cs="Arial"/>
        </w:rPr>
        <w:t>The dry elec</w:t>
      </w:r>
      <w:r w:rsidR="00897F79">
        <w:rPr>
          <w:rFonts w:ascii="Arial" w:hAnsi="Arial" w:cs="Arial"/>
        </w:rPr>
        <w:t>trode was then assembled into a new cell with the desired electrolyte</w:t>
      </w:r>
      <w:r w:rsidR="00830CDD">
        <w:rPr>
          <w:rFonts w:ascii="Arial" w:hAnsi="Arial" w:cs="Arial"/>
        </w:rPr>
        <w:t xml:space="preserve"> and a fresh Li disk</w:t>
      </w:r>
      <w:r w:rsidR="00897F79">
        <w:rPr>
          <w:rFonts w:ascii="Arial" w:hAnsi="Arial" w:cs="Arial"/>
        </w:rPr>
        <w:t xml:space="preserve">. </w:t>
      </w:r>
      <w:r w:rsidR="006A1A05">
        <w:rPr>
          <w:rFonts w:ascii="Arial" w:hAnsi="Arial" w:cs="Arial"/>
        </w:rPr>
        <w:t xml:space="preserve"> </w:t>
      </w:r>
    </w:p>
    <w:p w14:paraId="005D1EE7" w14:textId="6FB945CD" w:rsidR="005F18B7" w:rsidRDefault="005F18B7" w:rsidP="009427C2">
      <w:pPr>
        <w:pStyle w:val="Heading2"/>
        <w:rPr>
          <w:rFonts w:ascii="Arial" w:hAnsi="Arial" w:cs="Arial"/>
        </w:rPr>
      </w:pPr>
      <w:bookmarkStart w:id="93" w:name="_Toc82538744"/>
      <w:r>
        <w:rPr>
          <w:rFonts w:ascii="Arial" w:hAnsi="Arial" w:cs="Arial"/>
        </w:rPr>
        <w:t>Electrochemical analysis</w:t>
      </w:r>
      <w:bookmarkEnd w:id="93"/>
    </w:p>
    <w:p w14:paraId="272BA1B1" w14:textId="28CD990A" w:rsidR="00E82BBD" w:rsidRDefault="0014232F" w:rsidP="008A7942">
      <w:pPr>
        <w:spacing w:line="360" w:lineRule="auto"/>
        <w:jc w:val="both"/>
        <w:rPr>
          <w:rFonts w:ascii="Arial" w:hAnsi="Arial" w:cs="Arial"/>
        </w:rPr>
      </w:pPr>
      <w:r>
        <w:rPr>
          <w:rFonts w:ascii="Arial" w:hAnsi="Arial" w:cs="Arial"/>
        </w:rPr>
        <w:t>Electrochemical</w:t>
      </w:r>
      <w:r w:rsidR="00BF4EBF">
        <w:rPr>
          <w:rFonts w:ascii="Arial" w:hAnsi="Arial" w:cs="Arial"/>
        </w:rPr>
        <w:t xml:space="preserve"> analysis is vital to</w:t>
      </w:r>
      <w:r w:rsidR="00952C0B">
        <w:rPr>
          <w:rFonts w:ascii="Arial" w:hAnsi="Arial" w:cs="Arial"/>
        </w:rPr>
        <w:t xml:space="preserve"> </w:t>
      </w:r>
      <w:r w:rsidR="00D917C1">
        <w:rPr>
          <w:rFonts w:ascii="Arial" w:hAnsi="Arial" w:cs="Arial"/>
        </w:rPr>
        <w:t xml:space="preserve">understand the formation of the SEI and the </w:t>
      </w:r>
      <w:r w:rsidR="004C2F20">
        <w:rPr>
          <w:rFonts w:ascii="Arial" w:hAnsi="Arial" w:cs="Arial"/>
        </w:rPr>
        <w:t xml:space="preserve">effect that SEI </w:t>
      </w:r>
      <w:r w:rsidR="00AE1E4A">
        <w:rPr>
          <w:rFonts w:ascii="Arial" w:hAnsi="Arial" w:cs="Arial"/>
        </w:rPr>
        <w:t xml:space="preserve">formation has on the </w:t>
      </w:r>
      <w:r w:rsidR="00F216B2">
        <w:rPr>
          <w:rFonts w:ascii="Arial" w:hAnsi="Arial" w:cs="Arial"/>
        </w:rPr>
        <w:t>long-term</w:t>
      </w:r>
      <w:r w:rsidR="00AE1E4A">
        <w:rPr>
          <w:rFonts w:ascii="Arial" w:hAnsi="Arial" w:cs="Arial"/>
        </w:rPr>
        <w:t xml:space="preserve"> cycling of the cell</w:t>
      </w:r>
      <w:r>
        <w:rPr>
          <w:rFonts w:ascii="Arial" w:hAnsi="Arial" w:cs="Arial"/>
        </w:rPr>
        <w:t>.</w:t>
      </w:r>
      <w:r w:rsidR="007C4BF2">
        <w:rPr>
          <w:rFonts w:ascii="Arial" w:hAnsi="Arial" w:cs="Arial"/>
        </w:rPr>
        <w:t xml:space="preserve"> Outlined here are the electrochemical techniques used in this thesis and </w:t>
      </w:r>
      <w:r w:rsidR="00A25D7F">
        <w:rPr>
          <w:rFonts w:ascii="Arial" w:hAnsi="Arial" w:cs="Arial"/>
        </w:rPr>
        <w:t xml:space="preserve">aims to give a basic understanding for the reader. </w:t>
      </w:r>
    </w:p>
    <w:p w14:paraId="4C31BA67" w14:textId="27D2A333" w:rsidR="00890864" w:rsidRDefault="00890864" w:rsidP="008A7942">
      <w:pPr>
        <w:spacing w:line="360" w:lineRule="auto"/>
        <w:jc w:val="both"/>
        <w:rPr>
          <w:rFonts w:ascii="Arial" w:hAnsi="Arial" w:cs="Arial"/>
        </w:rPr>
      </w:pPr>
    </w:p>
    <w:p w14:paraId="6DC5F1CD" w14:textId="77777777" w:rsidR="005F18B7" w:rsidRPr="002A5249" w:rsidRDefault="005F18B7" w:rsidP="008A7942">
      <w:pPr>
        <w:spacing w:line="360" w:lineRule="auto"/>
        <w:jc w:val="both"/>
        <w:rPr>
          <w:rFonts w:ascii="Arial" w:hAnsi="Arial" w:cs="Arial"/>
        </w:rPr>
      </w:pPr>
    </w:p>
    <w:p w14:paraId="76C5AF38" w14:textId="155E84A4" w:rsidR="00797A53" w:rsidRPr="0092670C" w:rsidRDefault="00797A53" w:rsidP="00797A53">
      <w:pPr>
        <w:rPr>
          <w:rFonts w:ascii="Arial" w:hAnsi="Arial" w:cs="Arial"/>
        </w:rPr>
      </w:pPr>
      <w:r w:rsidRPr="0092670C">
        <w:rPr>
          <w:rFonts w:ascii="Arial" w:hAnsi="Arial" w:cs="Arial"/>
        </w:rPr>
        <w:br w:type="page"/>
      </w:r>
    </w:p>
    <w:p w14:paraId="04192E26" w14:textId="77777777" w:rsidR="003E14AA" w:rsidRPr="0092670C" w:rsidRDefault="003E14AA" w:rsidP="001F5C16">
      <w:pPr>
        <w:pStyle w:val="Heading3"/>
        <w:rPr>
          <w:rFonts w:ascii="Arial" w:eastAsia="Calibri" w:hAnsi="Arial" w:cs="Arial"/>
        </w:rPr>
      </w:pPr>
      <w:bookmarkStart w:id="94" w:name="_Toc82538745"/>
      <w:r w:rsidRPr="0092670C">
        <w:rPr>
          <w:rFonts w:ascii="Arial" w:eastAsia="Calibri" w:hAnsi="Arial" w:cs="Arial"/>
        </w:rPr>
        <w:t>Electrochemical impedance spectroscopy (EIS)</w:t>
      </w:r>
      <w:bookmarkEnd w:id="94"/>
    </w:p>
    <w:p w14:paraId="550C2804" w14:textId="7A389F7C"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The first part</w:t>
      </w:r>
      <w:r w:rsidR="008122FC" w:rsidRPr="0092670C">
        <w:rPr>
          <w:rFonts w:ascii="Arial" w:eastAsia="Calibri" w:hAnsi="Arial" w:cs="Arial"/>
        </w:rPr>
        <w:t>,</w:t>
      </w:r>
      <w:r w:rsidRPr="0092670C">
        <w:rPr>
          <w:rFonts w:ascii="Arial" w:eastAsia="Calibri" w:hAnsi="Arial" w:cs="Arial"/>
        </w:rPr>
        <w:t xml:space="preserve"> of what is now Electrochemical impedance spectroscopy (EIS) was discovered by Warburg in 1899 when he published a paper on the impedance of diffusional transport in a</w:t>
      </w:r>
      <w:r w:rsidR="00650B1C" w:rsidRPr="0092670C">
        <w:rPr>
          <w:rFonts w:ascii="Arial" w:eastAsia="Calibri" w:hAnsi="Arial" w:cs="Arial"/>
        </w:rPr>
        <w:t>n</w:t>
      </w:r>
      <w:r w:rsidRPr="0092670C">
        <w:rPr>
          <w:rFonts w:ascii="Arial" w:eastAsia="Calibri" w:hAnsi="Arial" w:cs="Arial"/>
        </w:rPr>
        <w:t xml:space="preserve"> </w:t>
      </w:r>
      <w:r w:rsidR="00650B1C" w:rsidRPr="0092670C">
        <w:rPr>
          <w:rFonts w:ascii="Arial" w:eastAsia="Calibri" w:hAnsi="Arial" w:cs="Arial"/>
        </w:rPr>
        <w:t xml:space="preserve">electrochemical </w:t>
      </w:r>
      <w:r w:rsidRPr="0092670C">
        <w:rPr>
          <w:rFonts w:ascii="Arial" w:eastAsia="Calibri" w:hAnsi="Arial" w:cs="Arial"/>
        </w:rPr>
        <w:t>system</w:t>
      </w:r>
      <w:r w:rsidR="00686090"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&lt;EndNote&gt;&lt;Cite&gt;&lt;Author&gt;Warburg&lt;/Author&gt;&lt;Year&gt;1899&lt;/Year&gt;&lt;RecNum&gt;165&lt;/RecNum&gt;&lt;DisplayText&gt;[178]&lt;/DisplayText&gt;&lt;record&gt;&lt;rec-number&gt;165&lt;/rec-number&gt;&lt;foreign-keys&gt;&lt;key app="EN" db-id="5sa9s0e0r0d9fnexra7pr5xdwd5ztevx95s2" timestamp="1549988083"&gt;165&lt;/key&gt;&lt;/foreign-keys&gt;&lt;ref-type name="Journal Article"&gt;17&lt;/ref-type&gt;&lt;contributors&gt;&lt;authors&gt;&lt;author&gt;Warburg, E.&lt;/author&gt;&lt;/authors&gt;&lt;/contributors&gt;&lt;titles&gt;&lt;title&gt;Ueber das Verhalten sogenannter unpolarisirbarer Elektroden gegen Wechselstrom&lt;/title&gt;&lt;secondary-title&gt;Annalen der Physik&lt;/secondary-title&gt;&lt;/titles&gt;&lt;periodical&gt;&lt;full-title&gt;Annalen der Physik&lt;/full-title&gt;&lt;/periodical&gt;&lt;pages&gt;493-499&lt;/pages&gt;&lt;volume&gt;303&lt;/volume&gt;&lt;number&gt;3&lt;/number&gt;&lt;dates&gt;&lt;year&gt;1899&lt;/year&gt;&lt;/dates&gt;&lt;urls&gt;&lt;related-urls&gt;&lt;url&gt;https://onlinelibrary.wiley.com/doi/abs/10.1002/andp.18993030302&lt;/url&gt;&lt;/related-urls&gt;&lt;/urls&gt;&lt;electronic-resource-num&gt;doi:10.1002/andp.18993030302&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[178]</w:t>
      </w:r>
      <w:r w:rsidRPr="0092670C">
        <w:rPr>
          <w:rFonts w:ascii="Arial" w:eastAsia="Calibri" w:hAnsi="Arial" w:cs="Arial"/>
        </w:rPr>
        <w:fldChar w:fldCharType="end"/>
      </w:r>
      <w:r w:rsidRPr="0092670C">
        <w:rPr>
          <w:rFonts w:ascii="Arial" w:eastAsia="Calibri" w:hAnsi="Arial" w:cs="Arial"/>
        </w:rPr>
        <w:t>. This was built upon by Randles with his model that combined Warburg impedance with a fast charge transfer reaction at a flat interface</w:t>
      </w:r>
      <w:r w:rsidR="00686090"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&lt;EndNote&gt;&lt;Cite&gt;&lt;Author&gt;Randles&lt;/Author&gt;&lt;Year&gt;1947&lt;/Year&gt;&lt;RecNum&gt;52&lt;/RecNum&gt;&lt;DisplayText&gt;[179]&lt;/DisplayText&gt;&lt;record&gt;&lt;rec-number&gt;52&lt;/rec-number&gt;&lt;foreign-keys&gt;&lt;key app="EN" db-id="5sa9s0e0r0d9fnexra7pr5xdwd5ztevx95s2" timestamp="1513252565"&gt;52&lt;/key&gt;&lt;/foreign-keys&gt;&lt;ref-type name="Journal Article"&gt;17&lt;/ref-type&gt;&lt;contributors&gt;&lt;authors&gt;&lt;author&gt;Randles, J. E. B.&lt;/author&gt;&lt;/authors&gt;&lt;/contributors&gt;&lt;titles&gt;&lt;title&gt;Kinetics of rapid electrode reactions&lt;/title&gt;&lt;secondary-title&gt;Discussions of the Faraday Society&lt;/secondary-title&gt;&lt;/titles&gt;&lt;periodical&gt;&lt;full-title&gt;Discussions of the Faraday Society&lt;/full-title&gt;&lt;/periodical&gt;&lt;pages&gt;11-19&lt;/pages&gt;&lt;volume&gt;1&lt;/volume&gt;&lt;number&gt;0&lt;/number&gt;&lt;dates&gt;&lt;year&gt;1947&lt;/year&gt;&lt;/dates&gt;&lt;publisher&gt;The Royal Society of Chemistry&lt;/publisher&gt;&lt;isbn&gt;0366-9033&lt;/isbn&gt;&lt;work-type&gt;10.1039/DF9470100011&lt;/work-type&gt;&lt;urls&gt;&lt;related-urls&gt;&lt;url&gt;http://dx.doi.org/10.1039/DF9470100011&lt;/url&gt;&lt;/related-urls&gt;&lt;/urls&gt;&lt;electronic-resource-num&gt;10.1039/DF9470100011&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[179]</w:t>
      </w:r>
      <w:r w:rsidRPr="0092670C">
        <w:rPr>
          <w:rFonts w:ascii="Arial" w:eastAsia="Calibri" w:hAnsi="Arial" w:cs="Arial"/>
        </w:rPr>
        <w:fldChar w:fldCharType="end"/>
      </w:r>
      <w:r w:rsidRPr="0092670C">
        <w:rPr>
          <w:rFonts w:ascii="Arial" w:eastAsia="Calibri" w:hAnsi="Arial" w:cs="Arial"/>
        </w:rPr>
        <w:t>. This paved the way for more complex systems being described using EIS eventually leading to its use to describe the SEI</w:t>
      </w:r>
      <w:r w:rsidR="00686090" w:rsidRPr="0092670C">
        <w:rPr>
          <w:rFonts w:ascii="Arial" w:eastAsia="Calibri" w:hAnsi="Arial" w:cs="Arial"/>
        </w:rPr>
        <w:t xml:space="preserve"> </w:t>
      </w:r>
      <w:r w:rsidRPr="0092670C">
        <w:rPr>
          <w:rFonts w:ascii="Arial" w:eastAsia="Calibri" w:hAnsi="Arial" w:cs="Arial"/>
        </w:rPr>
        <w:fldChar w:fldCharType="begin">
          <w:fldData xml:space="preserve">PEVuZE5vdGU+PENpdGU+PEF1dGhvcj5MZXZpPC9BdXRob3I+PFllYXI+MTk5NzwvWWVhcj48UmVj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PEVuZE5vdGU+PENpdGU+PEF1dGhvcj5MZXZpPC9BdXRob3I+PFllYXI+MTk5NzwvWWVhcj48UmVj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[180, 181]</w:t>
      </w:r>
      <w:r w:rsidRPr="0092670C">
        <w:rPr>
          <w:rFonts w:ascii="Arial" w:eastAsia="Calibri" w:hAnsi="Arial" w:cs="Arial"/>
        </w:rPr>
        <w:fldChar w:fldCharType="end"/>
      </w:r>
      <w:r w:rsidRPr="0092670C">
        <w:rPr>
          <w:rFonts w:ascii="Arial" w:eastAsia="Calibri" w:hAnsi="Arial" w:cs="Arial"/>
        </w:rPr>
        <w:t xml:space="preserve">. </w:t>
      </w:r>
    </w:p>
    <w:p w14:paraId="4E6814D8" w14:textId="141AF32C"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EIS is an important technique for looking at cells </w:t>
      </w:r>
      <w:r w:rsidRPr="0092670C">
        <w:rPr>
          <w:rFonts w:ascii="Arial" w:eastAsia="Calibri" w:hAnsi="Arial" w:cs="Arial"/>
          <w:i/>
        </w:rPr>
        <w:t xml:space="preserve">in situ </w:t>
      </w:r>
      <w:r w:rsidRPr="0092670C">
        <w:rPr>
          <w:rFonts w:ascii="Arial" w:eastAsia="Calibri" w:hAnsi="Arial" w:cs="Arial"/>
        </w:rPr>
        <w:t xml:space="preserve">as it is a non-invasive technique. This is important as few techniques allow for such an in-depth insight into the cell.  EIS takes advantage of the fact that </w:t>
      </w:r>
      <w:r w:rsidR="004C307F">
        <w:rPr>
          <w:rFonts w:ascii="Arial" w:eastAsia="Calibri" w:hAnsi="Arial" w:cs="Arial"/>
        </w:rPr>
        <w:t>alternating current (</w:t>
      </w:r>
      <w:r w:rsidRPr="0092670C">
        <w:rPr>
          <w:rFonts w:ascii="Arial" w:eastAsia="Calibri" w:hAnsi="Arial" w:cs="Arial"/>
        </w:rPr>
        <w:t>AC</w:t>
      </w:r>
      <w:r w:rsidR="004C307F">
        <w:rPr>
          <w:rFonts w:ascii="Arial" w:eastAsia="Calibri" w:hAnsi="Arial" w:cs="Arial"/>
        </w:rPr>
        <w:t>)</w:t>
      </w:r>
      <w:r w:rsidRPr="0092670C">
        <w:rPr>
          <w:rFonts w:ascii="Arial" w:eastAsia="Calibri" w:hAnsi="Arial" w:cs="Arial"/>
        </w:rPr>
        <w:t xml:space="preserve"> can travel through capacitors. </w:t>
      </w:r>
      <w:r w:rsidR="00242895">
        <w:rPr>
          <w:rFonts w:ascii="Arial" w:eastAsia="Calibri" w:hAnsi="Arial" w:cs="Arial"/>
        </w:rPr>
        <w:t>Direct current (</w:t>
      </w:r>
      <w:r w:rsidRPr="0092670C">
        <w:rPr>
          <w:rFonts w:ascii="Arial" w:eastAsia="Calibri" w:hAnsi="Arial" w:cs="Arial"/>
        </w:rPr>
        <w:t>DC</w:t>
      </w:r>
      <w:r w:rsidR="00242895">
        <w:rPr>
          <w:rFonts w:ascii="Arial" w:eastAsia="Calibri" w:hAnsi="Arial" w:cs="Arial"/>
        </w:rPr>
        <w:t>)</w:t>
      </w:r>
      <w:r w:rsidRPr="0092670C">
        <w:rPr>
          <w:rFonts w:ascii="Arial" w:eastAsia="Calibri" w:hAnsi="Arial" w:cs="Arial"/>
        </w:rPr>
        <w:t xml:space="preserve"> </w:t>
      </w:r>
      <w:r w:rsidR="00764F8D" w:rsidRPr="0092670C">
        <w:rPr>
          <w:rFonts w:ascii="Arial" w:eastAsia="Calibri" w:hAnsi="Arial" w:cs="Arial"/>
        </w:rPr>
        <w:t>is unable to travel th</w:t>
      </w:r>
      <w:r w:rsidR="006D0DC4" w:rsidRPr="0092670C">
        <w:rPr>
          <w:rFonts w:ascii="Arial" w:eastAsia="Calibri" w:hAnsi="Arial" w:cs="Arial"/>
        </w:rPr>
        <w:t>rough capacitors</w:t>
      </w:r>
      <w:r w:rsidRPr="0092670C">
        <w:rPr>
          <w:rFonts w:ascii="Arial" w:eastAsia="Calibri" w:hAnsi="Arial" w:cs="Arial"/>
        </w:rPr>
        <w:t>, and this limits its ability to probe electrochemical systems as they often incorporate capacitive features. Alternating currents can access the lowest resistance pathways in a cell, giving insight into its structure.</w:t>
      </w:r>
    </w:p>
    <w:p w14:paraId="09F471D2" w14:textId="4E902497" w:rsidR="003E14AA" w:rsidRPr="0092670C" w:rsidRDefault="003E14AA" w:rsidP="003E14AA">
      <w:pPr>
        <w:spacing w:line="360" w:lineRule="auto"/>
        <w:jc w:val="both"/>
        <w:rPr>
          <w:rFonts w:ascii="Arial" w:eastAsia="Calibri" w:hAnsi="Arial" w:cs="Arial"/>
        </w:rPr>
      </w:pPr>
      <w:bookmarkStart w:id="95" w:name="_Hlk83285543"/>
      <w:r w:rsidRPr="0092670C">
        <w:rPr>
          <w:rFonts w:ascii="Arial" w:eastAsia="Calibri" w:hAnsi="Arial" w:cs="Arial"/>
        </w:rPr>
        <w:t>The input is a</w:t>
      </w:r>
      <w:r w:rsidR="009F1EDB">
        <w:rPr>
          <w:rFonts w:ascii="Arial" w:eastAsia="Calibri" w:hAnsi="Arial" w:cs="Arial"/>
        </w:rPr>
        <w:t>n</w:t>
      </w:r>
      <w:r w:rsidRPr="0092670C">
        <w:rPr>
          <w:rFonts w:ascii="Arial" w:eastAsia="Calibri" w:hAnsi="Arial" w:cs="Arial"/>
        </w:rPr>
        <w:t xml:space="preserve"> AC single phase pulse</w:t>
      </w:r>
      <w:r w:rsidR="00FA5378" w:rsidRPr="0092670C">
        <w:rPr>
          <w:rFonts w:ascii="Arial" w:eastAsia="Calibri" w:hAnsi="Arial" w:cs="Arial"/>
        </w:rPr>
        <w:t xml:space="preserve"> with an example in </w:t>
      </w:r>
      <w:r w:rsidR="00FA5378" w:rsidRPr="0092670C">
        <w:rPr>
          <w:rFonts w:ascii="Arial" w:eastAsia="Calibri" w:hAnsi="Arial" w:cs="Arial"/>
        </w:rPr>
        <w:fldChar w:fldCharType="begin"/>
      </w:r>
      <w:r w:rsidR="00FA5378" w:rsidRPr="0092670C">
        <w:rPr>
          <w:rFonts w:ascii="Arial" w:eastAsia="Calibri" w:hAnsi="Arial" w:cs="Arial"/>
        </w:rPr>
        <w:instrText xml:space="preserve"> REF _Ref31531918 \h  \* MERGEFORMAT </w:instrText>
      </w:r>
      <w:r w:rsidR="00FA5378" w:rsidRPr="0092670C">
        <w:rPr>
          <w:rFonts w:ascii="Arial" w:eastAsia="Calibri" w:hAnsi="Arial" w:cs="Arial"/>
        </w:rPr>
      </w:r>
      <w:r w:rsidR="00FA5378"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1</w:t>
      </w:r>
      <w:r w:rsidR="00FA5378" w:rsidRPr="0092670C">
        <w:rPr>
          <w:rFonts w:ascii="Arial" w:eastAsia="Calibri" w:hAnsi="Arial" w:cs="Arial"/>
        </w:rPr>
        <w:fldChar w:fldCharType="end"/>
      </w:r>
      <w:r w:rsidR="009F1EDB">
        <w:rPr>
          <w:rFonts w:ascii="Arial" w:eastAsia="Calibri" w:hAnsi="Arial" w:cs="Arial"/>
        </w:rPr>
        <w:t>, with the example having an amplitude of 10mV which was used throughout this thesis</w:t>
      </w:r>
      <w:r w:rsidRPr="0092670C">
        <w:rPr>
          <w:rFonts w:ascii="Arial" w:eastAsia="Calibri" w:hAnsi="Arial" w:cs="Arial"/>
        </w:rPr>
        <w:t xml:space="preserve">. </w:t>
      </w:r>
      <w:bookmarkEnd w:id="95"/>
      <w:r w:rsidRPr="0092670C">
        <w:rPr>
          <w:rFonts w:ascii="Arial" w:eastAsia="Calibri" w:hAnsi="Arial" w:cs="Arial"/>
        </w:rPr>
        <w:t>The frequency of this wave starts high (typically 100</w:t>
      </w:r>
      <w:r w:rsidR="006F149E">
        <w:rPr>
          <w:rFonts w:ascii="Arial" w:eastAsia="Calibri" w:hAnsi="Arial" w:cs="Arial"/>
        </w:rPr>
        <w:t xml:space="preserve"> </w:t>
      </w:r>
      <w:r w:rsidRPr="0092670C">
        <w:rPr>
          <w:rFonts w:ascii="Arial" w:eastAsia="Calibri" w:hAnsi="Arial" w:cs="Arial"/>
        </w:rPr>
        <w:t>kHz) and then it is reduced, typically logarithmically to be able to sweep through a large frequency range quickly, until it reaches the lowest frequency, whilst staying AC (typically 0.1 or 0.01</w:t>
      </w:r>
      <w:r w:rsidR="006F149E">
        <w:rPr>
          <w:rFonts w:ascii="Arial" w:eastAsia="Calibri" w:hAnsi="Arial" w:cs="Arial"/>
        </w:rPr>
        <w:t xml:space="preserve"> </w:t>
      </w:r>
      <w:r w:rsidRPr="0092670C">
        <w:rPr>
          <w:rFonts w:ascii="Arial" w:eastAsia="Calibri" w:hAnsi="Arial" w:cs="Arial"/>
        </w:rPr>
        <w:t>Hz). The highest frequencies have the lowest impedance and vice versa.</w:t>
      </w:r>
    </w:p>
    <w:p w14:paraId="01BF467B" w14:textId="77777777" w:rsidR="003E14AA" w:rsidRPr="0092670C" w:rsidRDefault="0067644A" w:rsidP="003E14AA">
      <w:pPr>
        <w:keepNext/>
        <w:spacing w:line="256" w:lineRule="auto"/>
        <w:jc w:val="center"/>
        <w:rPr>
          <w:rFonts w:ascii="Arial" w:eastAsia="Calibri" w:hAnsi="Arial" w:cs="Arial"/>
        </w:rPr>
      </w:pPr>
      <w:r w:rsidRPr="0092670C">
        <w:rPr>
          <w:rFonts w:ascii="Arial" w:eastAsia="Calibri" w:hAnsi="Arial" w:cs="Arial"/>
          <w:noProof/>
        </w:rPr>
      </w:r>
      <w:r w:rsidR="0067644A" w:rsidRPr="0092670C">
        <w:rPr>
          <w:rFonts w:ascii="Arial" w:eastAsia="Calibri" w:hAnsi="Arial" w:cs="Arial"/>
          <w:noProof/>
        </w:rPr>
        <w:object w:dxaOrig="6480" w:dyaOrig="4905" w14:anchorId="32FBFAFF">
          <v:shape id="_x0000_i1061" type="#_x0000_t75" style="width:324pt;height:245.9pt" o:ole="">
            <v:imagedata r:id="rId113" o:title=""/>
          </v:shape>
          <o:OLEObject Type="Embed" ProgID="Origin95.Graph" ShapeID="_x0000_i1061" DrawAspect="Content" ObjectID="_1700733950" r:id="rId114"/>
        </w:object>
      </w:r>
    </w:p>
    <w:p w14:paraId="21FF9136" w14:textId="774962B5" w:rsidR="003E14AA" w:rsidRPr="006F149E" w:rsidRDefault="003E14AA" w:rsidP="003E14AA">
      <w:pPr>
        <w:spacing w:after="200" w:line="240" w:lineRule="auto"/>
        <w:jc w:val="center"/>
        <w:rPr>
          <w:rFonts w:ascii="Arial" w:eastAsia="Calibri" w:hAnsi="Arial" w:cs="Arial"/>
          <w:i/>
          <w:iCs/>
          <w:color w:val="44546A" w:themeColor="text2"/>
          <w:sz w:val="20"/>
          <w:szCs w:val="20"/>
        </w:rPr>
      </w:pPr>
      <w:bookmarkStart w:id="96" w:name="_Ref31531918"/>
      <w:r w:rsidRPr="006F149E">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bookmarkEnd w:id="96"/>
      <w:r w:rsidRPr="006F149E">
        <w:rPr>
          <w:rFonts w:ascii="Arial" w:eastAsia="Calibri" w:hAnsi="Arial" w:cs="Arial"/>
          <w:i/>
          <w:iCs/>
          <w:color w:val="44546A" w:themeColor="text2"/>
          <w:sz w:val="20"/>
          <w:szCs w:val="20"/>
        </w:rPr>
        <w:t>: An example of an input AC wave going from high to low frequency</w:t>
      </w:r>
      <w:r w:rsidR="002D0F06" w:rsidRPr="006F149E">
        <w:rPr>
          <w:rFonts w:ascii="Arial" w:eastAsia="Calibri" w:hAnsi="Arial" w:cs="Arial"/>
          <w:i/>
          <w:iCs/>
          <w:color w:val="44546A" w:themeColor="text2"/>
          <w:sz w:val="20"/>
          <w:szCs w:val="20"/>
        </w:rPr>
        <w:t>.</w:t>
      </w:r>
    </w:p>
    <w:p w14:paraId="647284C2" w14:textId="771576BA" w:rsidR="003E14AA" w:rsidRPr="0092670C" w:rsidRDefault="003E14AA" w:rsidP="003E14AA">
      <w:pPr>
        <w:spacing w:line="360" w:lineRule="auto"/>
        <w:rPr>
          <w:rFonts w:ascii="Arial" w:eastAsia="Calibri" w:hAnsi="Arial" w:cs="Arial"/>
        </w:rPr>
      </w:pPr>
      <w:r w:rsidRPr="0092670C">
        <w:rPr>
          <w:rFonts w:ascii="Arial" w:eastAsia="Calibri" w:hAnsi="Arial" w:cs="Arial"/>
        </w:rPr>
        <w:t xml:space="preserve">3 parameters are measured as the output: real and imaginary Impedance </w:t>
      </w:r>
      <w:r w:rsidR="002E3B17">
        <w:rPr>
          <w:rFonts w:ascii="Arial" w:eastAsia="Calibri" w:hAnsi="Arial" w:cs="Arial"/>
        </w:rPr>
        <w:t>as well as</w:t>
      </w:r>
      <w:r w:rsidRPr="0092670C">
        <w:rPr>
          <w:rFonts w:ascii="Arial" w:eastAsia="Calibri" w:hAnsi="Arial" w:cs="Arial"/>
        </w:rPr>
        <w:t xml:space="preserve"> the phase change</w:t>
      </w:r>
    </w:p>
    <w:p w14:paraId="185BE38A" w14:textId="77777777"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The phase change is the delay between the input and output sine wave. An ideal capacitor causes a phase change of 90°. </w:t>
      </w:r>
    </w:p>
    <w:p w14:paraId="1834EF8A" w14:textId="72846EF7"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Impedance has two parts: real and imaginary. The real impedance is equal to the resistance in a direct current measurement. The imaginary impedance is only seen in AC systems and is dependent on the capacitance in the system. As </w:t>
      </w:r>
      <w:r w:rsidR="002F62B5">
        <w:rPr>
          <w:rFonts w:ascii="Arial" w:eastAsia="Calibri" w:hAnsi="Arial" w:cs="Arial"/>
        </w:rPr>
        <w:t xml:space="preserve">AC </w:t>
      </w:r>
      <w:r w:rsidR="007375E5">
        <w:rPr>
          <w:rFonts w:ascii="Arial" w:eastAsia="Calibri" w:hAnsi="Arial" w:cs="Arial"/>
        </w:rPr>
        <w:t xml:space="preserve">can </w:t>
      </w:r>
      <w:r w:rsidRPr="0092670C">
        <w:rPr>
          <w:rFonts w:ascii="Arial" w:eastAsia="Calibri" w:hAnsi="Arial" w:cs="Arial"/>
        </w:rPr>
        <w:t xml:space="preserve">pass through a capacitor it </w:t>
      </w:r>
      <w:r w:rsidR="00F13364">
        <w:rPr>
          <w:rFonts w:ascii="Arial" w:eastAsia="Calibri" w:hAnsi="Arial" w:cs="Arial"/>
        </w:rPr>
        <w:t xml:space="preserve">can avoid </w:t>
      </w:r>
      <w:r w:rsidR="007375E5">
        <w:rPr>
          <w:rFonts w:ascii="Arial" w:eastAsia="Calibri" w:hAnsi="Arial" w:cs="Arial"/>
        </w:rPr>
        <w:t xml:space="preserve">the </w:t>
      </w:r>
      <w:r w:rsidR="009A7B72">
        <w:rPr>
          <w:rFonts w:ascii="Arial" w:eastAsia="Calibri" w:hAnsi="Arial" w:cs="Arial"/>
        </w:rPr>
        <w:t>resistor in the equivalent circuit</w:t>
      </w:r>
      <w:r w:rsidRPr="0092670C">
        <w:rPr>
          <w:rFonts w:ascii="Arial" w:eastAsia="Calibri" w:hAnsi="Arial" w:cs="Arial"/>
        </w:rPr>
        <w:t xml:space="preserve">. This reduces the resistance of the system and so the imaginary </w:t>
      </w:r>
      <w:r w:rsidR="00416092">
        <w:rPr>
          <w:rFonts w:ascii="Arial" w:eastAsia="Calibri" w:hAnsi="Arial" w:cs="Arial"/>
        </w:rPr>
        <w:t>impedance</w:t>
      </w:r>
      <w:r w:rsidRPr="0092670C">
        <w:rPr>
          <w:rFonts w:ascii="Arial" w:eastAsia="Calibri" w:hAnsi="Arial" w:cs="Arial"/>
        </w:rPr>
        <w:t xml:space="preserve"> has a negative value. </w:t>
      </w:r>
    </w:p>
    <w:p w14:paraId="41D642C5" w14:textId="32D2157E"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Typically, the imaginary impedance is plotted against the real impedance and this is known as a Nyquist plot. It is possible to plot the phase change or impedance against log(f) and this is known as a </w:t>
      </w:r>
      <w:r w:rsidR="00950563">
        <w:rPr>
          <w:rFonts w:ascii="Arial" w:eastAsia="Calibri" w:hAnsi="Arial" w:cs="Arial"/>
        </w:rPr>
        <w:t>B</w:t>
      </w:r>
      <w:r w:rsidRPr="0092670C">
        <w:rPr>
          <w:rFonts w:ascii="Arial" w:eastAsia="Calibri" w:hAnsi="Arial" w:cs="Arial"/>
        </w:rPr>
        <w:t xml:space="preserve">ode plot. </w:t>
      </w:r>
    </w:p>
    <w:p w14:paraId="53CC5DE6" w14:textId="58D1983A" w:rsidR="003E14AA" w:rsidRPr="0092670C" w:rsidRDefault="003E14AA" w:rsidP="003E14AA">
      <w:pPr>
        <w:spacing w:line="360" w:lineRule="auto"/>
        <w:rPr>
          <w:rFonts w:ascii="Arial" w:eastAsia="Calibri" w:hAnsi="Arial" w:cs="Arial"/>
        </w:rPr>
      </w:pPr>
      <w:r w:rsidRPr="0092670C">
        <w:rPr>
          <w:rFonts w:ascii="Arial" w:eastAsia="Calibri" w:hAnsi="Arial" w:cs="Arial"/>
        </w:rPr>
        <w:t>In Li</w:t>
      </w:r>
      <w:r w:rsidR="00950563">
        <w:rPr>
          <w:rFonts w:ascii="Arial" w:eastAsia="Calibri" w:hAnsi="Arial" w:cs="Arial"/>
        </w:rPr>
        <w:t>-</w:t>
      </w:r>
      <w:r w:rsidRPr="0092670C">
        <w:rPr>
          <w:rFonts w:ascii="Arial" w:eastAsia="Calibri" w:hAnsi="Arial" w:cs="Arial"/>
        </w:rPr>
        <w:t>ion cells there are several components that contribute to the impedance of the system:</w:t>
      </w:r>
    </w:p>
    <w:p w14:paraId="146158F9" w14:textId="3B5E18FF" w:rsidR="003E14AA" w:rsidRPr="0092670C" w:rsidRDefault="003E14AA" w:rsidP="00B562D0">
      <w:pPr>
        <w:pStyle w:val="ListParagraph"/>
        <w:numPr>
          <w:ilvl w:val="0"/>
          <w:numId w:val="13"/>
        </w:numPr>
        <w:spacing w:line="360" w:lineRule="auto"/>
        <w:jc w:val="both"/>
        <w:rPr>
          <w:rFonts w:ascii="Arial" w:eastAsia="Calibri" w:hAnsi="Arial" w:cs="Arial"/>
        </w:rPr>
      </w:pPr>
      <w:r w:rsidRPr="0092670C">
        <w:rPr>
          <w:rFonts w:ascii="Arial" w:eastAsia="Calibri" w:hAnsi="Arial" w:cs="Arial"/>
        </w:rPr>
        <w:t xml:space="preserve">The resistance in the electrolyte </w:t>
      </w:r>
      <w:r w:rsidRPr="0092670C">
        <w:rPr>
          <w:rFonts w:ascii="Arial" w:eastAsia="Calibri" w:hAnsi="Arial" w:cs="Arial"/>
          <w:b/>
          <w:bCs/>
        </w:rPr>
        <w:t>(R</w:t>
      </w:r>
      <w:r w:rsidRPr="0092670C">
        <w:rPr>
          <w:rFonts w:ascii="Arial" w:eastAsia="Calibri" w:hAnsi="Arial" w:cs="Arial"/>
          <w:b/>
          <w:bCs/>
          <w:vertAlign w:val="subscript"/>
        </w:rPr>
        <w:t>el</w:t>
      </w:r>
      <w:r w:rsidRPr="0092670C">
        <w:rPr>
          <w:rFonts w:ascii="Arial" w:eastAsia="Calibri" w:hAnsi="Arial" w:cs="Arial"/>
          <w:b/>
          <w:bCs/>
        </w:rPr>
        <w:t>)</w:t>
      </w:r>
      <w:r w:rsidR="00563390" w:rsidRPr="0092670C">
        <w:rPr>
          <w:rFonts w:ascii="Arial" w:eastAsia="Calibri" w:hAnsi="Arial" w:cs="Arial"/>
        </w:rPr>
        <w:t>.</w:t>
      </w:r>
      <w:r w:rsidR="00563390" w:rsidRPr="0092670C">
        <w:rPr>
          <w:rFonts w:ascii="Arial" w:eastAsia="Calibri" w:hAnsi="Arial" w:cs="Arial"/>
          <w:b/>
          <w:bCs/>
        </w:rPr>
        <w:t xml:space="preserve"> </w:t>
      </w:r>
      <w:r w:rsidRPr="0092670C">
        <w:rPr>
          <w:rFonts w:ascii="Arial" w:eastAsia="Calibri" w:hAnsi="Arial" w:cs="Arial"/>
        </w:rPr>
        <w:t>This is the inherent resistance of the system that happens as the electrolyte is not an ideal conductor</w:t>
      </w:r>
      <w:r w:rsidR="003576F5" w:rsidRPr="0092670C">
        <w:rPr>
          <w:rFonts w:ascii="Arial" w:eastAsia="Calibri" w:hAnsi="Arial" w:cs="Arial"/>
        </w:rPr>
        <w:t xml:space="preserve">. This is </w:t>
      </w:r>
      <w:r w:rsidR="007029CC" w:rsidRPr="0092670C">
        <w:rPr>
          <w:rFonts w:ascii="Arial" w:eastAsia="Calibri" w:hAnsi="Arial" w:cs="Arial"/>
        </w:rPr>
        <w:t xml:space="preserve">the most common </w:t>
      </w:r>
      <w:r w:rsidR="00C612F0" w:rsidRPr="0092670C">
        <w:rPr>
          <w:rFonts w:ascii="Arial" w:eastAsia="Calibri" w:hAnsi="Arial" w:cs="Arial"/>
        </w:rPr>
        <w:t xml:space="preserve">feature </w:t>
      </w:r>
      <w:r w:rsidR="002D182B" w:rsidRPr="0092670C">
        <w:rPr>
          <w:rFonts w:ascii="Arial" w:eastAsia="Calibri" w:hAnsi="Arial" w:cs="Arial"/>
        </w:rPr>
        <w:t>seen in</w:t>
      </w:r>
      <w:r w:rsidR="00C612F0" w:rsidRPr="0092670C">
        <w:rPr>
          <w:rFonts w:ascii="Arial" w:eastAsia="Calibri" w:hAnsi="Arial" w:cs="Arial"/>
        </w:rPr>
        <w:t xml:space="preserve"> </w:t>
      </w:r>
      <w:r w:rsidR="008523F0" w:rsidRPr="0092670C">
        <w:rPr>
          <w:rFonts w:ascii="Arial" w:eastAsia="Calibri" w:hAnsi="Arial" w:cs="Arial"/>
        </w:rPr>
        <w:t>EIS</w:t>
      </w:r>
      <w:r w:rsidR="002D182B" w:rsidRPr="0092670C">
        <w:rPr>
          <w:rFonts w:ascii="Arial" w:eastAsia="Calibri" w:hAnsi="Arial" w:cs="Arial"/>
        </w:rPr>
        <w:t xml:space="preserve"> spectra and </w:t>
      </w:r>
      <w:r w:rsidR="00042447" w:rsidRPr="0092670C">
        <w:rPr>
          <w:rFonts w:ascii="Arial" w:eastAsia="Calibri" w:hAnsi="Arial" w:cs="Arial"/>
        </w:rPr>
        <w:t xml:space="preserve">as it is a resistive element it cannot be removed by high frequencies </w:t>
      </w:r>
      <w:r w:rsidR="000D6230" w:rsidRPr="0092670C">
        <w:rPr>
          <w:rFonts w:ascii="Arial" w:eastAsia="Calibri" w:hAnsi="Arial" w:cs="Arial"/>
        </w:rPr>
        <w:t xml:space="preserve">and is seen at the </w:t>
      </w:r>
      <w:r w:rsidR="00FD30A0" w:rsidRPr="0092670C">
        <w:rPr>
          <w:rFonts w:ascii="Arial" w:eastAsia="Calibri" w:hAnsi="Arial" w:cs="Arial"/>
        </w:rPr>
        <w:t xml:space="preserve">offset at the </w:t>
      </w:r>
      <w:r w:rsidR="000D6230" w:rsidRPr="0092670C">
        <w:rPr>
          <w:rFonts w:ascii="Arial" w:eastAsia="Calibri" w:hAnsi="Arial" w:cs="Arial"/>
        </w:rPr>
        <w:t>start of</w:t>
      </w:r>
      <w:r w:rsidR="00FD30A0" w:rsidRPr="0092670C">
        <w:rPr>
          <w:rFonts w:ascii="Arial" w:eastAsia="Calibri" w:hAnsi="Arial" w:cs="Arial"/>
        </w:rPr>
        <w:t xml:space="preserve"> a Nyquist plot.</w:t>
      </w:r>
      <w:r w:rsidR="000D6230" w:rsidRPr="0092670C">
        <w:rPr>
          <w:rFonts w:ascii="Arial" w:eastAsia="Calibri" w:hAnsi="Arial" w:cs="Arial"/>
        </w:rPr>
        <w:t xml:space="preserve"> </w:t>
      </w:r>
    </w:p>
    <w:p w14:paraId="70D49EBE" w14:textId="373515B5" w:rsidR="003E14AA" w:rsidRPr="0092670C" w:rsidRDefault="003E14AA" w:rsidP="00B562D0">
      <w:pPr>
        <w:pStyle w:val="ListParagraph"/>
        <w:numPr>
          <w:ilvl w:val="0"/>
          <w:numId w:val="13"/>
        </w:numPr>
        <w:spacing w:line="360" w:lineRule="auto"/>
        <w:jc w:val="both"/>
        <w:rPr>
          <w:rFonts w:ascii="Arial" w:eastAsia="Calibri" w:hAnsi="Arial" w:cs="Arial"/>
        </w:rPr>
      </w:pPr>
      <w:r w:rsidRPr="0092670C">
        <w:rPr>
          <w:rFonts w:ascii="Arial" w:eastAsia="Calibri" w:hAnsi="Arial" w:cs="Arial"/>
        </w:rPr>
        <w:t>The resistance &amp; capacitance of the SEI-graphite interface</w:t>
      </w:r>
      <w:r w:rsidR="00B562D0" w:rsidRPr="0092670C">
        <w:rPr>
          <w:rFonts w:ascii="Arial" w:eastAsia="Calibri" w:hAnsi="Arial" w:cs="Arial"/>
        </w:rPr>
        <w:t xml:space="preserve"> </w:t>
      </w:r>
      <w:r w:rsidR="00B562D0" w:rsidRPr="0092670C">
        <w:rPr>
          <w:rFonts w:ascii="Arial" w:eastAsia="Calibri" w:hAnsi="Arial" w:cs="Arial"/>
          <w:b/>
          <w:bCs/>
        </w:rPr>
        <w:t>(R</w:t>
      </w:r>
      <w:r w:rsidR="00B562D0" w:rsidRPr="0092670C">
        <w:rPr>
          <w:rFonts w:ascii="Arial" w:eastAsia="Calibri" w:hAnsi="Arial" w:cs="Arial"/>
          <w:b/>
          <w:bCs/>
          <w:vertAlign w:val="subscript"/>
        </w:rPr>
        <w:t xml:space="preserve">SEI </w:t>
      </w:r>
      <w:r w:rsidR="00B562D0" w:rsidRPr="0092670C">
        <w:rPr>
          <w:rFonts w:ascii="Arial" w:eastAsia="Calibri" w:hAnsi="Arial" w:cs="Arial"/>
          <w:b/>
          <w:bCs/>
        </w:rPr>
        <w:t>&amp; C</w:t>
      </w:r>
      <w:r w:rsidR="00B562D0" w:rsidRPr="0092670C">
        <w:rPr>
          <w:rFonts w:ascii="Arial" w:eastAsia="Calibri" w:hAnsi="Arial" w:cs="Arial"/>
          <w:b/>
          <w:bCs/>
          <w:vertAlign w:val="subscript"/>
        </w:rPr>
        <w:t>SEI</w:t>
      </w:r>
      <w:r w:rsidR="00B562D0" w:rsidRPr="0092670C">
        <w:rPr>
          <w:rFonts w:ascii="Arial" w:eastAsia="Calibri" w:hAnsi="Arial" w:cs="Arial"/>
          <w:b/>
          <w:bCs/>
        </w:rPr>
        <w:t>)</w:t>
      </w:r>
      <w:r w:rsidR="00B562D0" w:rsidRPr="0092670C">
        <w:rPr>
          <w:rFonts w:ascii="Arial" w:eastAsia="Calibri" w:hAnsi="Arial" w:cs="Arial"/>
        </w:rPr>
        <w:t xml:space="preserve">. </w:t>
      </w:r>
      <w:r w:rsidRPr="0092670C">
        <w:rPr>
          <w:rFonts w:ascii="Arial" w:eastAsia="Calibri" w:hAnsi="Arial" w:cs="Arial"/>
        </w:rPr>
        <w:t xml:space="preserve">The SEI is the next highest after electrolyte resistance as it is the first interface involved in electron transfer. As it has a </w:t>
      </w:r>
      <w:r w:rsidR="000345B9" w:rsidRPr="000345B9">
        <w:rPr>
          <w:rFonts w:ascii="Arial" w:eastAsia="Calibri" w:hAnsi="Arial" w:cs="Arial"/>
          <w:b/>
          <w:bCs/>
        </w:rPr>
        <w:t>R</w:t>
      </w:r>
      <w:r w:rsidRPr="0092670C">
        <w:rPr>
          <w:rFonts w:ascii="Arial" w:eastAsia="Calibri" w:hAnsi="Arial" w:cs="Arial"/>
        </w:rPr>
        <w:t xml:space="preserve">esistive and </w:t>
      </w:r>
      <w:r w:rsidR="00C75089" w:rsidRPr="00C75089">
        <w:rPr>
          <w:rFonts w:ascii="Arial" w:eastAsia="Calibri" w:hAnsi="Arial" w:cs="Arial"/>
          <w:b/>
          <w:bCs/>
        </w:rPr>
        <w:t>C</w:t>
      </w:r>
      <w:r w:rsidRPr="0092670C">
        <w:rPr>
          <w:rFonts w:ascii="Arial" w:eastAsia="Calibri" w:hAnsi="Arial" w:cs="Arial"/>
        </w:rPr>
        <w:t>apacitive component they can be considered in parallel (known as an RC circuit for short</w:t>
      </w:r>
      <w:r w:rsidR="00381080" w:rsidRPr="0092670C">
        <w:rPr>
          <w:rFonts w:ascii="Arial" w:eastAsia="Calibri" w:hAnsi="Arial" w:cs="Arial"/>
        </w:rPr>
        <w:t xml:space="preserve">, a circuit diagram of which can be seen in </w:t>
      </w:r>
      <w:r w:rsidR="00AF0320" w:rsidRPr="0092670C">
        <w:rPr>
          <w:rFonts w:ascii="Arial" w:eastAsia="Calibri" w:hAnsi="Arial" w:cs="Arial"/>
        </w:rPr>
        <w:fldChar w:fldCharType="begin"/>
      </w:r>
      <w:r w:rsidR="00AF0320" w:rsidRPr="0092670C">
        <w:rPr>
          <w:rFonts w:ascii="Arial" w:eastAsia="Calibri" w:hAnsi="Arial" w:cs="Arial"/>
        </w:rPr>
        <w:instrText xml:space="preserve"> REF _Ref29206329 \h </w:instrText>
      </w:r>
      <w:r w:rsidR="00B806D4" w:rsidRPr="0092670C">
        <w:rPr>
          <w:rFonts w:ascii="Arial" w:eastAsia="Calibri" w:hAnsi="Arial" w:cs="Arial"/>
        </w:rPr>
        <w:instrText xml:space="preserve"> \* MERGEFORMAT </w:instrText>
      </w:r>
      <w:r w:rsidR="00AF0320" w:rsidRPr="0092670C">
        <w:rPr>
          <w:rFonts w:ascii="Arial" w:eastAsia="Calibri" w:hAnsi="Arial" w:cs="Arial"/>
        </w:rPr>
      </w:r>
      <w:r w:rsidR="00AF0320" w:rsidRPr="0092670C">
        <w:rPr>
          <w:rFonts w:ascii="Arial" w:eastAsia="Calibri" w:hAnsi="Arial" w:cs="Arial"/>
        </w:rPr>
        <w:fldChar w:fldCharType="separate"/>
      </w:r>
      <w:r w:rsidR="007342C8" w:rsidRPr="007342C8">
        <w:rPr>
          <w:rFonts w:ascii="Arial" w:eastAsia="Calibri" w:hAnsi="Arial" w:cs="Arial"/>
        </w:rPr>
        <w:t>Figure</w:t>
      </w:r>
      <w:r w:rsidR="007342C8" w:rsidRPr="007342C8">
        <w:rPr>
          <w:rFonts w:ascii="Arial" w:eastAsia="Calibri" w:hAnsi="Arial" w:cs="Arial"/>
          <w:color w:val="44546A" w:themeColor="text2"/>
        </w:rPr>
        <w:t xml:space="preserve"> </w:t>
      </w:r>
      <w:r w:rsidR="007342C8" w:rsidRPr="007342C8">
        <w:rPr>
          <w:rFonts w:ascii="Arial" w:eastAsia="Calibri" w:hAnsi="Arial" w:cs="Arial"/>
          <w:noProof/>
          <w:color w:val="44546A" w:themeColor="text2"/>
        </w:rPr>
        <w:t>2</w:t>
      </w:r>
      <w:r w:rsidR="007342C8" w:rsidRPr="007342C8">
        <w:rPr>
          <w:rFonts w:ascii="Arial" w:eastAsia="Calibri" w:hAnsi="Arial" w:cs="Arial"/>
          <w:noProof/>
          <w:color w:val="44546A" w:themeColor="text2"/>
        </w:rPr>
        <w:noBreakHyphen/>
        <w:t>2</w:t>
      </w:r>
      <w:r w:rsidR="00AF0320" w:rsidRPr="0092670C">
        <w:rPr>
          <w:rFonts w:ascii="Arial" w:eastAsia="Calibri" w:hAnsi="Arial" w:cs="Arial"/>
        </w:rPr>
        <w:fldChar w:fldCharType="end"/>
      </w:r>
      <w:r w:rsidRPr="0092670C">
        <w:rPr>
          <w:rFonts w:ascii="Arial" w:eastAsia="Calibri" w:hAnsi="Arial" w:cs="Arial"/>
        </w:rPr>
        <w:t xml:space="preserve">), which </w:t>
      </w:r>
      <w:r w:rsidR="002E2940">
        <w:rPr>
          <w:rFonts w:ascii="Arial" w:eastAsia="Calibri" w:hAnsi="Arial" w:cs="Arial"/>
        </w:rPr>
        <w:t xml:space="preserve">compete </w:t>
      </w:r>
      <w:r w:rsidRPr="0092670C">
        <w:rPr>
          <w:rFonts w:ascii="Arial" w:eastAsia="Calibri" w:hAnsi="Arial" w:cs="Arial"/>
        </w:rPr>
        <w:t xml:space="preserve">for the current to flow through each. This results in a semicircle in the results with the maxima at the resonance frequency of the capacitor. This applies to all Resistors and capacitors if they are in parallel, as a result of Kirchhoff’s circuit laws.  </w:t>
      </w:r>
    </w:p>
    <w:p w14:paraId="27DAC8C0" w14:textId="77777777" w:rsidR="003E14AA" w:rsidRPr="0092670C" w:rsidRDefault="003E14AA" w:rsidP="003E14AA">
      <w:pPr>
        <w:keepNext/>
        <w:spacing w:line="256" w:lineRule="auto"/>
        <w:jc w:val="center"/>
        <w:rPr>
          <w:rFonts w:ascii="Arial" w:eastAsia="Calibri" w:hAnsi="Arial" w:cs="Arial"/>
        </w:rPr>
      </w:pPr>
      <w:r w:rsidRPr="0092670C">
        <w:rPr>
          <w:rFonts w:ascii="Arial" w:eastAsia="Calibri" w:hAnsi="Arial" w:cs="Arial"/>
          <w:noProof/>
        </w:rPr>
        <w:drawing>
          <wp:inline distT="0" distB="0" distL="0" distR="0" wp14:anchorId="7DB2A035" wp14:editId="48B91FB1">
            <wp:extent cx="1143000" cy="64770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r="75871" b="77817"/>
                    <a:stretch>
                      <a:fillRect/>
                    </a:stretch>
                  </pic:blipFill>
                  <pic:spPr bwMode="auto">
                    <a:xfrm>
                      <a:off x="0" y="0"/>
                      <a:ext cx="1143000" cy="647700"/>
                    </a:xfrm>
                    <a:prstGeom prst="rect">
                      <a:avLst/>
                    </a:prstGeom>
                    <a:noFill/>
                    <a:ln>
                      <a:noFill/>
                    </a:ln>
                  </pic:spPr>
                </pic:pic>
              </a:graphicData>
            </a:graphic>
          </wp:inline>
        </w:drawing>
      </w:r>
    </w:p>
    <w:p w14:paraId="0F542C9E" w14:textId="0B417E82" w:rsidR="003E14AA" w:rsidRPr="006F149E" w:rsidRDefault="003E14AA" w:rsidP="003E14AA">
      <w:pPr>
        <w:spacing w:after="200" w:line="240" w:lineRule="auto"/>
        <w:jc w:val="center"/>
        <w:rPr>
          <w:rFonts w:ascii="Arial" w:eastAsia="Calibri" w:hAnsi="Arial" w:cs="Arial"/>
          <w:i/>
          <w:iCs/>
          <w:color w:val="44546A" w:themeColor="text2"/>
          <w:sz w:val="20"/>
          <w:szCs w:val="20"/>
        </w:rPr>
      </w:pPr>
      <w:bookmarkStart w:id="97" w:name="_Ref29206329"/>
      <w:r w:rsidRPr="006F149E">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3</w:t>
      </w:r>
      <w:r w:rsidR="00356A26">
        <w:rPr>
          <w:rFonts w:ascii="Arial" w:eastAsia="Calibri" w:hAnsi="Arial" w:cs="Arial"/>
          <w:i/>
          <w:iCs/>
          <w:color w:val="44546A" w:themeColor="text2"/>
          <w:sz w:val="20"/>
          <w:szCs w:val="20"/>
        </w:rPr>
        <w:fldChar w:fldCharType="end"/>
      </w:r>
      <w:bookmarkEnd w:id="97"/>
      <w:r w:rsidRPr="006F149E">
        <w:rPr>
          <w:rFonts w:ascii="Arial" w:eastAsia="Calibri" w:hAnsi="Arial" w:cs="Arial"/>
          <w:i/>
          <w:iCs/>
          <w:color w:val="44546A" w:themeColor="text2"/>
          <w:sz w:val="20"/>
          <w:szCs w:val="20"/>
        </w:rPr>
        <w:t>: SEI equivalent circuit</w:t>
      </w:r>
      <w:r w:rsidR="002D0F06" w:rsidRPr="006F149E">
        <w:rPr>
          <w:rFonts w:ascii="Arial" w:eastAsia="Calibri" w:hAnsi="Arial" w:cs="Arial"/>
          <w:i/>
          <w:iCs/>
          <w:color w:val="44546A" w:themeColor="text2"/>
          <w:sz w:val="20"/>
          <w:szCs w:val="20"/>
        </w:rPr>
        <w:t>.</w:t>
      </w:r>
    </w:p>
    <w:p w14:paraId="617F54CB" w14:textId="5C61BBDF" w:rsidR="003E14AA" w:rsidRPr="0092670C" w:rsidRDefault="003E14AA" w:rsidP="007212FF">
      <w:pPr>
        <w:pStyle w:val="ListParagraph"/>
        <w:numPr>
          <w:ilvl w:val="0"/>
          <w:numId w:val="13"/>
        </w:numPr>
        <w:spacing w:line="360" w:lineRule="auto"/>
        <w:jc w:val="both"/>
        <w:rPr>
          <w:rFonts w:ascii="Arial" w:eastAsia="Calibri" w:hAnsi="Arial" w:cs="Arial"/>
        </w:rPr>
      </w:pPr>
      <w:r w:rsidRPr="0092670C">
        <w:rPr>
          <w:rFonts w:ascii="Arial" w:eastAsia="Calibri" w:hAnsi="Arial" w:cs="Arial"/>
        </w:rPr>
        <w:t xml:space="preserve">Charge transfer </w:t>
      </w:r>
      <w:r w:rsidRPr="0092670C">
        <w:rPr>
          <w:rFonts w:ascii="Arial" w:eastAsia="Calibri" w:hAnsi="Arial" w:cs="Arial"/>
          <w:b/>
          <w:bCs/>
        </w:rPr>
        <w:t>(</w:t>
      </w:r>
      <w:r w:rsidR="00EE1FFC" w:rsidRPr="0092670C">
        <w:rPr>
          <w:rFonts w:ascii="Arial" w:eastAsia="Calibri" w:hAnsi="Arial" w:cs="Arial"/>
          <w:b/>
          <w:bCs/>
        </w:rPr>
        <w:t>R</w:t>
      </w:r>
      <w:r w:rsidR="00EE1FFC" w:rsidRPr="0092670C">
        <w:rPr>
          <w:rFonts w:ascii="Arial" w:eastAsia="Calibri" w:hAnsi="Arial" w:cs="Arial"/>
          <w:b/>
          <w:bCs/>
          <w:vertAlign w:val="subscript"/>
        </w:rPr>
        <w:t>CT</w:t>
      </w:r>
      <w:r w:rsidRPr="0092670C">
        <w:rPr>
          <w:rFonts w:ascii="Arial" w:eastAsia="Calibri" w:hAnsi="Arial" w:cs="Arial"/>
          <w:b/>
          <w:bCs/>
        </w:rPr>
        <w:t>)</w:t>
      </w:r>
      <w:r w:rsidRPr="0092670C">
        <w:rPr>
          <w:rFonts w:ascii="Arial" w:eastAsia="Calibri" w:hAnsi="Arial" w:cs="Arial"/>
        </w:rPr>
        <w:t xml:space="preserve"> resistance/ double layer </w:t>
      </w:r>
      <w:r w:rsidRPr="0092670C">
        <w:rPr>
          <w:rFonts w:ascii="Arial" w:eastAsia="Calibri" w:hAnsi="Arial" w:cs="Arial"/>
          <w:b/>
          <w:bCs/>
        </w:rPr>
        <w:t>(</w:t>
      </w:r>
      <w:r w:rsidR="00EE1FFC" w:rsidRPr="0092670C">
        <w:rPr>
          <w:rFonts w:ascii="Arial" w:eastAsia="Calibri" w:hAnsi="Arial" w:cs="Arial"/>
          <w:b/>
          <w:bCs/>
        </w:rPr>
        <w:t>C</w:t>
      </w:r>
      <w:r w:rsidR="00EE1FFC" w:rsidRPr="0092670C">
        <w:rPr>
          <w:rFonts w:ascii="Arial" w:eastAsia="Calibri" w:hAnsi="Arial" w:cs="Arial"/>
          <w:b/>
          <w:bCs/>
          <w:vertAlign w:val="subscript"/>
        </w:rPr>
        <w:t>dl</w:t>
      </w:r>
      <w:r w:rsidRPr="0092670C">
        <w:rPr>
          <w:rFonts w:ascii="Arial" w:eastAsia="Calibri" w:hAnsi="Arial" w:cs="Arial"/>
          <w:b/>
          <w:bCs/>
        </w:rPr>
        <w:t>)</w:t>
      </w:r>
      <w:r w:rsidRPr="0092670C">
        <w:rPr>
          <w:rFonts w:ascii="Arial" w:eastAsia="Calibri" w:hAnsi="Arial" w:cs="Arial"/>
        </w:rPr>
        <w:t xml:space="preserve"> capacitance</w:t>
      </w:r>
      <w:r w:rsidR="00C44587" w:rsidRPr="0092670C">
        <w:rPr>
          <w:rFonts w:ascii="Arial" w:eastAsia="Calibri" w:hAnsi="Arial" w:cs="Arial"/>
        </w:rPr>
        <w:t xml:space="preserve">. </w:t>
      </w:r>
      <w:r w:rsidRPr="0092670C">
        <w:rPr>
          <w:rFonts w:ascii="Arial" w:eastAsia="Calibri" w:hAnsi="Arial" w:cs="Arial"/>
        </w:rPr>
        <w:t>The charge transfer reaction is next on the list and this is the most common circuit component seen in EIS throughout the field. This also acts as an RC circuit with the double layer acting as a capacitor. This is known as a Randles circuit after it was first described by him in 1947</w:t>
      </w:r>
      <w:r w:rsidR="00726401" w:rsidRPr="0092670C">
        <w:rPr>
          <w:rFonts w:ascii="Arial" w:eastAsia="Calibri" w:hAnsi="Arial" w:cs="Arial"/>
        </w:rPr>
        <w:t xml:space="preserve"> w</w:t>
      </w:r>
      <w:r w:rsidR="005B3B2C" w:rsidRPr="0092670C">
        <w:rPr>
          <w:rFonts w:ascii="Arial" w:eastAsia="Calibri" w:hAnsi="Arial" w:cs="Arial"/>
        </w:rPr>
        <w:t xml:space="preserve">ith a circuit diagram of this displayed in </w:t>
      </w:r>
      <w:r w:rsidR="003A0783" w:rsidRPr="0092670C">
        <w:rPr>
          <w:rFonts w:ascii="Arial" w:eastAsia="Calibri" w:hAnsi="Arial" w:cs="Arial"/>
        </w:rPr>
        <w:fldChar w:fldCharType="begin"/>
      </w:r>
      <w:r w:rsidR="003A0783" w:rsidRPr="0092670C">
        <w:rPr>
          <w:rFonts w:ascii="Arial" w:eastAsia="Calibri" w:hAnsi="Arial" w:cs="Arial"/>
        </w:rPr>
        <w:instrText xml:space="preserve"> REF _Ref31532868 \h  \* MERGEFORMAT </w:instrText>
      </w:r>
      <w:r w:rsidR="003A0783" w:rsidRPr="0092670C">
        <w:rPr>
          <w:rFonts w:ascii="Arial" w:eastAsia="Calibri" w:hAnsi="Arial" w:cs="Arial"/>
        </w:rPr>
      </w:r>
      <w:r w:rsidR="003A0783"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3</w:t>
      </w:r>
      <w:r w:rsidR="003A0783" w:rsidRPr="0092670C">
        <w:rPr>
          <w:rFonts w:ascii="Arial" w:eastAsia="Calibri" w:hAnsi="Arial" w:cs="Arial"/>
        </w:rPr>
        <w:fldChar w:fldCharType="end"/>
      </w:r>
      <w:r w:rsidRPr="0092670C">
        <w:rPr>
          <w:rFonts w:ascii="Arial" w:eastAsia="Calibri" w:hAnsi="Arial" w:cs="Arial"/>
        </w:rPr>
        <w:t>.</w:t>
      </w:r>
    </w:p>
    <w:p w14:paraId="6CE4D08D" w14:textId="77777777" w:rsidR="003E14AA" w:rsidRPr="0092670C" w:rsidRDefault="003E14AA" w:rsidP="003E14AA">
      <w:pPr>
        <w:keepNext/>
        <w:spacing w:line="256" w:lineRule="auto"/>
        <w:jc w:val="center"/>
        <w:rPr>
          <w:rFonts w:ascii="Arial" w:eastAsia="Calibri" w:hAnsi="Arial" w:cs="Arial"/>
        </w:rPr>
      </w:pPr>
      <w:r w:rsidRPr="0092670C">
        <w:rPr>
          <w:rFonts w:ascii="Arial" w:eastAsia="Calibri" w:hAnsi="Arial" w:cs="Arial"/>
          <w:noProof/>
        </w:rPr>
        <w:drawing>
          <wp:inline distT="0" distB="0" distL="0" distR="0" wp14:anchorId="0101AEAF" wp14:editId="389719D6">
            <wp:extent cx="1762125" cy="57150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r="63078" b="81689"/>
                    <a:stretch>
                      <a:fillRect/>
                    </a:stretch>
                  </pic:blipFill>
                  <pic:spPr bwMode="auto">
                    <a:xfrm>
                      <a:off x="0" y="0"/>
                      <a:ext cx="1762125" cy="571500"/>
                    </a:xfrm>
                    <a:prstGeom prst="rect">
                      <a:avLst/>
                    </a:prstGeom>
                    <a:noFill/>
                    <a:ln>
                      <a:noFill/>
                    </a:ln>
                  </pic:spPr>
                </pic:pic>
              </a:graphicData>
            </a:graphic>
          </wp:inline>
        </w:drawing>
      </w:r>
    </w:p>
    <w:p w14:paraId="2121A524" w14:textId="0CD07460" w:rsidR="003E14AA" w:rsidRPr="006F149E" w:rsidRDefault="003E14AA" w:rsidP="003E14AA">
      <w:pPr>
        <w:spacing w:after="200" w:line="240" w:lineRule="auto"/>
        <w:jc w:val="center"/>
        <w:rPr>
          <w:rFonts w:ascii="Arial" w:eastAsia="Calibri" w:hAnsi="Arial" w:cs="Arial"/>
          <w:i/>
          <w:iCs/>
          <w:color w:val="44546A" w:themeColor="text2"/>
          <w:sz w:val="20"/>
          <w:szCs w:val="20"/>
        </w:rPr>
      </w:pPr>
      <w:bookmarkStart w:id="98" w:name="_Ref31532868"/>
      <w:r w:rsidRPr="006F149E">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4</w:t>
      </w:r>
      <w:r w:rsidR="00356A26">
        <w:rPr>
          <w:rFonts w:ascii="Arial" w:eastAsia="Calibri" w:hAnsi="Arial" w:cs="Arial"/>
          <w:i/>
          <w:iCs/>
          <w:color w:val="44546A" w:themeColor="text2"/>
          <w:sz w:val="20"/>
          <w:szCs w:val="20"/>
        </w:rPr>
        <w:fldChar w:fldCharType="end"/>
      </w:r>
      <w:bookmarkEnd w:id="98"/>
      <w:r w:rsidRPr="006F149E">
        <w:rPr>
          <w:rFonts w:ascii="Arial" w:eastAsia="Calibri" w:hAnsi="Arial" w:cs="Arial"/>
          <w:i/>
          <w:iCs/>
          <w:color w:val="44546A" w:themeColor="text2"/>
          <w:sz w:val="20"/>
          <w:szCs w:val="20"/>
        </w:rPr>
        <w:t>: Randles circuit</w:t>
      </w:r>
      <w:r w:rsidR="002D0F06" w:rsidRPr="006F149E">
        <w:rPr>
          <w:rFonts w:ascii="Arial" w:eastAsia="Calibri" w:hAnsi="Arial" w:cs="Arial"/>
          <w:i/>
          <w:iCs/>
          <w:color w:val="44546A" w:themeColor="text2"/>
          <w:sz w:val="20"/>
          <w:szCs w:val="20"/>
        </w:rPr>
        <w:t>.</w:t>
      </w:r>
    </w:p>
    <w:p w14:paraId="15805E43" w14:textId="4C5A3D3A" w:rsidR="003E14AA" w:rsidRPr="0092670C" w:rsidRDefault="003E14AA" w:rsidP="00C44587">
      <w:pPr>
        <w:pStyle w:val="ListParagraph"/>
        <w:numPr>
          <w:ilvl w:val="0"/>
          <w:numId w:val="13"/>
        </w:numPr>
        <w:spacing w:line="360" w:lineRule="auto"/>
        <w:jc w:val="both"/>
        <w:rPr>
          <w:rFonts w:ascii="Arial" w:eastAsia="Calibri" w:hAnsi="Arial" w:cs="Arial"/>
        </w:rPr>
      </w:pPr>
      <w:r w:rsidRPr="0092670C">
        <w:rPr>
          <w:rFonts w:ascii="Arial" w:eastAsia="Calibri" w:hAnsi="Arial" w:cs="Arial"/>
        </w:rPr>
        <w:t>Warburg impedance</w:t>
      </w:r>
      <w:r w:rsidR="00C44587" w:rsidRPr="0092670C">
        <w:rPr>
          <w:rFonts w:ascii="Arial" w:eastAsia="Calibri" w:hAnsi="Arial" w:cs="Arial"/>
        </w:rPr>
        <w:t xml:space="preserve"> </w:t>
      </w:r>
      <w:r w:rsidR="00C44587" w:rsidRPr="0092670C">
        <w:rPr>
          <w:rFonts w:ascii="Arial" w:eastAsia="Calibri" w:hAnsi="Arial" w:cs="Arial"/>
          <w:b/>
          <w:bCs/>
        </w:rPr>
        <w:t>(W)</w:t>
      </w:r>
      <w:r w:rsidR="00C44587" w:rsidRPr="0092670C">
        <w:rPr>
          <w:rFonts w:ascii="Arial" w:eastAsia="Calibri" w:hAnsi="Arial" w:cs="Arial"/>
        </w:rPr>
        <w:t xml:space="preserve"> </w:t>
      </w:r>
      <w:r w:rsidRPr="0092670C">
        <w:rPr>
          <w:rFonts w:ascii="Arial" w:eastAsia="Calibri" w:hAnsi="Arial" w:cs="Arial"/>
        </w:rPr>
        <w:t>As mentioned earlier Warburg element described electrolyte diffusion in a cell</w:t>
      </w:r>
      <w:r w:rsidR="00686090"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&lt;EndNote&gt;&lt;Cite&gt;&lt;Author&gt;Warburg&lt;/Author&gt;&lt;Year&gt;1899&lt;/Year&gt;&lt;RecNum&gt;165&lt;/RecNum&gt;&lt;DisplayText&gt;[178]&lt;/DisplayText&gt;&lt;record&gt;&lt;rec-number&gt;165&lt;/rec-number&gt;&lt;foreign-keys&gt;&lt;key app="EN" db-id="5sa9s0e0r0d9fnexra7pr5xdwd5ztevx95s2" timestamp="1549988083"&gt;165&lt;/key&gt;&lt;/foreign-keys&gt;&lt;ref-type name="Journal Article"&gt;17&lt;/ref-type&gt;&lt;contributors&gt;&lt;authors&gt;&lt;author&gt;Warburg, E.&lt;/author&gt;&lt;/authors&gt;&lt;/contributors&gt;&lt;titles&gt;&lt;title&gt;Ueber das Verhalten sogenannter unpolarisirbarer Elektroden gegen Wechselstrom&lt;/title&gt;&lt;secondary-title&gt;Annalen der Physik&lt;/secondary-title&gt;&lt;/titles&gt;&lt;periodical&gt;&lt;full-title&gt;Annalen der Physik&lt;/full-title&gt;&lt;/periodical&gt;&lt;pages&gt;493-499&lt;/pages&gt;&lt;volume&gt;303&lt;/volume&gt;&lt;number&gt;3&lt;/number&gt;&lt;dates&gt;&lt;year&gt;1899&lt;/year&gt;&lt;/dates&gt;&lt;urls&gt;&lt;related-urls&gt;&lt;url&gt;https://onlinelibrary.wiley.com/doi/abs/10.1002/andp.18993030302&lt;/url&gt;&lt;/related-urls&gt;&lt;/urls&gt;&lt;electronic-resource-num&gt;doi:10.1002/andp.18993030302&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[178]</w:t>
      </w:r>
      <w:r w:rsidRPr="0092670C">
        <w:rPr>
          <w:rFonts w:ascii="Arial" w:eastAsia="Calibri" w:hAnsi="Arial" w:cs="Arial"/>
        </w:rPr>
        <w:fldChar w:fldCharType="end"/>
      </w:r>
      <w:r w:rsidRPr="0092670C">
        <w:rPr>
          <w:rFonts w:ascii="Arial" w:eastAsia="Calibri" w:hAnsi="Arial" w:cs="Arial"/>
        </w:rPr>
        <w:t>. It has a constant phase change of 45° and is seen as a straight line on a Nyquist plot. Warburg impedance has no electrical circuit equivalent as it is an electrochemical phenomenon that isn’t seen in electronics circuits</w:t>
      </w:r>
      <w:r w:rsidR="00D83CDE" w:rsidRPr="0092670C">
        <w:rPr>
          <w:rFonts w:ascii="Arial" w:eastAsia="Calibri" w:hAnsi="Arial" w:cs="Arial"/>
        </w:rPr>
        <w:t xml:space="preserve"> and as a result </w:t>
      </w:r>
      <w:r w:rsidR="00192180" w:rsidRPr="0092670C">
        <w:rPr>
          <w:rFonts w:ascii="Arial" w:eastAsia="Calibri" w:hAnsi="Arial" w:cs="Arial"/>
        </w:rPr>
        <w:t>it is typically displayed as a W</w:t>
      </w:r>
      <w:r w:rsidR="004C3B1B" w:rsidRPr="0092670C">
        <w:rPr>
          <w:rFonts w:ascii="Arial" w:eastAsia="Calibri" w:hAnsi="Arial" w:cs="Arial"/>
        </w:rPr>
        <w:t xml:space="preserve"> like in </w:t>
      </w:r>
      <w:r w:rsidR="004C3B1B" w:rsidRPr="0092670C">
        <w:rPr>
          <w:rFonts w:ascii="Arial" w:eastAsia="Calibri" w:hAnsi="Arial" w:cs="Arial"/>
        </w:rPr>
        <w:fldChar w:fldCharType="begin"/>
      </w:r>
      <w:r w:rsidR="004C3B1B" w:rsidRPr="0092670C">
        <w:rPr>
          <w:rFonts w:ascii="Arial" w:eastAsia="Calibri" w:hAnsi="Arial" w:cs="Arial"/>
        </w:rPr>
        <w:instrText xml:space="preserve"> REF _Ref31532955 \h  \* MERGEFORMAT </w:instrText>
      </w:r>
      <w:r w:rsidR="004C3B1B" w:rsidRPr="0092670C">
        <w:rPr>
          <w:rFonts w:ascii="Arial" w:eastAsia="Calibri" w:hAnsi="Arial" w:cs="Arial"/>
        </w:rPr>
      </w:r>
      <w:r w:rsidR="004C3B1B"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4</w:t>
      </w:r>
      <w:r w:rsidR="004C3B1B" w:rsidRPr="0092670C">
        <w:rPr>
          <w:rFonts w:ascii="Arial" w:eastAsia="Calibri" w:hAnsi="Arial" w:cs="Arial"/>
        </w:rPr>
        <w:fldChar w:fldCharType="end"/>
      </w:r>
      <w:r w:rsidRPr="0092670C">
        <w:rPr>
          <w:rFonts w:ascii="Arial" w:eastAsia="Calibri" w:hAnsi="Arial" w:cs="Arial"/>
        </w:rPr>
        <w:t>.</w:t>
      </w:r>
    </w:p>
    <w:p w14:paraId="78ACE35D" w14:textId="77777777" w:rsidR="003E14AA" w:rsidRPr="0092670C" w:rsidRDefault="003E14AA" w:rsidP="003E14AA">
      <w:pPr>
        <w:keepNext/>
        <w:spacing w:line="256" w:lineRule="auto"/>
        <w:jc w:val="center"/>
        <w:rPr>
          <w:rFonts w:ascii="Arial" w:eastAsia="Calibri" w:hAnsi="Arial" w:cs="Arial"/>
        </w:rPr>
      </w:pPr>
      <w:r w:rsidRPr="0092670C">
        <w:rPr>
          <w:rFonts w:ascii="Arial" w:eastAsia="Calibri" w:hAnsi="Arial" w:cs="Arial"/>
          <w:noProof/>
        </w:rPr>
        <w:drawing>
          <wp:inline distT="0" distB="0" distL="0" distR="0" wp14:anchorId="17C6EB4E" wp14:editId="453DD5FE">
            <wp:extent cx="1057275" cy="42862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r="77760" b="84766"/>
                    <a:stretch>
                      <a:fillRect/>
                    </a:stretch>
                  </pic:blipFill>
                  <pic:spPr bwMode="auto">
                    <a:xfrm>
                      <a:off x="0" y="0"/>
                      <a:ext cx="1057275" cy="428625"/>
                    </a:xfrm>
                    <a:prstGeom prst="rect">
                      <a:avLst/>
                    </a:prstGeom>
                    <a:noFill/>
                    <a:ln>
                      <a:noFill/>
                    </a:ln>
                  </pic:spPr>
                </pic:pic>
              </a:graphicData>
            </a:graphic>
          </wp:inline>
        </w:drawing>
      </w:r>
    </w:p>
    <w:p w14:paraId="1B9B5B60" w14:textId="60CC637F" w:rsidR="003E14AA" w:rsidRPr="006F149E" w:rsidRDefault="003E14AA" w:rsidP="003E14AA">
      <w:pPr>
        <w:spacing w:after="200" w:line="240" w:lineRule="auto"/>
        <w:jc w:val="center"/>
        <w:rPr>
          <w:rFonts w:ascii="Arial" w:eastAsia="Calibri" w:hAnsi="Arial" w:cs="Arial"/>
          <w:i/>
          <w:iCs/>
          <w:color w:val="44546A" w:themeColor="text2"/>
          <w:sz w:val="20"/>
          <w:szCs w:val="20"/>
        </w:rPr>
      </w:pPr>
      <w:bookmarkStart w:id="99" w:name="_Ref31532955"/>
      <w:r w:rsidRPr="006F149E">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5</w:t>
      </w:r>
      <w:r w:rsidR="00356A26">
        <w:rPr>
          <w:rFonts w:ascii="Arial" w:eastAsia="Calibri" w:hAnsi="Arial" w:cs="Arial"/>
          <w:i/>
          <w:iCs/>
          <w:color w:val="44546A" w:themeColor="text2"/>
          <w:sz w:val="20"/>
          <w:szCs w:val="20"/>
        </w:rPr>
        <w:fldChar w:fldCharType="end"/>
      </w:r>
      <w:bookmarkEnd w:id="99"/>
      <w:r w:rsidRPr="006F149E">
        <w:rPr>
          <w:rFonts w:ascii="Arial" w:eastAsia="Calibri" w:hAnsi="Arial" w:cs="Arial"/>
          <w:i/>
          <w:iCs/>
          <w:color w:val="44546A" w:themeColor="text2"/>
          <w:sz w:val="20"/>
          <w:szCs w:val="20"/>
        </w:rPr>
        <w:t>: Warburg element</w:t>
      </w:r>
      <w:r w:rsidR="002D0F06" w:rsidRPr="006F149E">
        <w:rPr>
          <w:rFonts w:ascii="Arial" w:eastAsia="Calibri" w:hAnsi="Arial" w:cs="Arial"/>
          <w:i/>
          <w:iCs/>
          <w:color w:val="44546A" w:themeColor="text2"/>
          <w:sz w:val="20"/>
          <w:szCs w:val="20"/>
        </w:rPr>
        <w:t>.</w:t>
      </w:r>
    </w:p>
    <w:p w14:paraId="320D3DA1" w14:textId="22DFAD1F"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All of these circuit components combine to give a complete circuit for a Li/graphite half-cell</w:t>
      </w:r>
      <w:r w:rsidR="0040211E" w:rsidRPr="0092670C">
        <w:rPr>
          <w:rFonts w:ascii="Arial" w:eastAsia="Calibri" w:hAnsi="Arial" w:cs="Arial"/>
        </w:rPr>
        <w:t xml:space="preserve"> displayed in </w:t>
      </w:r>
      <w:r w:rsidR="0040211E" w:rsidRPr="0092670C">
        <w:rPr>
          <w:rFonts w:ascii="Arial" w:eastAsia="Calibri" w:hAnsi="Arial" w:cs="Arial"/>
        </w:rPr>
        <w:fldChar w:fldCharType="begin"/>
      </w:r>
      <w:r w:rsidR="0040211E" w:rsidRPr="0092670C">
        <w:rPr>
          <w:rFonts w:ascii="Arial" w:eastAsia="Calibri" w:hAnsi="Arial" w:cs="Arial"/>
        </w:rPr>
        <w:instrText xml:space="preserve"> REF _Ref31533158 \h  \* MERGEFORMAT </w:instrText>
      </w:r>
      <w:r w:rsidR="0040211E" w:rsidRPr="0092670C">
        <w:rPr>
          <w:rFonts w:ascii="Arial" w:eastAsia="Calibri" w:hAnsi="Arial" w:cs="Arial"/>
        </w:rPr>
      </w:r>
      <w:r w:rsidR="0040211E"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5</w:t>
      </w:r>
      <w:r w:rsidR="0040211E" w:rsidRPr="0092670C">
        <w:rPr>
          <w:rFonts w:ascii="Arial" w:eastAsia="Calibri" w:hAnsi="Arial" w:cs="Arial"/>
        </w:rPr>
        <w:fldChar w:fldCharType="end"/>
      </w:r>
      <w:r w:rsidRPr="0092670C">
        <w:rPr>
          <w:rFonts w:ascii="Arial" w:eastAsia="Calibri" w:hAnsi="Arial" w:cs="Arial"/>
        </w:rPr>
        <w:t>.</w:t>
      </w:r>
      <w:r w:rsidR="0040211E" w:rsidRPr="0092670C">
        <w:rPr>
          <w:rFonts w:ascii="Arial" w:eastAsia="Calibri" w:hAnsi="Arial" w:cs="Arial"/>
        </w:rPr>
        <w:t xml:space="preserve"> </w:t>
      </w:r>
    </w:p>
    <w:p w14:paraId="41021577" w14:textId="77777777" w:rsidR="003E14AA" w:rsidRPr="0092670C" w:rsidRDefault="003E14AA" w:rsidP="003E14AA">
      <w:pPr>
        <w:keepNext/>
        <w:spacing w:line="256" w:lineRule="auto"/>
        <w:jc w:val="center"/>
        <w:rPr>
          <w:rFonts w:ascii="Arial" w:eastAsia="Calibri" w:hAnsi="Arial" w:cs="Arial"/>
        </w:rPr>
      </w:pPr>
      <w:r w:rsidRPr="0092670C">
        <w:rPr>
          <w:rFonts w:ascii="Arial" w:eastAsia="Calibri" w:hAnsi="Arial" w:cs="Arial"/>
          <w:noProof/>
        </w:rPr>
        <w:drawing>
          <wp:inline distT="0" distB="0" distL="0" distR="0" wp14:anchorId="70475620" wp14:editId="7BBFF631">
            <wp:extent cx="2905125" cy="61912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r="39095" b="84264"/>
                    <a:stretch>
                      <a:fillRect/>
                    </a:stretch>
                  </pic:blipFill>
                  <pic:spPr bwMode="auto">
                    <a:xfrm>
                      <a:off x="0" y="0"/>
                      <a:ext cx="2905125" cy="619125"/>
                    </a:xfrm>
                    <a:prstGeom prst="rect">
                      <a:avLst/>
                    </a:prstGeom>
                    <a:noFill/>
                    <a:ln>
                      <a:noFill/>
                    </a:ln>
                  </pic:spPr>
                </pic:pic>
              </a:graphicData>
            </a:graphic>
          </wp:inline>
        </w:drawing>
      </w:r>
    </w:p>
    <w:p w14:paraId="07FE571E" w14:textId="3C1C4B1E" w:rsidR="003E14AA" w:rsidRPr="006F149E" w:rsidRDefault="003E14AA" w:rsidP="003E14AA">
      <w:pPr>
        <w:spacing w:after="200" w:line="240" w:lineRule="auto"/>
        <w:jc w:val="center"/>
        <w:rPr>
          <w:rFonts w:ascii="Arial" w:eastAsia="Calibri" w:hAnsi="Arial" w:cs="Arial"/>
          <w:i/>
          <w:iCs/>
          <w:color w:val="44546A" w:themeColor="text2"/>
          <w:sz w:val="20"/>
          <w:szCs w:val="20"/>
        </w:rPr>
      </w:pPr>
      <w:bookmarkStart w:id="100" w:name="_Ref31533158"/>
      <w:r w:rsidRPr="006F149E">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6</w:t>
      </w:r>
      <w:r w:rsidR="00356A26">
        <w:rPr>
          <w:rFonts w:ascii="Arial" w:eastAsia="Calibri" w:hAnsi="Arial" w:cs="Arial"/>
          <w:i/>
          <w:iCs/>
          <w:color w:val="44546A" w:themeColor="text2"/>
          <w:sz w:val="20"/>
          <w:szCs w:val="20"/>
        </w:rPr>
        <w:fldChar w:fldCharType="end"/>
      </w:r>
      <w:bookmarkEnd w:id="100"/>
      <w:r w:rsidRPr="006F149E">
        <w:rPr>
          <w:rFonts w:ascii="Arial" w:eastAsia="Calibri" w:hAnsi="Arial" w:cs="Arial"/>
          <w:i/>
          <w:iCs/>
          <w:color w:val="44546A" w:themeColor="text2"/>
          <w:sz w:val="20"/>
          <w:szCs w:val="20"/>
        </w:rPr>
        <w:t>:</w:t>
      </w:r>
      <w:r w:rsidR="004F2AEC" w:rsidRPr="006F149E">
        <w:rPr>
          <w:rFonts w:ascii="Arial" w:eastAsia="Calibri" w:hAnsi="Arial" w:cs="Arial"/>
          <w:i/>
          <w:iCs/>
          <w:color w:val="44546A" w:themeColor="text2"/>
          <w:sz w:val="20"/>
          <w:szCs w:val="20"/>
        </w:rPr>
        <w:t xml:space="preserve"> G</w:t>
      </w:r>
      <w:r w:rsidRPr="006F149E">
        <w:rPr>
          <w:rFonts w:ascii="Arial" w:eastAsia="Calibri" w:hAnsi="Arial" w:cs="Arial"/>
          <w:i/>
          <w:iCs/>
          <w:color w:val="44546A" w:themeColor="text2"/>
          <w:sz w:val="20"/>
          <w:szCs w:val="20"/>
        </w:rPr>
        <w:t>raphite equivalent circuit</w:t>
      </w:r>
      <w:r w:rsidR="002D0F06" w:rsidRPr="006F149E">
        <w:rPr>
          <w:rFonts w:ascii="Arial" w:eastAsia="Calibri" w:hAnsi="Arial" w:cs="Arial"/>
          <w:i/>
          <w:iCs/>
          <w:color w:val="44546A" w:themeColor="text2"/>
          <w:sz w:val="20"/>
          <w:szCs w:val="20"/>
        </w:rPr>
        <w:t>.</w:t>
      </w:r>
    </w:p>
    <w:p w14:paraId="4360C80E" w14:textId="2277175D"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For silicon there is an extra RC circuit seen due to the interfacial between Si and carbon black </w:t>
      </w:r>
      <w:r w:rsidR="00CF56B5" w:rsidRPr="0092670C">
        <w:rPr>
          <w:rFonts w:ascii="Arial" w:eastAsia="Calibri" w:hAnsi="Arial" w:cs="Arial"/>
        </w:rPr>
        <w:t xml:space="preserve">which is </w:t>
      </w:r>
      <w:r w:rsidRPr="0092670C">
        <w:rPr>
          <w:rFonts w:ascii="Arial" w:eastAsia="Calibri" w:hAnsi="Arial" w:cs="Arial"/>
        </w:rPr>
        <w:t>the conductive additive used</w:t>
      </w:r>
      <w:r w:rsidR="00242E65" w:rsidRPr="0092670C">
        <w:rPr>
          <w:rFonts w:ascii="Arial" w:eastAsia="Calibri" w:hAnsi="Arial" w:cs="Arial"/>
        </w:rPr>
        <w:t xml:space="preserve"> and this modified equivalent circuit is </w:t>
      </w:r>
      <w:r w:rsidR="00CF2DAA" w:rsidRPr="0092670C">
        <w:rPr>
          <w:rFonts w:ascii="Arial" w:eastAsia="Calibri" w:hAnsi="Arial" w:cs="Arial"/>
        </w:rPr>
        <w:t xml:space="preserve">found in </w:t>
      </w:r>
      <w:r w:rsidR="00CF2DAA" w:rsidRPr="0092670C">
        <w:rPr>
          <w:rFonts w:ascii="Arial" w:eastAsia="Calibri" w:hAnsi="Arial" w:cs="Arial"/>
        </w:rPr>
        <w:fldChar w:fldCharType="begin"/>
      </w:r>
      <w:r w:rsidR="00CF2DAA" w:rsidRPr="0092670C">
        <w:rPr>
          <w:rFonts w:ascii="Arial" w:eastAsia="Calibri" w:hAnsi="Arial" w:cs="Arial"/>
        </w:rPr>
        <w:instrText xml:space="preserve"> REF _Ref31534139 \h  \* MERGEFORMAT </w:instrText>
      </w:r>
      <w:r w:rsidR="00CF2DAA" w:rsidRPr="0092670C">
        <w:rPr>
          <w:rFonts w:ascii="Arial" w:eastAsia="Calibri" w:hAnsi="Arial" w:cs="Arial"/>
        </w:rPr>
      </w:r>
      <w:r w:rsidR="00CF2DAA"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6</w:t>
      </w:r>
      <w:r w:rsidR="00CF2DAA" w:rsidRPr="0092670C">
        <w:rPr>
          <w:rFonts w:ascii="Arial" w:eastAsia="Calibri" w:hAnsi="Arial" w:cs="Arial"/>
        </w:rPr>
        <w:fldChar w:fldCharType="end"/>
      </w:r>
      <w:r w:rsidR="0091466E">
        <w:rPr>
          <w:rFonts w:ascii="Arial" w:eastAsia="Calibri" w:hAnsi="Arial" w:cs="Arial"/>
        </w:rPr>
        <w:t xml:space="preserve"> </w:t>
      </w:r>
      <w:r w:rsidR="00652DED">
        <w:rPr>
          <w:rFonts w:ascii="Arial" w:eastAsia="Calibri" w:hAnsi="Arial" w:cs="Arial"/>
        </w:rPr>
        <w:fldChar w:fldCharType="begin"/>
      </w:r>
      <w:r w:rsidR="0034337D">
        <w:rPr>
          <w:rFonts w:ascii="Arial" w:eastAsia="Calibri" w:hAnsi="Arial" w:cs="Arial"/>
        </w:rPr>
        <w:instrText xml:space="preserve"> ADDIN EN.CITE &lt;EndNote&gt;&lt;Cite&gt;&lt;Author&gt;Guo&lt;/Author&gt;&lt;Year&gt;2011&lt;/Year&gt;&lt;RecNum&gt;378&lt;/RecNum&gt;&lt;DisplayText&gt;[182]&lt;/DisplayText&gt;&lt;record&gt;&lt;rec-number&gt;378&lt;/rec-number&gt;&lt;foreign-keys&gt;&lt;key app="EN" db-id="5sa9s0e0r0d9fnexra7pr5xdwd5ztevx95s2" timestamp="1631892181"&gt;378&lt;/key&gt;&lt;/foreign-keys&gt;&lt;ref-type name="Journal Article"&gt;17&lt;/ref-type&gt;&lt;contributors&gt;&lt;authors&gt;&lt;author&gt;Guo, Juchen&lt;/author&gt;&lt;author&gt;Sun, Ann&lt;/author&gt;&lt;author&gt;Chen, Xilin&lt;/author&gt;&lt;author&gt;Wang, Chunsheng&lt;/author&gt;&lt;author&gt;Manivannan, Ayyakkannu&lt;/author&gt;&lt;/authors&gt;&lt;/contributors&gt;&lt;titles&gt;&lt;title&gt;Cyclability study of silicon–carbon composite anodes for lithium-ion batteries using electrochemical impedance spectroscopy&lt;/title&gt;&lt;secondary-title&gt;Electrochimica Acta&lt;/secondary-title&gt;&lt;/titles&gt;&lt;periodical&gt;&lt;full-title&gt;Electrochimica Acta&lt;/full-title&gt;&lt;/periodical&gt;&lt;pages&gt;3981-3987&lt;/pages&gt;&lt;volume&gt;56&lt;/volume&gt;&lt;number&gt;11&lt;/number&gt;&lt;keywords&gt;&lt;keyword&gt;Li-ion battery&lt;/keyword&gt;&lt;keyword&gt;Silicon anode&lt;/keyword&gt;&lt;keyword&gt;Cyclic stability&lt;/keyword&gt;&lt;keyword&gt;Carbon nanotube&lt;/keyword&gt;&lt;keyword&gt;Electrochemical impedance spectroscopy&lt;/keyword&gt;&lt;/keywords&gt;&lt;dates&gt;&lt;year&gt;2011&lt;/year&gt;&lt;pub-dates&gt;&lt;date&gt;2011/04/15/&lt;/date&gt;&lt;/pub-dates&gt;&lt;/dates&gt;&lt;isbn&gt;0013-4686&lt;/isbn&gt;&lt;urls&gt;&lt;related-urls&gt;&lt;url&gt;https://www.sciencedirect.com/science/article/pii/S0013468611002258&lt;/url&gt;&lt;/related-urls&gt;&lt;/urls&gt;&lt;electronic-resource-num&gt;https://doi.org/10.1016/j.electacta.2011.02.014&lt;/electronic-resource-num&gt;&lt;/record&gt;&lt;/Cite&gt;&lt;/EndNote&gt;</w:instrText>
      </w:r>
      <w:r w:rsidR="00652DED">
        <w:rPr>
          <w:rFonts w:ascii="Arial" w:eastAsia="Calibri" w:hAnsi="Arial" w:cs="Arial"/>
        </w:rPr>
        <w:fldChar w:fldCharType="separate"/>
      </w:r>
      <w:r w:rsidR="0034337D">
        <w:rPr>
          <w:rFonts w:ascii="Arial" w:eastAsia="Calibri" w:hAnsi="Arial" w:cs="Arial"/>
          <w:noProof/>
        </w:rPr>
        <w:t>[182]</w:t>
      </w:r>
      <w:r w:rsidR="00652DED">
        <w:rPr>
          <w:rFonts w:ascii="Arial" w:eastAsia="Calibri" w:hAnsi="Arial" w:cs="Arial"/>
        </w:rPr>
        <w:fldChar w:fldCharType="end"/>
      </w:r>
      <w:r w:rsidRPr="0092670C">
        <w:rPr>
          <w:rFonts w:ascii="Arial" w:eastAsia="Calibri" w:hAnsi="Arial" w:cs="Arial"/>
        </w:rPr>
        <w:t xml:space="preserve">. </w:t>
      </w:r>
    </w:p>
    <w:p w14:paraId="72E796BA" w14:textId="77777777" w:rsidR="003E14AA" w:rsidRPr="0092670C" w:rsidRDefault="003E14AA" w:rsidP="003E14AA">
      <w:pPr>
        <w:keepNext/>
        <w:spacing w:line="256" w:lineRule="auto"/>
        <w:jc w:val="center"/>
        <w:rPr>
          <w:rFonts w:ascii="Arial" w:eastAsia="Calibri" w:hAnsi="Arial" w:cs="Arial"/>
        </w:rPr>
      </w:pPr>
      <w:r w:rsidRPr="0092670C">
        <w:rPr>
          <w:rFonts w:ascii="Arial" w:eastAsia="Calibri" w:hAnsi="Arial" w:cs="Arial"/>
          <w:noProof/>
        </w:rPr>
        <w:drawing>
          <wp:inline distT="0" distB="0" distL="0" distR="0" wp14:anchorId="0E54BDA6" wp14:editId="63FC48EB">
            <wp:extent cx="3695700" cy="6381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r="22379" b="85207"/>
                    <a:stretch>
                      <a:fillRect/>
                    </a:stretch>
                  </pic:blipFill>
                  <pic:spPr bwMode="auto">
                    <a:xfrm>
                      <a:off x="0" y="0"/>
                      <a:ext cx="3695700" cy="638175"/>
                    </a:xfrm>
                    <a:prstGeom prst="rect">
                      <a:avLst/>
                    </a:prstGeom>
                    <a:noFill/>
                    <a:ln>
                      <a:noFill/>
                    </a:ln>
                  </pic:spPr>
                </pic:pic>
              </a:graphicData>
            </a:graphic>
          </wp:inline>
        </w:drawing>
      </w:r>
    </w:p>
    <w:p w14:paraId="398E4F03" w14:textId="235E7A42" w:rsidR="003E14AA" w:rsidRPr="0092670C" w:rsidRDefault="003E14AA" w:rsidP="003E14AA">
      <w:pPr>
        <w:spacing w:after="200" w:line="240" w:lineRule="auto"/>
        <w:jc w:val="center"/>
        <w:rPr>
          <w:rFonts w:ascii="Arial" w:eastAsia="Calibri" w:hAnsi="Arial" w:cs="Arial"/>
          <w:i/>
          <w:iCs/>
          <w:color w:val="44546A" w:themeColor="text2"/>
          <w:sz w:val="20"/>
          <w:szCs w:val="20"/>
        </w:rPr>
      </w:pPr>
      <w:bookmarkStart w:id="101" w:name="_Ref31534139"/>
      <w:r w:rsidRPr="0092670C">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7</w:t>
      </w:r>
      <w:r w:rsidR="00356A26">
        <w:rPr>
          <w:rFonts w:ascii="Arial" w:eastAsia="Calibri" w:hAnsi="Arial" w:cs="Arial"/>
          <w:i/>
          <w:iCs/>
          <w:color w:val="44546A" w:themeColor="text2"/>
          <w:sz w:val="20"/>
          <w:szCs w:val="20"/>
        </w:rPr>
        <w:fldChar w:fldCharType="end"/>
      </w:r>
      <w:bookmarkEnd w:id="101"/>
      <w:r w:rsidRPr="0092670C">
        <w:rPr>
          <w:rFonts w:ascii="Arial" w:eastAsia="Calibri" w:hAnsi="Arial" w:cs="Arial"/>
          <w:i/>
          <w:iCs/>
          <w:color w:val="44546A" w:themeColor="text2"/>
          <w:sz w:val="20"/>
          <w:szCs w:val="20"/>
        </w:rPr>
        <w:t>: Si equivalent circuit</w:t>
      </w:r>
      <w:r w:rsidR="002D0F06" w:rsidRPr="0092670C">
        <w:rPr>
          <w:rFonts w:ascii="Arial" w:eastAsia="Calibri" w:hAnsi="Arial" w:cs="Arial"/>
          <w:i/>
          <w:iCs/>
          <w:color w:val="44546A" w:themeColor="text2"/>
          <w:sz w:val="20"/>
          <w:szCs w:val="20"/>
        </w:rPr>
        <w:t>.</w:t>
      </w:r>
    </w:p>
    <w:p w14:paraId="237A003B" w14:textId="139720F0" w:rsidR="003E14AA" w:rsidRPr="0092670C" w:rsidRDefault="003E14AA" w:rsidP="00D353AC">
      <w:pPr>
        <w:spacing w:after="0" w:line="360" w:lineRule="auto"/>
        <w:jc w:val="both"/>
        <w:rPr>
          <w:rFonts w:ascii="Arial" w:eastAsia="Calibri" w:hAnsi="Arial" w:cs="Arial"/>
        </w:rPr>
      </w:pPr>
      <w:r w:rsidRPr="0092670C">
        <w:rPr>
          <w:rFonts w:ascii="Arial" w:eastAsia="Calibri" w:hAnsi="Arial" w:cs="Arial"/>
        </w:rPr>
        <w:t>In many systems the electrodes don’t act ideally. This could be due to a number of factors</w:t>
      </w:r>
      <w:r w:rsidR="001D339F">
        <w:rPr>
          <w:rFonts w:ascii="Arial" w:eastAsia="Calibri" w:hAnsi="Arial" w:cs="Arial"/>
        </w:rPr>
        <w:t xml:space="preserve"> such as surfaces </w:t>
      </w:r>
      <w:r w:rsidR="00112877">
        <w:rPr>
          <w:rFonts w:ascii="Arial" w:eastAsia="Calibri" w:hAnsi="Arial" w:cs="Arial"/>
        </w:rPr>
        <w:t>not being ideally parallel</w:t>
      </w:r>
      <w:r w:rsidRPr="0092670C">
        <w:rPr>
          <w:rFonts w:ascii="Arial" w:eastAsia="Calibri" w:hAnsi="Arial" w:cs="Arial"/>
        </w:rPr>
        <w:t>, but it results in these models not accurately depicting the system. To rectify this the Capacitor if often replaced with a constant phase element</w:t>
      </w:r>
      <w:r w:rsidR="006B4135" w:rsidRPr="0092670C">
        <w:rPr>
          <w:rFonts w:ascii="Arial" w:eastAsia="Calibri" w:hAnsi="Arial" w:cs="Arial"/>
        </w:rPr>
        <w:t xml:space="preserve"> with the equivalent circuit element shown </w:t>
      </w:r>
      <w:r w:rsidR="003D1A82" w:rsidRPr="0092670C">
        <w:rPr>
          <w:rFonts w:ascii="Arial" w:eastAsia="Calibri" w:hAnsi="Arial" w:cs="Arial"/>
        </w:rPr>
        <w:t>in</w:t>
      </w:r>
      <w:r w:rsidR="00484B3C" w:rsidRPr="0092670C">
        <w:rPr>
          <w:rFonts w:ascii="Arial" w:eastAsia="Calibri" w:hAnsi="Arial" w:cs="Arial"/>
        </w:rPr>
        <w:t xml:space="preserve"> </w:t>
      </w:r>
      <w:r w:rsidR="003D1A82" w:rsidRPr="00652DED">
        <w:rPr>
          <w:rFonts w:ascii="Arial" w:eastAsia="Calibri" w:hAnsi="Arial" w:cs="Arial"/>
        </w:rPr>
        <w:fldChar w:fldCharType="begin"/>
      </w:r>
      <w:r w:rsidR="003D1A82" w:rsidRPr="00652DED">
        <w:rPr>
          <w:rFonts w:ascii="Arial" w:eastAsia="Calibri" w:hAnsi="Arial" w:cs="Arial"/>
        </w:rPr>
        <w:instrText xml:space="preserve"> REF _Ref31533874 \h  \* MERGEFORMAT </w:instrText>
      </w:r>
      <w:r w:rsidR="003D1A82" w:rsidRPr="00652DED">
        <w:rPr>
          <w:rFonts w:ascii="Arial" w:eastAsia="Calibri" w:hAnsi="Arial" w:cs="Arial"/>
        </w:rPr>
      </w:r>
      <w:r w:rsidR="003D1A82" w:rsidRPr="00652DED">
        <w:rPr>
          <w:rFonts w:ascii="Arial" w:eastAsia="Calibri" w:hAnsi="Arial" w:cs="Arial"/>
        </w:rPr>
        <w:fldChar w:fldCharType="separate"/>
      </w:r>
      <w:r w:rsidR="007342C8" w:rsidRPr="00652DED">
        <w:rPr>
          <w:rFonts w:ascii="Arial" w:eastAsia="Calibri" w:hAnsi="Arial" w:cs="Arial"/>
        </w:rPr>
        <w:t>Figure</w:t>
      </w:r>
      <w:r w:rsidR="007342C8" w:rsidRPr="00652DED">
        <w:rPr>
          <w:rFonts w:ascii="Arial" w:eastAsia="Calibri" w:hAnsi="Arial" w:cs="Arial"/>
          <w:i/>
          <w:iCs/>
        </w:rPr>
        <w:t xml:space="preserve"> </w:t>
      </w:r>
      <w:r w:rsidR="007342C8" w:rsidRPr="00652DED">
        <w:rPr>
          <w:rFonts w:ascii="Arial" w:eastAsia="Calibri" w:hAnsi="Arial" w:cs="Arial"/>
          <w:i/>
          <w:iCs/>
          <w:noProof/>
        </w:rPr>
        <w:t>2</w:t>
      </w:r>
      <w:r w:rsidR="007342C8" w:rsidRPr="00652DED">
        <w:rPr>
          <w:rFonts w:ascii="Arial" w:eastAsia="Calibri" w:hAnsi="Arial" w:cs="Arial"/>
          <w:i/>
          <w:iCs/>
          <w:noProof/>
        </w:rPr>
        <w:noBreakHyphen/>
        <w:t>7</w:t>
      </w:r>
      <w:r w:rsidR="003D1A82" w:rsidRPr="00652DED">
        <w:rPr>
          <w:rFonts w:ascii="Arial" w:eastAsia="Calibri" w:hAnsi="Arial" w:cs="Arial"/>
        </w:rPr>
        <w:fldChar w:fldCharType="end"/>
      </w:r>
      <w:r w:rsidRPr="00652DED">
        <w:rPr>
          <w:rFonts w:ascii="Arial" w:eastAsia="Calibri" w:hAnsi="Arial" w:cs="Arial"/>
        </w:rPr>
        <w:t xml:space="preserve">. </w:t>
      </w:r>
      <w:r w:rsidRPr="0092670C">
        <w:rPr>
          <w:rFonts w:ascii="Arial" w:eastAsia="Calibri" w:hAnsi="Arial" w:cs="Arial"/>
        </w:rPr>
        <w:t>This adds a power term to the capacitance with a power of 1 describing an ideal capacitor and 0 an ideal resistor.</w:t>
      </w:r>
    </w:p>
    <w:p w14:paraId="1A679E9E" w14:textId="77777777" w:rsidR="003E14AA" w:rsidRPr="0092670C" w:rsidRDefault="003E14AA" w:rsidP="003E14AA">
      <w:pPr>
        <w:keepNext/>
        <w:spacing w:line="256" w:lineRule="auto"/>
        <w:jc w:val="center"/>
        <w:rPr>
          <w:rFonts w:ascii="Arial" w:eastAsia="Calibri" w:hAnsi="Arial" w:cs="Arial"/>
        </w:rPr>
      </w:pPr>
      <w:r w:rsidRPr="0092670C">
        <w:rPr>
          <w:rFonts w:ascii="Arial" w:eastAsia="Calibri" w:hAnsi="Arial" w:cs="Arial"/>
          <w:noProof/>
        </w:rPr>
        <w:drawing>
          <wp:inline distT="0" distB="0" distL="0" distR="0" wp14:anchorId="60864160" wp14:editId="1986F032">
            <wp:extent cx="942975" cy="41910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r="80231" b="84285"/>
                    <a:stretch>
                      <a:fillRect/>
                    </a:stretch>
                  </pic:blipFill>
                  <pic:spPr bwMode="auto">
                    <a:xfrm>
                      <a:off x="0" y="0"/>
                      <a:ext cx="942975" cy="419100"/>
                    </a:xfrm>
                    <a:prstGeom prst="rect">
                      <a:avLst/>
                    </a:prstGeom>
                    <a:noFill/>
                    <a:ln>
                      <a:noFill/>
                    </a:ln>
                  </pic:spPr>
                </pic:pic>
              </a:graphicData>
            </a:graphic>
          </wp:inline>
        </w:drawing>
      </w:r>
    </w:p>
    <w:p w14:paraId="143CDC4F" w14:textId="355D4CFD" w:rsidR="003E14AA" w:rsidRPr="0092670C" w:rsidRDefault="003E14AA" w:rsidP="003E14AA">
      <w:pPr>
        <w:spacing w:after="200" w:line="240" w:lineRule="auto"/>
        <w:jc w:val="center"/>
        <w:rPr>
          <w:rFonts w:ascii="Arial" w:eastAsia="Calibri" w:hAnsi="Arial" w:cs="Arial"/>
          <w:i/>
          <w:iCs/>
          <w:color w:val="44546A" w:themeColor="text2"/>
          <w:sz w:val="20"/>
          <w:szCs w:val="20"/>
        </w:rPr>
      </w:pPr>
      <w:bookmarkStart w:id="102" w:name="_Ref31533874"/>
      <w:r w:rsidRPr="0092670C">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8</w:t>
      </w:r>
      <w:r w:rsidR="00356A26">
        <w:rPr>
          <w:rFonts w:ascii="Arial" w:eastAsia="Calibri" w:hAnsi="Arial" w:cs="Arial"/>
          <w:i/>
          <w:iCs/>
          <w:color w:val="44546A" w:themeColor="text2"/>
          <w:sz w:val="20"/>
          <w:szCs w:val="20"/>
        </w:rPr>
        <w:fldChar w:fldCharType="end"/>
      </w:r>
      <w:bookmarkEnd w:id="102"/>
      <w:r w:rsidRPr="0092670C">
        <w:rPr>
          <w:rFonts w:ascii="Arial" w:eastAsia="Calibri" w:hAnsi="Arial" w:cs="Arial"/>
          <w:i/>
          <w:iCs/>
          <w:color w:val="44546A" w:themeColor="text2"/>
          <w:sz w:val="20"/>
          <w:szCs w:val="20"/>
        </w:rPr>
        <w:t xml:space="preserve">: </w:t>
      </w:r>
      <w:r w:rsidR="005667B2" w:rsidRPr="0092670C">
        <w:rPr>
          <w:rFonts w:ascii="Arial" w:eastAsia="Calibri" w:hAnsi="Arial" w:cs="Arial"/>
          <w:i/>
          <w:iCs/>
          <w:color w:val="44546A" w:themeColor="text2"/>
          <w:sz w:val="20"/>
          <w:szCs w:val="20"/>
        </w:rPr>
        <w:t>C</w:t>
      </w:r>
      <w:r w:rsidRPr="0092670C">
        <w:rPr>
          <w:rFonts w:ascii="Arial" w:eastAsia="Calibri" w:hAnsi="Arial" w:cs="Arial"/>
          <w:i/>
          <w:iCs/>
          <w:color w:val="44546A" w:themeColor="text2"/>
          <w:sz w:val="20"/>
          <w:szCs w:val="20"/>
        </w:rPr>
        <w:t>onstant phase element</w:t>
      </w:r>
      <w:r w:rsidR="002D0F06" w:rsidRPr="0092670C">
        <w:rPr>
          <w:rFonts w:ascii="Arial" w:eastAsia="Calibri" w:hAnsi="Arial" w:cs="Arial"/>
          <w:i/>
          <w:iCs/>
          <w:color w:val="44546A" w:themeColor="text2"/>
          <w:sz w:val="20"/>
          <w:szCs w:val="20"/>
        </w:rPr>
        <w:t>.</w:t>
      </w:r>
    </w:p>
    <w:p w14:paraId="7DDC6C0E" w14:textId="77777777"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All of these elements allow you to model anodes found in LIBs. This can give real world values to the SEI that are easy to compare to the literature.</w:t>
      </w:r>
    </w:p>
    <w:p w14:paraId="0C2A5F7B" w14:textId="77777777"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How to assign values to circuit components:</w:t>
      </w:r>
    </w:p>
    <w:p w14:paraId="4DAA46FA" w14:textId="178B3B1A" w:rsidR="003E14AA" w:rsidRPr="0092670C" w:rsidRDefault="00E5397A" w:rsidP="00E5397A">
      <w:pPr>
        <w:spacing w:line="360" w:lineRule="auto"/>
        <w:jc w:val="both"/>
        <w:rPr>
          <w:rFonts w:ascii="Arial" w:eastAsia="Calibri" w:hAnsi="Arial" w:cs="Arial"/>
        </w:rPr>
      </w:pPr>
      <w:r w:rsidRPr="0092670C">
        <w:rPr>
          <w:rFonts w:ascii="Arial" w:eastAsia="Calibri" w:hAnsi="Arial" w:cs="Arial"/>
        </w:rPr>
        <w:t xml:space="preserve">An </w:t>
      </w:r>
      <w:r w:rsidR="00687876" w:rsidRPr="0092670C">
        <w:rPr>
          <w:rFonts w:ascii="Arial" w:eastAsia="Calibri" w:hAnsi="Arial" w:cs="Arial"/>
        </w:rPr>
        <w:t xml:space="preserve">example Nyquist plot </w:t>
      </w:r>
      <w:r w:rsidR="004C08E3" w:rsidRPr="0092670C">
        <w:rPr>
          <w:rFonts w:ascii="Arial" w:eastAsia="Calibri" w:hAnsi="Arial" w:cs="Arial"/>
        </w:rPr>
        <w:t xml:space="preserve">is displayed in </w:t>
      </w:r>
      <w:r w:rsidR="00C8336C">
        <w:rPr>
          <w:rFonts w:ascii="Arial" w:eastAsia="Calibri" w:hAnsi="Arial" w:cs="Arial"/>
        </w:rPr>
        <w:fldChar w:fldCharType="begin"/>
      </w:r>
      <w:r w:rsidR="00C8336C">
        <w:rPr>
          <w:rFonts w:ascii="Arial" w:eastAsia="Calibri" w:hAnsi="Arial" w:cs="Arial"/>
        </w:rPr>
        <w:instrText xml:space="preserve"> REF _Ref44865813 \h </w:instrText>
      </w:r>
      <w:r w:rsidR="00C8336C">
        <w:rPr>
          <w:rFonts w:ascii="Arial" w:eastAsia="Calibri" w:hAnsi="Arial" w:cs="Arial"/>
        </w:rPr>
      </w:r>
      <w:r w:rsidR="00C8336C">
        <w:rPr>
          <w:rFonts w:ascii="Arial" w:eastAsia="Calibri" w:hAnsi="Arial" w:cs="Arial"/>
        </w:rPr>
        <w:fldChar w:fldCharType="separate"/>
      </w:r>
      <w:r w:rsidR="007342C8" w:rsidRPr="0092670C">
        <w:rPr>
          <w:rFonts w:ascii="Arial" w:hAnsi="Arial" w:cs="Arial"/>
        </w:rPr>
        <w:t xml:space="preserve">Figure </w:t>
      </w:r>
      <w:r w:rsidR="007342C8">
        <w:rPr>
          <w:rFonts w:ascii="Arial" w:hAnsi="Arial" w:cs="Arial"/>
          <w:noProof/>
        </w:rPr>
        <w:t>2</w:t>
      </w:r>
      <w:r w:rsidR="007342C8">
        <w:rPr>
          <w:rFonts w:ascii="Arial" w:hAnsi="Arial" w:cs="Arial"/>
        </w:rPr>
        <w:noBreakHyphen/>
      </w:r>
      <w:r w:rsidR="007342C8">
        <w:rPr>
          <w:rFonts w:ascii="Arial" w:hAnsi="Arial" w:cs="Arial"/>
          <w:noProof/>
        </w:rPr>
        <w:t>8</w:t>
      </w:r>
      <w:r w:rsidR="00C8336C">
        <w:rPr>
          <w:rFonts w:ascii="Arial" w:eastAsia="Calibri" w:hAnsi="Arial" w:cs="Arial"/>
        </w:rPr>
        <w:fldChar w:fldCharType="end"/>
      </w:r>
      <w:r w:rsidR="00C8336C">
        <w:rPr>
          <w:rFonts w:ascii="Arial" w:eastAsia="Calibri" w:hAnsi="Arial" w:cs="Arial"/>
        </w:rPr>
        <w:t xml:space="preserve"> </w:t>
      </w:r>
      <w:r w:rsidR="001D3645" w:rsidRPr="0092670C">
        <w:rPr>
          <w:rFonts w:ascii="Arial" w:eastAsia="Calibri" w:hAnsi="Arial" w:cs="Arial"/>
        </w:rPr>
        <w:t xml:space="preserve">with </w:t>
      </w:r>
      <w:r w:rsidR="000921DB" w:rsidRPr="0092670C">
        <w:rPr>
          <w:rFonts w:ascii="Arial" w:eastAsia="Calibri" w:hAnsi="Arial" w:cs="Arial"/>
        </w:rPr>
        <w:t>the most common components visible</w:t>
      </w:r>
      <w:r w:rsidR="00D9554A" w:rsidRPr="0092670C">
        <w:rPr>
          <w:rFonts w:ascii="Arial" w:eastAsia="Calibri" w:hAnsi="Arial" w:cs="Arial"/>
        </w:rPr>
        <w:t xml:space="preserve">. </w:t>
      </w:r>
      <w:r w:rsidR="003E14AA" w:rsidRPr="0092670C">
        <w:rPr>
          <w:rFonts w:ascii="Arial" w:eastAsia="Calibri" w:hAnsi="Arial" w:cs="Arial"/>
        </w:rPr>
        <w:t>As R</w:t>
      </w:r>
      <w:r w:rsidR="003E14AA" w:rsidRPr="0092670C">
        <w:rPr>
          <w:rFonts w:ascii="Arial" w:eastAsia="Calibri" w:hAnsi="Arial" w:cs="Arial"/>
          <w:vertAlign w:val="subscript"/>
        </w:rPr>
        <w:t xml:space="preserve">el </w:t>
      </w:r>
      <w:r w:rsidR="003E14AA" w:rsidRPr="0092670C">
        <w:rPr>
          <w:rFonts w:ascii="Arial" w:eastAsia="Calibri" w:hAnsi="Arial" w:cs="Arial"/>
        </w:rPr>
        <w:t xml:space="preserve">is the inherent resistance in the system it is the resistance value seen at the highest frequency. Seeing a semicircle lets you know that you have an RC circuit in your results. The resistance for the RC circuit is where the semicircle ends or reaches its minima. The capacitance value isn’t readable from the graph directly in the same way as the resistance is. Using the relation </w:t>
      </w:r>
      <m:oMath>
        <m:r>
          <w:rPr>
            <w:rFonts w:ascii="Cambria Math" w:eastAsia="Calibri" w:hAnsi="Cambria Math" w:cs="Arial"/>
          </w:rPr>
          <m:t>C= - </m:t>
        </m:r>
        <m:f>
          <m:fPr>
            <m:ctrlPr>
              <w:rPr>
                <w:rFonts w:ascii="Cambria Math" w:eastAsia="Calibri" w:hAnsi="Cambria Math" w:cs="Arial"/>
                <w:i/>
              </w:rPr>
            </m:ctrlPr>
          </m:fPr>
          <m:num>
            <m:r>
              <w:rPr>
                <w:rFonts w:ascii="Cambria Math" w:eastAsia="Calibri" w:hAnsi="Cambria Math" w:cs="Arial"/>
              </w:rPr>
              <m:t>1</m:t>
            </m:r>
          </m:num>
          <m:den>
            <m:r>
              <w:rPr>
                <w:rFonts w:ascii="Cambria Math" w:eastAsia="Calibri" w:hAnsi="Cambria Math" w:cs="Arial"/>
              </w:rPr>
              <m:t>ω</m:t>
            </m:r>
            <m:sSub>
              <m:sSubPr>
                <m:ctrlPr>
                  <w:rPr>
                    <w:rFonts w:ascii="Cambria Math" w:eastAsia="Calibri" w:hAnsi="Cambria Math" w:cs="Arial"/>
                    <w:i/>
                  </w:rPr>
                </m:ctrlPr>
              </m:sSubPr>
              <m:e>
                <m:r>
                  <w:rPr>
                    <w:rFonts w:ascii="Cambria Math" w:eastAsia="Calibri" w:hAnsi="Cambria Math" w:cs="Arial"/>
                  </w:rPr>
                  <m:t>Z</m:t>
                </m:r>
              </m:e>
              <m:sub>
                <m:r>
                  <w:rPr>
                    <w:rFonts w:ascii="Cambria Math" w:eastAsia="Calibri" w:hAnsi="Cambria Math" w:cs="Arial"/>
                  </w:rPr>
                  <m:t>cap</m:t>
                </m:r>
              </m:sub>
            </m:sSub>
          </m:den>
        </m:f>
      </m:oMath>
      <w:r w:rsidR="003E14AA" w:rsidRPr="0092670C">
        <w:rPr>
          <w:rFonts w:ascii="Arial" w:eastAsia="Calibri" w:hAnsi="Arial" w:cs="Arial"/>
        </w:rPr>
        <w:t xml:space="preserve"> where omega is the angular frequency and can be determined using  </w:t>
      </w:r>
      <m:oMath>
        <m:r>
          <w:rPr>
            <w:rFonts w:ascii="Cambria Math" w:eastAsia="Calibri" w:hAnsi="Cambria Math" w:cs="Arial"/>
          </w:rPr>
          <m:t>ω=2πf</m:t>
        </m:r>
      </m:oMath>
      <w:r w:rsidR="003E14AA" w:rsidRPr="0092670C">
        <w:rPr>
          <w:rFonts w:ascii="Arial" w:eastAsia="Times New Roman" w:hAnsi="Arial" w:cs="Arial"/>
        </w:rPr>
        <w:t xml:space="preserve"> where f is the frequency of the current. These techniques can be repeated to ascertain these values for any RC circuit. </w:t>
      </w:r>
    </w:p>
    <w:p w14:paraId="1871BB84" w14:textId="6118CD69" w:rsidR="003E14AA" w:rsidRPr="0092670C" w:rsidRDefault="00637AEC" w:rsidP="003E14AA">
      <w:pPr>
        <w:keepNext/>
        <w:spacing w:line="256" w:lineRule="auto"/>
        <w:jc w:val="center"/>
        <w:rPr>
          <w:rFonts w:ascii="Arial" w:eastAsia="Calibri" w:hAnsi="Arial" w:cs="Arial"/>
        </w:rPr>
      </w:pPr>
      <w:r w:rsidRPr="0092670C">
        <w:rPr>
          <w:rFonts w:ascii="Arial" w:eastAsia="Calibri" w:hAnsi="Arial" w:cs="Arial"/>
          <w:noProof/>
        </w:rPr>
        <mc:AlternateContent>
          <mc:Choice Requires="wps">
            <w:drawing>
              <wp:anchor distT="0" distB="0" distL="114300" distR="114300" simplePos="0" relativeHeight="251658263" behindDoc="0" locked="0" layoutInCell="1" allowOverlap="1" wp14:anchorId="6E432327" wp14:editId="3EF4A0DD">
                <wp:simplePos x="0" y="0"/>
                <wp:positionH relativeFrom="column">
                  <wp:posOffset>3842558</wp:posOffset>
                </wp:positionH>
                <wp:positionV relativeFrom="paragraph">
                  <wp:posOffset>1362826</wp:posOffset>
                </wp:positionV>
                <wp:extent cx="373380" cy="259080"/>
                <wp:effectExtent l="0" t="0" r="26670" b="26670"/>
                <wp:wrapNone/>
                <wp:docPr id="63" name="Text Box 63"/>
                <wp:cNvGraphicFramePr/>
                <a:graphic xmlns:a="http://schemas.openxmlformats.org/drawingml/2006/main">
                  <a:graphicData uri="http://schemas.microsoft.com/office/word/2010/wordprocessingShape">
                    <wps:wsp>
                      <wps:cNvSpPr txBox="1"/>
                      <wps:spPr>
                        <a:xfrm>
                          <a:off x="0" y="0"/>
                          <a:ext cx="373380" cy="259080"/>
                        </a:xfrm>
                        <a:prstGeom prst="rect">
                          <a:avLst/>
                        </a:prstGeom>
                        <a:solidFill>
                          <a:schemeClr val="lt1"/>
                        </a:solidFill>
                        <a:ln w="6350">
                          <a:solidFill>
                            <a:prstClr val="black"/>
                          </a:solidFill>
                        </a:ln>
                      </wps:spPr>
                      <wps:txbx>
                        <w:txbxContent>
                          <w:p w14:paraId="62F6E851" w14:textId="539EEC3C" w:rsidR="000E4910" w:rsidRPr="003C5DBC" w:rsidRDefault="000E4910" w:rsidP="003A478D">
                            <w:pPr>
                              <w:rPr>
                                <w:vertAlign w:val="subscript"/>
                              </w:rPr>
                            </w:pPr>
                            <w: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32327" id="_x0000_t202" coordsize="21600,21600" o:spt="202" path="m,l,21600r21600,l21600,xe">
                <v:stroke joinstyle="miter"/>
                <v:path gradientshapeok="t" o:connecttype="rect"/>
              </v:shapetype>
              <v:shape id="Text Box 63" o:spid="_x0000_s1026" type="#_x0000_t202" style="position:absolute;left:0;text-align:left;margin-left:302.55pt;margin-top:107.3pt;width:29.4pt;height:20.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" fillcolor="white [3201]" strokeweight=".5pt">
                <v:textbox>
                  <w:txbxContent>
                    <w:p w14:paraId="62F6E851" w14:textId="539EEC3C" w:rsidR="000E4910" w:rsidRPr="003C5DBC" w:rsidRDefault="000E4910" w:rsidP="003A478D">
                      <w:pPr>
                        <w:rPr>
                          <w:vertAlign w:val="subscript"/>
                        </w:rPr>
                      </w:pPr>
                      <w:r>
                        <w:t>W</w:t>
                      </w:r>
                    </w:p>
                  </w:txbxContent>
                </v:textbox>
              </v:shape>
            </w:pict>
          </mc:Fallback>
        </mc:AlternateContent>
      </w:r>
      <w:r w:rsidRPr="0092670C">
        <w:rPr>
          <w:rFonts w:ascii="Arial" w:eastAsia="Calibri" w:hAnsi="Arial" w:cs="Arial"/>
          <w:noProof/>
        </w:rPr>
        <mc:AlternateContent>
          <mc:Choice Requires="wps">
            <w:drawing>
              <wp:anchor distT="0" distB="0" distL="114300" distR="114300" simplePos="0" relativeHeight="251658259" behindDoc="0" locked="0" layoutInCell="1" allowOverlap="1" wp14:anchorId="7F35FBD3" wp14:editId="3A9D2551">
                <wp:simplePos x="0" y="0"/>
                <wp:positionH relativeFrom="column">
                  <wp:posOffset>4011584</wp:posOffset>
                </wp:positionH>
                <wp:positionV relativeFrom="paragraph">
                  <wp:posOffset>1669704</wp:posOffset>
                </wp:positionV>
                <wp:extent cx="7620" cy="662940"/>
                <wp:effectExtent l="76200" t="0" r="87630" b="60960"/>
                <wp:wrapNone/>
                <wp:docPr id="48" name="Straight Arrow Connector 48"/>
                <wp:cNvGraphicFramePr/>
                <a:graphic xmlns:a="http://schemas.openxmlformats.org/drawingml/2006/main">
                  <a:graphicData uri="http://schemas.microsoft.com/office/word/2010/wordprocessingShape">
                    <wps:wsp>
                      <wps:cNvCnPr/>
                      <wps:spPr>
                        <a:xfrm flipH="1">
                          <a:off x="0" y="0"/>
                          <a:ext cx="7620" cy="662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851C45" id="_x0000_t32" coordsize="21600,21600" o:spt="32" o:oned="t" path="m,l21600,21600e" filled="f">
                <v:path arrowok="t" fillok="f" o:connecttype="none"/>
                <o:lock v:ext="edit" shapetype="t"/>
              </v:shapetype>
              <v:shape id="Straight Arrow Connector 48" o:spid="_x0000_s1026" type="#_x0000_t32" style="position:absolute;margin-left:315.85pt;margin-top:131.45pt;width:.6pt;height:52.2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" strokecolor="black [3200]" strokeweight=".5pt">
                <v:stroke endarrow="block" joinstyle="miter"/>
              </v:shape>
            </w:pict>
          </mc:Fallback>
        </mc:AlternateContent>
      </w:r>
      <w:r w:rsidRPr="0092670C">
        <w:rPr>
          <w:rFonts w:ascii="Arial" w:eastAsia="Calibri" w:hAnsi="Arial" w:cs="Arial"/>
          <w:noProof/>
        </w:rPr>
        <mc:AlternateContent>
          <mc:Choice Requires="wps">
            <w:drawing>
              <wp:anchor distT="0" distB="0" distL="114300" distR="114300" simplePos="0" relativeHeight="251658262" behindDoc="0" locked="0" layoutInCell="1" allowOverlap="1" wp14:anchorId="0501D6B4" wp14:editId="21A3B19E">
                <wp:simplePos x="0" y="0"/>
                <wp:positionH relativeFrom="column">
                  <wp:posOffset>2881053</wp:posOffset>
                </wp:positionH>
                <wp:positionV relativeFrom="paragraph">
                  <wp:posOffset>1476433</wp:posOffset>
                </wp:positionV>
                <wp:extent cx="373380" cy="259080"/>
                <wp:effectExtent l="0" t="0" r="26670" b="26670"/>
                <wp:wrapNone/>
                <wp:docPr id="62" name="Text Box 62"/>
                <wp:cNvGraphicFramePr/>
                <a:graphic xmlns:a="http://schemas.openxmlformats.org/drawingml/2006/main">
                  <a:graphicData uri="http://schemas.microsoft.com/office/word/2010/wordprocessingShape">
                    <wps:wsp>
                      <wps:cNvSpPr txBox="1"/>
                      <wps:spPr>
                        <a:xfrm>
                          <a:off x="0" y="0"/>
                          <a:ext cx="373380" cy="259080"/>
                        </a:xfrm>
                        <a:prstGeom prst="rect">
                          <a:avLst/>
                        </a:prstGeom>
                        <a:solidFill>
                          <a:schemeClr val="lt1"/>
                        </a:solidFill>
                        <a:ln w="6350">
                          <a:solidFill>
                            <a:prstClr val="black"/>
                          </a:solidFill>
                        </a:ln>
                      </wps:spPr>
                      <wps:txbx>
                        <w:txbxContent>
                          <w:p w14:paraId="48642B24" w14:textId="65D67847" w:rsidR="000E4910" w:rsidRPr="003C5DBC" w:rsidRDefault="000E4910" w:rsidP="003A478D">
                            <w:pPr>
                              <w:rPr>
                                <w:vertAlign w:val="subscript"/>
                              </w:rPr>
                            </w:pPr>
                            <w:r>
                              <w:t>R</w:t>
                            </w:r>
                            <w:r>
                              <w:rPr>
                                <w:vertAlign w:val="subscript"/>
                              </w:rPr>
                              <w:t>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D6B4" id="Text Box 62" o:spid="_x0000_s1027" type="#_x0000_t202" style="position:absolute;left:0;text-align:left;margin-left:226.85pt;margin-top:116.25pt;width:29.4pt;height:20.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" fillcolor="white [3201]" strokeweight=".5pt">
                <v:textbox>
                  <w:txbxContent>
                    <w:p w14:paraId="48642B24" w14:textId="65D67847" w:rsidR="000E4910" w:rsidRPr="003C5DBC" w:rsidRDefault="000E4910" w:rsidP="003A478D">
                      <w:pPr>
                        <w:rPr>
                          <w:vertAlign w:val="subscript"/>
                        </w:rPr>
                      </w:pPr>
                      <w:r>
                        <w:t>R</w:t>
                      </w:r>
                      <w:r>
                        <w:rPr>
                          <w:vertAlign w:val="subscript"/>
                        </w:rPr>
                        <w:t>CT</w:t>
                      </w:r>
                    </w:p>
                  </w:txbxContent>
                </v:textbox>
              </v:shape>
            </w:pict>
          </mc:Fallback>
        </mc:AlternateContent>
      </w:r>
      <w:r w:rsidRPr="0092670C">
        <w:rPr>
          <w:rFonts w:ascii="Arial" w:eastAsia="Calibri" w:hAnsi="Arial" w:cs="Arial"/>
          <w:noProof/>
        </w:rPr>
        <mc:AlternateContent>
          <mc:Choice Requires="wps">
            <w:drawing>
              <wp:anchor distT="0" distB="0" distL="114300" distR="114300" simplePos="0" relativeHeight="251658258" behindDoc="0" locked="0" layoutInCell="1" allowOverlap="1" wp14:anchorId="3EE6C3E3" wp14:editId="52303FE1">
                <wp:simplePos x="0" y="0"/>
                <wp:positionH relativeFrom="column">
                  <wp:posOffset>3070860</wp:posOffset>
                </wp:positionH>
                <wp:positionV relativeFrom="paragraph">
                  <wp:posOffset>1761837</wp:posOffset>
                </wp:positionV>
                <wp:extent cx="15240" cy="693420"/>
                <wp:effectExtent l="38100" t="0" r="60960" b="49530"/>
                <wp:wrapNone/>
                <wp:docPr id="3" name="Straight Arrow Connector 3"/>
                <wp:cNvGraphicFramePr/>
                <a:graphic xmlns:a="http://schemas.openxmlformats.org/drawingml/2006/main">
                  <a:graphicData uri="http://schemas.microsoft.com/office/word/2010/wordprocessingShape">
                    <wps:wsp>
                      <wps:cNvCnPr/>
                      <wps:spPr>
                        <a:xfrm>
                          <a:off x="0" y="0"/>
                          <a:ext cx="1524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470D0F" id="Straight Arrow Connector 3" o:spid="_x0000_s1026" type="#_x0000_t32" style="position:absolute;margin-left:241.8pt;margin-top:138.75pt;width:1.2pt;height:54.6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" strokecolor="black [3200]" strokeweight=".5pt">
                <v:stroke endarrow="block" joinstyle="miter"/>
              </v:shape>
            </w:pict>
          </mc:Fallback>
        </mc:AlternateContent>
      </w:r>
      <w:r w:rsidRPr="0092670C">
        <w:rPr>
          <w:rFonts w:ascii="Arial" w:eastAsia="Calibri" w:hAnsi="Arial" w:cs="Arial"/>
          <w:noProof/>
        </w:rPr>
        <mc:AlternateContent>
          <mc:Choice Requires="wps">
            <w:drawing>
              <wp:anchor distT="0" distB="0" distL="114300" distR="114300" simplePos="0" relativeHeight="251658261" behindDoc="0" locked="0" layoutInCell="1" allowOverlap="1" wp14:anchorId="470CC761" wp14:editId="266E3D4D">
                <wp:simplePos x="0" y="0"/>
                <wp:positionH relativeFrom="column">
                  <wp:posOffset>1794857</wp:posOffset>
                </wp:positionH>
                <wp:positionV relativeFrom="paragraph">
                  <wp:posOffset>988060</wp:posOffset>
                </wp:positionV>
                <wp:extent cx="373380" cy="259080"/>
                <wp:effectExtent l="0" t="0" r="26670" b="26670"/>
                <wp:wrapNone/>
                <wp:docPr id="59" name="Text Box 59"/>
                <wp:cNvGraphicFramePr/>
                <a:graphic xmlns:a="http://schemas.openxmlformats.org/drawingml/2006/main">
                  <a:graphicData uri="http://schemas.microsoft.com/office/word/2010/wordprocessingShape">
                    <wps:wsp>
                      <wps:cNvSpPr txBox="1"/>
                      <wps:spPr>
                        <a:xfrm>
                          <a:off x="0" y="0"/>
                          <a:ext cx="373380" cy="259080"/>
                        </a:xfrm>
                        <a:prstGeom prst="rect">
                          <a:avLst/>
                        </a:prstGeom>
                        <a:solidFill>
                          <a:schemeClr val="lt1"/>
                        </a:solidFill>
                        <a:ln w="6350">
                          <a:solidFill>
                            <a:prstClr val="black"/>
                          </a:solidFill>
                        </a:ln>
                      </wps:spPr>
                      <wps:txbx>
                        <w:txbxContent>
                          <w:p w14:paraId="2031E914" w14:textId="61A2347C" w:rsidR="000E4910" w:rsidRPr="003C5DBC" w:rsidRDefault="000E4910">
                            <w:pPr>
                              <w:rPr>
                                <w:vertAlign w:val="subscript"/>
                              </w:rPr>
                            </w:pPr>
                            <w:r>
                              <w:t>R</w:t>
                            </w:r>
                            <w:r>
                              <w:rPr>
                                <w:vertAlign w:val="subscript"/>
                              </w:rPr>
                              <w:t>SEI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C761" id="Text Box 59" o:spid="_x0000_s1028" type="#_x0000_t202" style="position:absolute;left:0;text-align:left;margin-left:141.35pt;margin-top:77.8pt;width:29.4pt;height:20.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" fillcolor="white [3201]" strokeweight=".5pt">
                <v:textbox>
                  <w:txbxContent>
                    <w:p w14:paraId="2031E914" w14:textId="61A2347C" w:rsidR="000E4910" w:rsidRPr="003C5DBC" w:rsidRDefault="000E4910">
                      <w:pPr>
                        <w:rPr>
                          <w:vertAlign w:val="subscript"/>
                        </w:rPr>
                      </w:pPr>
                      <w:r>
                        <w:t>R</w:t>
                      </w:r>
                      <w:r>
                        <w:rPr>
                          <w:vertAlign w:val="subscript"/>
                        </w:rPr>
                        <w:t>SEI</w:t>
                      </w:r>
                    </w:p>
                  </w:txbxContent>
                </v:textbox>
              </v:shape>
            </w:pict>
          </mc:Fallback>
        </mc:AlternateContent>
      </w:r>
      <w:r w:rsidRPr="0092670C">
        <w:rPr>
          <w:rFonts w:ascii="Arial" w:eastAsia="Calibri" w:hAnsi="Arial" w:cs="Arial"/>
          <w:noProof/>
        </w:rPr>
        <mc:AlternateContent>
          <mc:Choice Requires="wps">
            <w:drawing>
              <wp:anchor distT="0" distB="0" distL="114300" distR="114300" simplePos="0" relativeHeight="251658257" behindDoc="0" locked="0" layoutInCell="1" allowOverlap="1" wp14:anchorId="54C5ADA7" wp14:editId="7EB4C56C">
                <wp:simplePos x="0" y="0"/>
                <wp:positionH relativeFrom="column">
                  <wp:posOffset>1976350</wp:posOffset>
                </wp:positionH>
                <wp:positionV relativeFrom="paragraph">
                  <wp:posOffset>1268614</wp:posOffset>
                </wp:positionV>
                <wp:extent cx="0" cy="1112520"/>
                <wp:effectExtent l="76200" t="0" r="57150" b="49530"/>
                <wp:wrapNone/>
                <wp:docPr id="2" name="Straight Arrow Connector 2"/>
                <wp:cNvGraphicFramePr/>
                <a:graphic xmlns:a="http://schemas.openxmlformats.org/drawingml/2006/main">
                  <a:graphicData uri="http://schemas.microsoft.com/office/word/2010/wordprocessingShape">
                    <wps:wsp>
                      <wps:cNvCnPr/>
                      <wps:spPr>
                        <a:xfrm>
                          <a:off x="0" y="0"/>
                          <a:ext cx="0" cy="1112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1D024C" id="Straight Arrow Connector 2" o:spid="_x0000_s1026" type="#_x0000_t32" style="position:absolute;margin-left:155.6pt;margin-top:99.9pt;width:0;height:87.6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" strokecolor="black [3200]" strokeweight=".5pt">
                <v:stroke endarrow="block" joinstyle="miter"/>
              </v:shape>
            </w:pict>
          </mc:Fallback>
        </mc:AlternateContent>
      </w:r>
      <w:r w:rsidR="00F044D7" w:rsidRPr="0092670C">
        <w:rPr>
          <w:rFonts w:ascii="Arial" w:eastAsia="Calibri" w:hAnsi="Arial" w:cs="Arial"/>
          <w:noProof/>
        </w:rPr>
        <mc:AlternateContent>
          <mc:Choice Requires="wps">
            <w:drawing>
              <wp:anchor distT="0" distB="0" distL="114300" distR="114300" simplePos="0" relativeHeight="251658240" behindDoc="0" locked="0" layoutInCell="1" allowOverlap="1" wp14:anchorId="68B96C5A" wp14:editId="5A9B3C10">
                <wp:simplePos x="0" y="0"/>
                <wp:positionH relativeFrom="column">
                  <wp:posOffset>1201189</wp:posOffset>
                </wp:positionH>
                <wp:positionV relativeFrom="paragraph">
                  <wp:posOffset>2414848</wp:posOffset>
                </wp:positionV>
                <wp:extent cx="1158240" cy="563880"/>
                <wp:effectExtent l="0" t="0" r="22860" b="26670"/>
                <wp:wrapNone/>
                <wp:docPr id="36" name="Rectangle 14"/>
                <wp:cNvGraphicFramePr/>
                <a:graphic xmlns:a="http://schemas.openxmlformats.org/drawingml/2006/main">
                  <a:graphicData uri="http://schemas.microsoft.com/office/word/2010/wordprocessingShape">
                    <wps:wsp>
                      <wps:cNvSpPr/>
                      <wps:spPr>
                        <a:xfrm>
                          <a:off x="0" y="0"/>
                          <a:ext cx="1158240" cy="56388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2AC19C" id="Rectangle 14" o:spid="_x0000_s1026" style="position:absolute;margin-left:94.6pt;margin-top:190.15pt;width:91.2pt;height: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" filled="f" strokecolor="windowText" strokeweight="1pt">
                <v:stroke dashstyle="dash"/>
              </v:rect>
            </w:pict>
          </mc:Fallback>
        </mc:AlternateContent>
      </w:r>
      <w:r w:rsidR="002E331B" w:rsidRPr="0092670C">
        <w:rPr>
          <w:rFonts w:ascii="Arial" w:eastAsia="Times New Roman" w:hAnsi="Arial" w:cs="Arial"/>
          <w:noProof/>
        </w:rPr>
        <mc:AlternateContent>
          <mc:Choice Requires="wps">
            <w:drawing>
              <wp:anchor distT="0" distB="0" distL="114300" distR="114300" simplePos="0" relativeHeight="251658265" behindDoc="0" locked="0" layoutInCell="1" allowOverlap="1" wp14:anchorId="541BE10C" wp14:editId="42BA3752">
                <wp:simplePos x="0" y="0"/>
                <wp:positionH relativeFrom="column">
                  <wp:posOffset>1531620</wp:posOffset>
                </wp:positionH>
                <wp:positionV relativeFrom="paragraph">
                  <wp:posOffset>1929130</wp:posOffset>
                </wp:positionV>
                <wp:extent cx="297180" cy="22860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297180" cy="228600"/>
                        </a:xfrm>
                        <a:prstGeom prst="rect">
                          <a:avLst/>
                        </a:prstGeom>
                        <a:solidFill>
                          <a:schemeClr val="lt1"/>
                        </a:solidFill>
                        <a:ln w="6350">
                          <a:noFill/>
                        </a:ln>
                      </wps:spPr>
                      <wps:txbx>
                        <w:txbxContent>
                          <w:p w14:paraId="72759A27" w14:textId="77777777" w:rsidR="000E4910" w:rsidRDefault="000E4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E10C" id="Text Box 61" o:spid="_x0000_s1029" type="#_x0000_t202" style="position:absolute;left:0;text-align:left;margin-left:120.6pt;margin-top:151.9pt;width:23.4pt;height:1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" fillcolor="white [3201]" stroked="f" strokeweight=".5pt">
                <v:textbox>
                  <w:txbxContent>
                    <w:p w14:paraId="72759A27" w14:textId="77777777" w:rsidR="000E4910" w:rsidRDefault="000E4910"/>
                  </w:txbxContent>
                </v:textbox>
              </v:shape>
            </w:pict>
          </mc:Fallback>
        </mc:AlternateContent>
      </w:r>
      <w:r w:rsidR="00FA425E" w:rsidRPr="0092670C">
        <w:rPr>
          <w:rFonts w:ascii="Arial" w:eastAsia="Times New Roman" w:hAnsi="Arial" w:cs="Arial"/>
          <w:noProof/>
        </w:rPr>
        <mc:AlternateContent>
          <mc:Choice Requires="wps">
            <w:drawing>
              <wp:anchor distT="0" distB="0" distL="114300" distR="114300" simplePos="0" relativeHeight="251658264" behindDoc="0" locked="0" layoutInCell="1" allowOverlap="1" wp14:anchorId="6DCE6D5E" wp14:editId="4E681C51">
                <wp:simplePos x="0" y="0"/>
                <wp:positionH relativeFrom="column">
                  <wp:posOffset>472440</wp:posOffset>
                </wp:positionH>
                <wp:positionV relativeFrom="paragraph">
                  <wp:posOffset>336550</wp:posOffset>
                </wp:positionV>
                <wp:extent cx="304800" cy="2743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04800" cy="274320"/>
                        </a:xfrm>
                        <a:prstGeom prst="rect">
                          <a:avLst/>
                        </a:prstGeom>
                        <a:solidFill>
                          <a:schemeClr val="lt1"/>
                        </a:solidFill>
                        <a:ln w="6350">
                          <a:noFill/>
                        </a:ln>
                      </wps:spPr>
                      <wps:txbx>
                        <w:txbxContent>
                          <w:p w14:paraId="0CCBBAD0" w14:textId="26ABCC3E" w:rsidR="000E4910" w:rsidRDefault="000E4910">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E6D5E" id="Text Box 60" o:spid="_x0000_s1030" type="#_x0000_t202" style="position:absolute;left:0;text-align:left;margin-left:37.2pt;margin-top:26.5pt;width:24pt;height:21.6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" fillcolor="white [3201]" stroked="f" strokeweight=".5pt">
                <v:textbox>
                  <w:txbxContent>
                    <w:p w14:paraId="0CCBBAD0" w14:textId="26ABCC3E" w:rsidR="000E4910" w:rsidRDefault="000E4910">
                      <w:r>
                        <w:t>i)</w:t>
                      </w:r>
                    </w:p>
                  </w:txbxContent>
                </v:textbox>
              </v:shape>
            </w:pict>
          </mc:Fallback>
        </mc:AlternateContent>
      </w:r>
      <w:r w:rsidR="0067644A" w:rsidRPr="0092670C">
        <w:rPr>
          <w:rFonts w:ascii="Arial" w:eastAsia="Calibri" w:hAnsi="Arial" w:cs="Arial"/>
          <w:noProof/>
        </w:rPr>
      </w:r>
      <w:r w:rsidR="0067644A" w:rsidRPr="0092670C">
        <w:rPr>
          <w:rFonts w:ascii="Arial" w:eastAsia="Calibri" w:hAnsi="Arial" w:cs="Arial"/>
          <w:noProof/>
        </w:rPr>
        <w:object w:dxaOrig="7252" w:dyaOrig="5569" w14:anchorId="321CC2B7">
          <v:shape id="_x0000_i1062" type="#_x0000_t75" style="width:364.8pt;height:280.6pt" o:ole="">
            <v:imagedata r:id="rId121" o:title=""/>
          </v:shape>
          <o:OLEObject Type="Embed" ProgID="Origin95.Graph" ShapeID="_x0000_i1062" DrawAspect="Content" ObjectID="_1700733951" r:id="rId122"/>
        </w:object>
      </w:r>
    </w:p>
    <w:p w14:paraId="766FA528" w14:textId="497BF7CF" w:rsidR="003E14AA" w:rsidRPr="0092670C" w:rsidRDefault="00E96A49" w:rsidP="003E14AA">
      <w:pPr>
        <w:spacing w:line="256" w:lineRule="auto"/>
        <w:jc w:val="center"/>
        <w:rPr>
          <w:rFonts w:ascii="Arial" w:eastAsia="Calibri" w:hAnsi="Arial" w:cs="Arial"/>
        </w:rPr>
      </w:pPr>
      <w:r w:rsidRPr="0092670C">
        <w:rPr>
          <w:rFonts w:ascii="Arial" w:eastAsia="Calibri" w:hAnsi="Arial" w:cs="Arial"/>
          <w:noProof/>
        </w:rPr>
        <mc:AlternateContent>
          <mc:Choice Requires="wps">
            <w:drawing>
              <wp:anchor distT="0" distB="0" distL="114300" distR="114300" simplePos="0" relativeHeight="251658242" behindDoc="0" locked="0" layoutInCell="1" allowOverlap="1" wp14:anchorId="67472974" wp14:editId="4462DA68">
                <wp:simplePos x="0" y="0"/>
                <wp:positionH relativeFrom="column">
                  <wp:posOffset>1680556</wp:posOffset>
                </wp:positionH>
                <wp:positionV relativeFrom="paragraph">
                  <wp:posOffset>2383097</wp:posOffset>
                </wp:positionV>
                <wp:extent cx="365760" cy="259080"/>
                <wp:effectExtent l="0" t="0" r="15240" b="26670"/>
                <wp:wrapNone/>
                <wp:docPr id="34" name="Text Box 17"/>
                <wp:cNvGraphicFramePr/>
                <a:graphic xmlns:a="http://schemas.openxmlformats.org/drawingml/2006/main">
                  <a:graphicData uri="http://schemas.microsoft.com/office/word/2010/wordprocessingShape">
                    <wps:wsp>
                      <wps:cNvSpPr txBox="1"/>
                      <wps:spPr>
                        <a:xfrm>
                          <a:off x="0" y="0"/>
                          <a:ext cx="365760" cy="259080"/>
                        </a:xfrm>
                        <a:prstGeom prst="rect">
                          <a:avLst/>
                        </a:prstGeom>
                        <a:solidFill>
                          <a:sysClr val="window" lastClr="FFFFFF"/>
                        </a:solidFill>
                        <a:ln w="6350">
                          <a:solidFill>
                            <a:prstClr val="black"/>
                          </a:solidFill>
                        </a:ln>
                      </wps:spPr>
                      <wps:txbx>
                        <w:txbxContent>
                          <w:p w14:paraId="0FE0BCD4" w14:textId="77777777" w:rsidR="000E4910" w:rsidRDefault="000E4910" w:rsidP="003E14AA">
                            <w:r>
                              <w:t>R</w:t>
                            </w:r>
                            <w:r>
                              <w:rPr>
                                <w:vertAlign w:val="subscript"/>
                              </w:rPr>
                              <w: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472974" id="Text Box 17" o:spid="_x0000_s1031" type="#_x0000_t202" style="position:absolute;left:0;text-align:left;margin-left:132.35pt;margin-top:187.65pt;width:28.8pt;height:20.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" fillcolor="window" strokeweight=".5pt">
                <v:textbox>
                  <w:txbxContent>
                    <w:p w14:paraId="0FE0BCD4" w14:textId="77777777" w:rsidR="000E4910" w:rsidRDefault="000E4910" w:rsidP="003E14AA">
                      <w:r>
                        <w:t>R</w:t>
                      </w:r>
                      <w:r>
                        <w:rPr>
                          <w:vertAlign w:val="subscript"/>
                        </w:rPr>
                        <w:t>el</w:t>
                      </w:r>
                    </w:p>
                  </w:txbxContent>
                </v:textbox>
              </v:shape>
            </w:pict>
          </mc:Fallback>
        </mc:AlternateContent>
      </w:r>
      <w:r w:rsidRPr="0092670C">
        <w:rPr>
          <w:rFonts w:ascii="Arial" w:eastAsia="Calibri" w:hAnsi="Arial" w:cs="Arial"/>
          <w:noProof/>
        </w:rPr>
        <mc:AlternateContent>
          <mc:Choice Requires="wps">
            <w:drawing>
              <wp:anchor distT="0" distB="0" distL="114300" distR="114300" simplePos="0" relativeHeight="251658241" behindDoc="0" locked="0" layoutInCell="1" allowOverlap="1" wp14:anchorId="7A9D5BA4" wp14:editId="783301C0">
                <wp:simplePos x="0" y="0"/>
                <wp:positionH relativeFrom="column">
                  <wp:posOffset>1862744</wp:posOffset>
                </wp:positionH>
                <wp:positionV relativeFrom="paragraph">
                  <wp:posOffset>1319414</wp:posOffset>
                </wp:positionV>
                <wp:extent cx="0" cy="1028700"/>
                <wp:effectExtent l="76200" t="38100" r="57150" b="19050"/>
                <wp:wrapNone/>
                <wp:docPr id="25" name="Straight Arrow Connector 16"/>
                <wp:cNvGraphicFramePr/>
                <a:graphic xmlns:a="http://schemas.openxmlformats.org/drawingml/2006/main">
                  <a:graphicData uri="http://schemas.microsoft.com/office/word/2010/wordprocessingShape">
                    <wps:wsp>
                      <wps:cNvCnPr/>
                      <wps:spPr>
                        <a:xfrm flipV="1">
                          <a:off x="0" y="0"/>
                          <a:ext cx="0"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5D82A5B" id="Straight Arrow Connector 16" o:spid="_x0000_s1026" type="#_x0000_t32" style="position:absolute;margin-left:146.65pt;margin-top:103.9pt;width:0;height:81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" strokecolor="windowText" strokeweight=".5pt">
                <v:stroke endarrow="block" joinstyle="miter"/>
              </v:shape>
            </w:pict>
          </mc:Fallback>
        </mc:AlternateContent>
      </w:r>
      <w:r w:rsidR="002A6715" w:rsidRPr="0092670C">
        <w:rPr>
          <w:rFonts w:ascii="Arial" w:eastAsia="Calibri" w:hAnsi="Arial" w:cs="Arial"/>
          <w:noProof/>
        </w:rPr>
        <mc:AlternateContent>
          <mc:Choice Requires="wps">
            <w:drawing>
              <wp:anchor distT="0" distB="0" distL="114300" distR="114300" simplePos="0" relativeHeight="251658243" behindDoc="0" locked="0" layoutInCell="1" allowOverlap="1" wp14:anchorId="6A37086C" wp14:editId="4B7C8C02">
                <wp:simplePos x="0" y="0"/>
                <wp:positionH relativeFrom="column">
                  <wp:posOffset>3855720</wp:posOffset>
                </wp:positionH>
                <wp:positionV relativeFrom="paragraph">
                  <wp:posOffset>2399665</wp:posOffset>
                </wp:positionV>
                <wp:extent cx="640080" cy="266700"/>
                <wp:effectExtent l="0" t="0" r="26670" b="19050"/>
                <wp:wrapNone/>
                <wp:docPr id="28" name="Text Box 19"/>
                <wp:cNvGraphicFramePr/>
                <a:graphic xmlns:a="http://schemas.openxmlformats.org/drawingml/2006/main">
                  <a:graphicData uri="http://schemas.microsoft.com/office/word/2010/wordprocessingShape">
                    <wps:wsp>
                      <wps:cNvSpPr txBox="1"/>
                      <wps:spPr>
                        <a:xfrm>
                          <a:off x="0" y="0"/>
                          <a:ext cx="640080" cy="266700"/>
                        </a:xfrm>
                        <a:prstGeom prst="rect">
                          <a:avLst/>
                        </a:prstGeom>
                        <a:solidFill>
                          <a:sysClr val="window" lastClr="FFFFFF"/>
                        </a:solidFill>
                        <a:ln w="6350">
                          <a:solidFill>
                            <a:prstClr val="black"/>
                          </a:solidFill>
                        </a:ln>
                      </wps:spPr>
                      <wps:txbx>
                        <w:txbxContent>
                          <w:p w14:paraId="3B3CDD1A" w14:textId="02290A16" w:rsidR="000E4910" w:rsidRDefault="000E4910" w:rsidP="003E14AA">
                            <w:pPr>
                              <w:rPr>
                                <w:vertAlign w:val="subscript"/>
                              </w:rPr>
                            </w:pPr>
                            <w:r>
                              <w:t>R</w:t>
                            </w:r>
                            <w:r>
                              <w:rPr>
                                <w:vertAlign w:val="subscript"/>
                              </w:rPr>
                              <w:t>el</w:t>
                            </w:r>
                            <w:r>
                              <w:t>+ R</w:t>
                            </w:r>
                            <w:r>
                              <w:rPr>
                                <w:vertAlign w:val="subscript"/>
                              </w:rPr>
                              <w:t>SEI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37086C" id="Text Box 19" o:spid="_x0000_s1032" type="#_x0000_t202" style="position:absolute;left:0;text-align:left;margin-left:303.6pt;margin-top:188.95pt;width:50.4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" fillcolor="window" strokeweight=".5pt">
                <v:textbox>
                  <w:txbxContent>
                    <w:p w14:paraId="3B3CDD1A" w14:textId="02290A16" w:rsidR="000E4910" w:rsidRDefault="000E4910" w:rsidP="003E14AA">
                      <w:pPr>
                        <w:rPr>
                          <w:vertAlign w:val="subscript"/>
                        </w:rPr>
                      </w:pPr>
                      <w:r>
                        <w:t>R</w:t>
                      </w:r>
                      <w:r>
                        <w:rPr>
                          <w:vertAlign w:val="subscript"/>
                        </w:rPr>
                        <w:t>el</w:t>
                      </w:r>
                      <w:r>
                        <w:t>+ R</w:t>
                      </w:r>
                      <w:r>
                        <w:rPr>
                          <w:vertAlign w:val="subscript"/>
                        </w:rPr>
                        <w:t>SEI</w:t>
                      </w:r>
                    </w:p>
                  </w:txbxContent>
                </v:textbox>
              </v:shape>
            </w:pict>
          </mc:Fallback>
        </mc:AlternateContent>
      </w:r>
      <w:r w:rsidR="002A6715" w:rsidRPr="0092670C">
        <w:rPr>
          <w:rFonts w:ascii="Arial" w:eastAsia="Calibri" w:hAnsi="Arial" w:cs="Arial"/>
          <w:noProof/>
        </w:rPr>
        <mc:AlternateContent>
          <mc:Choice Requires="wps">
            <w:drawing>
              <wp:anchor distT="0" distB="0" distL="114300" distR="114300" simplePos="0" relativeHeight="251658260" behindDoc="0" locked="0" layoutInCell="1" allowOverlap="1" wp14:anchorId="5A8F7632" wp14:editId="47DA834A">
                <wp:simplePos x="0" y="0"/>
                <wp:positionH relativeFrom="column">
                  <wp:posOffset>4130040</wp:posOffset>
                </wp:positionH>
                <wp:positionV relativeFrom="paragraph">
                  <wp:posOffset>746760</wp:posOffset>
                </wp:positionV>
                <wp:extent cx="0" cy="1630680"/>
                <wp:effectExtent l="76200" t="38100" r="57150" b="26670"/>
                <wp:wrapNone/>
                <wp:docPr id="54" name="Straight Arrow Connector 54"/>
                <wp:cNvGraphicFramePr/>
                <a:graphic xmlns:a="http://schemas.openxmlformats.org/drawingml/2006/main">
                  <a:graphicData uri="http://schemas.microsoft.com/office/word/2010/wordprocessingShape">
                    <wps:wsp>
                      <wps:cNvCnPr/>
                      <wps:spPr>
                        <a:xfrm flipV="1">
                          <a:off x="0" y="0"/>
                          <a:ext cx="0" cy="1630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970C9A" id="Straight Arrow Connector 54" o:spid="_x0000_s1026" type="#_x0000_t32" style="position:absolute;margin-left:325.2pt;margin-top:58.8pt;width:0;height:128.4pt;flip:y;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" strokecolor="black [3200]" strokeweight=".5pt">
                <v:stroke endarrow="block" joinstyle="miter"/>
              </v:shape>
            </w:pict>
          </mc:Fallback>
        </mc:AlternateContent>
      </w:r>
      <w:r w:rsidR="00627EE0" w:rsidRPr="0092670C">
        <w:rPr>
          <w:rFonts w:ascii="Arial" w:eastAsia="Calibri" w:hAnsi="Arial" w:cs="Arial"/>
          <w:noProof/>
        </w:rPr>
        <mc:AlternateContent>
          <mc:Choice Requires="wps">
            <w:drawing>
              <wp:anchor distT="0" distB="0" distL="114300" distR="114300" simplePos="0" relativeHeight="251658266" behindDoc="0" locked="0" layoutInCell="1" allowOverlap="1" wp14:anchorId="0368722D" wp14:editId="6D060376">
                <wp:simplePos x="0" y="0"/>
                <wp:positionH relativeFrom="column">
                  <wp:posOffset>472440</wp:posOffset>
                </wp:positionH>
                <wp:positionV relativeFrom="paragraph">
                  <wp:posOffset>336550</wp:posOffset>
                </wp:positionV>
                <wp:extent cx="411480" cy="327660"/>
                <wp:effectExtent l="0" t="0" r="7620" b="0"/>
                <wp:wrapNone/>
                <wp:docPr id="3072" name="Text Box 3072"/>
                <wp:cNvGraphicFramePr/>
                <a:graphic xmlns:a="http://schemas.openxmlformats.org/drawingml/2006/main">
                  <a:graphicData uri="http://schemas.microsoft.com/office/word/2010/wordprocessingShape">
                    <wps:wsp>
                      <wps:cNvSpPr txBox="1"/>
                      <wps:spPr>
                        <a:xfrm>
                          <a:off x="0" y="0"/>
                          <a:ext cx="411480" cy="327660"/>
                        </a:xfrm>
                        <a:prstGeom prst="rect">
                          <a:avLst/>
                        </a:prstGeom>
                        <a:solidFill>
                          <a:schemeClr val="lt1"/>
                        </a:solidFill>
                        <a:ln w="6350">
                          <a:noFill/>
                        </a:ln>
                      </wps:spPr>
                      <wps:txbx>
                        <w:txbxContent>
                          <w:p w14:paraId="74AF974A" w14:textId="7B7872D7" w:rsidR="000E4910" w:rsidRDefault="000E4910">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8722D" id="Text Box 3072" o:spid="_x0000_s1033" type="#_x0000_t202" style="position:absolute;left:0;text-align:left;margin-left:37.2pt;margin-top:26.5pt;width:32.4pt;height:25.8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" fillcolor="white [3201]" stroked="f" strokeweight=".5pt">
                <v:textbox>
                  <w:txbxContent>
                    <w:p w14:paraId="74AF974A" w14:textId="7B7872D7" w:rsidR="000E4910" w:rsidRDefault="000E4910">
                      <w:r>
                        <w:t>ii)</w:t>
                      </w:r>
                    </w:p>
                  </w:txbxContent>
                </v:textbox>
              </v:shape>
            </w:pict>
          </mc:Fallback>
        </mc:AlternateContent>
      </w:r>
      <w:r w:rsidR="003E14AA" w:rsidRPr="0092670C">
        <w:rPr>
          <w:rFonts w:ascii="Arial" w:eastAsia="Calibri" w:hAnsi="Arial" w:cs="Arial"/>
          <w:noProof/>
        </w:rPr>
        <mc:AlternateContent>
          <mc:Choice Requires="wps">
            <w:drawing>
              <wp:anchor distT="0" distB="0" distL="114300" distR="114300" simplePos="0" relativeHeight="251658246" behindDoc="0" locked="0" layoutInCell="1" allowOverlap="1" wp14:anchorId="37E110CD" wp14:editId="5F2BE350">
                <wp:simplePos x="0" y="0"/>
                <wp:positionH relativeFrom="column">
                  <wp:posOffset>3223260</wp:posOffset>
                </wp:positionH>
                <wp:positionV relativeFrom="paragraph">
                  <wp:posOffset>739775</wp:posOffset>
                </wp:positionV>
                <wp:extent cx="419100" cy="281940"/>
                <wp:effectExtent l="0" t="0" r="19050" b="22860"/>
                <wp:wrapNone/>
                <wp:docPr id="35" name="Text Box 22"/>
                <wp:cNvGraphicFramePr/>
                <a:graphic xmlns:a="http://schemas.openxmlformats.org/drawingml/2006/main">
                  <a:graphicData uri="http://schemas.microsoft.com/office/word/2010/wordprocessingShape">
                    <wps:wsp>
                      <wps:cNvSpPr txBox="1"/>
                      <wps:spPr>
                        <a:xfrm>
                          <a:off x="0" y="0"/>
                          <a:ext cx="419100" cy="281940"/>
                        </a:xfrm>
                        <a:prstGeom prst="rect">
                          <a:avLst/>
                        </a:prstGeom>
                        <a:solidFill>
                          <a:sysClr val="window" lastClr="FFFFFF"/>
                        </a:solidFill>
                        <a:ln w="6350">
                          <a:solidFill>
                            <a:prstClr val="black"/>
                          </a:solidFill>
                        </a:ln>
                      </wps:spPr>
                      <wps:txbx>
                        <w:txbxContent>
                          <w:p w14:paraId="54803A0E" w14:textId="4E576610" w:rsidR="000E4910" w:rsidRPr="00706E9C" w:rsidRDefault="000E4910" w:rsidP="003E14AA">
                            <w:pPr>
                              <w:rPr>
                                <w:vertAlign w:val="subscript"/>
                              </w:rPr>
                            </w:pPr>
                            <w:r>
                              <w:t>Z</w:t>
                            </w:r>
                            <w:r>
                              <w:rPr>
                                <w:vertAlign w:val="subscript"/>
                              </w:rPr>
                              <w:t>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E110CD" id="Text Box 22" o:spid="_x0000_s1034" type="#_x0000_t202" style="position:absolute;left:0;text-align:left;margin-left:253.8pt;margin-top:58.25pt;width:33pt;height:2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" fillcolor="window" strokeweight=".5pt">
                <v:textbox>
                  <w:txbxContent>
                    <w:p w14:paraId="54803A0E" w14:textId="4E576610" w:rsidR="000E4910" w:rsidRPr="00706E9C" w:rsidRDefault="000E4910" w:rsidP="003E14AA">
                      <w:pPr>
                        <w:rPr>
                          <w:vertAlign w:val="subscript"/>
                        </w:rPr>
                      </w:pPr>
                      <w:r>
                        <w:t>Z</w:t>
                      </w:r>
                      <w:r>
                        <w:rPr>
                          <w:vertAlign w:val="subscript"/>
                        </w:rPr>
                        <w:t>cap</w:t>
                      </w:r>
                    </w:p>
                  </w:txbxContent>
                </v:textbox>
              </v:shape>
            </w:pict>
          </mc:Fallback>
        </mc:AlternateContent>
      </w:r>
      <w:r w:rsidR="003E14AA" w:rsidRPr="0092670C">
        <w:rPr>
          <w:rFonts w:ascii="Arial" w:eastAsia="Calibri" w:hAnsi="Arial" w:cs="Arial"/>
          <w:noProof/>
        </w:rPr>
        <mc:AlternateContent>
          <mc:Choice Requires="wps">
            <w:drawing>
              <wp:anchor distT="0" distB="0" distL="114300" distR="114300" simplePos="0" relativeHeight="251658245" behindDoc="0" locked="0" layoutInCell="1" allowOverlap="1" wp14:anchorId="2A0863DD" wp14:editId="1EEBE9A8">
                <wp:simplePos x="0" y="0"/>
                <wp:positionH relativeFrom="column">
                  <wp:posOffset>1973580</wp:posOffset>
                </wp:positionH>
                <wp:positionV relativeFrom="paragraph">
                  <wp:posOffset>1275080</wp:posOffset>
                </wp:positionV>
                <wp:extent cx="1950720" cy="7620"/>
                <wp:effectExtent l="0" t="0" r="30480" b="30480"/>
                <wp:wrapNone/>
                <wp:docPr id="33" name="Straight Connector 21"/>
                <wp:cNvGraphicFramePr/>
                <a:graphic xmlns:a="http://schemas.openxmlformats.org/drawingml/2006/main">
                  <a:graphicData uri="http://schemas.microsoft.com/office/word/2010/wordprocessingShape">
                    <wps:wsp>
                      <wps:cNvCnPr/>
                      <wps:spPr>
                        <a:xfrm flipV="1">
                          <a:off x="0" y="0"/>
                          <a:ext cx="1950720" cy="762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089F1D" id="Straight Connector 21"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pt,100.4pt" to="30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" strokecolor="windowText" strokeweight=".5pt">
                <v:stroke dashstyle="dash" joinstyle="miter"/>
              </v:line>
            </w:pict>
          </mc:Fallback>
        </mc:AlternateContent>
      </w:r>
      <w:r w:rsidR="003E14AA" w:rsidRPr="0092670C">
        <w:rPr>
          <w:rFonts w:ascii="Arial" w:eastAsia="Calibri" w:hAnsi="Arial" w:cs="Arial"/>
          <w:noProof/>
        </w:rPr>
        <mc:AlternateContent>
          <mc:Choice Requires="wps">
            <w:drawing>
              <wp:anchor distT="0" distB="0" distL="114300" distR="114300" simplePos="0" relativeHeight="251658244" behindDoc="0" locked="0" layoutInCell="1" allowOverlap="1" wp14:anchorId="5B6F99BC" wp14:editId="69CC6E61">
                <wp:simplePos x="0" y="0"/>
                <wp:positionH relativeFrom="column">
                  <wp:posOffset>3131820</wp:posOffset>
                </wp:positionH>
                <wp:positionV relativeFrom="paragraph">
                  <wp:posOffset>467360</wp:posOffset>
                </wp:positionV>
                <wp:extent cx="0" cy="792480"/>
                <wp:effectExtent l="76200" t="38100" r="57150" b="64770"/>
                <wp:wrapNone/>
                <wp:docPr id="29" name="Straight Arrow Connector 20"/>
                <wp:cNvGraphicFramePr/>
                <a:graphic xmlns:a="http://schemas.openxmlformats.org/drawingml/2006/main">
                  <a:graphicData uri="http://schemas.microsoft.com/office/word/2010/wordprocessingShape">
                    <wps:wsp>
                      <wps:cNvCnPr/>
                      <wps:spPr>
                        <a:xfrm>
                          <a:off x="0" y="0"/>
                          <a:ext cx="0" cy="7924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EE25BC" id="Straight Arrow Connector 20" o:spid="_x0000_s1026" type="#_x0000_t32" style="position:absolute;margin-left:246.6pt;margin-top:36.8pt;width:0;height:6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" strokecolor="windowText" strokeweight=".5pt">
                <v:stroke startarrow="block" endarrow="block" joinstyle="miter"/>
              </v:shape>
            </w:pict>
          </mc:Fallback>
        </mc:AlternateContent>
      </w:r>
      <w:r w:rsidR="0067644A" w:rsidRPr="0092670C">
        <w:rPr>
          <w:rFonts w:ascii="Arial" w:eastAsia="Calibri" w:hAnsi="Arial" w:cs="Arial"/>
          <w:noProof/>
        </w:rPr>
      </w:r>
      <w:r w:rsidR="0067644A" w:rsidRPr="0092670C">
        <w:rPr>
          <w:rFonts w:ascii="Arial" w:eastAsia="Calibri" w:hAnsi="Arial" w:cs="Arial"/>
          <w:noProof/>
        </w:rPr>
        <w:object w:dxaOrig="5310" w:dyaOrig="4170" w14:anchorId="496645F4">
          <v:shape id="_x0000_i1063" type="#_x0000_t75" style="width:263.9pt;height:209.9pt" o:ole="">
            <v:imagedata r:id="rId123" o:title=""/>
          </v:shape>
          <o:OLEObject Type="Embed" ProgID="Origin95.Graph" ShapeID="_x0000_i1063" DrawAspect="Content" ObjectID="_1700733952" r:id="rId124"/>
        </w:object>
      </w:r>
    </w:p>
    <w:p w14:paraId="65C301E4" w14:textId="182A0A8A" w:rsidR="00FD4A91" w:rsidRPr="0092670C" w:rsidRDefault="00FD4A91" w:rsidP="00FD4A91">
      <w:pPr>
        <w:pStyle w:val="Caption"/>
        <w:jc w:val="center"/>
        <w:rPr>
          <w:rFonts w:ascii="Arial" w:eastAsia="Calibri" w:hAnsi="Arial" w:cs="Arial"/>
        </w:rPr>
      </w:pPr>
      <w:bookmarkStart w:id="103" w:name="_Ref44865813"/>
      <w:r w:rsidRPr="0092670C">
        <w:rPr>
          <w:rFonts w:ascii="Arial" w:hAnsi="Arial" w:cs="Arial"/>
        </w:rPr>
        <w:t xml:space="preserve">Figure </w:t>
      </w:r>
      <w:r w:rsidR="00356A26">
        <w:rPr>
          <w:rFonts w:ascii="Arial" w:hAnsi="Arial" w:cs="Arial"/>
        </w:rPr>
        <w:fldChar w:fldCharType="begin"/>
      </w:r>
      <w:r w:rsidR="00356A26">
        <w:rPr>
          <w:rFonts w:ascii="Arial" w:hAnsi="Arial" w:cs="Arial"/>
        </w:rPr>
        <w:instrText xml:space="preserve"> STYLEREF 1 \s </w:instrText>
      </w:r>
      <w:r w:rsidR="00356A26">
        <w:rPr>
          <w:rFonts w:ascii="Arial" w:hAnsi="Arial" w:cs="Arial"/>
        </w:rPr>
        <w:fldChar w:fldCharType="separate"/>
      </w:r>
      <w:r w:rsidR="00356A26">
        <w:rPr>
          <w:rFonts w:ascii="Arial" w:hAnsi="Arial" w:cs="Arial"/>
          <w:noProof/>
        </w:rPr>
        <w:t>2</w:t>
      </w:r>
      <w:r w:rsidR="00356A26">
        <w:rPr>
          <w:rFonts w:ascii="Arial" w:hAnsi="Arial" w:cs="Arial"/>
        </w:rPr>
        <w:fldChar w:fldCharType="end"/>
      </w:r>
      <w:r w:rsidR="00356A26">
        <w:rPr>
          <w:rFonts w:ascii="Arial" w:hAnsi="Arial" w:cs="Arial"/>
        </w:rPr>
        <w:noBreakHyphen/>
      </w:r>
      <w:r w:rsidR="00356A26">
        <w:rPr>
          <w:rFonts w:ascii="Arial" w:hAnsi="Arial" w:cs="Arial"/>
        </w:rPr>
        <w:fldChar w:fldCharType="begin"/>
      </w:r>
      <w:r w:rsidR="00356A26">
        <w:rPr>
          <w:rFonts w:ascii="Arial" w:hAnsi="Arial" w:cs="Arial"/>
        </w:rPr>
        <w:instrText xml:space="preserve"> SEQ Figure \* ARABIC \s 1 </w:instrText>
      </w:r>
      <w:r w:rsidR="00356A26">
        <w:rPr>
          <w:rFonts w:ascii="Arial" w:hAnsi="Arial" w:cs="Arial"/>
        </w:rPr>
        <w:fldChar w:fldCharType="separate"/>
      </w:r>
      <w:r w:rsidR="00356A26">
        <w:rPr>
          <w:rFonts w:ascii="Arial" w:hAnsi="Arial" w:cs="Arial"/>
          <w:noProof/>
        </w:rPr>
        <w:t>9</w:t>
      </w:r>
      <w:r w:rsidR="00356A26">
        <w:rPr>
          <w:rFonts w:ascii="Arial" w:hAnsi="Arial" w:cs="Arial"/>
        </w:rPr>
        <w:fldChar w:fldCharType="end"/>
      </w:r>
      <w:bookmarkEnd w:id="103"/>
      <w:r w:rsidRPr="0092670C">
        <w:rPr>
          <w:rFonts w:ascii="Arial" w:hAnsi="Arial" w:cs="Arial"/>
        </w:rPr>
        <w:t>: Example Nyquist plot i) with all of the circuit components visible with a cropped annotated portion below showing equivalent circuit values ii).</w:t>
      </w:r>
    </w:p>
    <w:p w14:paraId="341FD463" w14:textId="615ABADD" w:rsidR="003E14AA" w:rsidRPr="0092670C" w:rsidRDefault="003E14AA" w:rsidP="003E14AA">
      <w:pPr>
        <w:spacing w:line="360" w:lineRule="auto"/>
        <w:jc w:val="both"/>
        <w:rPr>
          <w:rFonts w:ascii="Arial" w:eastAsia="Times New Roman" w:hAnsi="Arial" w:cs="Arial"/>
        </w:rPr>
      </w:pPr>
      <w:r w:rsidRPr="0092670C">
        <w:rPr>
          <w:rFonts w:ascii="Arial" w:eastAsia="Calibri" w:hAnsi="Arial" w:cs="Arial"/>
        </w:rPr>
        <w:t xml:space="preserve">From this circuit </w:t>
      </w:r>
      <m:oMath>
        <m:sSub>
          <m:sSubPr>
            <m:ctrlPr>
              <w:rPr>
                <w:rFonts w:ascii="Cambria Math" w:eastAsia="Calibri" w:hAnsi="Cambria Math" w:cs="Arial"/>
                <w:i/>
                <w:vertAlign w:val="subscript"/>
              </w:rPr>
            </m:ctrlPr>
          </m:sSubPr>
          <m:e>
            <m:r>
              <w:rPr>
                <w:rFonts w:ascii="Cambria Math" w:eastAsia="Calibri" w:hAnsi="Cambria Math" w:cs="Arial"/>
                <w:vertAlign w:val="subscript"/>
              </w:rPr>
              <m:t>R</m:t>
            </m:r>
          </m:e>
          <m:sub>
            <m:r>
              <w:rPr>
                <w:rFonts w:ascii="Cambria Math" w:eastAsia="Calibri" w:hAnsi="Cambria Math" w:cs="Arial"/>
                <w:vertAlign w:val="subscript"/>
              </w:rPr>
              <m:t>el</m:t>
            </m:r>
          </m:sub>
        </m:sSub>
        <m:r>
          <w:rPr>
            <w:rFonts w:ascii="Cambria Math" w:eastAsia="Calibri" w:hAnsi="Cambria Math" w:cs="Arial"/>
            <w:vertAlign w:val="subscript"/>
          </w:rPr>
          <m:t xml:space="preserve"> </m:t>
        </m:r>
        <m:r>
          <w:rPr>
            <w:rFonts w:ascii="Cambria Math" w:eastAsia="Calibri" w:hAnsi="Cambria Math" w:cs="Arial"/>
          </w:rPr>
          <m:t>≈8Ω</m:t>
        </m:r>
      </m:oMath>
      <w:r w:rsidRPr="0092670C">
        <w:rPr>
          <w:rFonts w:ascii="Arial" w:eastAsia="Times New Roman" w:hAnsi="Arial" w:cs="Arial"/>
        </w:rPr>
        <w:t xml:space="preserve">, </w:t>
      </w:r>
      <m:oMath>
        <m:r>
          <w:rPr>
            <w:rFonts w:ascii="Cambria Math" w:eastAsia="Times New Roman" w:hAnsi="Cambria Math" w:cs="Arial"/>
          </w:rPr>
          <m:t>R</m:t>
        </m:r>
        <m:r>
          <w:rPr>
            <w:rFonts w:ascii="Cambria Math" w:eastAsia="Times New Roman" w:hAnsi="Cambria Math" w:cs="Arial"/>
            <w:vertAlign w:val="subscript"/>
          </w:rPr>
          <m:t>x</m:t>
        </m:r>
        <m:r>
          <w:rPr>
            <w:rFonts w:ascii="Cambria Math" w:eastAsia="Times New Roman" w:hAnsi="Cambria Math" w:cs="Arial"/>
          </w:rPr>
          <m:t>≈170Ω</m:t>
        </m:r>
      </m:oMath>
      <w:r w:rsidRPr="0092670C">
        <w:rPr>
          <w:rFonts w:ascii="Arial" w:eastAsia="Times New Roman" w:hAnsi="Arial" w:cs="Arial"/>
        </w:rPr>
        <w:t xml:space="preserve"> </w:t>
      </w:r>
      <w:r w:rsidR="002E1DA9" w:rsidRPr="0092670C">
        <w:rPr>
          <w:rFonts w:ascii="Arial" w:eastAsia="Times New Roman" w:hAnsi="Arial" w:cs="Arial"/>
        </w:rPr>
        <w:t>and</w:t>
      </w:r>
      <w:r w:rsidRPr="0092670C">
        <w:rPr>
          <w:rFonts w:ascii="Arial" w:eastAsia="Times New Roman" w:hAnsi="Arial" w:cs="Arial"/>
        </w:rPr>
        <w:t xml:space="preserve"> </w:t>
      </w:r>
      <m:oMath>
        <m:sSub>
          <m:sSubPr>
            <m:ctrlPr>
              <w:rPr>
                <w:rFonts w:ascii="Cambria Math" w:eastAsia="Times New Roman" w:hAnsi="Cambria Math" w:cs="Arial"/>
                <w:i/>
              </w:rPr>
            </m:ctrlPr>
          </m:sSubPr>
          <m:e>
            <m:r>
              <w:rPr>
                <w:rFonts w:ascii="Cambria Math" w:eastAsia="Times New Roman" w:hAnsi="Cambria Math" w:cs="Arial"/>
              </w:rPr>
              <m:t>Z</m:t>
            </m:r>
          </m:e>
          <m:sub>
            <m:r>
              <w:rPr>
                <w:rFonts w:ascii="Cambria Math" w:eastAsia="Times New Roman" w:hAnsi="Cambria Math" w:cs="Arial"/>
              </w:rPr>
              <m:t>cap</m:t>
            </m:r>
          </m:sub>
        </m:sSub>
        <m:r>
          <w:rPr>
            <w:rFonts w:ascii="Cambria Math" w:eastAsia="Times New Roman" w:hAnsi="Cambria Math" w:cs="Arial"/>
          </w:rPr>
          <m:t>≈-45Ω</m:t>
        </m:r>
      </m:oMath>
      <w:r w:rsidRPr="0092670C">
        <w:rPr>
          <w:rFonts w:ascii="Arial" w:eastAsia="Times New Roman" w:hAnsi="Arial" w:cs="Arial"/>
        </w:rPr>
        <w:t xml:space="preserve"> Knowing that this maximum occurs at 316.23Hz then </w:t>
      </w:r>
      <m:oMath>
        <m:r>
          <w:rPr>
            <w:rFonts w:ascii="Cambria Math" w:eastAsia="Times New Roman" w:hAnsi="Cambria Math" w:cs="Arial"/>
          </w:rPr>
          <m:t>C=1.118</m:t>
        </m:r>
        <m:sSup>
          <m:sSupPr>
            <m:ctrlPr>
              <w:rPr>
                <w:rFonts w:ascii="Cambria Math" w:eastAsia="Times New Roman" w:hAnsi="Cambria Math" w:cs="Arial"/>
                <w:i/>
              </w:rPr>
            </m:ctrlPr>
          </m:sSupPr>
          <m:e>
            <m:r>
              <w:rPr>
                <w:rFonts w:ascii="Cambria Math" w:eastAsia="Times New Roman" w:hAnsi="Cambria Math" w:cs="Arial"/>
              </w:rPr>
              <m:t>×10</m:t>
            </m:r>
          </m:e>
          <m:sup>
            <m:r>
              <w:rPr>
                <w:rFonts w:ascii="Cambria Math" w:eastAsia="Times New Roman" w:hAnsi="Cambria Math" w:cs="Arial"/>
              </w:rPr>
              <m:t>-5</m:t>
            </m:r>
          </m:sup>
        </m:sSup>
        <m:r>
          <w:rPr>
            <w:rFonts w:ascii="Cambria Math" w:eastAsia="Times New Roman" w:hAnsi="Cambria Math" w:cs="Arial"/>
          </w:rPr>
          <m:t>F</m:t>
        </m:r>
      </m:oMath>
    </w:p>
    <w:p w14:paraId="4423A053" w14:textId="6216F4B6"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These values are just roughly taken by eye from the plot but can be ascertained properly by looking at the values.</w:t>
      </w:r>
      <w:r w:rsidR="003A698D" w:rsidRPr="0092670C">
        <w:rPr>
          <w:rFonts w:ascii="Arial" w:eastAsia="Calibri" w:hAnsi="Arial" w:cs="Arial"/>
        </w:rPr>
        <w:t xml:space="preserve"> </w:t>
      </w:r>
      <w:r w:rsidRPr="0092670C">
        <w:rPr>
          <w:rFonts w:ascii="Arial" w:eastAsia="Calibri" w:hAnsi="Arial" w:cs="Arial"/>
        </w:rPr>
        <w:t>Z</w:t>
      </w:r>
      <w:r w:rsidR="00646F03" w:rsidRPr="0092670C">
        <w:rPr>
          <w:rFonts w:ascii="Arial" w:eastAsia="Calibri" w:hAnsi="Arial" w:cs="Arial"/>
        </w:rPr>
        <w:t>V</w:t>
      </w:r>
      <w:r w:rsidRPr="0092670C">
        <w:rPr>
          <w:rFonts w:ascii="Arial" w:eastAsia="Calibri" w:hAnsi="Arial" w:cs="Arial"/>
        </w:rPr>
        <w:t xml:space="preserve">iew </w:t>
      </w:r>
      <w:r w:rsidR="003A698D" w:rsidRPr="0092670C">
        <w:rPr>
          <w:rFonts w:ascii="Arial" w:eastAsia="Calibri" w:hAnsi="Arial" w:cs="Arial"/>
        </w:rPr>
        <w:t xml:space="preserve">software by </w:t>
      </w:r>
      <w:r w:rsidR="0002397F" w:rsidRPr="0092670C">
        <w:rPr>
          <w:rFonts w:ascii="Arial" w:eastAsia="Calibri" w:hAnsi="Arial" w:cs="Arial"/>
        </w:rPr>
        <w:t xml:space="preserve">Scribner </w:t>
      </w:r>
      <w:r w:rsidR="00F04818" w:rsidRPr="0092670C">
        <w:rPr>
          <w:rFonts w:ascii="Arial" w:eastAsia="Calibri" w:hAnsi="Arial" w:cs="Arial"/>
        </w:rPr>
        <w:t xml:space="preserve">Associates was used </w:t>
      </w:r>
      <w:r w:rsidRPr="0092670C">
        <w:rPr>
          <w:rFonts w:ascii="Arial" w:eastAsia="Calibri" w:hAnsi="Arial" w:cs="Arial"/>
        </w:rPr>
        <w:t>throughout this thesis to obtain equivalent circuit values. Z</w:t>
      </w:r>
      <w:r w:rsidR="00646F03" w:rsidRPr="0092670C">
        <w:rPr>
          <w:rFonts w:ascii="Arial" w:eastAsia="Calibri" w:hAnsi="Arial" w:cs="Arial"/>
        </w:rPr>
        <w:t>V</w:t>
      </w:r>
      <w:r w:rsidRPr="0092670C">
        <w:rPr>
          <w:rFonts w:ascii="Arial" w:eastAsia="Calibri" w:hAnsi="Arial" w:cs="Arial"/>
        </w:rPr>
        <w:t>iew uses computational modelling to extract these values from the EIS data and can provide higher accuracy over</w:t>
      </w:r>
      <w:r w:rsidR="00DA1ABF" w:rsidRPr="0092670C">
        <w:rPr>
          <w:rFonts w:ascii="Arial" w:eastAsia="Calibri" w:hAnsi="Arial" w:cs="Arial"/>
        </w:rPr>
        <w:t xml:space="preserve"> simple</w:t>
      </w:r>
      <w:r w:rsidRPr="0092670C">
        <w:rPr>
          <w:rFonts w:ascii="Arial" w:eastAsia="Calibri" w:hAnsi="Arial" w:cs="Arial"/>
        </w:rPr>
        <w:t xml:space="preserve"> graphical methods.  </w:t>
      </w:r>
    </w:p>
    <w:p w14:paraId="25CA5922" w14:textId="62C92E82" w:rsidR="003E14AA" w:rsidRDefault="003E14AA" w:rsidP="003E14AA">
      <w:pPr>
        <w:spacing w:line="360" w:lineRule="auto"/>
        <w:jc w:val="both"/>
        <w:rPr>
          <w:rFonts w:ascii="Arial" w:eastAsia="Calibri" w:hAnsi="Arial" w:cs="Arial"/>
        </w:rPr>
      </w:pPr>
      <w:r w:rsidRPr="0092670C">
        <w:rPr>
          <w:rFonts w:ascii="Arial" w:eastAsia="Calibri" w:hAnsi="Arial" w:cs="Arial"/>
        </w:rPr>
        <w:t xml:space="preserve">Not all of these elements are seen in </w:t>
      </w:r>
      <w:r w:rsidR="00771450" w:rsidRPr="0092670C">
        <w:rPr>
          <w:rFonts w:ascii="Arial" w:eastAsia="Calibri" w:hAnsi="Arial" w:cs="Arial"/>
        </w:rPr>
        <w:t xml:space="preserve">a </w:t>
      </w:r>
      <w:r w:rsidRPr="0092670C">
        <w:rPr>
          <w:rFonts w:ascii="Arial" w:eastAsia="Calibri" w:hAnsi="Arial" w:cs="Arial"/>
        </w:rPr>
        <w:t>cell and this gives information on the system. If a charge transfer element isn’t seen, then this demonstrates that the voltage of the cell is too high or low for the reaction to happen. The Warburg reaction is</w:t>
      </w:r>
      <w:r w:rsidR="008225B3">
        <w:rPr>
          <w:rFonts w:ascii="Arial" w:eastAsia="Calibri" w:hAnsi="Arial" w:cs="Arial"/>
        </w:rPr>
        <w:t>n’t always seen depending on the frequencies range applied.</w:t>
      </w:r>
    </w:p>
    <w:p w14:paraId="33278F14" w14:textId="77777777" w:rsidR="00540209" w:rsidRPr="0092670C" w:rsidRDefault="00540209" w:rsidP="00540209">
      <w:pPr>
        <w:pStyle w:val="Heading3"/>
      </w:pPr>
      <w:bookmarkStart w:id="104" w:name="_Ref26822110"/>
      <w:bookmarkStart w:id="105" w:name="_Ref26822125"/>
      <w:bookmarkStart w:id="106" w:name="_Ref26822183"/>
      <w:bookmarkStart w:id="107" w:name="_Ref26822191"/>
      <w:bookmarkStart w:id="108" w:name="_Toc82538746"/>
      <w:r w:rsidRPr="0092670C">
        <w:t>Cell Cycling (Chronopotentiometry)</w:t>
      </w:r>
      <w:bookmarkEnd w:id="104"/>
      <w:bookmarkEnd w:id="105"/>
      <w:bookmarkEnd w:id="106"/>
      <w:bookmarkEnd w:id="107"/>
      <w:bookmarkEnd w:id="108"/>
    </w:p>
    <w:p w14:paraId="0FA8CC55" w14:textId="7CF23151" w:rsidR="00540209" w:rsidRPr="0092670C" w:rsidRDefault="00540209" w:rsidP="00540209">
      <w:pPr>
        <w:spacing w:line="360" w:lineRule="auto"/>
        <w:jc w:val="both"/>
        <w:rPr>
          <w:rFonts w:ascii="Arial" w:eastAsia="Calibri" w:hAnsi="Arial" w:cs="Arial"/>
        </w:rPr>
      </w:pPr>
      <w:r w:rsidRPr="0092670C">
        <w:rPr>
          <w:rFonts w:ascii="Arial" w:eastAsia="Calibri" w:hAnsi="Arial" w:cs="Arial"/>
        </w:rPr>
        <w:t>The most common method to test the performance of a battery is to measure its capacity and observe the amount of energy it can store as the number of cycles increases. This is known as chronopotentiometry and is most commonly done by charging and discharging the cell at a constant current, (CC) described in C-rates. This C rate describes how long it</w:t>
      </w:r>
      <w:r w:rsidR="00EF78CA">
        <w:rPr>
          <w:rFonts w:ascii="Arial" w:eastAsia="Calibri" w:hAnsi="Arial" w:cs="Arial"/>
        </w:rPr>
        <w:t xml:space="preserve"> theoretically</w:t>
      </w:r>
      <w:r w:rsidRPr="0092670C">
        <w:rPr>
          <w:rFonts w:ascii="Arial" w:eastAsia="Calibri" w:hAnsi="Arial" w:cs="Arial"/>
        </w:rPr>
        <w:t xml:space="preserve"> takes to charge or discharge a cell. The C rate is inversely proportional to the charge time. For example, a charge rate of 1C means that it takes 1 hour to charge and 2C means that it takes 30 minutes to charge. </w:t>
      </w:r>
    </w:p>
    <w:p w14:paraId="59B39917" w14:textId="41CABA8C" w:rsidR="00540209" w:rsidRPr="0092670C" w:rsidRDefault="00540209" w:rsidP="00540209">
      <w:pPr>
        <w:spacing w:line="360" w:lineRule="auto"/>
        <w:jc w:val="both"/>
        <w:rPr>
          <w:rFonts w:ascii="Arial" w:eastAsia="Calibri" w:hAnsi="Arial" w:cs="Arial"/>
        </w:rPr>
      </w:pPr>
      <w:r w:rsidRPr="0092670C">
        <w:rPr>
          <w:rFonts w:ascii="Arial" w:eastAsia="Calibri" w:hAnsi="Arial" w:cs="Arial"/>
        </w:rPr>
        <w:t xml:space="preserve">There is another cycling method known as constant current constant voltage (CCCV) where within a half-cell the charge process is the same but during discharge the current is kept constant until the cut-off voltage is reached. The voltage is then kept constant whilst the current reduces. This helps to prevent overcharging and ensure that the reaction has gone to completion. An example can be found in </w:t>
      </w:r>
      <w:r w:rsidRPr="0092670C">
        <w:rPr>
          <w:rFonts w:ascii="Arial" w:eastAsia="Calibri" w:hAnsi="Arial" w:cs="Arial"/>
        </w:rPr>
        <w:fldChar w:fldCharType="begin"/>
      </w:r>
      <w:r w:rsidRPr="0092670C">
        <w:rPr>
          <w:rFonts w:ascii="Arial" w:eastAsia="Calibri" w:hAnsi="Arial" w:cs="Arial"/>
        </w:rPr>
        <w:instrText xml:space="preserve"> REF _Ref31490552 \h  \* MERGEFORMAT </w:instrText>
      </w:r>
      <w:r w:rsidRPr="0092670C">
        <w:rPr>
          <w:rFonts w:ascii="Arial" w:eastAsia="Calibri" w:hAnsi="Arial" w:cs="Arial"/>
        </w:rPr>
      </w:r>
      <w:r w:rsidRPr="0092670C">
        <w:rPr>
          <w:rFonts w:ascii="Arial" w:eastAsia="Calibri" w:hAnsi="Arial" w:cs="Arial"/>
        </w:rPr>
        <w:fldChar w:fldCharType="separate"/>
      </w:r>
      <w:r w:rsidRPr="007342C8">
        <w:rPr>
          <w:rFonts w:ascii="Arial" w:eastAsia="Calibri" w:hAnsi="Arial" w:cs="Arial"/>
        </w:rPr>
        <w:t xml:space="preserve">Figure </w:t>
      </w:r>
      <w:r w:rsidRPr="007342C8">
        <w:rPr>
          <w:rFonts w:ascii="Arial" w:eastAsia="Calibri" w:hAnsi="Arial" w:cs="Arial"/>
          <w:noProof/>
        </w:rPr>
        <w:t>2</w:t>
      </w:r>
      <w:r w:rsidRPr="007342C8">
        <w:rPr>
          <w:rFonts w:ascii="Arial" w:eastAsia="Calibri" w:hAnsi="Arial" w:cs="Arial"/>
          <w:noProof/>
        </w:rPr>
        <w:noBreakHyphen/>
        <w:t>11</w:t>
      </w:r>
      <w:r w:rsidRPr="0092670C">
        <w:rPr>
          <w:rFonts w:ascii="Arial" w:eastAsia="Calibri" w:hAnsi="Arial" w:cs="Arial"/>
        </w:rPr>
        <w:fldChar w:fldCharType="end"/>
      </w:r>
      <w:r w:rsidRPr="0092670C">
        <w:rPr>
          <w:rFonts w:ascii="Arial" w:eastAsia="Calibri" w:hAnsi="Arial" w:cs="Arial"/>
        </w:rPr>
        <w:t xml:space="preserve">. This technique is useful for half cells when you are mainly interested in only one of the reactions. For example, in graphite half cells the charge capacity is of interest as it reveals how much Li the graphite was able to maintain. CCCV is therefore used on the discharge to ensure that the maximum amount of Li can intercalate into the graphite, ready to be released. </w:t>
      </w:r>
    </w:p>
    <w:p w14:paraId="5A04FABE" w14:textId="11E82565" w:rsidR="00540209" w:rsidRDefault="00540209" w:rsidP="00540209">
      <w:pPr>
        <w:spacing w:line="360" w:lineRule="auto"/>
        <w:jc w:val="both"/>
        <w:rPr>
          <w:rFonts w:ascii="Arial" w:eastAsia="Calibri" w:hAnsi="Arial" w:cs="Arial"/>
        </w:rPr>
      </w:pPr>
      <w:r w:rsidRPr="0092670C">
        <w:rPr>
          <w:rFonts w:ascii="Arial" w:eastAsia="Calibri" w:hAnsi="Arial" w:cs="Arial"/>
        </w:rPr>
        <w:t>Here cells are usually cycled at C/10 (0.1C)</w:t>
      </w:r>
      <w:r w:rsidR="004952E3">
        <w:rPr>
          <w:rFonts w:ascii="Arial" w:eastAsia="Calibri" w:hAnsi="Arial" w:cs="Arial"/>
        </w:rPr>
        <w:t xml:space="preserve"> =36mA/g</w:t>
      </w:r>
      <w:r w:rsidRPr="0092670C">
        <w:rPr>
          <w:rFonts w:ascii="Arial" w:eastAsia="Calibri" w:hAnsi="Arial" w:cs="Arial"/>
        </w:rPr>
        <w:t>, unless stated otherwise, which means that it takes 10 hours to charge/discharge. This is typically used as it maximises the output of a cell.  A faster C-rate can potentially lower the capacity of the cell. This is due to factors such as charge screening</w:t>
      </w:r>
      <w:r w:rsidR="003D0182">
        <w:rPr>
          <w:rFonts w:ascii="Arial" w:eastAsia="Calibri" w:hAnsi="Arial" w:cs="Arial"/>
        </w:rPr>
        <w:t xml:space="preserve">, overpotential </w:t>
      </w:r>
      <w:r w:rsidRPr="0092670C">
        <w:rPr>
          <w:rFonts w:ascii="Arial" w:eastAsia="Calibri" w:hAnsi="Arial" w:cs="Arial"/>
        </w:rPr>
        <w:t>and an increase in temperature from the higher current. The longer a cell takes to charge/ discharge at the same C-rate means that the cell is closer to its theoretical capacity. Knowing the voltage allows us to create differential plots as seen below. The Voltage is primarily recorded so that the cell can be cycled within its electrochemically active window. Outside this window the electrodes can degrade rapidly. For example, if a cell reached 0V Vs. Li/Li</w:t>
      </w:r>
      <w:r w:rsidRPr="0092670C">
        <w:rPr>
          <w:rFonts w:ascii="Arial" w:eastAsia="Calibri" w:hAnsi="Arial" w:cs="Arial"/>
          <w:vertAlign w:val="superscript"/>
        </w:rPr>
        <w:t>+</w:t>
      </w:r>
      <w:r w:rsidRPr="0092670C">
        <w:rPr>
          <w:rFonts w:ascii="Arial" w:eastAsia="Calibri" w:hAnsi="Arial" w:cs="Arial"/>
        </w:rPr>
        <w:t xml:space="preserve"> then Li will start to plate on the graphite. Graphite half cells </w:t>
      </w:r>
      <w:r w:rsidR="0018774F">
        <w:rPr>
          <w:rFonts w:ascii="Arial" w:eastAsia="Calibri" w:hAnsi="Arial" w:cs="Arial"/>
        </w:rPr>
        <w:t>in this thesis are</w:t>
      </w:r>
      <w:r w:rsidRPr="0092670C">
        <w:rPr>
          <w:rFonts w:ascii="Arial" w:eastAsia="Calibri" w:hAnsi="Arial" w:cs="Arial"/>
        </w:rPr>
        <w:t xml:space="preserve"> cycled between 2.5 and 0.01V. </w:t>
      </w:r>
    </w:p>
    <w:p w14:paraId="0C1440BD" w14:textId="56B79EAB" w:rsidR="00540209" w:rsidRPr="0092670C" w:rsidRDefault="00FB12E7" w:rsidP="00540209">
      <w:pPr>
        <w:spacing w:line="360" w:lineRule="auto"/>
        <w:jc w:val="both"/>
        <w:rPr>
          <w:rFonts w:ascii="Arial" w:eastAsia="Calibri" w:hAnsi="Arial" w:cs="Arial"/>
        </w:rPr>
      </w:pPr>
      <w:r>
        <w:rPr>
          <w:rFonts w:ascii="Arial" w:eastAsia="Calibri" w:hAnsi="Arial" w:cs="Arial"/>
        </w:rPr>
        <w:t>A</w:t>
      </w:r>
      <w:r w:rsidR="0028035C">
        <w:rPr>
          <w:rFonts w:ascii="Arial" w:eastAsia="Calibri" w:hAnsi="Arial" w:cs="Arial"/>
        </w:rPr>
        <w:t>n important note is th</w:t>
      </w:r>
      <w:r w:rsidR="0005482E">
        <w:rPr>
          <w:rFonts w:ascii="Arial" w:eastAsia="Calibri" w:hAnsi="Arial" w:cs="Arial"/>
        </w:rPr>
        <w:t xml:space="preserve">at the temperature of the battery has a big impact on the </w:t>
      </w:r>
      <w:r w:rsidR="00CC1E7A">
        <w:rPr>
          <w:rFonts w:ascii="Arial" w:eastAsia="Calibri" w:hAnsi="Arial" w:cs="Arial"/>
        </w:rPr>
        <w:t>degradation and cycling performance of a cell</w:t>
      </w:r>
      <w:r w:rsidR="000A7BD2">
        <w:rPr>
          <w:rFonts w:ascii="Arial" w:eastAsia="Calibri" w:hAnsi="Arial" w:cs="Arial"/>
        </w:rPr>
        <w:t xml:space="preserve"> </w:t>
      </w:r>
      <w:r w:rsidR="008A1D30">
        <w:rPr>
          <w:rFonts w:ascii="Arial" w:eastAsia="Calibri" w:hAnsi="Arial" w:cs="Arial"/>
        </w:rPr>
        <w:fldChar w:fldCharType="begin"/>
      </w:r>
      <w:r w:rsidR="0034337D">
        <w:rPr>
          <w:rFonts w:ascii="Arial" w:eastAsia="Calibri" w:hAnsi="Arial" w:cs="Arial"/>
        </w:rPr>
        <w:instrText xml:space="preserve"> ADDIN EN.CITE &lt;EndNote&gt;&lt;Cite&gt;&lt;Author&gt;Ma&lt;/Author&gt;&lt;Year&gt;2018&lt;/Year&gt;&lt;RecNum&gt;363&lt;/RecNum&gt;&lt;DisplayText&gt;[183]&lt;/DisplayText&gt;&lt;record&gt;&lt;rec-number&gt;363&lt;/rec-number&gt;&lt;foreign-keys&gt;&lt;key app="EN" db-id="5sa9s0e0r0d9fnexra7pr5xdwd5ztevx95s2" timestamp="1629996352"&gt;363&lt;/key&gt;&lt;/foreign-keys&gt;&lt;ref-type name="Journal Article"&gt;17&lt;/ref-type&gt;&lt;contributors&gt;&lt;authors&gt;&lt;author&gt;Ma, Shuai&lt;/author&gt;&lt;author&gt;Jiang, Modi&lt;/author&gt;&lt;author&gt;Tao, Peng&lt;/author&gt;&lt;author&gt;Song, Chengyi&lt;/author&gt;&lt;author&gt;Wu, Jianbo&lt;/author&gt;&lt;author&gt;Wang, Jun&lt;/author&gt;&lt;author&gt;Deng, Tao&lt;/author&gt;&lt;author&gt;Shang, Wen&lt;/author&gt;&lt;/authors&gt;&lt;/contributors&gt;&lt;titles&gt;&lt;title&gt;Temperature effect and thermal impact in lithium-ion batteries: A review&lt;/title&gt;&lt;secondary-title&gt;Progress in Natural Science: Materials International&lt;/secondary-title&gt;&lt;/titles&gt;&lt;periodical&gt;&lt;full-title&gt;Progress in Natural Science: Materials International&lt;/full-title&gt;&lt;/periodical&gt;&lt;pages&gt;653-666&lt;/pages&gt;&lt;volume&gt;28&lt;/volume&gt;&lt;number&gt;6&lt;/number&gt;&lt;keywords&gt;&lt;keyword&gt;Lithium-ion battery&lt;/keyword&gt;&lt;keyword&gt;Temperature effect&lt;/keyword&gt;&lt;keyword&gt;Internal temperature&lt;/keyword&gt;&lt;keyword&gt;Battery management&lt;/keyword&gt;&lt;keyword&gt;Thermal management&lt;/keyword&gt;&lt;/keywords&gt;&lt;dates&gt;&lt;year&gt;2018&lt;/year&gt;&lt;pub-dates&gt;&lt;date&gt;2018/12/01/&lt;/date&gt;&lt;/pub-dates&gt;&lt;/dates&gt;&lt;isbn&gt;1002-0071&lt;/isbn&gt;&lt;urls&gt;&lt;related-urls&gt;&lt;url&gt;https://www.sciencedirect.com/science/article/pii/S1002007118307536&lt;/url&gt;&lt;/related-urls&gt;&lt;/urls&gt;&lt;electronic-resource-num&gt;https://doi.org/10.1016/j.pnsc.2018.11.002&lt;/electronic-resource-num&gt;&lt;/record&gt;&lt;/Cite&gt;&lt;/EndNote&gt;</w:instrText>
      </w:r>
      <w:r w:rsidR="008A1D30">
        <w:rPr>
          <w:rFonts w:ascii="Arial" w:eastAsia="Calibri" w:hAnsi="Arial" w:cs="Arial"/>
        </w:rPr>
        <w:fldChar w:fldCharType="separate"/>
      </w:r>
      <w:r w:rsidR="0034337D">
        <w:rPr>
          <w:rFonts w:ascii="Arial" w:eastAsia="Calibri" w:hAnsi="Arial" w:cs="Arial"/>
          <w:noProof/>
        </w:rPr>
        <w:t>[183]</w:t>
      </w:r>
      <w:r w:rsidR="008A1D30">
        <w:rPr>
          <w:rFonts w:ascii="Arial" w:eastAsia="Calibri" w:hAnsi="Arial" w:cs="Arial"/>
        </w:rPr>
        <w:fldChar w:fldCharType="end"/>
      </w:r>
      <w:r w:rsidR="00B82A63">
        <w:rPr>
          <w:rFonts w:ascii="Arial" w:eastAsia="Calibri" w:hAnsi="Arial" w:cs="Arial"/>
        </w:rPr>
        <w:t xml:space="preserve">. </w:t>
      </w:r>
      <w:r w:rsidR="005F031C">
        <w:rPr>
          <w:rFonts w:ascii="Arial" w:eastAsia="Calibri" w:hAnsi="Arial" w:cs="Arial"/>
        </w:rPr>
        <w:t xml:space="preserve">For this reason all cells </w:t>
      </w:r>
      <w:r w:rsidR="00515731">
        <w:rPr>
          <w:rFonts w:ascii="Arial" w:eastAsia="Calibri" w:hAnsi="Arial" w:cs="Arial"/>
        </w:rPr>
        <w:t xml:space="preserve">were cycled at 25°C </w:t>
      </w:r>
      <w:r w:rsidR="0088647D">
        <w:rPr>
          <w:rFonts w:ascii="Arial" w:eastAsia="Calibri" w:hAnsi="Arial" w:cs="Arial"/>
        </w:rPr>
        <w:t xml:space="preserve">in an environmental chamber to </w:t>
      </w:r>
      <w:r w:rsidR="00CA04B2">
        <w:rPr>
          <w:rFonts w:ascii="Arial" w:eastAsia="Calibri" w:hAnsi="Arial" w:cs="Arial"/>
        </w:rPr>
        <w:t>ensure that temperature wasn’t a</w:t>
      </w:r>
      <w:r w:rsidR="006C5E4A">
        <w:rPr>
          <w:rFonts w:ascii="Arial" w:eastAsia="Calibri" w:hAnsi="Arial" w:cs="Arial"/>
        </w:rPr>
        <w:t xml:space="preserve"> variab</w:t>
      </w:r>
      <w:r w:rsidR="00F42564">
        <w:rPr>
          <w:rFonts w:ascii="Arial" w:eastAsia="Calibri" w:hAnsi="Arial" w:cs="Arial"/>
        </w:rPr>
        <w:t>le during cycling.</w:t>
      </w:r>
    </w:p>
    <w:p w14:paraId="000453DA" w14:textId="77777777" w:rsidR="00540209" w:rsidRPr="0092670C" w:rsidRDefault="0067644A" w:rsidP="00540209">
      <w:pPr>
        <w:keepNext/>
        <w:spacing w:line="256" w:lineRule="auto"/>
        <w:jc w:val="center"/>
        <w:rPr>
          <w:rFonts w:ascii="Arial" w:eastAsia="Calibri" w:hAnsi="Arial" w:cs="Arial"/>
        </w:rPr>
      </w:pPr>
      <w:r w:rsidRPr="0092670C">
        <w:rPr>
          <w:rFonts w:ascii="Arial" w:eastAsia="Calibri" w:hAnsi="Arial" w:cs="Arial"/>
          <w:noProof/>
        </w:rPr>
      </w:r>
      <w:r w:rsidR="0067644A" w:rsidRPr="0092670C">
        <w:rPr>
          <w:rFonts w:ascii="Arial" w:eastAsia="Calibri" w:hAnsi="Arial" w:cs="Arial"/>
          <w:noProof/>
        </w:rPr>
        <w:object w:dxaOrig="6330" w:dyaOrig="4755" w14:anchorId="54FD498D">
          <v:shape id="_x0000_i1064" type="#_x0000_t75" style="width:318.2pt;height:239.8pt" o:ole="">
            <v:imagedata r:id="rId125" o:title=""/>
          </v:shape>
          <o:OLEObject Type="Embed" ProgID="Origin95.Graph" ShapeID="_x0000_i1064" DrawAspect="Content" ObjectID="_1700733953" r:id="rId126"/>
        </w:object>
      </w:r>
    </w:p>
    <w:p w14:paraId="411186B8" w14:textId="48E475F8" w:rsidR="00540209" w:rsidRPr="0092670C" w:rsidRDefault="00540209" w:rsidP="00540209">
      <w:pPr>
        <w:spacing w:after="200" w:line="240" w:lineRule="auto"/>
        <w:jc w:val="center"/>
        <w:rPr>
          <w:rFonts w:ascii="Arial" w:eastAsia="Calibri" w:hAnsi="Arial" w:cs="Arial"/>
          <w:i/>
          <w:iCs/>
          <w:color w:val="44546A" w:themeColor="text2"/>
          <w:sz w:val="20"/>
          <w:szCs w:val="20"/>
        </w:rPr>
      </w:pPr>
      <w:bookmarkStart w:id="109" w:name="_Ref31490552"/>
      <w:r w:rsidRPr="0092670C">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10</w:t>
      </w:r>
      <w:r w:rsidR="00356A26">
        <w:rPr>
          <w:rFonts w:ascii="Arial" w:eastAsia="Calibri" w:hAnsi="Arial" w:cs="Arial"/>
          <w:i/>
          <w:iCs/>
          <w:color w:val="44546A" w:themeColor="text2"/>
          <w:sz w:val="20"/>
          <w:szCs w:val="20"/>
        </w:rPr>
        <w:fldChar w:fldCharType="end"/>
      </w:r>
      <w:bookmarkEnd w:id="109"/>
      <w:r w:rsidRPr="0092670C">
        <w:rPr>
          <w:rFonts w:ascii="Arial" w:eastAsia="Calibri" w:hAnsi="Arial" w:cs="Arial"/>
          <w:i/>
          <w:iCs/>
          <w:color w:val="44546A" w:themeColor="text2"/>
          <w:sz w:val="20"/>
          <w:szCs w:val="20"/>
        </w:rPr>
        <w:t>: 1st cycle of a cell using a CCCV profile.</w:t>
      </w:r>
    </w:p>
    <w:p w14:paraId="586A2759" w14:textId="78426AA2" w:rsidR="00540209" w:rsidRPr="0092670C" w:rsidRDefault="00540209" w:rsidP="00540209">
      <w:pPr>
        <w:pStyle w:val="Heading3"/>
        <w:rPr>
          <w:rFonts w:ascii="Arial" w:eastAsia="Calibri" w:hAnsi="Arial" w:cs="Arial"/>
        </w:rPr>
      </w:pPr>
      <w:bookmarkStart w:id="110" w:name="_Toc82538747"/>
      <w:r w:rsidRPr="0092670C">
        <w:rPr>
          <w:rFonts w:ascii="Arial" w:eastAsia="Calibri" w:hAnsi="Arial" w:cs="Arial"/>
        </w:rPr>
        <w:t>Differential capacity</w:t>
      </w:r>
      <w:bookmarkEnd w:id="110"/>
      <w:r w:rsidRPr="0092670C">
        <w:rPr>
          <w:rFonts w:ascii="Arial" w:eastAsia="Calibri" w:hAnsi="Arial" w:cs="Arial"/>
        </w:rPr>
        <w:t xml:space="preserve"> </w:t>
      </w:r>
    </w:p>
    <w:p w14:paraId="7B745540" w14:textId="468952EA" w:rsidR="00540209" w:rsidRPr="0092670C" w:rsidRDefault="00F307B7" w:rsidP="00540209">
      <w:pPr>
        <w:spacing w:line="360" w:lineRule="auto"/>
        <w:jc w:val="both"/>
        <w:rPr>
          <w:rFonts w:ascii="Arial" w:eastAsia="Calibri" w:hAnsi="Arial" w:cs="Arial"/>
        </w:rPr>
      </w:pPr>
      <w:r>
        <w:rPr>
          <w:rFonts w:ascii="Arial" w:eastAsia="Calibri" w:hAnsi="Arial" w:cs="Arial"/>
        </w:rPr>
        <w:t xml:space="preserve">A galvanostat records both the total charge </w:t>
      </w:r>
      <w:r w:rsidR="002D4A29">
        <w:rPr>
          <w:rFonts w:ascii="Arial" w:eastAsia="Calibri" w:hAnsi="Arial" w:cs="Arial"/>
        </w:rPr>
        <w:t xml:space="preserve">that leave a cell as well as the voltage of the battery when the </w:t>
      </w:r>
      <w:r w:rsidR="004F2710">
        <w:rPr>
          <w:rFonts w:ascii="Arial" w:eastAsia="Calibri" w:hAnsi="Arial" w:cs="Arial"/>
        </w:rPr>
        <w:t xml:space="preserve">charge </w:t>
      </w:r>
      <w:r w:rsidR="00B2550E">
        <w:rPr>
          <w:rFonts w:ascii="Arial" w:eastAsia="Calibri" w:hAnsi="Arial" w:cs="Arial"/>
        </w:rPr>
        <w:t xml:space="preserve">moves between the cycler and the battery. </w:t>
      </w:r>
      <w:r w:rsidR="00540209" w:rsidRPr="0092670C">
        <w:rPr>
          <w:rFonts w:ascii="Arial" w:eastAsia="Calibri" w:hAnsi="Arial" w:cs="Arial"/>
        </w:rPr>
        <w:t xml:space="preserve">Manipulating this data gives the </w:t>
      </w:r>
      <w:r w:rsidR="002D4FBA" w:rsidRPr="0092670C">
        <w:rPr>
          <w:rFonts w:ascii="Arial" w:eastAsia="Calibri" w:hAnsi="Arial" w:cs="Arial"/>
        </w:rPr>
        <w:t>differential</w:t>
      </w:r>
      <w:r w:rsidR="00540209" w:rsidRPr="0092670C">
        <w:rPr>
          <w:rFonts w:ascii="Arial" w:eastAsia="Calibri" w:hAnsi="Arial" w:cs="Arial"/>
        </w:rPr>
        <w:t xml:space="preserve"> of the capacity of the cell with respect to voltage (dQ/dV) and is known as a differential capacity plot. This process can also be reversed (dV/dQ) and this yields different information about a cell. dQ/dV tells us where phases reach their equilibria with each other and dV/dQ informs us about the locations of the phase transitions themselves. Information derived from dQ/dV plots have been used to successfully understand phase changes and they can be used to see electrode degradation in Li</w:t>
      </w:r>
      <w:r w:rsidR="00540209" w:rsidRPr="0092670C">
        <w:rPr>
          <w:rFonts w:ascii="Arial" w:eastAsia="Calibri" w:hAnsi="Arial" w:cs="Arial"/>
        </w:rPr>
        <w:noBreakHyphen/>
        <w:t xml:space="preserve">ion cells </w:t>
      </w:r>
      <w:r w:rsidR="00540209" w:rsidRPr="0092670C">
        <w:rPr>
          <w:rFonts w:ascii="Arial" w:eastAsia="Calibri" w:hAnsi="Arial" w:cs="Arial"/>
        </w:rPr>
        <w:fldChar w:fldCharType="begin"/>
      </w:r>
      <w:r w:rsidR="0034337D">
        <w:rPr>
          <w:rFonts w:ascii="Arial" w:eastAsia="Calibri" w:hAnsi="Arial" w:cs="Arial"/>
        </w:rPr>
        <w:instrText xml:space="preserve"> ADDIN EN.CITE &lt;EndNote&gt;&lt;Cite&gt;&lt;Author&gt;Bloom&lt;/Author&gt;&lt;Year&gt;2005&lt;/Year&gt;&lt;RecNum&gt;350&lt;/RecNum&gt;&lt;DisplayText&gt;[184]&lt;/DisplayText&gt;&lt;record&gt;&lt;rec-number&gt;350&lt;/rec-number&gt;&lt;foreign-keys&gt;&lt;key app="EN" db-id="5sa9s0e0r0d9fnexra7pr5xdwd5ztevx95s2" timestamp="1571680176"&gt;350&lt;/key&gt;&lt;/foreign-keys&gt;&lt;ref-type name="Journal Article"&gt;17&lt;/ref-type&gt;&lt;contributors&gt;&lt;authors&gt;&lt;author&gt;Bloom, Ira&lt;/author&gt;&lt;author&gt;Jansen, Andrew N.&lt;/author&gt;&lt;author&gt;Abraham, Daniel P.&lt;/author&gt;&lt;author&gt;Knuth, Jamie&lt;/author&gt;&lt;author&gt;Jones, Scott A.&lt;/author&gt;&lt;author&gt;Battaglia, Vincent S.&lt;/author&gt;&lt;author&gt;Henriksen, Gary L.&lt;/author&gt;&lt;/authors&gt;&lt;/contributors&gt;&lt;titles&gt;&lt;title&gt;Differential voltage analyses of high-power, lithium-ion cells&lt;/title&gt;&lt;secondary-title&gt;Journal of Power Sources&lt;/secondary-title&gt;&lt;/titles&gt;&lt;periodical&gt;&lt;full-title&gt;Journal of Power Sources&lt;/full-title&gt;&lt;/periodical&gt;&lt;pages&gt;295-303&lt;/pages&gt;&lt;volume&gt;139&lt;/volume&gt;&lt;number&gt;1-2&lt;/number&gt;&lt;dates&gt;&lt;year&gt;2005&lt;/year&gt;&lt;/dates&gt;&lt;publisher&gt;Elsevier BV&lt;/publisher&gt;&lt;isbn&gt;0378-7753&lt;/isbn&gt;&lt;urls&gt;&lt;related-urls&gt;&lt;url&gt;https://dx.doi.org/10.1016/j.jpowsour.2004.07.021&lt;/url&gt;&lt;/related-urls&gt;&lt;pdf-urls&gt;&lt;url&gt;file://C:\Users\danie\Downloads\kopernio\Bloom-2005-Differential-voltage-analyses-of-hi.pdf&lt;/url&gt;&lt;/pdf-urls&gt;&lt;/urls&gt;&lt;electronic-resource-num&gt;10.1016/j.jpowsour.2004.07.021&lt;/electronic-resource-num&gt;&lt;/record&gt;&lt;/Cite&gt;&lt;/EndNote&gt;</w:instrText>
      </w:r>
      <w:r w:rsidR="00540209" w:rsidRPr="0092670C">
        <w:rPr>
          <w:rFonts w:ascii="Arial" w:eastAsia="Calibri" w:hAnsi="Arial" w:cs="Arial"/>
        </w:rPr>
        <w:fldChar w:fldCharType="separate"/>
      </w:r>
      <w:r w:rsidR="0034337D">
        <w:rPr>
          <w:rFonts w:ascii="Arial" w:eastAsia="Calibri" w:hAnsi="Arial" w:cs="Arial"/>
          <w:noProof/>
        </w:rPr>
        <w:t>[184]</w:t>
      </w:r>
      <w:r w:rsidR="00540209" w:rsidRPr="0092670C">
        <w:rPr>
          <w:rFonts w:ascii="Arial" w:eastAsia="Calibri" w:hAnsi="Arial" w:cs="Arial"/>
        </w:rPr>
        <w:fldChar w:fldCharType="end"/>
      </w:r>
      <w:r w:rsidR="00540209" w:rsidRPr="0092670C">
        <w:rPr>
          <w:rFonts w:ascii="Arial" w:eastAsia="Calibri" w:hAnsi="Arial" w:cs="Arial"/>
        </w:rPr>
        <w:t>.</w:t>
      </w:r>
    </w:p>
    <w:p w14:paraId="38F762E0" w14:textId="2D06433A" w:rsidR="00540209" w:rsidRPr="0092670C" w:rsidRDefault="00540209" w:rsidP="00540209">
      <w:pPr>
        <w:spacing w:line="360" w:lineRule="auto"/>
        <w:jc w:val="both"/>
        <w:rPr>
          <w:rFonts w:ascii="Arial" w:eastAsia="Times New Roman" w:hAnsi="Arial" w:cs="Arial"/>
        </w:rPr>
      </w:pPr>
      <w:r w:rsidRPr="0092670C">
        <w:rPr>
          <w:rFonts w:ascii="Arial" w:eastAsia="Calibri" w:hAnsi="Arial" w:cs="Arial"/>
        </w:rPr>
        <w:t xml:space="preserve">Differential capacity plots give information that is analogous to that found in cyclic voltammetry (CV) </w:t>
      </w:r>
      <w:r w:rsidRPr="0092670C">
        <w:rPr>
          <w:rFonts w:ascii="Arial" w:eastAsia="Calibri" w:hAnsi="Arial" w:cs="Arial"/>
        </w:rPr>
        <w:fldChar w:fldCharType="begin">
          <w:fldData xml:space="preserve">PEVuZE5vdGU+PENpdGU+PEF1dGhvcj5UaGFsbGVyPC9BdXRob3I+PFllYXI+MjAwMDwvWWVhcj48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PEVuZE5vdGU+PENpdGU+PEF1dGhvcj5UaGFsbGVyPC9BdXRob3I+PFllYXI+MjAwMDwvWWVhcj48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[185]</w:t>
      </w:r>
      <w:r w:rsidRPr="0092670C">
        <w:rPr>
          <w:rFonts w:ascii="Arial" w:eastAsia="Calibri" w:hAnsi="Arial" w:cs="Arial"/>
        </w:rPr>
        <w:fldChar w:fldCharType="end"/>
      </w:r>
      <w:r w:rsidRPr="0092670C">
        <w:rPr>
          <w:rFonts w:ascii="Arial" w:eastAsia="Calibri" w:hAnsi="Arial" w:cs="Arial"/>
        </w:rPr>
        <w:t xml:space="preserve">. This similarity means that the nomenclature for differential capacity matches that of CV. CV sweeps a voltage through a cell at a constant value per unit time (usually V/s) and the </w:t>
      </w:r>
      <w:r w:rsidR="00F741EE">
        <w:rPr>
          <w:rFonts w:ascii="Arial" w:eastAsia="Calibri" w:hAnsi="Arial" w:cs="Arial"/>
        </w:rPr>
        <w:t>resultant</w:t>
      </w:r>
      <w:r w:rsidRPr="0092670C">
        <w:rPr>
          <w:rFonts w:ascii="Arial" w:eastAsia="Calibri" w:hAnsi="Arial" w:cs="Arial"/>
        </w:rPr>
        <w:t xml:space="preserve"> current is measured. The </w:t>
      </w:r>
      <w:r w:rsidR="00AE5B5F">
        <w:rPr>
          <w:rFonts w:ascii="Arial" w:eastAsia="Calibri" w:hAnsi="Arial" w:cs="Arial"/>
        </w:rPr>
        <w:t>c</w:t>
      </w:r>
      <w:r w:rsidRPr="0092670C">
        <w:rPr>
          <w:rFonts w:ascii="Arial" w:eastAsia="Calibri" w:hAnsi="Arial" w:cs="Arial"/>
        </w:rPr>
        <w:t>yclic part of the name derives from the fact that the voltage sweep is conducted in both directions. The current output will peak at the voltage where the electrochemical reaction(s) of the cell occur</w:t>
      </w:r>
      <w:r w:rsidR="002D02B6">
        <w:rPr>
          <w:rFonts w:ascii="Arial" w:eastAsia="Calibri" w:hAnsi="Arial" w:cs="Arial"/>
        </w:rPr>
        <w:t xml:space="preserve"> in a fully reversible cell</w:t>
      </w:r>
      <w:r w:rsidRPr="0092670C">
        <w:rPr>
          <w:rFonts w:ascii="Arial" w:eastAsia="Calibri" w:hAnsi="Arial" w:cs="Arial"/>
        </w:rPr>
        <w:t xml:space="preserve">. This peak is labelled </w:t>
      </w:r>
      <m:oMath>
        <m:sSub>
          <m:sSubPr>
            <m:ctrlPr>
              <w:rPr>
                <w:rFonts w:ascii="Cambria Math" w:eastAsia="Calibri" w:hAnsi="Cambria Math" w:cs="Arial"/>
                <w:i/>
              </w:rPr>
            </m:ctrlPr>
          </m:sSubPr>
          <m:e>
            <m:r>
              <w:rPr>
                <w:rFonts w:ascii="Cambria Math" w:eastAsia="Calibri" w:hAnsi="Cambria Math" w:cs="Arial"/>
              </w:rPr>
              <m:t>i</m:t>
            </m:r>
          </m:e>
          <m:sub>
            <m:f>
              <m:fPr>
                <m:ctrlPr>
                  <w:rPr>
                    <w:rFonts w:ascii="Cambria Math" w:eastAsia="Calibri" w:hAnsi="Cambria Math" w:cs="Arial"/>
                    <w:i/>
                  </w:rPr>
                </m:ctrlPr>
              </m:fPr>
              <m:num>
                <m:r>
                  <w:rPr>
                    <w:rFonts w:ascii="Cambria Math" w:eastAsia="Calibri" w:hAnsi="Cambria Math" w:cs="Arial"/>
                  </w:rPr>
                  <m:t>pa</m:t>
                </m:r>
              </m:num>
              <m:den>
                <m:r>
                  <w:rPr>
                    <w:rFonts w:ascii="Cambria Math" w:eastAsia="Calibri" w:hAnsi="Cambria Math" w:cs="Arial"/>
                  </w:rPr>
                  <m:t>c</m:t>
                </m:r>
              </m:den>
            </m:f>
          </m:sub>
        </m:sSub>
      </m:oMath>
      <w:r w:rsidRPr="0092670C">
        <w:rPr>
          <w:rFonts w:ascii="Arial" w:eastAsia="Times New Roman" w:hAnsi="Arial" w:cs="Arial"/>
        </w:rPr>
        <w:t xml:space="preserve"> with the direction of the voltage determining if the reaction is cathodic or anodic (a/c). In a fully reversible cell </w:t>
      </w:r>
      <m:oMath>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i</m:t>
                </m:r>
              </m:e>
              <m:sub>
                <m:r>
                  <w:rPr>
                    <w:rFonts w:ascii="Cambria Math" w:eastAsia="Times New Roman" w:hAnsi="Cambria Math" w:cs="Arial"/>
                  </w:rPr>
                  <m:t>pa</m:t>
                </m:r>
              </m:sub>
            </m:sSub>
          </m:num>
          <m:den>
            <m:sSub>
              <m:sSubPr>
                <m:ctrlPr>
                  <w:rPr>
                    <w:rFonts w:ascii="Cambria Math" w:eastAsia="Times New Roman" w:hAnsi="Cambria Math" w:cs="Arial"/>
                    <w:i/>
                  </w:rPr>
                </m:ctrlPr>
              </m:sSubPr>
              <m:e>
                <m:r>
                  <w:rPr>
                    <w:rFonts w:ascii="Cambria Math" w:eastAsia="Times New Roman" w:hAnsi="Cambria Math" w:cs="Arial"/>
                  </w:rPr>
                  <m:t>i</m:t>
                </m:r>
              </m:e>
              <m:sub>
                <m:r>
                  <w:rPr>
                    <w:rFonts w:ascii="Cambria Math" w:eastAsia="Times New Roman" w:hAnsi="Cambria Math" w:cs="Arial"/>
                  </w:rPr>
                  <m:t>pc</m:t>
                </m:r>
              </m:sub>
            </m:sSub>
          </m:den>
        </m:f>
        <m:r>
          <w:rPr>
            <w:rFonts w:ascii="Cambria Math" w:eastAsia="Times New Roman" w:hAnsi="Cambria Math" w:cs="Arial"/>
          </w:rPr>
          <m:t>=1</m:t>
        </m:r>
      </m:oMath>
      <w:r w:rsidRPr="0092670C">
        <w:rPr>
          <w:rFonts w:ascii="Arial" w:eastAsia="Times New Roman" w:hAnsi="Arial" w:cs="Arial"/>
        </w:rPr>
        <w:t xml:space="preserve"> due to the principle of microscopic reversibility. The peak current can also be derived from the Randles-Sevcik equation. The Randles-Sevcik equation (</w:t>
      </w:r>
      <w:r w:rsidRPr="0092670C">
        <w:rPr>
          <w:rFonts w:ascii="Arial" w:eastAsia="Times New Roman" w:hAnsi="Arial" w:cs="Arial"/>
        </w:rPr>
        <w:fldChar w:fldCharType="begin"/>
      </w:r>
      <w:r w:rsidRPr="0092670C">
        <w:rPr>
          <w:rFonts w:ascii="Arial" w:eastAsia="Times New Roman" w:hAnsi="Arial" w:cs="Arial"/>
        </w:rPr>
        <w:instrText xml:space="preserve"> REF _Ref29206909 \h  \* MERGEFORMAT </w:instrText>
      </w:r>
      <w:r w:rsidRPr="0092670C">
        <w:rPr>
          <w:rFonts w:ascii="Arial" w:eastAsia="Times New Roman" w:hAnsi="Arial" w:cs="Arial"/>
        </w:rPr>
      </w:r>
      <w:r w:rsidRPr="0092670C">
        <w:rPr>
          <w:rFonts w:ascii="Arial" w:eastAsia="Times New Roman" w:hAnsi="Arial" w:cs="Arial"/>
        </w:rPr>
        <w:fldChar w:fldCharType="separate"/>
      </w:r>
      <w:r w:rsidRPr="007342C8">
        <w:rPr>
          <w:rFonts w:ascii="Arial" w:eastAsia="Calibri" w:hAnsi="Arial" w:cs="Arial"/>
        </w:rPr>
        <w:t xml:space="preserve">Equation </w:t>
      </w:r>
      <w:r w:rsidRPr="007342C8">
        <w:rPr>
          <w:rFonts w:ascii="Arial" w:eastAsia="Calibri" w:hAnsi="Arial" w:cs="Arial"/>
          <w:noProof/>
        </w:rPr>
        <w:t>2</w:t>
      </w:r>
      <w:r w:rsidRPr="007342C8">
        <w:rPr>
          <w:rFonts w:ascii="Arial" w:eastAsia="Calibri" w:hAnsi="Arial" w:cs="Arial"/>
          <w:noProof/>
        </w:rPr>
        <w:noBreakHyphen/>
        <w:t>1</w:t>
      </w:r>
      <w:r w:rsidRPr="0092670C">
        <w:rPr>
          <w:rFonts w:ascii="Arial" w:eastAsia="Times New Roman" w:hAnsi="Arial" w:cs="Arial"/>
        </w:rPr>
        <w:fldChar w:fldCharType="end"/>
      </w:r>
      <w:r w:rsidRPr="0092670C">
        <w:rPr>
          <w:rFonts w:ascii="Arial" w:eastAsia="Times New Roman" w:hAnsi="Arial" w:cs="Arial"/>
        </w:rPr>
        <w:t xml:space="preserve">) shows that </w:t>
      </w:r>
      <m:oMath>
        <m:sSub>
          <m:sSubPr>
            <m:ctrlPr>
              <w:rPr>
                <w:rFonts w:ascii="Cambria Math" w:eastAsia="Times New Roman" w:hAnsi="Cambria Math" w:cs="Arial"/>
                <w:i/>
              </w:rPr>
            </m:ctrlPr>
          </m:sSubPr>
          <m:e>
            <m:r>
              <w:rPr>
                <w:rFonts w:ascii="Cambria Math" w:eastAsia="Times New Roman" w:hAnsi="Cambria Math" w:cs="Arial"/>
              </w:rPr>
              <m:t>i</m:t>
            </m:r>
          </m:e>
          <m:sub>
            <m:r>
              <w:rPr>
                <w:rFonts w:ascii="Cambria Math" w:eastAsia="Times New Roman" w:hAnsi="Cambria Math" w:cs="Arial"/>
              </w:rPr>
              <m:t>p</m:t>
            </m:r>
          </m:sub>
        </m:sSub>
        <m:r>
          <w:rPr>
            <w:rFonts w:ascii="Cambria Math" w:eastAsia="Times New Roman" w:hAnsi="Cambria Math" w:cs="Arial"/>
          </w:rPr>
          <m:t xml:space="preserve">∝ </m:t>
        </m:r>
        <m:rad>
          <m:radPr>
            <m:degHide m:val="1"/>
            <m:ctrlPr>
              <w:rPr>
                <w:rFonts w:ascii="Cambria Math" w:eastAsia="Times New Roman" w:hAnsi="Cambria Math" w:cs="Arial"/>
                <w:i/>
              </w:rPr>
            </m:ctrlPr>
          </m:radPr>
          <m:deg/>
          <m:e>
            <m:r>
              <w:rPr>
                <w:rFonts w:ascii="Cambria Math" w:eastAsia="Times New Roman" w:hAnsi="Cambria Math" w:cs="Arial"/>
              </w:rPr>
              <m:t>v</m:t>
            </m:r>
          </m:e>
        </m:rad>
      </m:oMath>
      <w:r w:rsidRPr="0092670C">
        <w:rPr>
          <w:rFonts w:ascii="Arial" w:eastAsia="Times New Roman" w:hAnsi="Arial" w:cs="Arial"/>
        </w:rPr>
        <w:t xml:space="preserve">. This relationship arises from the increasing concentration gradient that arises the faster the voltage is wept. The concentration gradient is the reason for the current so the larger gradient results in the larger current. </w:t>
      </w:r>
    </w:p>
    <w:p w14:paraId="0598F123" w14:textId="77777777" w:rsidR="00540209" w:rsidRPr="0092670C" w:rsidRDefault="0067644A" w:rsidP="00540209">
      <w:pPr>
        <w:spacing w:before="400" w:line="360" w:lineRule="auto"/>
        <w:jc w:val="both"/>
        <w:rPr>
          <w:rFonts w:ascii="Arial" w:eastAsia="Times New Roman" w:hAnsi="Arial" w:cs="Arial"/>
        </w:rPr>
      </w:pPr>
      <m:oMathPara>
        <m:oMath>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p</m:t>
              </m:r>
            </m:sub>
          </m:sSub>
          <m:r>
            <w:rPr>
              <w:rFonts w:ascii="Cambria Math" w:eastAsia="Calibri" w:hAnsi="Cambria Math" w:cs="Arial"/>
            </w:rPr>
            <m:t>=268,600</m:t>
          </m:r>
          <m:sSup>
            <m:sSupPr>
              <m:ctrlPr>
                <w:rPr>
                  <w:rFonts w:ascii="Cambria Math" w:eastAsia="Calibri" w:hAnsi="Cambria Math" w:cs="Arial"/>
                  <w:i/>
                </w:rPr>
              </m:ctrlPr>
            </m:sSupPr>
            <m:e>
              <m:r>
                <w:rPr>
                  <w:rFonts w:ascii="Cambria Math" w:eastAsia="Calibri" w:hAnsi="Cambria Math" w:cs="Arial"/>
                </w:rPr>
                <m:t>n</m:t>
              </m:r>
            </m:e>
            <m:sup>
              <m:box>
                <m:boxPr>
                  <m:ctrlPr>
                    <w:rPr>
                      <w:rFonts w:ascii="Cambria Math" w:eastAsia="Calibri" w:hAnsi="Cambria Math" w:cs="Arial"/>
                      <w:i/>
                    </w:rPr>
                  </m:ctrlPr>
                </m:boxPr>
                <m:e>
                  <m:argPr>
                    <m:argSz m:val="-1"/>
                  </m:argPr>
                  <m:f>
                    <m:fPr>
                      <m:ctrlPr>
                        <w:rPr>
                          <w:rFonts w:ascii="Cambria Math" w:eastAsia="Calibri" w:hAnsi="Cambria Math" w:cs="Arial"/>
                          <w:i/>
                        </w:rPr>
                      </m:ctrlPr>
                    </m:fPr>
                    <m:num>
                      <m:r>
                        <w:rPr>
                          <w:rFonts w:ascii="Cambria Math" w:eastAsia="Calibri" w:hAnsi="Cambria Math" w:cs="Arial"/>
                        </w:rPr>
                        <m:t>3</m:t>
                      </m:r>
                    </m:num>
                    <m:den>
                      <m:r>
                        <w:rPr>
                          <w:rFonts w:ascii="Cambria Math" w:eastAsia="Calibri" w:hAnsi="Cambria Math" w:cs="Arial"/>
                        </w:rPr>
                        <m:t>2</m:t>
                      </m:r>
                    </m:den>
                  </m:f>
                </m:e>
              </m:box>
            </m:sup>
          </m:sSup>
          <m:r>
            <w:rPr>
              <w:rFonts w:ascii="Cambria Math" w:eastAsia="Calibri" w:hAnsi="Cambria Math" w:cs="Arial"/>
            </w:rPr>
            <m:t>A</m:t>
          </m:r>
          <m:rad>
            <m:radPr>
              <m:degHide m:val="1"/>
              <m:ctrlPr>
                <w:rPr>
                  <w:rFonts w:ascii="Cambria Math" w:eastAsia="Calibri" w:hAnsi="Cambria Math" w:cs="Arial"/>
                  <w:i/>
                </w:rPr>
              </m:ctrlPr>
            </m:radPr>
            <m:deg/>
            <m:e>
              <m:r>
                <w:rPr>
                  <w:rFonts w:ascii="Cambria Math" w:eastAsia="Calibri" w:hAnsi="Cambria Math" w:cs="Arial"/>
                </w:rPr>
                <m:t>D</m:t>
              </m:r>
            </m:e>
          </m:rad>
          <m:r>
            <w:rPr>
              <w:rFonts w:ascii="Cambria Math" w:eastAsia="Calibri" w:hAnsi="Cambria Math" w:cs="Arial"/>
            </w:rPr>
            <m:t>C</m:t>
          </m:r>
          <m:rad>
            <m:radPr>
              <m:degHide m:val="1"/>
              <m:ctrlPr>
                <w:rPr>
                  <w:rFonts w:ascii="Cambria Math" w:eastAsia="Calibri" w:hAnsi="Cambria Math" w:cs="Arial"/>
                  <w:i/>
                </w:rPr>
              </m:ctrlPr>
            </m:radPr>
            <m:deg/>
            <m:e>
              <m:r>
                <w:rPr>
                  <w:rFonts w:ascii="Cambria Math" w:eastAsia="Calibri" w:hAnsi="Cambria Math" w:cs="Arial"/>
                </w:rPr>
                <m:t>v</m:t>
              </m:r>
            </m:e>
          </m:rad>
        </m:oMath>
      </m:oMathPara>
    </w:p>
    <w:p w14:paraId="5767834F" w14:textId="7DC911D4" w:rsidR="00540209" w:rsidRPr="0092670C" w:rsidRDefault="00540209" w:rsidP="00540209">
      <w:pPr>
        <w:spacing w:after="400" w:line="360" w:lineRule="auto"/>
        <w:jc w:val="center"/>
        <w:rPr>
          <w:rFonts w:ascii="Arial" w:eastAsia="Times New Roman" w:hAnsi="Arial" w:cs="Arial"/>
          <w:iCs/>
          <w:color w:val="44546A" w:themeColor="text2"/>
          <w:sz w:val="20"/>
          <w:szCs w:val="20"/>
        </w:rPr>
      </w:pPr>
      <w:bookmarkStart w:id="111" w:name="_Ref29206909"/>
      <w:r w:rsidRPr="0092670C">
        <w:rPr>
          <w:rFonts w:ascii="Arial" w:eastAsia="Calibri" w:hAnsi="Arial" w:cs="Arial"/>
          <w:i/>
          <w:iCs/>
          <w:color w:val="44546A" w:themeColor="text2"/>
          <w:sz w:val="20"/>
          <w:szCs w:val="20"/>
        </w:rPr>
        <w:t xml:space="preserve">Equation </w:t>
      </w:r>
      <w:r w:rsidR="0059014F">
        <w:rPr>
          <w:rFonts w:ascii="Arial" w:eastAsia="Calibri" w:hAnsi="Arial" w:cs="Arial"/>
          <w:i/>
          <w:iCs/>
          <w:color w:val="44546A" w:themeColor="text2"/>
          <w:sz w:val="20"/>
          <w:szCs w:val="20"/>
        </w:rPr>
        <w:fldChar w:fldCharType="begin"/>
      </w:r>
      <w:r w:rsidR="0059014F">
        <w:rPr>
          <w:rFonts w:ascii="Arial" w:eastAsia="Calibri" w:hAnsi="Arial" w:cs="Arial"/>
          <w:i/>
          <w:iCs/>
          <w:color w:val="44546A" w:themeColor="text2"/>
          <w:sz w:val="20"/>
          <w:szCs w:val="20"/>
        </w:rPr>
        <w:instrText xml:space="preserve"> SEQ Equation \* ARABIC </w:instrText>
      </w:r>
      <w:r w:rsidR="0059014F">
        <w:rPr>
          <w:rFonts w:ascii="Arial" w:eastAsia="Calibri" w:hAnsi="Arial" w:cs="Arial"/>
          <w:i/>
          <w:iCs/>
          <w:color w:val="44546A" w:themeColor="text2"/>
          <w:sz w:val="20"/>
          <w:szCs w:val="20"/>
        </w:rPr>
        <w:fldChar w:fldCharType="separate"/>
      </w:r>
      <w:r w:rsidR="0059014F">
        <w:rPr>
          <w:rFonts w:ascii="Arial" w:eastAsia="Calibri" w:hAnsi="Arial" w:cs="Arial"/>
          <w:i/>
          <w:iCs/>
          <w:noProof/>
          <w:color w:val="44546A" w:themeColor="text2"/>
          <w:sz w:val="20"/>
          <w:szCs w:val="20"/>
        </w:rPr>
        <w:t>5</w:t>
      </w:r>
      <w:r w:rsidR="0059014F">
        <w:rPr>
          <w:rFonts w:ascii="Arial" w:eastAsia="Calibri" w:hAnsi="Arial" w:cs="Arial"/>
          <w:i/>
          <w:iCs/>
          <w:color w:val="44546A" w:themeColor="text2"/>
          <w:sz w:val="20"/>
          <w:szCs w:val="20"/>
        </w:rPr>
        <w:fldChar w:fldCharType="end"/>
      </w:r>
      <w:bookmarkEnd w:id="111"/>
      <w:r w:rsidRPr="0092670C">
        <w:rPr>
          <w:rFonts w:ascii="Arial" w:eastAsia="Calibri" w:hAnsi="Arial" w:cs="Arial"/>
          <w:i/>
          <w:iCs/>
          <w:color w:val="44546A" w:themeColor="text2"/>
          <w:sz w:val="20"/>
          <w:szCs w:val="20"/>
        </w:rPr>
        <w:t>: Randles-Sevcik equation at STP.</w:t>
      </w:r>
    </w:p>
    <w:p w14:paraId="3925655C" w14:textId="2D979CC8" w:rsidR="00540209" w:rsidRPr="0092670C" w:rsidRDefault="00540209" w:rsidP="00540209">
      <w:pPr>
        <w:spacing w:line="360" w:lineRule="auto"/>
        <w:jc w:val="both"/>
        <w:rPr>
          <w:rFonts w:ascii="Arial" w:eastAsia="Times New Roman" w:hAnsi="Arial" w:cs="Arial"/>
        </w:rPr>
      </w:pPr>
      <w:r w:rsidRPr="0092670C">
        <w:rPr>
          <w:rFonts w:ascii="Arial" w:eastAsia="Calibri" w:hAnsi="Arial" w:cs="Arial"/>
        </w:rPr>
        <w:t xml:space="preserve">Whilst the peak current is important the </w:t>
      </w:r>
      <w:r w:rsidR="00152270">
        <w:rPr>
          <w:rFonts w:ascii="Arial" w:eastAsia="Calibri" w:hAnsi="Arial" w:cs="Arial"/>
        </w:rPr>
        <w:t>v</w:t>
      </w:r>
      <w:r w:rsidRPr="0092670C">
        <w:rPr>
          <w:rFonts w:ascii="Arial" w:eastAsia="Calibri" w:hAnsi="Arial" w:cs="Arial"/>
        </w:rPr>
        <w:t>oltage where the current peak occurs (</w:t>
      </w:r>
      <m:oMath>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p</m:t>
            </m:r>
          </m:sub>
        </m:sSub>
      </m:oMath>
      <w:r w:rsidRPr="0092670C">
        <w:rPr>
          <w:rFonts w:ascii="Arial" w:eastAsia="Times New Roman" w:hAnsi="Arial" w:cs="Arial"/>
        </w:rPr>
        <w:t xml:space="preserve">) and the difference between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pa</m:t>
            </m:r>
          </m:sub>
        </m:sSub>
      </m:oMath>
      <w:r w:rsidRPr="0092670C">
        <w:rPr>
          <w:rFonts w:ascii="Arial" w:eastAsia="Times New Roman" w:hAnsi="Arial" w:cs="Arial"/>
        </w:rPr>
        <w:t xml:space="preserve"> and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pc</m:t>
            </m:r>
          </m:sub>
        </m:sSub>
      </m:oMath>
      <w:r w:rsidRPr="0092670C">
        <w:rPr>
          <w:rFonts w:ascii="Arial" w:eastAsia="Times New Roman" w:hAnsi="Arial" w:cs="Arial"/>
        </w:rPr>
        <w:t xml:space="preserve"> also gives us information about the system. The 2 peaks together are known as a couple. In an </w:t>
      </w:r>
      <w:r w:rsidR="00152270">
        <w:rPr>
          <w:rFonts w:ascii="Arial" w:eastAsia="Times New Roman" w:hAnsi="Arial" w:cs="Arial"/>
        </w:rPr>
        <w:t>i</w:t>
      </w:r>
      <w:r w:rsidRPr="0092670C">
        <w:rPr>
          <w:rFonts w:ascii="Arial" w:eastAsia="Times New Roman" w:hAnsi="Arial" w:cs="Arial"/>
        </w:rPr>
        <w:t xml:space="preserve">deal system the difference between the peaks in a couple </w:t>
      </w:r>
      <m:oMath>
        <m:r>
          <w:rPr>
            <w:rFonts w:ascii="Cambria Math" w:eastAsia="Times New Roman" w:hAnsi="Cambria Math" w:cs="Arial"/>
          </w:rPr>
          <m:t>is</m:t>
        </m:r>
        <m:f>
          <m:fPr>
            <m:ctrlPr>
              <w:rPr>
                <w:rFonts w:ascii="Cambria Math" w:eastAsia="Times New Roman" w:hAnsi="Cambria Math" w:cs="Arial"/>
                <w:i/>
              </w:rPr>
            </m:ctrlPr>
          </m:fPr>
          <m:num>
            <m:r>
              <w:rPr>
                <w:rFonts w:ascii="Cambria Math" w:eastAsia="Times New Roman" w:hAnsi="Cambria Math" w:cs="Arial"/>
              </w:rPr>
              <m:t>57mV</m:t>
            </m:r>
          </m:num>
          <m:den>
            <m:r>
              <w:rPr>
                <w:rFonts w:ascii="Cambria Math" w:eastAsia="Times New Roman" w:hAnsi="Cambria Math" w:cs="Arial"/>
              </w:rPr>
              <m:t>n</m:t>
            </m:r>
          </m:den>
        </m:f>
      </m:oMath>
      <w:r w:rsidRPr="0092670C">
        <w:rPr>
          <w:rFonts w:ascii="Arial" w:eastAsia="Times New Roman" w:hAnsi="Arial" w:cs="Arial"/>
        </w:rPr>
        <w:t xml:space="preserve"> where n is the number of electrons in the reaction. In real systems resistance means that this value is closer to 70 mV. Values that stray significantly from this suggest that the reaction isn’t fully reversible. </w:t>
      </w:r>
    </w:p>
    <w:p w14:paraId="6AAE5755" w14:textId="77777777" w:rsidR="00540209" w:rsidRPr="0092670C" w:rsidRDefault="00540209" w:rsidP="00540209">
      <w:pPr>
        <w:spacing w:line="360" w:lineRule="auto"/>
        <w:jc w:val="both"/>
        <w:rPr>
          <w:rFonts w:ascii="Arial" w:eastAsia="Times New Roman" w:hAnsi="Arial" w:cs="Arial"/>
        </w:rPr>
      </w:pPr>
      <w:r w:rsidRPr="0092670C">
        <w:rPr>
          <w:rFonts w:ascii="Arial" w:eastAsia="Calibri" w:hAnsi="Arial" w:cs="Arial"/>
        </w:rPr>
        <w:t xml:space="preserve">Differential capacity is slightly different to CV as it is the charge is used for the sweep as opposed to the voltage. The charge is the differentiated against voltage as the voltage change is greatest where </w:t>
      </w:r>
      <m:oMath>
        <m:sSub>
          <m:sSubPr>
            <m:ctrlPr>
              <w:rPr>
                <w:rFonts w:ascii="Cambria Math" w:eastAsia="Calibri" w:hAnsi="Cambria Math" w:cs="Arial"/>
                <w:i/>
              </w:rPr>
            </m:ctrlPr>
          </m:sSubPr>
          <m:e>
            <m:r>
              <w:rPr>
                <w:rFonts w:ascii="Cambria Math" w:eastAsia="Calibri" w:hAnsi="Cambria Math" w:cs="Arial"/>
              </w:rPr>
              <m:t>i</m:t>
            </m:r>
          </m:e>
          <m:sub>
            <m:r>
              <w:rPr>
                <w:rFonts w:ascii="Cambria Math" w:eastAsia="Calibri" w:hAnsi="Cambria Math" w:cs="Arial"/>
              </w:rPr>
              <m:t>p</m:t>
            </m:r>
          </m:sub>
        </m:sSub>
      </m:oMath>
      <w:r w:rsidRPr="0092670C">
        <w:rPr>
          <w:rFonts w:ascii="Arial" w:eastAsia="Times New Roman" w:hAnsi="Arial" w:cs="Arial"/>
        </w:rPr>
        <w:t xml:space="preserve"> would be on the corresponding voltammogram.  </w:t>
      </w:r>
    </w:p>
    <w:p w14:paraId="3D593AB6" w14:textId="715F87E1" w:rsidR="00540209" w:rsidRPr="0092670C" w:rsidRDefault="00540209" w:rsidP="00540209">
      <w:pPr>
        <w:spacing w:line="360" w:lineRule="auto"/>
        <w:jc w:val="both"/>
        <w:rPr>
          <w:rFonts w:ascii="Arial" w:eastAsia="Calibri" w:hAnsi="Arial" w:cs="Arial"/>
        </w:rPr>
      </w:pPr>
      <w:r w:rsidRPr="0092670C">
        <w:rPr>
          <w:rFonts w:ascii="Arial" w:eastAsia="Calibri" w:hAnsi="Arial" w:cs="Arial"/>
        </w:rPr>
        <w:t>Differential capacity is commonly used as it doesn’t require any extra procedures in the cycling process which could possibly alter the capacity of the cell. It also gives the flexibility to look at any cycle and its performance</w:t>
      </w:r>
      <w:r w:rsidR="007563CE">
        <w:rPr>
          <w:rFonts w:ascii="Arial" w:eastAsia="Calibri" w:hAnsi="Arial" w:cs="Arial"/>
        </w:rPr>
        <w:t xml:space="preserve">. </w:t>
      </w:r>
      <w:r w:rsidRPr="0092670C">
        <w:rPr>
          <w:rFonts w:ascii="Arial" w:eastAsia="Calibri" w:hAnsi="Arial" w:cs="Arial"/>
        </w:rPr>
        <w:t xml:space="preserve">An example set of differential capacity plots are displayed in </w:t>
      </w:r>
      <w:r w:rsidRPr="0092670C">
        <w:rPr>
          <w:rFonts w:ascii="Arial" w:eastAsia="Calibri" w:hAnsi="Arial" w:cs="Arial"/>
        </w:rPr>
        <w:fldChar w:fldCharType="begin"/>
      </w:r>
      <w:r w:rsidRPr="0092670C">
        <w:rPr>
          <w:rFonts w:ascii="Arial" w:eastAsia="Calibri" w:hAnsi="Arial" w:cs="Arial"/>
        </w:rPr>
        <w:instrText xml:space="preserve"> REF _Ref31536539 \h  \* MERGEFORMAT </w:instrText>
      </w:r>
      <w:r w:rsidRPr="0092670C">
        <w:rPr>
          <w:rFonts w:ascii="Arial" w:eastAsia="Calibri" w:hAnsi="Arial" w:cs="Arial"/>
        </w:rPr>
      </w:r>
      <w:r w:rsidRPr="0092670C">
        <w:rPr>
          <w:rFonts w:ascii="Arial" w:eastAsia="Calibri" w:hAnsi="Arial" w:cs="Arial"/>
        </w:rPr>
        <w:fldChar w:fldCharType="separate"/>
      </w:r>
      <w:r w:rsidRPr="007342C8">
        <w:rPr>
          <w:rFonts w:ascii="Arial" w:eastAsia="Calibri" w:hAnsi="Arial" w:cs="Arial"/>
        </w:rPr>
        <w:t xml:space="preserve">Figure </w:t>
      </w:r>
      <w:r w:rsidRPr="007342C8">
        <w:rPr>
          <w:rFonts w:ascii="Arial" w:eastAsia="Calibri" w:hAnsi="Arial" w:cs="Arial"/>
          <w:noProof/>
        </w:rPr>
        <w:t>2</w:t>
      </w:r>
      <w:r w:rsidRPr="007342C8">
        <w:rPr>
          <w:rFonts w:ascii="Arial" w:eastAsia="Calibri" w:hAnsi="Arial" w:cs="Arial"/>
          <w:noProof/>
        </w:rPr>
        <w:noBreakHyphen/>
        <w:t>12</w:t>
      </w:r>
      <w:r w:rsidRPr="0092670C">
        <w:rPr>
          <w:rFonts w:ascii="Arial" w:eastAsia="Calibri" w:hAnsi="Arial" w:cs="Arial"/>
        </w:rPr>
        <w:fldChar w:fldCharType="end"/>
      </w:r>
      <w:r w:rsidRPr="0092670C">
        <w:rPr>
          <w:rFonts w:ascii="Arial" w:eastAsia="Calibri" w:hAnsi="Arial" w:cs="Arial"/>
        </w:rPr>
        <w:t xml:space="preserve"> demonstrating how the technique can differentiate between cells that otherwise have similar initial electrochemical properties. </w:t>
      </w:r>
    </w:p>
    <w:p w14:paraId="232E2200" w14:textId="4EA5CAAE" w:rsidR="00540209" w:rsidRDefault="00540209" w:rsidP="00540209">
      <w:pPr>
        <w:spacing w:line="360" w:lineRule="auto"/>
        <w:jc w:val="both"/>
        <w:rPr>
          <w:rFonts w:ascii="Arial" w:eastAsia="Calibri" w:hAnsi="Arial" w:cs="Arial"/>
        </w:rPr>
      </w:pPr>
      <w:r w:rsidRPr="0092670C">
        <w:rPr>
          <w:rFonts w:ascii="Arial" w:eastAsia="Calibri" w:hAnsi="Arial" w:cs="Arial"/>
        </w:rPr>
        <w:t xml:space="preserve">Some points need to be kept in mind when looking at differential capacity plots. CV is a highly accurate technique whereas differential capacity plots isn’t a technique but a manipulation of the existing capacity data. </w:t>
      </w:r>
    </w:p>
    <w:p w14:paraId="1E2A9B46" w14:textId="77777777" w:rsidR="0059014F" w:rsidRDefault="00186E27" w:rsidP="0059014F">
      <w:pPr>
        <w:keepNext/>
        <w:spacing w:line="360" w:lineRule="auto"/>
        <w:jc w:val="center"/>
      </w:pPr>
      <m:oMathPara>
        <m:oMath>
          <m:r>
            <w:rPr>
              <w:rFonts w:ascii="Cambria Math" w:eastAsia="Calibri" w:hAnsi="Cambria Math" w:cs="Arial"/>
            </w:rPr>
            <m:t>Li+3</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6</m:t>
              </m:r>
            </m:sub>
          </m:sSub>
          <m:r>
            <w:rPr>
              <w:rFonts w:ascii="Cambria Math" w:eastAsia="Calibri" w:hAnsi="Cambria Math" w:cs="Arial"/>
            </w:rPr>
            <m:t>→Li</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18</m:t>
              </m:r>
            </m:sub>
          </m:sSub>
          <m:r>
            <w:rPr>
              <w:rFonts w:ascii="Cambria Math" w:eastAsia="Calibri" w:hAnsi="Cambria Math" w:cs="Arial"/>
            </w:rPr>
            <m:t xml:space="preserve">        Li+2Li</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18</m:t>
              </m:r>
            </m:sub>
          </m:sSub>
          <m:r>
            <w:rPr>
              <w:rFonts w:ascii="Cambria Math" w:eastAsia="Calibri" w:hAnsi="Cambria Math" w:cs="Arial"/>
            </w:rPr>
            <m:t>→3Li</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12</m:t>
              </m:r>
            </m:sub>
          </m:sSub>
          <m:r>
            <w:rPr>
              <w:rFonts w:ascii="Cambria Math" w:eastAsia="Calibri" w:hAnsi="Cambria Math" w:cs="Arial"/>
            </w:rPr>
            <m:t xml:space="preserve">    Li+Li</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12</m:t>
              </m:r>
            </m:sub>
          </m:sSub>
          <m:r>
            <w:rPr>
              <w:rFonts w:ascii="Cambria Math" w:eastAsia="Calibri" w:hAnsi="Cambria Math" w:cs="Arial"/>
            </w:rPr>
            <m:t>→2Li</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6</m:t>
              </m:r>
            </m:sub>
          </m:sSub>
        </m:oMath>
      </m:oMathPara>
    </w:p>
    <w:p w14:paraId="495D45E9" w14:textId="5A6ED9C7" w:rsidR="00186E27" w:rsidRPr="0059014F" w:rsidRDefault="0059014F" w:rsidP="0059014F">
      <w:pPr>
        <w:pStyle w:val="Caption"/>
        <w:jc w:val="center"/>
        <w:rPr>
          <w:rFonts w:ascii="Arial" w:eastAsia="Calibri" w:hAnsi="Arial" w:cs="Arial"/>
          <w:sz w:val="20"/>
          <w:szCs w:val="20"/>
        </w:rPr>
      </w:pPr>
      <w:bookmarkStart w:id="112" w:name="_Ref82790992"/>
      <w:r w:rsidRPr="0059014F">
        <w:rPr>
          <w:rFonts w:ascii="Arial" w:hAnsi="Arial" w:cs="Arial"/>
          <w:sz w:val="20"/>
          <w:szCs w:val="20"/>
        </w:rPr>
        <w:t xml:space="preserve">Equation </w:t>
      </w:r>
      <w:r w:rsidRPr="0059014F">
        <w:rPr>
          <w:rFonts w:ascii="Arial" w:hAnsi="Arial" w:cs="Arial"/>
          <w:sz w:val="20"/>
          <w:szCs w:val="20"/>
        </w:rPr>
        <w:fldChar w:fldCharType="begin"/>
      </w:r>
      <w:r w:rsidRPr="0059014F">
        <w:rPr>
          <w:rFonts w:ascii="Arial" w:hAnsi="Arial" w:cs="Arial"/>
          <w:sz w:val="20"/>
          <w:szCs w:val="20"/>
        </w:rPr>
        <w:instrText xml:space="preserve"> SEQ Equation \* ARABIC </w:instrText>
      </w:r>
      <w:r w:rsidRPr="0059014F">
        <w:rPr>
          <w:rFonts w:ascii="Arial" w:hAnsi="Arial" w:cs="Arial"/>
          <w:sz w:val="20"/>
          <w:szCs w:val="20"/>
        </w:rPr>
        <w:fldChar w:fldCharType="separate"/>
      </w:r>
      <w:r w:rsidRPr="0059014F">
        <w:rPr>
          <w:rFonts w:ascii="Arial" w:hAnsi="Arial" w:cs="Arial"/>
          <w:noProof/>
          <w:sz w:val="20"/>
          <w:szCs w:val="20"/>
        </w:rPr>
        <w:t>6</w:t>
      </w:r>
      <w:r w:rsidRPr="0059014F">
        <w:rPr>
          <w:rFonts w:ascii="Arial" w:hAnsi="Arial" w:cs="Arial"/>
          <w:sz w:val="20"/>
          <w:szCs w:val="20"/>
        </w:rPr>
        <w:fldChar w:fldCharType="end"/>
      </w:r>
      <w:bookmarkEnd w:id="112"/>
      <w:r w:rsidRPr="0059014F">
        <w:rPr>
          <w:rFonts w:ascii="Arial" w:hAnsi="Arial" w:cs="Arial"/>
          <w:sz w:val="20"/>
          <w:szCs w:val="20"/>
        </w:rPr>
        <w:t>: Chemical reaction for the lithiation of graphite</w:t>
      </w:r>
    </w:p>
    <w:p w14:paraId="3BDB1139" w14:textId="722829E0" w:rsidR="00540209" w:rsidRPr="0092670C" w:rsidRDefault="00540209" w:rsidP="00540209">
      <w:pPr>
        <w:spacing w:line="360" w:lineRule="auto"/>
        <w:jc w:val="both"/>
        <w:rPr>
          <w:rFonts w:ascii="Arial" w:eastAsia="Calibri" w:hAnsi="Arial" w:cs="Arial"/>
        </w:rPr>
      </w:pPr>
      <w:r w:rsidRPr="0092670C">
        <w:rPr>
          <w:rFonts w:ascii="Arial" w:eastAsia="Calibri" w:hAnsi="Arial" w:cs="Arial"/>
        </w:rPr>
        <w:t xml:space="preserve">CV itself is frequently used for observing the cyclability of graphite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&lt;EndNote&gt;&lt;Cite&gt;&lt;Author&gt;Aurbach&lt;/Author&gt;&lt;Year&gt;1998&lt;/Year&gt;&lt;RecNum&gt;56&lt;/RecNum&gt;&lt;DisplayText&gt;[181]&lt;/DisplayText&gt;&lt;record&gt;&lt;rec-number&gt;56&lt;/rec-number&gt;&lt;foreign-keys&gt;&lt;key app="EN" db-id="5sa9s0e0r0d9fnexra7pr5xdwd5ztevx95s2" timestamp="1513781973"&gt;56&lt;/key&gt;&lt;/foreign-keys&gt;&lt;ref-type name="Journal Article"&gt;17&lt;/ref-type&gt;&lt;contributors&gt;&lt;authors&gt;&lt;author&gt;Aurbach, Doron&lt;/author&gt;&lt;author&gt;Levi, Mikhail D.&lt;/author&gt;&lt;author&gt;Levi, Elena&lt;/author&gt;&lt;author&gt;Teller, Hanan&lt;/author&gt;&lt;author&gt;Markovsky, Boris&lt;/author&gt;&lt;author&gt;Salitra, Gregory&lt;/author&gt;&lt;author&gt;Heider, Udo&lt;/author&gt;&lt;author&gt;Heider, Lilia&lt;/author&gt;&lt;/authors&gt;&lt;/contributors&gt;&lt;titles&gt;&lt;title&gt;Common Electroanalytical Behavior of Li Intercalation Processes into Graphite and Transition Metal Oxides&lt;/title&gt;&lt;secondary-title&gt;Journal of The Electrochemical Society&lt;/secondary-title&gt;&lt;/titles&gt;&lt;periodical&gt;&lt;full-title&gt;Journal of the Electrochemical Society&lt;/full-title&gt;&lt;abbr-1&gt;J. Electrochem. Soc.&lt;/abbr-1&gt;&lt;/periodical&gt;&lt;pages&gt;3024-3034&lt;/pages&gt;&lt;volume&gt;145&lt;/volume&gt;&lt;number&gt;9&lt;/number&gt;&lt;dates&gt;&lt;year&gt;1998&lt;/year&gt;&lt;pub-dates&gt;&lt;date&gt;September 1, 1998&lt;/date&gt;&lt;/pub-dates&gt;&lt;/dates&gt;&lt;urls&gt;&lt;related-urls&gt;&lt;url&gt;http://jes.ecsdl.org/content/145/9/3024.abstract&lt;/url&gt;&lt;/related-urls&gt;&lt;/urls&gt;&lt;electronic-resource-num&gt;10.1149/1.1838758&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[181]</w:t>
      </w:r>
      <w:r w:rsidRPr="0092670C">
        <w:rPr>
          <w:rFonts w:ascii="Arial" w:eastAsia="Calibri" w:hAnsi="Arial" w:cs="Arial"/>
        </w:rPr>
        <w:fldChar w:fldCharType="end"/>
      </w:r>
      <w:r w:rsidRPr="0092670C">
        <w:rPr>
          <w:rFonts w:ascii="Arial" w:eastAsia="Calibri" w:hAnsi="Arial" w:cs="Arial"/>
        </w:rPr>
        <w:t xml:space="preserve">. The Lithium-graphite reaction is far from the idealised equations discussed. Li intercalation into graphite actually consists of 3 </w:t>
      </w:r>
      <w:r w:rsidRPr="00795509">
        <w:rPr>
          <w:rFonts w:ascii="Arial" w:eastAsia="Calibri" w:hAnsi="Arial" w:cs="Arial"/>
        </w:rPr>
        <w:t>separate reactions</w:t>
      </w:r>
      <w:r w:rsidR="0059014F" w:rsidRPr="00795509">
        <w:rPr>
          <w:rFonts w:ascii="Arial" w:eastAsia="Calibri" w:hAnsi="Arial" w:cs="Arial"/>
        </w:rPr>
        <w:t xml:space="preserve"> </w:t>
      </w:r>
      <w:r w:rsidR="00795509" w:rsidRPr="00795509">
        <w:rPr>
          <w:rFonts w:ascii="Arial" w:eastAsia="Calibri" w:hAnsi="Arial" w:cs="Arial"/>
        </w:rPr>
        <w:t>(</w:t>
      </w:r>
      <w:r w:rsidR="00795509" w:rsidRPr="00795509">
        <w:rPr>
          <w:rFonts w:ascii="Arial" w:eastAsia="Calibri" w:hAnsi="Arial" w:cs="Arial"/>
        </w:rPr>
        <w:fldChar w:fldCharType="begin"/>
      </w:r>
      <w:r w:rsidR="00795509" w:rsidRPr="00795509">
        <w:rPr>
          <w:rFonts w:ascii="Arial" w:eastAsia="Calibri" w:hAnsi="Arial" w:cs="Arial"/>
        </w:rPr>
        <w:instrText xml:space="preserve"> REF _Ref82790992 \h  \* MERGEFORMAT </w:instrText>
      </w:r>
      <w:r w:rsidR="00795509" w:rsidRPr="00795509">
        <w:rPr>
          <w:rFonts w:ascii="Arial" w:eastAsia="Calibri" w:hAnsi="Arial" w:cs="Arial"/>
        </w:rPr>
      </w:r>
      <w:r w:rsidR="00795509" w:rsidRPr="00795509">
        <w:rPr>
          <w:rFonts w:ascii="Arial" w:eastAsia="Calibri" w:hAnsi="Arial" w:cs="Arial"/>
        </w:rPr>
        <w:fldChar w:fldCharType="separate"/>
      </w:r>
      <w:r w:rsidR="00795509" w:rsidRPr="00795509">
        <w:rPr>
          <w:rFonts w:ascii="Arial" w:hAnsi="Arial" w:cs="Arial"/>
        </w:rPr>
        <w:t xml:space="preserve">Equation </w:t>
      </w:r>
      <w:r w:rsidR="00795509" w:rsidRPr="00795509">
        <w:rPr>
          <w:rFonts w:ascii="Arial" w:hAnsi="Arial" w:cs="Arial"/>
          <w:noProof/>
        </w:rPr>
        <w:t>6</w:t>
      </w:r>
      <w:r w:rsidR="00795509" w:rsidRPr="00795509">
        <w:rPr>
          <w:rFonts w:ascii="Arial" w:eastAsia="Calibri" w:hAnsi="Arial" w:cs="Arial"/>
        </w:rPr>
        <w:fldChar w:fldCharType="end"/>
      </w:r>
      <w:r w:rsidR="00795509" w:rsidRPr="00795509">
        <w:rPr>
          <w:rFonts w:ascii="Arial" w:eastAsia="Calibri" w:hAnsi="Arial" w:cs="Arial"/>
        </w:rPr>
        <w:t>)</w:t>
      </w:r>
      <w:r w:rsidRPr="00795509">
        <w:rPr>
          <w:rFonts w:ascii="Arial" w:eastAsia="Calibri" w:hAnsi="Arial" w:cs="Arial"/>
        </w:rPr>
        <w:t xml:space="preserve"> that combine </w:t>
      </w:r>
      <w:r w:rsidRPr="0092670C">
        <w:rPr>
          <w:rFonts w:ascii="Arial" w:eastAsia="Calibri" w:hAnsi="Arial" w:cs="Arial"/>
        </w:rPr>
        <w:t xml:space="preserve">into the overall reaction </w:t>
      </w:r>
      <m:oMath>
        <m:r>
          <w:rPr>
            <w:rFonts w:ascii="Cambria Math" w:eastAsia="Calibri" w:hAnsi="Cambria Math" w:cs="Arial"/>
          </w:rPr>
          <m:t>Li+</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6</m:t>
            </m:r>
          </m:sub>
        </m:sSub>
        <m:r>
          <w:rPr>
            <w:rFonts w:ascii="Cambria Math" w:eastAsia="Calibri" w:hAnsi="Cambria Math" w:cs="Arial"/>
          </w:rPr>
          <m:t>→Li</m:t>
        </m:r>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6</m:t>
            </m:r>
          </m:sub>
        </m:sSub>
      </m:oMath>
      <w:r w:rsidRPr="0092670C">
        <w:rPr>
          <w:rFonts w:ascii="Arial" w:eastAsia="Calibri" w:hAnsi="Arial" w:cs="Arial"/>
        </w:rPr>
        <w:t xml:space="preserve">. Each separate reaction has a different couple at slightly different voltages. Due to the small differences between these 3 couples slow scan rate cyclic voltammetry (SSCV) is typically used to ensure that they can be separated from each other. This means that a single voltammogram could take over 20 hours to complete. This SSCV technique has been used to show the SEI growth in the first cycle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&lt;EndNote&gt;&lt;Cite&gt;&lt;Author&gt;Shim&lt;/Author&gt;&lt;Year&gt;2007&lt;/Year&gt;&lt;RecNum&gt;223&lt;/RecNum&gt;&lt;DisplayText&gt;[105]&lt;/DisplayText&gt;&lt;record&gt;&lt;rec-number&gt;223&lt;/rec-number&gt;&lt;foreign-keys&gt;&lt;key app="EN" db-id="5sa9s0e0r0d9fnexra7pr5xdwd5ztevx95s2" timestamp="1555324357"&gt;223&lt;/key&gt;&lt;/foreign-keys&gt;&lt;ref-type name="Journal Article"&gt;17&lt;/ref-type&gt;&lt;contributors&gt;&lt;authors&gt;&lt;author&gt;Shim, Eun-Gi&lt;/author&gt;&lt;author&gt;Nam, Tae-Heum&lt;/author&gt;&lt;author&gt;Kim, Jung-Gu&lt;/author&gt;&lt;author&gt;Kim, Hyun-Soo&lt;/author&gt;&lt;author&gt;Moon, Seong-In&lt;/author&gt;&lt;/authors&gt;&lt;/contributors&gt;&lt;titles&gt;&lt;title&gt;Effect of vinyl acetate plus vinylene carbonate and vinyl ethylene carbonate plus biphenyl as electrolyte additives on the electrochemical performance of Li-ion batteries&lt;/title&gt;&lt;secondary-title&gt;Electrochimica Acta&lt;/secondary-title&gt;&lt;/titles&gt;&lt;periodical&gt;&lt;full-title&gt;Electrochimica Acta&lt;/full-title&gt;&lt;/periodical&gt;&lt;pages&gt;650-656&lt;/pages&gt;&lt;volume&gt;53&lt;/volume&gt;&lt;number&gt;2&lt;/number&gt;&lt;keywords&gt;&lt;keyword&gt;Electrolyte additives&lt;/keyword&gt;&lt;keyword&gt;Vinyl acetate&lt;/keyword&gt;&lt;keyword&gt;Vinylene carbonate&lt;/keyword&gt;&lt;keyword&gt;Vinyl ethylene carbonate&lt;/keyword&gt;&lt;keyword&gt;Biphenyl&lt;/keyword&gt;&lt;/keywords&gt;&lt;dates&gt;&lt;year&gt;2007&lt;/year&gt;&lt;pub-dates&gt;&lt;date&gt;2007/12/01/&lt;/date&gt;&lt;/pub-dates&gt;&lt;/dates&gt;&lt;isbn&gt;0013-4686&lt;/isbn&gt;&lt;urls&gt;&lt;related-urls&gt;&lt;url&gt;http://www.sciencedirect.com/science/article/pii/S0013468607009024&lt;/url&gt;&lt;/related-urls&gt;&lt;/urls&gt;&lt;electronic-resource-num&gt;https://doi.org/10.1016/j.electacta.2007.07.026&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[105]</w:t>
      </w:r>
      <w:r w:rsidRPr="0092670C">
        <w:rPr>
          <w:rFonts w:ascii="Arial" w:eastAsia="Calibri" w:hAnsi="Arial" w:cs="Arial"/>
        </w:rPr>
        <w:fldChar w:fldCharType="end"/>
      </w:r>
      <w:r w:rsidRPr="0092670C">
        <w:rPr>
          <w:rFonts w:ascii="Arial" w:eastAsia="Calibri" w:hAnsi="Arial" w:cs="Arial"/>
        </w:rPr>
        <w:t xml:space="preserve">. </w:t>
      </w:r>
    </w:p>
    <w:p w14:paraId="5E308C86" w14:textId="77777777" w:rsidR="00540209" w:rsidRPr="0092670C" w:rsidRDefault="00540209" w:rsidP="00540209">
      <w:pPr>
        <w:spacing w:line="360" w:lineRule="auto"/>
        <w:jc w:val="both"/>
        <w:rPr>
          <w:rFonts w:ascii="Arial" w:eastAsia="Calibri" w:hAnsi="Arial" w:cs="Arial"/>
        </w:rPr>
      </w:pPr>
    </w:p>
    <w:p w14:paraId="078BE233" w14:textId="77777777" w:rsidR="00540209" w:rsidRPr="0092670C" w:rsidRDefault="0067644A" w:rsidP="00540209">
      <w:pPr>
        <w:keepNext/>
        <w:spacing w:line="256" w:lineRule="auto"/>
        <w:jc w:val="center"/>
        <w:rPr>
          <w:rFonts w:ascii="Arial" w:eastAsia="Calibri" w:hAnsi="Arial" w:cs="Arial"/>
        </w:rPr>
      </w:pPr>
      <w:r w:rsidRPr="0092670C">
        <w:rPr>
          <w:rFonts w:ascii="Arial" w:eastAsia="Calibri" w:hAnsi="Arial" w:cs="Arial"/>
          <w:noProof/>
        </w:rPr>
      </w:r>
      <w:r w:rsidR="0067644A" w:rsidRPr="0092670C">
        <w:rPr>
          <w:rFonts w:ascii="Arial" w:eastAsia="Calibri" w:hAnsi="Arial" w:cs="Arial"/>
          <w:noProof/>
        </w:rPr>
        <w:object w:dxaOrig="6195" w:dyaOrig="4755" w14:anchorId="13FB84EF">
          <v:shape id="_x0000_i1065" type="#_x0000_t75" style="width:294.1pt;height:227.9pt" o:ole="">
            <v:imagedata r:id="rId127" o:title=""/>
          </v:shape>
          <o:OLEObject Type="Embed" ProgID="Origin95.Graph" ShapeID="_x0000_i1065" DrawAspect="Content" ObjectID="_1700733954" r:id="rId128"/>
        </w:object>
      </w:r>
    </w:p>
    <w:p w14:paraId="1C717920" w14:textId="7208B508" w:rsidR="00540209" w:rsidRPr="0092670C" w:rsidRDefault="00540209" w:rsidP="00540209">
      <w:pPr>
        <w:spacing w:after="200" w:line="240" w:lineRule="auto"/>
        <w:jc w:val="center"/>
        <w:rPr>
          <w:rFonts w:ascii="Arial" w:eastAsia="Calibri" w:hAnsi="Arial" w:cs="Arial"/>
          <w:i/>
          <w:iCs/>
          <w:color w:val="44546A" w:themeColor="text2"/>
          <w:sz w:val="20"/>
          <w:szCs w:val="20"/>
        </w:rPr>
      </w:pPr>
      <w:bookmarkStart w:id="113" w:name="_Ref31536539"/>
      <w:r w:rsidRPr="0092670C">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11</w:t>
      </w:r>
      <w:r w:rsidR="00356A26">
        <w:rPr>
          <w:rFonts w:ascii="Arial" w:eastAsia="Calibri" w:hAnsi="Arial" w:cs="Arial"/>
          <w:i/>
          <w:iCs/>
          <w:color w:val="44546A" w:themeColor="text2"/>
          <w:sz w:val="20"/>
          <w:szCs w:val="20"/>
        </w:rPr>
        <w:fldChar w:fldCharType="end"/>
      </w:r>
      <w:bookmarkEnd w:id="113"/>
      <w:r w:rsidRPr="0092670C">
        <w:rPr>
          <w:rFonts w:ascii="Arial" w:eastAsia="Calibri" w:hAnsi="Arial" w:cs="Arial"/>
          <w:i/>
          <w:iCs/>
          <w:color w:val="44546A" w:themeColor="text2"/>
          <w:sz w:val="20"/>
          <w:szCs w:val="20"/>
        </w:rPr>
        <w:t xml:space="preserve">: Differential capacity plot of a cell with and without pre-lithiation. The well-defined peaks and smaller difference between </w:t>
      </w:r>
      <m:oMath>
        <m:sSub>
          <m:sSubPr>
            <m:ctrlPr>
              <w:rPr>
                <w:rFonts w:ascii="Cambria Math" w:eastAsia="Calibri" w:hAnsi="Cambria Math" w:cs="Arial"/>
                <w:i/>
                <w:iCs/>
                <w:color w:val="44546A" w:themeColor="text2"/>
                <w:sz w:val="20"/>
                <w:szCs w:val="20"/>
              </w:rPr>
            </m:ctrlPr>
          </m:sSubPr>
          <m:e>
            <m:r>
              <w:rPr>
                <w:rFonts w:ascii="Cambria Math" w:eastAsia="Calibri" w:hAnsi="Cambria Math" w:cs="Arial"/>
                <w:color w:val="44546A" w:themeColor="text2"/>
                <w:sz w:val="20"/>
                <w:szCs w:val="20"/>
              </w:rPr>
              <m:t>E</m:t>
            </m:r>
          </m:e>
          <m:sub>
            <m:r>
              <w:rPr>
                <w:rFonts w:ascii="Cambria Math" w:eastAsia="Calibri" w:hAnsi="Cambria Math" w:cs="Arial"/>
                <w:color w:val="44546A" w:themeColor="text2"/>
                <w:sz w:val="20"/>
                <w:szCs w:val="20"/>
              </w:rPr>
              <m:t>pa</m:t>
            </m:r>
          </m:sub>
        </m:sSub>
      </m:oMath>
      <w:r w:rsidRPr="0092670C">
        <w:rPr>
          <w:rFonts w:ascii="Arial" w:eastAsia="Calibri" w:hAnsi="Arial" w:cs="Arial"/>
          <w:i/>
          <w:iCs/>
          <w:color w:val="44546A" w:themeColor="text2"/>
          <w:sz w:val="20"/>
          <w:szCs w:val="20"/>
        </w:rPr>
        <w:t xml:space="preserve"> and </w:t>
      </w:r>
      <m:oMath>
        <m:sSub>
          <m:sSubPr>
            <m:ctrlPr>
              <w:rPr>
                <w:rFonts w:ascii="Cambria Math" w:eastAsia="Calibri" w:hAnsi="Cambria Math" w:cs="Arial"/>
                <w:i/>
                <w:iCs/>
                <w:color w:val="44546A" w:themeColor="text2"/>
                <w:sz w:val="20"/>
                <w:szCs w:val="20"/>
              </w:rPr>
            </m:ctrlPr>
          </m:sSubPr>
          <m:e>
            <m:r>
              <w:rPr>
                <w:rFonts w:ascii="Cambria Math" w:eastAsia="Calibri" w:hAnsi="Cambria Math" w:cs="Arial"/>
                <w:color w:val="44546A" w:themeColor="text2"/>
                <w:sz w:val="20"/>
                <w:szCs w:val="20"/>
              </w:rPr>
              <m:t>E</m:t>
            </m:r>
          </m:e>
          <m:sub>
            <m:r>
              <w:rPr>
                <w:rFonts w:ascii="Cambria Math" w:eastAsia="Calibri" w:hAnsi="Cambria Math" w:cs="Arial"/>
                <w:color w:val="44546A" w:themeColor="text2"/>
                <w:sz w:val="20"/>
                <w:szCs w:val="20"/>
              </w:rPr>
              <m:t>pc</m:t>
            </m:r>
          </m:sub>
        </m:sSub>
      </m:oMath>
      <w:r w:rsidRPr="0092670C">
        <w:rPr>
          <w:rFonts w:ascii="Arial" w:eastAsia="Calibri" w:hAnsi="Arial" w:cs="Arial"/>
          <w:i/>
          <w:iCs/>
          <w:color w:val="44546A" w:themeColor="text2"/>
          <w:sz w:val="20"/>
          <w:szCs w:val="20"/>
        </w:rPr>
        <w:t xml:space="preserve"> suggest that the cell is cycling more efficiently.</w:t>
      </w:r>
    </w:p>
    <w:p w14:paraId="484075C0" w14:textId="1433B93B" w:rsidR="00540209" w:rsidRPr="0092670C" w:rsidRDefault="00540209" w:rsidP="00540209">
      <w:pPr>
        <w:spacing w:line="360" w:lineRule="auto"/>
        <w:jc w:val="both"/>
        <w:rPr>
          <w:rFonts w:ascii="Arial" w:eastAsia="Calibri" w:hAnsi="Arial" w:cs="Arial"/>
        </w:rPr>
      </w:pPr>
      <w:r w:rsidRPr="0092670C">
        <w:rPr>
          <w:rFonts w:ascii="Arial" w:eastAsia="Calibri" w:hAnsi="Arial" w:cs="Arial"/>
        </w:rPr>
        <w:t xml:space="preserve">Electrochemical voltage spectroscopy has also been used to observe changes in Li-ion cells </w:t>
      </w:r>
      <w:r w:rsidRPr="0092670C">
        <w:rPr>
          <w:rFonts w:ascii="Arial" w:eastAsia="Calibri" w:hAnsi="Arial" w:cs="Arial"/>
        </w:rPr>
        <w:fldChar w:fldCharType="begin">
          <w:fldData xml:space="preserve">PEVuZE5vdGU+PENpdGU+PEF1dGhvcj5ZYW5nPC9BdXRob3I+PFllYXI+MjAxMDwvWWVhcj48UmVj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PEVuZE5vdGU+PENpdGU+PEF1dGhvcj5ZYW5nPC9BdXRob3I+PFllYXI+MjAxMDwvWWVhcj48UmVj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[186, 187]</w:t>
      </w:r>
      <w:r w:rsidRPr="0092670C">
        <w:rPr>
          <w:rFonts w:ascii="Arial" w:eastAsia="Calibri" w:hAnsi="Arial" w:cs="Arial"/>
        </w:rPr>
        <w:fldChar w:fldCharType="end"/>
      </w:r>
      <w:r w:rsidRPr="0092670C">
        <w:rPr>
          <w:rFonts w:ascii="Arial" w:eastAsia="Calibri" w:hAnsi="Arial" w:cs="Arial"/>
        </w:rPr>
        <w:t xml:space="preserve">. EVS was used by Lucht </w:t>
      </w:r>
      <w:r w:rsidRPr="0092670C">
        <w:rPr>
          <w:rFonts w:ascii="Arial" w:eastAsia="Calibri" w:hAnsi="Arial" w:cs="Arial"/>
          <w:i/>
        </w:rPr>
        <w:t xml:space="preserve">et al. </w:t>
      </w:r>
      <w:r w:rsidRPr="0092670C">
        <w:rPr>
          <w:rFonts w:ascii="Arial" w:eastAsia="Calibri" w:hAnsi="Arial" w:cs="Arial"/>
        </w:rPr>
        <w:t xml:space="preserve">to understand electrolyte breakdown at high voltages and its effect on cell performance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&lt;EndNote&gt;&lt;Cite&gt;&lt;Author&gt;Parimalam&lt;/Author&gt;&lt;Year&gt;2018&lt;/Year&gt;&lt;RecNum&gt;207&lt;/RecNum&gt;&lt;DisplayText&gt;[188]&lt;/DisplayText&gt;&lt;record&gt;&lt;rec-number&gt;207&lt;/rec-number&gt;&lt;foreign-keys&gt;&lt;key app="EN" db-id="5sa9s0e0r0d9fnexra7pr5xdwd5ztevx95s2" timestamp="1554466582"&gt;207&lt;/key&gt;&lt;/foreign-keys&gt;&lt;ref-type name="Journal Article"&gt;17&lt;/ref-type&gt;&lt;contributors&gt;&lt;authors&gt;&lt;author&gt;Parimalam, Bharathy S&lt;/author&gt;&lt;author&gt;Lucht, Brett L&lt;/author&gt;&lt;/authors&gt;&lt;/contributors&gt;&lt;titles&gt;&lt;title&gt;Reduction Reactions of Electrolyte Salts for Lithium Ion Batteries: LiPF6, LiBF4, LiDFOB, LiBOB, and LiTFSI&lt;/title&gt;&lt;secondary-title&gt;Journal of The Electrochemical Society&lt;/secondary-title&gt;&lt;/titles&gt;&lt;periodical&gt;&lt;full-title&gt;Journal of the Electrochemical Society&lt;/full-title&gt;&lt;abbr-1&gt;J. Electrochem. Soc.&lt;/abbr-1&gt;&lt;/periodical&gt;&lt;pages&gt;A251-A255&lt;/pages&gt;&lt;volume&gt;165&lt;/volume&gt;&lt;number&gt;2&lt;/number&gt;&lt;dates&gt;&lt;year&gt;2018&lt;/year&gt;&lt;/dates&gt;&lt;isbn&gt;0013-4651&lt;/isbn&gt;&lt;urls&gt;&lt;/urls&gt;&lt;/record&gt;&lt;/Cite&gt;&lt;/EndNote&gt;</w:instrText>
      </w:r>
      <w:r w:rsidRPr="0092670C">
        <w:rPr>
          <w:rFonts w:ascii="Arial" w:eastAsia="Calibri" w:hAnsi="Arial" w:cs="Arial"/>
        </w:rPr>
        <w:fldChar w:fldCharType="separate"/>
      </w:r>
      <w:r w:rsidR="0034337D">
        <w:rPr>
          <w:rFonts w:ascii="Arial" w:eastAsia="Calibri" w:hAnsi="Arial" w:cs="Arial"/>
          <w:noProof/>
        </w:rPr>
        <w:t>[188]</w:t>
      </w:r>
      <w:r w:rsidRPr="0092670C">
        <w:rPr>
          <w:rFonts w:ascii="Arial" w:eastAsia="Calibri" w:hAnsi="Arial" w:cs="Arial"/>
        </w:rPr>
        <w:fldChar w:fldCharType="end"/>
      </w:r>
      <w:r w:rsidRPr="0092670C">
        <w:rPr>
          <w:rFonts w:ascii="Arial" w:eastAsia="Calibri" w:hAnsi="Arial" w:cs="Arial"/>
        </w:rPr>
        <w:t xml:space="preserve">. They found that larger ΔV occurred after cycling at higher voltages which they attributed to cathode degradation. </w:t>
      </w:r>
    </w:p>
    <w:p w14:paraId="13947C65" w14:textId="77777777" w:rsidR="004F4BEA" w:rsidRPr="0092670C" w:rsidRDefault="004F4BEA" w:rsidP="004F4BEA">
      <w:pPr>
        <w:pStyle w:val="Heading3"/>
      </w:pPr>
      <w:bookmarkStart w:id="114" w:name="_Toc82538748"/>
      <w:r w:rsidRPr="0092670C">
        <w:t>Galvanostatic &amp; potentiostatic intermittent titration technique</w:t>
      </w:r>
      <w:bookmarkEnd w:id="114"/>
      <w:r w:rsidRPr="0092670C">
        <w:t xml:space="preserve"> </w:t>
      </w:r>
    </w:p>
    <w:p w14:paraId="4274E936" w14:textId="539A2EDF" w:rsidR="004F4BEA" w:rsidRPr="0092670C" w:rsidRDefault="004F4BEA" w:rsidP="004F4BEA">
      <w:pPr>
        <w:spacing w:line="360" w:lineRule="auto"/>
        <w:jc w:val="both"/>
        <w:rPr>
          <w:rFonts w:ascii="Arial" w:eastAsia="Calibri" w:hAnsi="Arial" w:cs="Arial"/>
        </w:rPr>
      </w:pPr>
      <w:r w:rsidRPr="0092670C">
        <w:rPr>
          <w:rFonts w:ascii="Arial" w:eastAsia="Calibri" w:hAnsi="Arial" w:cs="Arial"/>
        </w:rPr>
        <w:t>The galvanostatic intermittent titration technique (GITT) was invented by Weppner and Huggins in 1977 to obtain the Li diffusion coefficient of a Li</w:t>
      </w:r>
      <w:r w:rsidRPr="0092670C">
        <w:rPr>
          <w:rFonts w:ascii="Arial" w:eastAsia="Calibri" w:hAnsi="Arial" w:cs="Arial"/>
          <w:vertAlign w:val="subscript"/>
        </w:rPr>
        <w:t>3</w:t>
      </w:r>
      <w:r w:rsidRPr="0092670C">
        <w:rPr>
          <w:rFonts w:ascii="Arial" w:eastAsia="Calibri" w:hAnsi="Arial" w:cs="Arial"/>
        </w:rPr>
        <w:t xml:space="preserve">Sb system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&lt;EndNote&gt;&lt;Cite&gt;&lt;Author&gt;Weppner&lt;/Author&gt;&lt;Year&gt;1977&lt;/Year&gt;&lt;RecNum&gt;180&lt;/RecNum&gt;&lt;DisplayText&gt;[189]&lt;/DisplayText&gt;&lt;record&gt;&lt;rec-number&gt;180&lt;/rec-number&gt;&lt;foreign-keys&gt;&lt;key app="EN" db-id="5sa9s0e0r0d9fnexra7pr5xdwd5ztevx95s2" timestamp="1551353254"&gt;180&lt;/key&gt;&lt;/foreign-keys&gt;&lt;ref-type name="Journal Article"&gt;17&lt;/ref-type&gt;&lt;contributors&gt;&lt;authors&gt;&lt;author&gt;Weppner, W.&lt;/author&gt;&lt;author&gt;Huggins, R. A.&lt;/author&gt;&lt;/authors&gt;&lt;/contributors&gt;&lt;titles&gt;&lt;title&gt;Determination of the Kinetic Parameters of Mixed</w:instrText>
      </w:r>
      <w:r w:rsidR="0034337D">
        <w:rPr>
          <w:rFonts w:ascii="Cambria Math" w:eastAsia="Calibri" w:hAnsi="Cambria Math" w:cs="Cambria Math"/>
        </w:rPr>
        <w:instrText>‐</w:instrText>
      </w:r>
      <w:r w:rsidR="0034337D">
        <w:rPr>
          <w:rFonts w:ascii="Arial" w:eastAsia="Calibri" w:hAnsi="Arial" w:cs="Arial"/>
        </w:rPr>
        <w:instrText>Conducting Electrodes and Application to the System Li3Sb&lt;/title&gt;&lt;secondary-title&gt;Journal of The Electrochemical Society&lt;/secondary-title&gt;&lt;/titles&gt;&lt;periodical&gt;&lt;full-title&gt;Journal of the Electrochemical Society&lt;/full-title&gt;&lt;abbr-1&gt;J. Electrochem. Soc.&lt;/abbr-1&gt;&lt;/periodical&gt;&lt;pages&gt;1569-1578&lt;/pages&gt;&lt;volume&gt;124&lt;/volume&gt;&lt;number&gt;10&lt;/number&gt;&lt;dates&gt;&lt;year&gt;1977&lt;/year&gt;&lt;pub-dates&gt;&lt;date&gt;October 1, 1977&lt;/date&gt;&lt;/pub-dates&gt;&lt;/dates&gt;&lt;urls&gt;&lt;related-urls&gt;&lt;url&gt;http://jes.ecsdl.org/content/124/10/1569.abstract&lt;/url&gt;&lt;/related-urls&gt;&lt;/urls&gt;&lt;electronic-resource-num&gt;10.1149/1.2133112&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[189]</w:t>
      </w:r>
      <w:r w:rsidRPr="0092670C">
        <w:rPr>
          <w:rFonts w:ascii="Arial" w:eastAsia="Calibri" w:hAnsi="Arial" w:cs="Arial"/>
        </w:rPr>
        <w:fldChar w:fldCharType="end"/>
      </w:r>
      <w:r w:rsidRPr="0092670C">
        <w:rPr>
          <w:rFonts w:ascii="Arial" w:eastAsia="Calibri" w:hAnsi="Arial" w:cs="Arial"/>
        </w:rPr>
        <w:t xml:space="preserve">. Obtaining the diffusion coefficient of ions is extremely important for many electrochemical systems as it gives information about the transport properties of the system. GITT works by pulsing current through the system for a set period of time. This gives us </w:t>
      </w:r>
      <w:bookmarkStart w:id="115" w:name="_Hlk2267812"/>
      <w:r w:rsidRPr="0092670C">
        <w:rPr>
          <w:rFonts w:ascii="Arial" w:eastAsia="Calibri" w:hAnsi="Arial" w:cs="Arial"/>
        </w:rPr>
        <w:t>Δ</w:t>
      </w:r>
      <w:bookmarkEnd w:id="115"/>
      <w:r w:rsidRPr="0092670C">
        <w:rPr>
          <w:rFonts w:ascii="Arial" w:eastAsia="Calibri" w:hAnsi="Arial" w:cs="Arial"/>
        </w:rPr>
        <w:t>E</w:t>
      </w:r>
      <w:r w:rsidRPr="0092670C">
        <w:rPr>
          <w:rFonts w:ascii="Arial" w:eastAsia="Calibri" w:hAnsi="Arial" w:cs="Arial"/>
          <w:vertAlign w:val="subscript"/>
        </w:rPr>
        <w:t>t.</w:t>
      </w:r>
      <w:r w:rsidRPr="0092670C">
        <w:rPr>
          <w:rFonts w:ascii="Arial" w:eastAsia="Calibri" w:hAnsi="Arial" w:cs="Arial"/>
        </w:rPr>
        <w:t xml:space="preserve"> Once the pulse is stopped the voltage drops instantly due to the resistance of the cell (IR drop).</w:t>
      </w:r>
      <w:r w:rsidRPr="0092670C">
        <w:rPr>
          <w:rFonts w:ascii="Arial" w:eastAsia="Calibri" w:hAnsi="Arial" w:cs="Arial"/>
          <w:vertAlign w:val="subscript"/>
        </w:rPr>
        <w:t xml:space="preserve"> </w:t>
      </w:r>
      <w:r w:rsidRPr="0092670C">
        <w:rPr>
          <w:rFonts w:ascii="Arial" w:eastAsia="Calibri" w:hAnsi="Arial" w:cs="Arial"/>
        </w:rPr>
        <w:t xml:space="preserve">The system is then left to rest until the voltage plateaus. Once the voltage has reached a minimum the process is repeated. The difference between the two voltage minima gives us </w:t>
      </w:r>
      <w:bookmarkStart w:id="116" w:name="_Hlk2267829"/>
      <w:r w:rsidRPr="0092670C">
        <w:rPr>
          <w:rFonts w:ascii="Arial" w:eastAsia="Calibri" w:hAnsi="Arial" w:cs="Arial"/>
        </w:rPr>
        <w:t>ΔE</w:t>
      </w:r>
      <w:r w:rsidRPr="0092670C">
        <w:rPr>
          <w:rFonts w:ascii="Arial" w:eastAsia="Calibri" w:hAnsi="Arial" w:cs="Arial"/>
          <w:vertAlign w:val="subscript"/>
        </w:rPr>
        <w:t>s</w:t>
      </w:r>
      <w:bookmarkEnd w:id="116"/>
      <w:r w:rsidRPr="0092670C">
        <w:rPr>
          <w:rFonts w:ascii="Arial" w:eastAsia="Calibri" w:hAnsi="Arial" w:cs="Arial"/>
        </w:rPr>
        <w:t xml:space="preserve">. This process can then be repeated over the whole voltage range of the cell (or less as desired). An overview of this process can be </w:t>
      </w:r>
      <w:r w:rsidRPr="000578BA">
        <w:rPr>
          <w:rFonts w:ascii="Arial" w:eastAsia="Calibri" w:hAnsi="Arial" w:cs="Arial"/>
        </w:rPr>
        <w:t xml:space="preserve">seen in </w:t>
      </w:r>
      <w:r w:rsidRPr="00F4628F">
        <w:rPr>
          <w:rFonts w:ascii="Arial" w:eastAsia="Calibri" w:hAnsi="Arial" w:cs="Arial"/>
        </w:rPr>
        <w:fldChar w:fldCharType="begin"/>
      </w:r>
      <w:r w:rsidRPr="00F4628F">
        <w:rPr>
          <w:rFonts w:ascii="Arial" w:eastAsia="Calibri" w:hAnsi="Arial" w:cs="Arial"/>
        </w:rPr>
        <w:instrText xml:space="preserve"> REF _Ref31490392 \h  \* MERGEFORMAT </w:instrText>
      </w:r>
      <w:r w:rsidRPr="00F4628F">
        <w:rPr>
          <w:rFonts w:ascii="Arial" w:eastAsia="Calibri" w:hAnsi="Arial" w:cs="Arial"/>
        </w:rPr>
      </w:r>
      <w:r w:rsidRPr="00F4628F">
        <w:rPr>
          <w:rFonts w:ascii="Arial" w:eastAsia="Calibri" w:hAnsi="Arial" w:cs="Arial"/>
        </w:rPr>
        <w:fldChar w:fldCharType="separate"/>
      </w:r>
      <w:r w:rsidRPr="007342C8">
        <w:rPr>
          <w:rFonts w:ascii="Arial" w:eastAsia="Calibri" w:hAnsi="Arial" w:cs="Arial"/>
        </w:rPr>
        <w:t>Figure</w:t>
      </w:r>
      <w:r w:rsidRPr="007342C8">
        <w:rPr>
          <w:rFonts w:ascii="Arial" w:eastAsia="Calibri" w:hAnsi="Arial" w:cs="Arial"/>
          <w:i/>
          <w:iCs/>
        </w:rPr>
        <w:t xml:space="preserve"> </w:t>
      </w:r>
      <w:r w:rsidRPr="007342C8">
        <w:rPr>
          <w:rFonts w:ascii="Arial" w:eastAsia="Calibri" w:hAnsi="Arial" w:cs="Arial"/>
          <w:i/>
          <w:iCs/>
          <w:noProof/>
        </w:rPr>
        <w:t>2</w:t>
      </w:r>
      <w:r w:rsidRPr="007342C8">
        <w:rPr>
          <w:rFonts w:ascii="Arial" w:eastAsia="Calibri" w:hAnsi="Arial" w:cs="Arial"/>
          <w:i/>
          <w:iCs/>
          <w:noProof/>
        </w:rPr>
        <w:noBreakHyphen/>
        <w:t>14</w:t>
      </w:r>
      <w:r w:rsidRPr="00F4628F">
        <w:rPr>
          <w:rFonts w:ascii="Arial" w:eastAsia="Calibri" w:hAnsi="Arial" w:cs="Arial"/>
        </w:rPr>
        <w:fldChar w:fldCharType="end"/>
      </w:r>
      <w:r w:rsidRPr="00F4628F">
        <w:rPr>
          <w:rFonts w:ascii="Arial" w:eastAsia="Calibri" w:hAnsi="Arial" w:cs="Arial"/>
        </w:rPr>
        <w:t>.</w:t>
      </w:r>
    </w:p>
    <w:p w14:paraId="1A239124" w14:textId="77777777" w:rsidR="004F4BEA" w:rsidRPr="0092670C" w:rsidRDefault="004F4BEA" w:rsidP="004F4BEA">
      <w:pPr>
        <w:keepNext/>
        <w:spacing w:line="360" w:lineRule="auto"/>
        <w:jc w:val="center"/>
        <w:rPr>
          <w:rFonts w:ascii="Arial" w:eastAsia="Calibri" w:hAnsi="Arial" w:cs="Arial"/>
        </w:rPr>
      </w:pPr>
      <w:r w:rsidRPr="00560A4F">
        <w:rPr>
          <w:rFonts w:ascii="Arial" w:eastAsia="Calibri" w:hAnsi="Arial" w:cs="Arial"/>
          <w:noProof/>
        </w:rPr>
        <w:drawing>
          <wp:inline distT="0" distB="0" distL="0" distR="0" wp14:anchorId="7CE837C1" wp14:editId="73AFE6B7">
            <wp:extent cx="3794760" cy="3192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833" t="3140" r="5285" b="2879"/>
                    <a:stretch/>
                  </pic:blipFill>
                  <pic:spPr bwMode="auto">
                    <a:xfrm>
                      <a:off x="0" y="0"/>
                      <a:ext cx="3804831" cy="3201253"/>
                    </a:xfrm>
                    <a:prstGeom prst="rect">
                      <a:avLst/>
                    </a:prstGeom>
                    <a:ln>
                      <a:noFill/>
                    </a:ln>
                    <a:extLst>
                      <a:ext uri="{53640926-AAD7-44D8-BBD7-CCE9431645EC}">
                        <a14:shadowObscured xmlns:a14="http://schemas.microsoft.com/office/drawing/2010/main"/>
                      </a:ext>
                    </a:extLst>
                  </pic:spPr>
                </pic:pic>
              </a:graphicData>
            </a:graphic>
          </wp:inline>
        </w:drawing>
      </w:r>
    </w:p>
    <w:p w14:paraId="6183C15B" w14:textId="243A52A9" w:rsidR="004F4BEA" w:rsidRPr="0092670C" w:rsidRDefault="004F4BEA" w:rsidP="004F4BEA">
      <w:pPr>
        <w:spacing w:after="200" w:line="360" w:lineRule="auto"/>
        <w:jc w:val="center"/>
        <w:rPr>
          <w:rFonts w:ascii="Arial" w:eastAsia="Calibri" w:hAnsi="Arial" w:cs="Arial"/>
          <w:i/>
          <w:iCs/>
          <w:color w:val="44546A" w:themeColor="text2"/>
          <w:sz w:val="20"/>
          <w:szCs w:val="20"/>
        </w:rPr>
      </w:pPr>
      <w:bookmarkStart w:id="117" w:name="_Ref31490392"/>
      <w:r w:rsidRPr="0092670C">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12</w:t>
      </w:r>
      <w:r w:rsidR="00356A26">
        <w:rPr>
          <w:rFonts w:ascii="Arial" w:eastAsia="Calibri" w:hAnsi="Arial" w:cs="Arial"/>
          <w:i/>
          <w:iCs/>
          <w:color w:val="44546A" w:themeColor="text2"/>
          <w:sz w:val="20"/>
          <w:szCs w:val="20"/>
        </w:rPr>
        <w:fldChar w:fldCharType="end"/>
      </w:r>
      <w:bookmarkEnd w:id="117"/>
      <w:r w:rsidRPr="0092670C">
        <w:rPr>
          <w:rFonts w:ascii="Arial" w:eastAsia="Calibri" w:hAnsi="Arial" w:cs="Arial"/>
          <w:i/>
          <w:iCs/>
          <w:color w:val="44546A" w:themeColor="text2"/>
          <w:sz w:val="20"/>
          <w:szCs w:val="20"/>
        </w:rPr>
        <w:t>: Diagram demonstrating how ΔE</w:t>
      </w:r>
      <w:r w:rsidRPr="0092670C">
        <w:rPr>
          <w:rFonts w:ascii="Arial" w:eastAsia="Calibri" w:hAnsi="Arial" w:cs="Arial"/>
          <w:i/>
          <w:iCs/>
          <w:color w:val="44546A" w:themeColor="text2"/>
          <w:sz w:val="20"/>
          <w:szCs w:val="20"/>
          <w:vertAlign w:val="subscript"/>
        </w:rPr>
        <w:t>t</w:t>
      </w:r>
      <w:r w:rsidRPr="0092670C">
        <w:rPr>
          <w:rFonts w:ascii="Arial" w:eastAsia="Calibri" w:hAnsi="Arial" w:cs="Arial"/>
          <w:i/>
          <w:iCs/>
          <w:color w:val="44546A" w:themeColor="text2"/>
          <w:sz w:val="20"/>
          <w:szCs w:val="20"/>
        </w:rPr>
        <w:t xml:space="preserve"> and ΔE</w:t>
      </w:r>
      <w:r w:rsidRPr="0092670C">
        <w:rPr>
          <w:rFonts w:ascii="Arial" w:eastAsia="Calibri" w:hAnsi="Arial" w:cs="Arial"/>
          <w:i/>
          <w:iCs/>
          <w:color w:val="44546A" w:themeColor="text2"/>
          <w:sz w:val="20"/>
          <w:szCs w:val="20"/>
          <w:vertAlign w:val="subscript"/>
        </w:rPr>
        <w:t>s</w:t>
      </w:r>
      <w:r w:rsidRPr="0092670C">
        <w:rPr>
          <w:rFonts w:ascii="Arial" w:eastAsia="Calibri" w:hAnsi="Arial" w:cs="Arial"/>
          <w:i/>
          <w:iCs/>
          <w:color w:val="44546A" w:themeColor="text2"/>
          <w:sz w:val="20"/>
          <w:szCs w:val="20"/>
        </w:rPr>
        <w:t xml:space="preserve"> are derived</w:t>
      </w:r>
      <w:r>
        <w:rPr>
          <w:rFonts w:ascii="Arial" w:eastAsia="Calibri" w:hAnsi="Arial" w:cs="Arial"/>
          <w:i/>
          <w:iCs/>
          <w:color w:val="44546A" w:themeColor="text2"/>
          <w:sz w:val="20"/>
          <w:szCs w:val="20"/>
        </w:rPr>
        <w:t xml:space="preserve"> </w:t>
      </w:r>
      <w:r w:rsidRPr="0092670C">
        <w:rPr>
          <w:rFonts w:ascii="Arial" w:eastAsia="Calibri" w:hAnsi="Arial" w:cs="Arial"/>
          <w:i/>
          <w:iCs/>
          <w:color w:val="44546A" w:themeColor="text2"/>
          <w:sz w:val="20"/>
          <w:szCs w:val="20"/>
        </w:rPr>
        <w:fldChar w:fldCharType="begin"/>
      </w:r>
      <w:r w:rsidR="0034337D">
        <w:rPr>
          <w:rFonts w:ascii="Arial" w:eastAsia="Calibri" w:hAnsi="Arial" w:cs="Arial"/>
          <w:i/>
          <w:iCs/>
          <w:color w:val="44546A" w:themeColor="text2"/>
          <w:sz w:val="20"/>
          <w:szCs w:val="20"/>
        </w:rPr>
        <w:instrText xml:space="preserve"> ADDIN EN.CITE &lt;EndNote&gt;&lt;Cite&gt;&lt;Author&gt;Metrohm&lt;/Author&gt;&lt;Year&gt;2018&lt;/Year&gt;&lt;RecNum&gt;181&lt;/RecNum&gt;&lt;DisplayText&gt;[190]&lt;/DisplayText&gt;&lt;record&gt;&lt;rec-number&gt;181&lt;/rec-number&gt;&lt;foreign-keys&gt;&lt;key app="EN" db-id="5sa9s0e0r0d9fnexra7pr5xdwd5ztevx95s2" timestamp="1551375159"&gt;181&lt;/key&gt;&lt;/foreign-keys&gt;&lt;ref-type name="Journal Article"&gt;17&lt;/ref-type&gt;&lt;contributors&gt;&lt;authors&gt;&lt;author&gt;Metrohm&lt;/author&gt;&lt;/authors&gt;&lt;/contributors&gt;&lt;titles&gt;&lt;title&gt;Galvanostatic Intermittent Titration Technique&lt;/title&gt;&lt;secondary-title&gt;Application note&lt;/secondary-title&gt;&lt;/titles&gt;&lt;periodical&gt;&lt;full-title&gt;Application note&lt;/full-title&gt;&lt;/periodical&gt;&lt;pages&gt;3&lt;/pages&gt;&lt;edition&gt;August 2018&lt;/edition&gt;&lt;section&gt;1&lt;/section&gt;&lt;dates&gt;&lt;year&gt;2018&lt;/year&gt;&lt;/dates&gt;&lt;work-type&gt;Application notw&lt;/work-type&gt;&lt;urls&gt;&lt;/urls&gt;&lt;/record&gt;&lt;/Cite&gt;&lt;/EndNote&gt;</w:instrText>
      </w:r>
      <w:r w:rsidRPr="0092670C">
        <w:rPr>
          <w:rFonts w:ascii="Arial" w:eastAsia="Calibri" w:hAnsi="Arial" w:cs="Arial"/>
          <w:i/>
          <w:iCs/>
          <w:color w:val="44546A" w:themeColor="text2"/>
          <w:sz w:val="20"/>
          <w:szCs w:val="20"/>
        </w:rPr>
        <w:fldChar w:fldCharType="separate"/>
      </w:r>
      <w:r w:rsidR="0034337D">
        <w:rPr>
          <w:rFonts w:ascii="Arial" w:eastAsia="Calibri" w:hAnsi="Arial" w:cs="Arial"/>
          <w:i/>
          <w:iCs/>
          <w:noProof/>
          <w:color w:val="44546A" w:themeColor="text2"/>
          <w:sz w:val="20"/>
          <w:szCs w:val="20"/>
        </w:rPr>
        <w:t>[190]</w:t>
      </w:r>
      <w:r w:rsidRPr="0092670C">
        <w:rPr>
          <w:rFonts w:ascii="Arial" w:eastAsia="Calibri" w:hAnsi="Arial" w:cs="Arial"/>
          <w:i/>
          <w:iCs/>
          <w:color w:val="44546A" w:themeColor="text2"/>
          <w:sz w:val="20"/>
          <w:szCs w:val="20"/>
        </w:rPr>
        <w:fldChar w:fldCharType="end"/>
      </w:r>
      <w:r w:rsidRPr="0092670C">
        <w:rPr>
          <w:rFonts w:ascii="Arial" w:eastAsia="Calibri" w:hAnsi="Arial" w:cs="Arial"/>
          <w:i/>
          <w:iCs/>
          <w:color w:val="44546A" w:themeColor="text2"/>
          <w:sz w:val="20"/>
          <w:szCs w:val="20"/>
        </w:rPr>
        <w:t>.</w:t>
      </w:r>
    </w:p>
    <w:p w14:paraId="169DB181" w14:textId="77777777" w:rsidR="004F4BEA" w:rsidRPr="0092670C" w:rsidRDefault="004F4BEA" w:rsidP="004F4BEA">
      <w:pPr>
        <w:spacing w:line="360" w:lineRule="auto"/>
        <w:jc w:val="both"/>
        <w:rPr>
          <w:rFonts w:ascii="Arial" w:eastAsia="Calibri" w:hAnsi="Arial" w:cs="Arial"/>
        </w:rPr>
      </w:pPr>
      <w:r w:rsidRPr="0092670C">
        <w:rPr>
          <w:rFonts w:ascii="Arial" w:eastAsia="Calibri" w:hAnsi="Arial" w:cs="Arial"/>
        </w:rPr>
        <w:t xml:space="preserve">These values can be placed into </w:t>
      </w:r>
      <w:r w:rsidRPr="0092670C">
        <w:rPr>
          <w:rFonts w:ascii="Arial" w:eastAsia="Calibri" w:hAnsi="Arial" w:cs="Arial"/>
        </w:rPr>
        <w:fldChar w:fldCharType="begin"/>
      </w:r>
      <w:r w:rsidRPr="0092670C">
        <w:rPr>
          <w:rFonts w:ascii="Arial" w:eastAsia="Calibri" w:hAnsi="Arial" w:cs="Arial"/>
        </w:rPr>
        <w:instrText xml:space="preserve"> REF _Ref2265574 \h  \* MERGEFORMAT </w:instrText>
      </w:r>
      <w:r w:rsidRPr="0092670C">
        <w:rPr>
          <w:rFonts w:ascii="Arial" w:eastAsia="Calibri" w:hAnsi="Arial" w:cs="Arial"/>
        </w:rPr>
      </w:r>
      <w:r w:rsidRPr="0092670C">
        <w:rPr>
          <w:rFonts w:ascii="Arial" w:eastAsia="Calibri" w:hAnsi="Arial" w:cs="Arial"/>
        </w:rPr>
        <w:fldChar w:fldCharType="separate"/>
      </w:r>
      <w:r w:rsidRPr="007342C8">
        <w:rPr>
          <w:rFonts w:ascii="Arial" w:eastAsia="Calibri" w:hAnsi="Arial" w:cs="Arial"/>
        </w:rPr>
        <w:t xml:space="preserve">Equation </w:t>
      </w:r>
      <w:r w:rsidRPr="007342C8">
        <w:rPr>
          <w:rFonts w:ascii="Arial" w:eastAsia="Calibri" w:hAnsi="Arial" w:cs="Arial"/>
          <w:noProof/>
        </w:rPr>
        <w:t>2</w:t>
      </w:r>
      <w:r w:rsidRPr="007342C8">
        <w:rPr>
          <w:rFonts w:ascii="Arial" w:eastAsia="Calibri" w:hAnsi="Arial" w:cs="Arial"/>
          <w:noProof/>
        </w:rPr>
        <w:noBreakHyphen/>
        <w:t>2</w:t>
      </w:r>
      <w:r w:rsidRPr="0092670C">
        <w:rPr>
          <w:rFonts w:ascii="Arial" w:eastAsia="Calibri" w:hAnsi="Arial" w:cs="Arial"/>
        </w:rPr>
        <w:fldChar w:fldCharType="end"/>
      </w:r>
      <w:r w:rsidRPr="0092670C">
        <w:rPr>
          <w:rFonts w:ascii="Arial" w:eastAsia="Calibri" w:hAnsi="Arial" w:cs="Arial"/>
        </w:rPr>
        <w:t xml:space="preserve"> to obtain the diffusion coefficient of the cell.  In </w:t>
      </w:r>
      <w:r w:rsidRPr="00607488">
        <w:rPr>
          <w:rFonts w:ascii="Arial" w:eastAsia="Calibri" w:hAnsi="Arial" w:cs="Arial"/>
        </w:rPr>
        <w:fldChar w:fldCharType="begin"/>
      </w:r>
      <w:r w:rsidRPr="00607488">
        <w:rPr>
          <w:rFonts w:ascii="Arial" w:eastAsia="Calibri" w:hAnsi="Arial" w:cs="Arial"/>
        </w:rPr>
        <w:instrText xml:space="preserve"> REF _Ref2265574 \h  \* MERGEFORMAT </w:instrText>
      </w:r>
      <w:r w:rsidRPr="00607488">
        <w:rPr>
          <w:rFonts w:ascii="Arial" w:eastAsia="Calibri" w:hAnsi="Arial" w:cs="Arial"/>
        </w:rPr>
      </w:r>
      <w:r w:rsidRPr="00607488">
        <w:rPr>
          <w:rFonts w:ascii="Arial" w:eastAsia="Calibri" w:hAnsi="Arial" w:cs="Arial"/>
        </w:rPr>
        <w:fldChar w:fldCharType="separate"/>
      </w:r>
      <w:r w:rsidRPr="007342C8">
        <w:rPr>
          <w:rFonts w:ascii="Arial" w:eastAsia="Calibri" w:hAnsi="Arial" w:cs="Arial"/>
        </w:rPr>
        <w:t xml:space="preserve">Equation </w:t>
      </w:r>
      <w:r w:rsidRPr="007342C8">
        <w:rPr>
          <w:rFonts w:ascii="Arial" w:eastAsia="Calibri" w:hAnsi="Arial" w:cs="Arial"/>
          <w:noProof/>
        </w:rPr>
        <w:t>2</w:t>
      </w:r>
      <w:r w:rsidRPr="007342C8">
        <w:rPr>
          <w:rFonts w:ascii="Arial" w:eastAsia="Calibri" w:hAnsi="Arial" w:cs="Arial"/>
          <w:noProof/>
        </w:rPr>
        <w:noBreakHyphen/>
        <w:t>2</w:t>
      </w:r>
      <w:r w:rsidRPr="00607488">
        <w:rPr>
          <w:rFonts w:ascii="Arial" w:eastAsia="Calibri" w:hAnsi="Arial" w:cs="Arial"/>
        </w:rPr>
        <w:fldChar w:fldCharType="end"/>
      </w:r>
      <w:r w:rsidRPr="0092670C">
        <w:rPr>
          <w:rFonts w:ascii="Arial" w:eastAsia="Calibri" w:hAnsi="Arial" w:cs="Arial"/>
        </w:rPr>
        <w:t xml:space="preserve"> τ is the duration of the current pulse (s), n</w:t>
      </w:r>
      <w:r w:rsidRPr="0092670C">
        <w:rPr>
          <w:rFonts w:ascii="Arial" w:eastAsia="Calibri" w:hAnsi="Arial" w:cs="Arial"/>
          <w:vertAlign w:val="subscript"/>
        </w:rPr>
        <w:t>m</w:t>
      </w:r>
      <w:r w:rsidRPr="0092670C">
        <w:rPr>
          <w:rFonts w:ascii="Arial" w:eastAsia="Calibri" w:hAnsi="Arial" w:cs="Arial"/>
        </w:rPr>
        <w:t xml:space="preserve"> is the number of moles (mol), V</w:t>
      </w:r>
      <w:r w:rsidRPr="0092670C">
        <w:rPr>
          <w:rFonts w:ascii="Arial" w:eastAsia="Calibri" w:hAnsi="Arial" w:cs="Arial"/>
          <w:vertAlign w:val="subscript"/>
        </w:rPr>
        <w:t>m</w:t>
      </w:r>
      <w:r w:rsidRPr="0092670C">
        <w:rPr>
          <w:rFonts w:ascii="Arial" w:eastAsia="Calibri" w:hAnsi="Arial" w:cs="Arial"/>
        </w:rPr>
        <w:t xml:space="preserve"> is the molar volume of the electrode (cm</w:t>
      </w:r>
      <w:r w:rsidRPr="0092670C">
        <w:rPr>
          <w:rFonts w:ascii="Arial" w:eastAsia="Calibri" w:hAnsi="Arial" w:cs="Arial"/>
          <w:vertAlign w:val="superscript"/>
        </w:rPr>
        <w:t>3</w:t>
      </w:r>
      <w:r w:rsidRPr="0092670C">
        <w:rPr>
          <w:rFonts w:ascii="Arial" w:eastAsia="Calibri" w:hAnsi="Arial" w:cs="Arial"/>
        </w:rPr>
        <w:t>mol</w:t>
      </w:r>
      <w:r w:rsidRPr="0092670C">
        <w:rPr>
          <w:rFonts w:ascii="Arial" w:eastAsia="Calibri" w:hAnsi="Arial" w:cs="Arial"/>
          <w:vertAlign w:val="superscript"/>
        </w:rPr>
        <w:t>-1</w:t>
      </w:r>
      <w:r w:rsidRPr="0092670C">
        <w:rPr>
          <w:rFonts w:ascii="Arial" w:eastAsia="Calibri" w:hAnsi="Arial" w:cs="Arial"/>
        </w:rPr>
        <w:t>) and S is the surface are of the electrode (cm</w:t>
      </w:r>
      <w:r w:rsidRPr="0092670C">
        <w:rPr>
          <w:rFonts w:ascii="Arial" w:eastAsia="Calibri" w:hAnsi="Arial" w:cs="Arial"/>
          <w:vertAlign w:val="superscript"/>
        </w:rPr>
        <w:t>2</w:t>
      </w:r>
      <w:r w:rsidRPr="0092670C">
        <w:rPr>
          <w:rFonts w:ascii="Arial" w:eastAsia="Calibri" w:hAnsi="Arial" w:cs="Arial"/>
        </w:rPr>
        <w:t>). The diffusion coefficient can then be plotted as a function of the cell voltage to see where the changes occur.</w:t>
      </w:r>
    </w:p>
    <w:p w14:paraId="3AAF557D" w14:textId="77777777" w:rsidR="004F4BEA" w:rsidRPr="0092670C" w:rsidRDefault="004F4BEA" w:rsidP="004F4BEA">
      <w:pPr>
        <w:keepNext/>
        <w:spacing w:line="360" w:lineRule="auto"/>
        <w:jc w:val="both"/>
        <w:rPr>
          <w:rFonts w:ascii="Arial" w:eastAsia="Calibri" w:hAnsi="Arial" w:cs="Arial"/>
        </w:rPr>
      </w:pPr>
      <m:oMathPara>
        <m:oMath>
          <m:r>
            <w:rPr>
              <w:rFonts w:ascii="Cambria Math" w:eastAsia="Calibri" w:hAnsi="Cambria Math" w:cs="Arial"/>
            </w:rPr>
            <m:t xml:space="preserve">D = </m:t>
          </m:r>
          <m:f>
            <m:fPr>
              <m:ctrlPr>
                <w:rPr>
                  <w:rFonts w:ascii="Cambria Math" w:eastAsia="Calibri" w:hAnsi="Cambria Math" w:cs="Arial"/>
                  <w:i/>
                </w:rPr>
              </m:ctrlPr>
            </m:fPr>
            <m:num>
              <m:r>
                <w:rPr>
                  <w:rFonts w:ascii="Cambria Math" w:eastAsia="Calibri" w:hAnsi="Cambria Math" w:cs="Arial"/>
                </w:rPr>
                <m:t xml:space="preserve">4  </m:t>
              </m:r>
            </m:num>
            <m:den>
              <m:r>
                <w:rPr>
                  <w:rFonts w:ascii="Cambria Math" w:eastAsia="Calibri" w:hAnsi="Cambria Math" w:cs="Arial"/>
                </w:rPr>
                <m:t>πτ</m:t>
              </m:r>
            </m:den>
          </m:f>
          <m:r>
            <w:rPr>
              <w:rFonts w:ascii="Cambria Math" w:eastAsia="Calibri" w:hAnsi="Cambria Math" w:cs="Arial"/>
            </w:rPr>
            <m:t xml:space="preserve"> </m:t>
          </m:r>
          <m:sSup>
            <m:sSupPr>
              <m:ctrlPr>
                <w:rPr>
                  <w:rFonts w:ascii="Cambria Math" w:eastAsia="Calibri" w:hAnsi="Cambria Math" w:cs="Arial"/>
                  <w:i/>
                </w:rPr>
              </m:ctrlPr>
            </m:sSupPr>
            <m:e>
              <m:d>
                <m:dPr>
                  <m:ctrlPr>
                    <w:rPr>
                      <w:rFonts w:ascii="Cambria Math" w:eastAsia="Calibri" w:hAnsi="Cambria Math" w:cs="Arial"/>
                      <w:i/>
                    </w:rPr>
                  </m:ctrlPr>
                </m:dPr>
                <m:e>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n</m:t>
                          </m:r>
                        </m:e>
                        <m:sub>
                          <m:r>
                            <w:rPr>
                              <w:rFonts w:ascii="Cambria Math" w:eastAsia="Calibri" w:hAnsi="Cambria Math" w:cs="Arial"/>
                            </w:rPr>
                            <m:t>m</m:t>
                          </m:r>
                        </m:sub>
                      </m:sSub>
                      <m:sSub>
                        <m:sSubPr>
                          <m:ctrlPr>
                            <w:rPr>
                              <w:rFonts w:ascii="Cambria Math" w:eastAsia="Calibri" w:hAnsi="Cambria Math" w:cs="Arial"/>
                              <w:i/>
                            </w:rPr>
                          </m:ctrlPr>
                        </m:sSubPr>
                        <m:e>
                          <m:r>
                            <w:rPr>
                              <w:rFonts w:ascii="Cambria Math" w:eastAsia="Calibri" w:hAnsi="Cambria Math" w:cs="Arial"/>
                            </w:rPr>
                            <m:t>V</m:t>
                          </m:r>
                        </m:e>
                        <m:sub>
                          <m:r>
                            <w:rPr>
                              <w:rFonts w:ascii="Cambria Math" w:eastAsia="Calibri" w:hAnsi="Cambria Math" w:cs="Arial"/>
                            </w:rPr>
                            <m:t>m</m:t>
                          </m:r>
                        </m:sub>
                      </m:sSub>
                    </m:num>
                    <m:den>
                      <m:r>
                        <w:rPr>
                          <w:rFonts w:ascii="Cambria Math" w:eastAsia="Calibri" w:hAnsi="Cambria Math" w:cs="Arial"/>
                        </w:rPr>
                        <m:t>S</m:t>
                      </m:r>
                    </m:den>
                  </m:f>
                </m:e>
              </m:d>
            </m:e>
            <m:sup>
              <m:r>
                <w:rPr>
                  <w:rFonts w:ascii="Cambria Math" w:eastAsia="Calibri" w:hAnsi="Cambria Math" w:cs="Arial"/>
                </w:rPr>
                <m:t>2</m:t>
              </m:r>
            </m:sup>
          </m:sSup>
          <m:sSup>
            <m:sSupPr>
              <m:ctrlPr>
                <w:rPr>
                  <w:rFonts w:ascii="Cambria Math" w:eastAsia="Calibri" w:hAnsi="Cambria Math" w:cs="Arial"/>
                  <w:i/>
                </w:rPr>
              </m:ctrlPr>
            </m:sSupPr>
            <m:e>
              <m:r>
                <w:rPr>
                  <w:rFonts w:ascii="Cambria Math" w:eastAsia="Calibri" w:hAnsi="Cambria Math" w:cs="Arial"/>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ΔEs</m:t>
                      </m:r>
                    </m:num>
                    <m:den>
                      <m:r>
                        <w:rPr>
                          <w:rFonts w:ascii="Cambria Math" w:eastAsia="Calibri" w:hAnsi="Cambria Math" w:cs="Arial"/>
                        </w:rPr>
                        <m:t>ΔEt</m:t>
                      </m:r>
                    </m:den>
                  </m:f>
                  <m:r>
                    <w:rPr>
                      <w:rFonts w:ascii="Cambria Math" w:eastAsia="Calibri" w:hAnsi="Cambria Math" w:cs="Arial"/>
                    </w:rPr>
                    <m:t xml:space="preserve"> </m:t>
                  </m:r>
                </m:e>
              </m:d>
            </m:e>
            <m:sup>
              <m:r>
                <w:rPr>
                  <w:rFonts w:ascii="Cambria Math" w:eastAsia="Calibri" w:hAnsi="Cambria Math" w:cs="Arial"/>
                </w:rPr>
                <m:t>2</m:t>
              </m:r>
            </m:sup>
          </m:sSup>
          <m:r>
            <w:rPr>
              <w:rFonts w:ascii="Cambria Math" w:eastAsia="Calibri" w:hAnsi="Cambria Math" w:cs="Arial"/>
            </w:rPr>
            <m:t xml:space="preserve">   </m:t>
          </m:r>
        </m:oMath>
      </m:oMathPara>
    </w:p>
    <w:p w14:paraId="736F7C04" w14:textId="279B2104" w:rsidR="004F4BEA" w:rsidRPr="0092670C" w:rsidRDefault="004F4BEA" w:rsidP="004F4BEA">
      <w:pPr>
        <w:spacing w:after="200" w:line="360" w:lineRule="auto"/>
        <w:jc w:val="center"/>
        <w:rPr>
          <w:rFonts w:ascii="Arial" w:eastAsia="Calibri" w:hAnsi="Arial" w:cs="Arial"/>
          <w:i/>
          <w:iCs/>
          <w:color w:val="44546A" w:themeColor="text2"/>
          <w:sz w:val="20"/>
          <w:szCs w:val="20"/>
        </w:rPr>
      </w:pPr>
      <w:bookmarkStart w:id="118" w:name="_Ref2265574"/>
      <w:r w:rsidRPr="0092670C">
        <w:rPr>
          <w:rFonts w:ascii="Arial" w:eastAsia="Calibri" w:hAnsi="Arial" w:cs="Arial"/>
          <w:i/>
          <w:iCs/>
          <w:color w:val="44546A" w:themeColor="text2"/>
          <w:sz w:val="20"/>
          <w:szCs w:val="20"/>
        </w:rPr>
        <w:t xml:space="preserve">Equation </w:t>
      </w:r>
      <w:r w:rsidR="0059014F">
        <w:rPr>
          <w:rFonts w:ascii="Arial" w:eastAsia="Calibri" w:hAnsi="Arial" w:cs="Arial"/>
          <w:i/>
          <w:iCs/>
          <w:color w:val="44546A" w:themeColor="text2"/>
          <w:sz w:val="20"/>
          <w:szCs w:val="20"/>
        </w:rPr>
        <w:fldChar w:fldCharType="begin"/>
      </w:r>
      <w:r w:rsidR="0059014F">
        <w:rPr>
          <w:rFonts w:ascii="Arial" w:eastAsia="Calibri" w:hAnsi="Arial" w:cs="Arial"/>
          <w:i/>
          <w:iCs/>
          <w:color w:val="44546A" w:themeColor="text2"/>
          <w:sz w:val="20"/>
          <w:szCs w:val="20"/>
        </w:rPr>
        <w:instrText xml:space="preserve"> SEQ Equation \* ARABIC </w:instrText>
      </w:r>
      <w:r w:rsidR="0059014F">
        <w:rPr>
          <w:rFonts w:ascii="Arial" w:eastAsia="Calibri" w:hAnsi="Arial" w:cs="Arial"/>
          <w:i/>
          <w:iCs/>
          <w:color w:val="44546A" w:themeColor="text2"/>
          <w:sz w:val="20"/>
          <w:szCs w:val="20"/>
        </w:rPr>
        <w:fldChar w:fldCharType="separate"/>
      </w:r>
      <w:r w:rsidR="0059014F">
        <w:rPr>
          <w:rFonts w:ascii="Arial" w:eastAsia="Calibri" w:hAnsi="Arial" w:cs="Arial"/>
          <w:i/>
          <w:iCs/>
          <w:noProof/>
          <w:color w:val="44546A" w:themeColor="text2"/>
          <w:sz w:val="20"/>
          <w:szCs w:val="20"/>
        </w:rPr>
        <w:t>7</w:t>
      </w:r>
      <w:r w:rsidR="0059014F">
        <w:rPr>
          <w:rFonts w:ascii="Arial" w:eastAsia="Calibri" w:hAnsi="Arial" w:cs="Arial"/>
          <w:i/>
          <w:iCs/>
          <w:color w:val="44546A" w:themeColor="text2"/>
          <w:sz w:val="20"/>
          <w:szCs w:val="20"/>
        </w:rPr>
        <w:fldChar w:fldCharType="end"/>
      </w:r>
      <w:bookmarkEnd w:id="118"/>
      <w:r w:rsidRPr="0092670C">
        <w:rPr>
          <w:rFonts w:ascii="Arial" w:eastAsia="Calibri" w:hAnsi="Arial" w:cs="Arial"/>
          <w:i/>
          <w:iCs/>
          <w:color w:val="44546A" w:themeColor="text2"/>
          <w:sz w:val="20"/>
          <w:szCs w:val="20"/>
        </w:rPr>
        <w:t>: Equation for obtaining the diffusion coefficient from GITT data.</w:t>
      </w:r>
    </w:p>
    <w:p w14:paraId="16F59CF7" w14:textId="3707283D" w:rsidR="004F4BEA" w:rsidRPr="0092670C" w:rsidRDefault="004F4BEA" w:rsidP="004F4BEA">
      <w:pPr>
        <w:spacing w:line="360" w:lineRule="auto"/>
        <w:jc w:val="both"/>
        <w:rPr>
          <w:rFonts w:ascii="Arial" w:eastAsia="Calibri" w:hAnsi="Arial" w:cs="Arial"/>
        </w:rPr>
      </w:pPr>
      <w:r w:rsidRPr="0092670C">
        <w:rPr>
          <w:rFonts w:ascii="Arial" w:eastAsia="Calibri" w:hAnsi="Arial" w:cs="Arial"/>
        </w:rPr>
        <w:t xml:space="preserve">In relation to Li ion batteries GITT has been used extensively to understand Li -ion batteries with the initial GITT paper probing a potential LiB material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&lt;EndNote&gt;&lt;Cite&gt;&lt;Author&gt;Weppner&lt;/Author&gt;&lt;Year&gt;1977&lt;/Year&gt;&lt;RecNum&gt;180&lt;/RecNum&gt;&lt;DisplayText&gt;[189]&lt;/DisplayText&gt;&lt;record&gt;&lt;rec-number&gt;180&lt;/rec-number&gt;&lt;foreign-keys&gt;&lt;key app="EN" db-id="5sa9s0e0r0d9fnexra7pr5xdwd5ztevx95s2" timestamp="1551353254"&gt;180&lt;/key&gt;&lt;/foreign-keys&gt;&lt;ref-type name="Journal Article"&gt;17&lt;/ref-type&gt;&lt;contributors&gt;&lt;authors&gt;&lt;author&gt;Weppner, W.&lt;/author&gt;&lt;author&gt;Huggins, R. A.&lt;/author&gt;&lt;/authors&gt;&lt;/contributors&gt;&lt;titles&gt;&lt;title&gt;Determination of the Kinetic Parameters of Mixed</w:instrText>
      </w:r>
      <w:r w:rsidR="0034337D">
        <w:rPr>
          <w:rFonts w:ascii="Cambria Math" w:eastAsia="Calibri" w:hAnsi="Cambria Math" w:cs="Cambria Math"/>
        </w:rPr>
        <w:instrText>‐</w:instrText>
      </w:r>
      <w:r w:rsidR="0034337D">
        <w:rPr>
          <w:rFonts w:ascii="Arial" w:eastAsia="Calibri" w:hAnsi="Arial" w:cs="Arial"/>
        </w:rPr>
        <w:instrText>Conducting Electrodes and Application to the System Li3Sb&lt;/title&gt;&lt;secondary-title&gt;Journal of The Electrochemical Society&lt;/secondary-title&gt;&lt;/titles&gt;&lt;periodical&gt;&lt;full-title&gt;Journal of the Electrochemical Society&lt;/full-title&gt;&lt;abbr-1&gt;J. Electrochem. Soc.&lt;/abbr-1&gt;&lt;/periodical&gt;&lt;pages&gt;1569-1578&lt;/pages&gt;&lt;volume&gt;124&lt;/volume&gt;&lt;number&gt;10&lt;/number&gt;&lt;dates&gt;&lt;year&gt;1977&lt;/year&gt;&lt;pub-dates&gt;&lt;date&gt;October 1, 1977&lt;/date&gt;&lt;/pub-dates&gt;&lt;/dates&gt;&lt;urls&gt;&lt;related-urls&gt;&lt;url&gt;http://jes.ecsdl.org/content/124/10/1569.abstract&lt;/url&gt;&lt;/related-urls&gt;&lt;/urls&gt;&lt;electronic-resource-num&gt;10.1149/1.2133112&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[189]</w:t>
      </w:r>
      <w:r w:rsidRPr="0092670C">
        <w:rPr>
          <w:rFonts w:ascii="Arial" w:eastAsia="Calibri" w:hAnsi="Arial" w:cs="Arial"/>
        </w:rPr>
        <w:fldChar w:fldCharType="end"/>
      </w:r>
      <w:r w:rsidRPr="0092670C">
        <w:rPr>
          <w:rFonts w:ascii="Arial" w:eastAsia="Calibri" w:hAnsi="Arial" w:cs="Arial"/>
        </w:rPr>
        <w:t>. GITT has been used to measure the diffusion coefficient of  LiNi</w:t>
      </w:r>
      <w:r w:rsidRPr="0092670C">
        <w:rPr>
          <w:rFonts w:ascii="Arial" w:eastAsia="Calibri" w:hAnsi="Arial" w:cs="Arial"/>
          <w:vertAlign w:val="subscript"/>
        </w:rPr>
        <w:t>0.8</w:t>
      </w:r>
      <w:r w:rsidRPr="0092670C">
        <w:rPr>
          <w:rFonts w:ascii="Arial" w:eastAsia="Calibri" w:hAnsi="Arial" w:cs="Arial"/>
        </w:rPr>
        <w:t>Co</w:t>
      </w:r>
      <w:r w:rsidRPr="0092670C">
        <w:rPr>
          <w:rFonts w:ascii="Arial" w:eastAsia="Calibri" w:hAnsi="Arial" w:cs="Arial"/>
          <w:vertAlign w:val="subscript"/>
        </w:rPr>
        <w:t>0.15</w:t>
      </w:r>
      <w:r w:rsidRPr="0092670C">
        <w:rPr>
          <w:rFonts w:ascii="Arial" w:eastAsia="Calibri" w:hAnsi="Arial" w:cs="Arial"/>
        </w:rPr>
        <w:t>Al</w:t>
      </w:r>
      <w:r w:rsidRPr="0092670C">
        <w:rPr>
          <w:rFonts w:ascii="Arial" w:eastAsia="Calibri" w:hAnsi="Arial" w:cs="Arial"/>
          <w:vertAlign w:val="subscript"/>
        </w:rPr>
        <w:t>0.05</w:t>
      </w:r>
      <w:r w:rsidRPr="0092670C">
        <w:rPr>
          <w:rFonts w:ascii="Arial" w:eastAsia="Calibri" w:hAnsi="Arial" w:cs="Arial"/>
        </w:rPr>
        <w:t>O</w:t>
      </w:r>
      <w:r w:rsidRPr="0092670C">
        <w:rPr>
          <w:rFonts w:ascii="Arial" w:eastAsia="Calibri" w:hAnsi="Arial" w:cs="Arial"/>
          <w:vertAlign w:val="subscript"/>
        </w:rPr>
        <w:t>2</w:t>
      </w:r>
      <w:r w:rsidRPr="0092670C">
        <w:rPr>
          <w:rFonts w:ascii="Arial" w:eastAsia="Calibri" w:hAnsi="Arial" w:cs="Arial"/>
        </w:rPr>
        <w:t xml:space="preserve">, a cathode material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&lt;EndNote&gt;&lt;Cite&gt;&lt;Author&gt;Dees&lt;/Author&gt;&lt;Year&gt;2009&lt;/Year&gt;&lt;RecNum&gt;182&lt;/RecNum&gt;&lt;DisplayText&gt;[191]&lt;/DisplayText&gt;&lt;record&gt;&lt;rec-number&gt;182&lt;/rec-number&gt;&lt;foreign-keys&gt;&lt;key app="EN" db-id="5sa9s0e0r0d9fnexra7pr5xdwd5ztevx95s2" timestamp="1551377046"&gt;182&lt;/key&gt;&lt;/foreign-keys&gt;&lt;ref-type name="Journal Article"&gt;17&lt;/ref-type&gt;&lt;contributors&gt;&lt;authors&gt;&lt;author&gt;Dees, Dennis W.&lt;/author&gt;&lt;author&gt;Kawauchi, Shigehiro&lt;/author&gt;&lt;author&gt;Abraham, Daniel P.&lt;/author&gt;&lt;author&gt;Prakash, Jai&lt;/author&gt;&lt;/authors&gt;&lt;/contributors&gt;&lt;titles&gt;&lt;title&gt;Analysis of the Galvanostatic Intermittent Titration Technique (GITT) as applied to a lithium-ion porous electrode&lt;/title&gt;&lt;secondary-title&gt;Journal of Power Sources&lt;/secondary-title&gt;&lt;/titles&gt;&lt;periodical&gt;&lt;full-title&gt;Journal of Power Sources&lt;/full-title&gt;&lt;/periodical&gt;&lt;pages&gt;263-268&lt;/pages&gt;&lt;volume&gt;189&lt;/volume&gt;&lt;number&gt;1&lt;/number&gt;&lt;keywords&gt;&lt;keyword&gt;Lithium-ion&lt;/keyword&gt;&lt;keyword&gt;Positive&lt;/keyword&gt;&lt;keyword&gt;GITT&lt;/keyword&gt;&lt;keyword&gt;Modeling&lt;/keyword&gt;&lt;keyword&gt;Battery&lt;/keyword&gt;&lt;/keywords&gt;&lt;dates&gt;&lt;year&gt;2009&lt;/year&gt;&lt;pub-dates&gt;&lt;date&gt;2009/04/01/&lt;/date&gt;&lt;/pub-dates&gt;&lt;/dates&gt;&lt;isbn&gt;0378-7753&lt;/isbn&gt;&lt;urls&gt;&lt;related-urls&gt;&lt;url&gt;http://www.sciencedirect.com/science/article/pii/S0378775308018387&lt;/url&gt;&lt;/related-urls&gt;&lt;/urls&gt;&lt;electronic-resource-num&gt;https://doi.org/10.1016/j.jpowsour.2008.09.045&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[191]</w:t>
      </w:r>
      <w:r w:rsidRPr="0092670C">
        <w:rPr>
          <w:rFonts w:ascii="Arial" w:eastAsia="Calibri" w:hAnsi="Arial" w:cs="Arial"/>
        </w:rPr>
        <w:fldChar w:fldCharType="end"/>
      </w:r>
      <w:r w:rsidRPr="0092670C">
        <w:rPr>
          <w:rFonts w:ascii="Arial" w:eastAsia="Calibri" w:hAnsi="Arial" w:cs="Arial"/>
        </w:rPr>
        <w:t xml:space="preserve">. They found that GITT could give results that were comparable to those found using EIS data. </w:t>
      </w:r>
    </w:p>
    <w:p w14:paraId="67937EC7" w14:textId="69CF5FA6" w:rsidR="004F4BEA" w:rsidRPr="0092670C" w:rsidRDefault="004F4BEA" w:rsidP="004F4BEA">
      <w:pPr>
        <w:spacing w:line="360" w:lineRule="auto"/>
        <w:jc w:val="both"/>
        <w:rPr>
          <w:rFonts w:ascii="Arial" w:eastAsia="Calibri" w:hAnsi="Arial" w:cs="Arial"/>
        </w:rPr>
      </w:pPr>
      <w:r w:rsidRPr="0092670C">
        <w:rPr>
          <w:rFonts w:ascii="Arial" w:eastAsia="Calibri" w:hAnsi="Arial" w:cs="Arial"/>
        </w:rPr>
        <w:t xml:space="preserve">GITT has a sister technique known as the potentiostatic intermittent titration technique (PITT). This was invented by Weppner and Huggins once again with help from Boukamp and Wen in 1979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&lt;EndNote&gt;&lt;Cite&gt;&lt;Author&gt;Wen&lt;/Author&gt;&lt;Year&gt;1979&lt;/Year&gt;&lt;RecNum&gt;140&lt;/RecNum&gt;&lt;DisplayText&gt;[192]&lt;/DisplayText&gt;&lt;record&gt;&lt;rec-number&gt;140&lt;/rec-number&gt;&lt;foreign-keys&gt;&lt;key app="EN" db-id="5sa9s0e0r0d9fnexra7pr5xdwd5ztevx95s2" timestamp="1527006663"&gt;140&lt;/key&gt;&lt;/foreign-keys&gt;&lt;ref-type name="Journal Article"&gt;17&lt;/ref-type&gt;&lt;contributors&gt;&lt;authors&gt;&lt;author&gt;Wen, C. John&lt;/author&gt;&lt;author&gt;Boukamp, B. A.&lt;/author&gt;&lt;author&gt;Huggins, R. A.&lt;/author&gt;&lt;author&gt;Weppner, W.&lt;/author&gt;&lt;/authors&gt;&lt;/contributors&gt;&lt;titles&gt;&lt;title&gt;Thermodynamic and Mass Transport Properties of  “ LiAl ” &lt;/title&gt;&lt;secondary-title&gt;Journal of The Electrochemical Society&lt;/secondary-title&gt;&lt;/titles&gt;&lt;periodical&gt;&lt;full-title&gt;Journal of the Electrochemical Society&lt;/full-title&gt;&lt;abbr-1&gt;J. Electrochem. Soc.&lt;/abbr-1&gt;&lt;/periodical&gt;&lt;pages&gt;2258-2266&lt;/pages&gt;&lt;volume&gt;126&lt;/volume&gt;&lt;number&gt;12&lt;/number&gt;&lt;dates&gt;&lt;year&gt;1979&lt;/year&gt;&lt;pub-dates&gt;&lt;date&gt;December 1, 1979&lt;/date&gt;&lt;/pub-dates&gt;&lt;/dates&gt;&lt;urls&gt;&lt;related-urls&gt;&lt;url&gt;http://jes.ecsdl.org/content/126/12/2258.abstract&lt;/url&gt;&lt;/related-urls&gt;&lt;/urls&gt;&lt;electronic-resource-num&gt;10.1149/1.2128939&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[192]</w:t>
      </w:r>
      <w:r w:rsidRPr="0092670C">
        <w:rPr>
          <w:rFonts w:ascii="Arial" w:eastAsia="Calibri" w:hAnsi="Arial" w:cs="Arial"/>
        </w:rPr>
        <w:fldChar w:fldCharType="end"/>
      </w:r>
      <w:r w:rsidRPr="0092670C">
        <w:rPr>
          <w:rFonts w:ascii="Arial" w:eastAsia="Calibri" w:hAnsi="Arial" w:cs="Arial"/>
        </w:rPr>
        <w:t xml:space="preserve">. This technique uses many of the same principles that form the basis of GITT. With PITT the cell is pulsed at a certain voltage before being allowed to rest. During the pulse the current increases to accommodate this voltage change before decreasing exponentially. The gradient of the logarithm of the decay </w:t>
      </w:r>
      <m:oMath>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D</m:t>
            </m:r>
            <m:sSup>
              <m:sSupPr>
                <m:ctrlPr>
                  <w:rPr>
                    <w:rFonts w:ascii="Cambria Math" w:eastAsia="Calibri" w:hAnsi="Cambria Math" w:cs="Arial"/>
                    <w:i/>
                  </w:rPr>
                </m:ctrlPr>
              </m:sSupPr>
              <m:e>
                <m:r>
                  <w:rPr>
                    <w:rFonts w:ascii="Cambria Math" w:eastAsia="Calibri" w:hAnsi="Cambria Math" w:cs="Arial"/>
                  </w:rPr>
                  <m:t>π</m:t>
                </m:r>
              </m:e>
              <m:sup>
                <m:r>
                  <w:rPr>
                    <w:rFonts w:ascii="Cambria Math" w:eastAsia="Calibri" w:hAnsi="Cambria Math" w:cs="Arial"/>
                  </w:rPr>
                  <m:t>2</m:t>
                </m:r>
              </m:sup>
            </m:sSup>
          </m:num>
          <m:den>
            <m:r>
              <w:rPr>
                <w:rFonts w:ascii="Cambria Math" w:eastAsia="Calibri" w:hAnsi="Cambria Math" w:cs="Arial"/>
              </w:rPr>
              <m:t>4</m:t>
            </m:r>
            <m:sSup>
              <m:sSupPr>
                <m:ctrlPr>
                  <w:rPr>
                    <w:rFonts w:ascii="Cambria Math" w:eastAsia="Calibri" w:hAnsi="Cambria Math" w:cs="Arial"/>
                    <w:i/>
                  </w:rPr>
                </m:ctrlPr>
              </m:sSupPr>
              <m:e>
                <m:r>
                  <w:rPr>
                    <w:rFonts w:ascii="Cambria Math" w:eastAsia="Calibri" w:hAnsi="Cambria Math" w:cs="Arial"/>
                  </w:rPr>
                  <m:t>L</m:t>
                </m:r>
              </m:e>
              <m:sup>
                <m:r>
                  <w:rPr>
                    <w:rFonts w:ascii="Cambria Math" w:eastAsia="Calibri" w:hAnsi="Cambria Math" w:cs="Arial"/>
                  </w:rPr>
                  <m:t>2</m:t>
                </m:r>
              </m:sup>
            </m:sSup>
          </m:den>
        </m:f>
      </m:oMath>
      <w:r w:rsidRPr="0092670C">
        <w:rPr>
          <w:rFonts w:ascii="Arial" w:eastAsia="Calibri" w:hAnsi="Arial" w:cs="Arial"/>
        </w:rPr>
        <w:t xml:space="preserve"> , Where L is the characteristic length of the electrochemical active material. This relationship can be used to determine D. This is then repeated with the pulse voltage increased (or decreased depending on the direction) in increments until the voltage limit of interest is reached. PITT has several advantages over GITT that mean that it has been frequently used as a means of discovering the diffusion coefficient in graphite in Li-ion cells </w:t>
      </w:r>
      <w:r w:rsidRPr="0092670C">
        <w:rPr>
          <w:rFonts w:ascii="Arial" w:eastAsia="Calibri" w:hAnsi="Arial" w:cs="Arial"/>
        </w:rPr>
        <w:fldChar w:fldCharType="begin">
          <w:fldData xml:space="preserve">PEVuZE5vdGU+PENpdGU+PEF1dGhvcj5BdXJiYWNoPC9BdXRob3I+PFllYXI+MTk5ODwvWWVhcj48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PEVuZE5vdGU+PENpdGU+PEF1dGhvcj5BdXJiYWNoPC9BdXRob3I+PFllYXI+MTk5ODwvWWVhcj48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[180, 181, 193]</w:t>
      </w:r>
      <w:r w:rsidRPr="0092670C">
        <w:rPr>
          <w:rFonts w:ascii="Arial" w:eastAsia="Calibri" w:hAnsi="Arial" w:cs="Arial"/>
        </w:rPr>
        <w:fldChar w:fldCharType="end"/>
      </w:r>
      <w:r w:rsidRPr="0092670C">
        <w:rPr>
          <w:rFonts w:ascii="Arial" w:eastAsia="Calibri" w:hAnsi="Arial" w:cs="Arial"/>
        </w:rPr>
        <w:t>. The main reason that PITT is used is the fact that PITT can be performed in a smaller time frame than GITT. This is because there is no need for a length rest step Whereas GITT’s accuracy is related to the length of its rest step.</w:t>
      </w:r>
    </w:p>
    <w:p w14:paraId="20738A56" w14:textId="77777777" w:rsidR="004F4BEA" w:rsidRPr="0092670C" w:rsidRDefault="004F4BEA" w:rsidP="004F4BEA">
      <w:pPr>
        <w:keepNext/>
        <w:spacing w:before="400" w:line="360" w:lineRule="auto"/>
        <w:jc w:val="center"/>
        <w:rPr>
          <w:rFonts w:ascii="Arial" w:eastAsia="Calibri" w:hAnsi="Arial" w:cs="Arial"/>
        </w:rPr>
      </w:pPr>
      <m:oMathPara>
        <m:oMath>
          <m:r>
            <w:rPr>
              <w:rFonts w:ascii="Cambria Math" w:eastAsia="Calibri" w:hAnsi="Cambria Math" w:cs="Arial"/>
            </w:rPr>
            <m:t>D=</m:t>
          </m:r>
          <m:f>
            <m:fPr>
              <m:ctrlPr>
                <w:rPr>
                  <w:rFonts w:ascii="Cambria Math" w:eastAsia="Calibri" w:hAnsi="Cambria Math" w:cs="Arial"/>
                  <w:i/>
                </w:rPr>
              </m:ctrlPr>
            </m:fPr>
            <m:num>
              <m:func>
                <m:funcPr>
                  <m:ctrlPr>
                    <w:rPr>
                      <w:rFonts w:ascii="Cambria Math" w:eastAsia="Calibri" w:hAnsi="Cambria Math" w:cs="Arial"/>
                      <w:i/>
                    </w:rPr>
                  </m:ctrlPr>
                </m:funcPr>
                <m:fName>
                  <m:box>
                    <m:boxPr>
                      <m:diff m:val="1"/>
                      <m:ctrlPr>
                        <w:rPr>
                          <w:rFonts w:ascii="Cambria Math" w:eastAsia="Calibri" w:hAnsi="Cambria Math" w:cs="Arial"/>
                        </w:rPr>
                      </m:ctrlPr>
                    </m:boxPr>
                    <m:e>
                      <m:r>
                        <m:rPr>
                          <m:sty m:val="p"/>
                        </m:rPr>
                        <w:rPr>
                          <w:rFonts w:ascii="Cambria Math" w:eastAsia="Calibri" w:hAnsi="Cambria Math" w:cs="Arial"/>
                        </w:rPr>
                        <m:t>d</m:t>
                      </m:r>
                    </m:e>
                  </m:box>
                  <m:r>
                    <m:rPr>
                      <m:sty m:val="p"/>
                    </m:rPr>
                    <w:rPr>
                      <w:rFonts w:ascii="Cambria Math" w:eastAsia="Calibri" w:hAnsi="Cambria Math" w:cs="Arial"/>
                    </w:rPr>
                    <m:t>ln</m:t>
                  </m:r>
                </m:fName>
                <m:e>
                  <m:d>
                    <m:dPr>
                      <m:ctrlPr>
                        <w:rPr>
                          <w:rFonts w:ascii="Cambria Math" w:eastAsia="Calibri" w:hAnsi="Cambria Math" w:cs="Arial"/>
                          <w:i/>
                        </w:rPr>
                      </m:ctrlPr>
                    </m:dPr>
                    <m:e>
                      <m:r>
                        <w:rPr>
                          <w:rFonts w:ascii="Cambria Math" w:eastAsia="Calibri" w:hAnsi="Cambria Math" w:cs="Arial"/>
                        </w:rPr>
                        <m:t>i</m:t>
                      </m:r>
                    </m:e>
                  </m:d>
                </m:e>
              </m:func>
            </m:num>
            <m:den>
              <m:r>
                <w:rPr>
                  <w:rFonts w:ascii="Cambria Math" w:eastAsia="Calibri" w:hAnsi="Cambria Math" w:cs="Arial"/>
                </w:rPr>
                <m:t>dt</m:t>
              </m:r>
            </m:den>
          </m:f>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4</m:t>
              </m:r>
              <m:sSup>
                <m:sSupPr>
                  <m:ctrlPr>
                    <w:rPr>
                      <w:rFonts w:ascii="Cambria Math" w:eastAsia="Calibri" w:hAnsi="Cambria Math" w:cs="Arial"/>
                      <w:i/>
                    </w:rPr>
                  </m:ctrlPr>
                </m:sSupPr>
                <m:e>
                  <m:r>
                    <w:rPr>
                      <w:rFonts w:ascii="Cambria Math" w:eastAsia="Calibri" w:hAnsi="Cambria Math" w:cs="Arial"/>
                    </w:rPr>
                    <m:t>L</m:t>
                  </m:r>
                </m:e>
                <m:sup>
                  <m:r>
                    <w:rPr>
                      <w:rFonts w:ascii="Cambria Math" w:eastAsia="Calibri" w:hAnsi="Cambria Math" w:cs="Arial"/>
                    </w:rPr>
                    <m:t>2</m:t>
                  </m:r>
                </m:sup>
              </m:sSup>
            </m:num>
            <m:den>
              <m:sSup>
                <m:sSupPr>
                  <m:ctrlPr>
                    <w:rPr>
                      <w:rFonts w:ascii="Cambria Math" w:eastAsia="Calibri" w:hAnsi="Cambria Math" w:cs="Arial"/>
                      <w:i/>
                    </w:rPr>
                  </m:ctrlPr>
                </m:sSupPr>
                <m:e>
                  <m:r>
                    <w:rPr>
                      <w:rFonts w:ascii="Cambria Math" w:eastAsia="Calibri" w:hAnsi="Cambria Math" w:cs="Arial"/>
                    </w:rPr>
                    <m:t>π</m:t>
                  </m:r>
                </m:e>
                <m:sup>
                  <m:r>
                    <w:rPr>
                      <w:rFonts w:ascii="Cambria Math" w:eastAsia="Calibri" w:hAnsi="Cambria Math" w:cs="Arial"/>
                    </w:rPr>
                    <m:t>2</m:t>
                  </m:r>
                </m:sup>
              </m:sSup>
            </m:den>
          </m:f>
        </m:oMath>
      </m:oMathPara>
    </w:p>
    <w:p w14:paraId="0B8ECA41" w14:textId="6D5A0FB7" w:rsidR="004F4BEA" w:rsidRPr="0092670C" w:rsidRDefault="004F4BEA" w:rsidP="004F4BEA">
      <w:pPr>
        <w:spacing w:after="400" w:line="360" w:lineRule="auto"/>
        <w:jc w:val="center"/>
        <w:rPr>
          <w:rFonts w:ascii="Arial" w:eastAsia="Calibri" w:hAnsi="Arial" w:cs="Arial"/>
          <w:i/>
          <w:iCs/>
          <w:color w:val="44546A" w:themeColor="text2"/>
          <w:sz w:val="20"/>
          <w:szCs w:val="20"/>
        </w:rPr>
      </w:pPr>
      <w:bookmarkStart w:id="119" w:name="_Ref31490131"/>
      <w:r w:rsidRPr="0092670C">
        <w:rPr>
          <w:rFonts w:ascii="Arial" w:eastAsia="Calibri" w:hAnsi="Arial" w:cs="Arial"/>
          <w:i/>
          <w:iCs/>
          <w:color w:val="44546A" w:themeColor="text2"/>
          <w:sz w:val="20"/>
          <w:szCs w:val="20"/>
        </w:rPr>
        <w:t xml:space="preserve">Equation </w:t>
      </w:r>
      <w:r w:rsidR="0059014F">
        <w:rPr>
          <w:rFonts w:ascii="Arial" w:eastAsia="Calibri" w:hAnsi="Arial" w:cs="Arial"/>
          <w:i/>
          <w:iCs/>
          <w:color w:val="44546A" w:themeColor="text2"/>
          <w:sz w:val="20"/>
          <w:szCs w:val="20"/>
        </w:rPr>
        <w:fldChar w:fldCharType="begin"/>
      </w:r>
      <w:r w:rsidR="0059014F">
        <w:rPr>
          <w:rFonts w:ascii="Arial" w:eastAsia="Calibri" w:hAnsi="Arial" w:cs="Arial"/>
          <w:i/>
          <w:iCs/>
          <w:color w:val="44546A" w:themeColor="text2"/>
          <w:sz w:val="20"/>
          <w:szCs w:val="20"/>
        </w:rPr>
        <w:instrText xml:space="preserve"> SEQ Equation \* ARABIC </w:instrText>
      </w:r>
      <w:r w:rsidR="0059014F">
        <w:rPr>
          <w:rFonts w:ascii="Arial" w:eastAsia="Calibri" w:hAnsi="Arial" w:cs="Arial"/>
          <w:i/>
          <w:iCs/>
          <w:color w:val="44546A" w:themeColor="text2"/>
          <w:sz w:val="20"/>
          <w:szCs w:val="20"/>
        </w:rPr>
        <w:fldChar w:fldCharType="separate"/>
      </w:r>
      <w:r w:rsidR="0059014F">
        <w:rPr>
          <w:rFonts w:ascii="Arial" w:eastAsia="Calibri" w:hAnsi="Arial" w:cs="Arial"/>
          <w:i/>
          <w:iCs/>
          <w:noProof/>
          <w:color w:val="44546A" w:themeColor="text2"/>
          <w:sz w:val="20"/>
          <w:szCs w:val="20"/>
        </w:rPr>
        <w:t>8</w:t>
      </w:r>
      <w:r w:rsidR="0059014F">
        <w:rPr>
          <w:rFonts w:ascii="Arial" w:eastAsia="Calibri" w:hAnsi="Arial" w:cs="Arial"/>
          <w:i/>
          <w:iCs/>
          <w:color w:val="44546A" w:themeColor="text2"/>
          <w:sz w:val="20"/>
          <w:szCs w:val="20"/>
        </w:rPr>
        <w:fldChar w:fldCharType="end"/>
      </w:r>
      <w:bookmarkEnd w:id="119"/>
      <w:r w:rsidRPr="0092670C">
        <w:rPr>
          <w:rFonts w:ascii="Arial" w:eastAsia="Calibri" w:hAnsi="Arial" w:cs="Arial"/>
          <w:i/>
          <w:iCs/>
          <w:color w:val="44546A" w:themeColor="text2"/>
          <w:sz w:val="20"/>
          <w:szCs w:val="20"/>
        </w:rPr>
        <w:t>: Equation for obtaining the diffusion coefficient from PITT data.</w:t>
      </w:r>
    </w:p>
    <w:p w14:paraId="4A2914E8" w14:textId="2260FF46" w:rsidR="001F5C16" w:rsidRDefault="004F4BEA" w:rsidP="003E14AA">
      <w:pPr>
        <w:spacing w:line="360" w:lineRule="auto"/>
        <w:jc w:val="both"/>
        <w:rPr>
          <w:rFonts w:ascii="Arial" w:eastAsia="Calibri" w:hAnsi="Arial" w:cs="Arial"/>
        </w:rPr>
      </w:pPr>
      <w:r w:rsidRPr="0092670C">
        <w:rPr>
          <w:rFonts w:ascii="Arial" w:eastAsia="Calibri" w:hAnsi="Arial" w:cs="Arial"/>
        </w:rPr>
        <w:t>PITT does suffer from some downsides, however. One is the number of assumptions made to form the central equations (</w:t>
      </w:r>
      <w:r w:rsidRPr="0092670C">
        <w:rPr>
          <w:rFonts w:ascii="Arial" w:eastAsia="Calibri" w:hAnsi="Arial" w:cs="Arial"/>
        </w:rPr>
        <w:fldChar w:fldCharType="begin"/>
      </w:r>
      <w:r w:rsidRPr="0092670C">
        <w:rPr>
          <w:rFonts w:ascii="Arial" w:eastAsia="Calibri" w:hAnsi="Arial" w:cs="Arial"/>
        </w:rPr>
        <w:instrText xml:space="preserve"> REF _Ref31490131 \h  \* MERGEFORMAT </w:instrText>
      </w:r>
      <w:r w:rsidRPr="0092670C">
        <w:rPr>
          <w:rFonts w:ascii="Arial" w:eastAsia="Calibri" w:hAnsi="Arial" w:cs="Arial"/>
        </w:rPr>
      </w:r>
      <w:r w:rsidRPr="0092670C">
        <w:rPr>
          <w:rFonts w:ascii="Arial" w:eastAsia="Calibri" w:hAnsi="Arial" w:cs="Arial"/>
        </w:rPr>
        <w:fldChar w:fldCharType="separate"/>
      </w:r>
      <w:r w:rsidRPr="007342C8">
        <w:rPr>
          <w:rFonts w:ascii="Arial" w:eastAsia="Calibri" w:hAnsi="Arial" w:cs="Arial"/>
        </w:rPr>
        <w:t xml:space="preserve">Equation </w:t>
      </w:r>
      <w:r w:rsidRPr="007342C8">
        <w:rPr>
          <w:rFonts w:ascii="Arial" w:eastAsia="Calibri" w:hAnsi="Arial" w:cs="Arial"/>
          <w:noProof/>
        </w:rPr>
        <w:t>2</w:t>
      </w:r>
      <w:r w:rsidRPr="007342C8">
        <w:rPr>
          <w:rFonts w:ascii="Arial" w:eastAsia="Calibri" w:hAnsi="Arial" w:cs="Arial"/>
          <w:noProof/>
        </w:rPr>
        <w:noBreakHyphen/>
        <w:t>3</w:t>
      </w:r>
      <w:r w:rsidRPr="0092670C">
        <w:rPr>
          <w:rFonts w:ascii="Arial" w:eastAsia="Calibri" w:hAnsi="Arial" w:cs="Arial"/>
        </w:rPr>
        <w:fldChar w:fldCharType="end"/>
      </w:r>
      <w:r w:rsidRPr="0092670C">
        <w:rPr>
          <w:rFonts w:ascii="Arial" w:eastAsia="Calibri" w:hAnsi="Arial" w:cs="Arial"/>
        </w:rPr>
        <w:t xml:space="preserve">) that govern the relationship between the current decay and the diffusion coefficient i.e. assuming that the surface reaction rate is infinitely fast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&lt;EndNote&gt;&lt;Cite&gt;&lt;Author&gt;Li&lt;/Author&gt;&lt;Year&gt;2012&lt;/Year&gt;&lt;RecNum&gt;183&lt;/RecNum&gt;&lt;DisplayText&gt;[194]&lt;/DisplayText&gt;&lt;record&gt;&lt;rec-number&gt;183&lt;/rec-number&gt;&lt;foreign-keys&gt;&lt;key app="EN" db-id="5sa9s0e0r0d9fnexra7pr5xdwd5ztevx95s2" timestamp="1551636988"&gt;183&lt;/key&gt;&lt;/foreign-keys&gt;&lt;ref-type name="Journal Article"&gt;17&lt;/ref-type&gt;&lt;contributors&gt;&lt;authors&gt;&lt;author&gt;Li, Juchuan&lt;/author&gt;&lt;author&gt;Xiao, Xingcheng&lt;/author&gt;&lt;author&gt;Yang, Fuqian&lt;/author&gt;&lt;author&gt;Verbrugge, Mark W.&lt;/author&gt;&lt;author&gt;Cheng, Yang-Tse&lt;/author&gt;&lt;/authors&gt;&lt;/contributors&gt;&lt;titles&gt;&lt;title&gt;Potentiostatic Intermittent Titration Technique for Electrodes Governed by Diffusion and Interfacial Reaction&lt;/title&gt;&lt;secondary-title&gt;The Journal of Physical Chemistry C&lt;/secondary-title&gt;&lt;/titles&gt;&lt;periodical&gt;&lt;full-title&gt;The Journal of Physical Chemistry C&lt;/full-title&gt;&lt;/periodical&gt;&lt;pages&gt;1472-1478&lt;/pages&gt;&lt;volume&gt;116&lt;/volume&gt;&lt;number&gt;1&lt;/number&gt;&lt;dates&gt;&lt;year&gt;2012&lt;/year&gt;&lt;pub-dates&gt;&lt;date&gt;2012/01/12&lt;/date&gt;&lt;/pub-dates&gt;&lt;/dates&gt;&lt;publisher&gt;American Chemical Society&lt;/publisher&gt;&lt;isbn&gt;1932-7447&lt;/isbn&gt;&lt;urls&gt;&lt;related-urls&gt;&lt;url&gt;https://doi.org/10.1021/jp207919q&lt;/url&gt;&lt;/related-urls&gt;&lt;/urls&gt;&lt;electronic-resource-num&gt;10.1021/jp207919q&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[194]</w:t>
      </w:r>
      <w:r w:rsidRPr="0092670C">
        <w:rPr>
          <w:rFonts w:ascii="Arial" w:eastAsia="Calibri" w:hAnsi="Arial" w:cs="Arial"/>
        </w:rPr>
        <w:fldChar w:fldCharType="end"/>
      </w:r>
      <w:r w:rsidRPr="0092670C">
        <w:rPr>
          <w:rFonts w:ascii="Arial" w:eastAsia="Calibri" w:hAnsi="Arial" w:cs="Arial"/>
        </w:rPr>
        <w:t xml:space="preserve">. Several amendments have been added to the PITT theory and shown to be more helpful for certain systems, but these are bespoke answers that typically only consider one of the theory’s limiting factors </w:t>
      </w:r>
      <w:r w:rsidRPr="0092670C">
        <w:rPr>
          <w:rFonts w:ascii="Arial" w:eastAsia="Calibri" w:hAnsi="Arial" w:cs="Arial"/>
        </w:rPr>
        <w:fldChar w:fldCharType="begin">
          <w:fldData xml:space="preserve">PEVuZE5vdGU+PENpdGU+PEF1dGhvcj5MZXZpPC9BdXRob3I+PFllYXI+MjAwNDwvWWVhcj48UmVj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PEVuZE5vdGU+PENpdGU+PEF1dGhvcj5MZXZpPC9BdXRob3I+PFllYXI+MjAwNDwvWWVhcj48UmVj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[193, 195, 196]</w:t>
      </w:r>
      <w:r w:rsidRPr="0092670C">
        <w:rPr>
          <w:rFonts w:ascii="Arial" w:eastAsia="Calibri" w:hAnsi="Arial" w:cs="Arial"/>
        </w:rPr>
        <w:fldChar w:fldCharType="end"/>
      </w:r>
      <w:r w:rsidRPr="0092670C">
        <w:rPr>
          <w:rFonts w:ascii="Arial" w:eastAsia="Calibri" w:hAnsi="Arial" w:cs="Arial"/>
        </w:rPr>
        <w:t xml:space="preserve">.  PITT has also been shown to be less accurate when determining the diffusion coefficient than GITT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&lt;EndNote&gt;&lt;Cite&gt;&lt;Author&gt;Markevich&lt;/Author&gt;&lt;Year&gt;2005&lt;/Year&gt;&lt;RecNum&gt;187&lt;/RecNum&gt;&lt;DisplayText&gt;[197]&lt;/DisplayText&gt;&lt;record&gt;&lt;rec-number&gt;187&lt;/rec-number&gt;&lt;foreign-keys&gt;&lt;key app="EN" db-id="5sa9s0e0r0d9fnexra7pr5xdwd5ztevx95s2" timestamp="1551638797"&gt;187&lt;/key&gt;&lt;/foreign-keys&gt;&lt;ref-type name="Journal Article"&gt;17&lt;/ref-type&gt;&lt;contributors&gt;&lt;authors&gt;&lt;author&gt;Markevich, E.&lt;/author&gt;&lt;author&gt;Levi, M. D.&lt;/author&gt;&lt;author&gt;Aurbach, D.&lt;/author&gt;&lt;/authors&gt;&lt;/contributors&gt;&lt;titles&gt;&lt;title&gt;Comparison between potentiostatic and galvanostatic intermittent titration techniques for determination of chemical diffusion coefficients in ion-insertion electrodes&lt;/title&gt;&lt;secondary-title&gt;Journal of Electroanalytical Chemistry&lt;/secondary-title&gt;&lt;/titles&gt;&lt;periodical&gt;&lt;full-title&gt;Journal of Electroanalytical Chemistry&lt;/full-title&gt;&lt;/periodical&gt;&lt;pages&gt;231-237&lt;/pages&gt;&lt;volume&gt;580&lt;/volume&gt;&lt;number&gt;2&lt;/number&gt;&lt;keywords&gt;&lt;keyword&gt;PITT&lt;/keyword&gt;&lt;keyword&gt;GITT&lt;/keyword&gt;&lt;keyword&gt;Li-ion batteries&lt;/keyword&gt;&lt;keyword&gt;Intercalation&lt;/keyword&gt;&lt;keyword&gt;Diffusion&lt;/keyword&gt;&lt;keyword&gt;Differential intercalation capacitance&lt;/keyword&gt;&lt;/keywords&gt;&lt;dates&gt;&lt;year&gt;2005&lt;/year&gt;&lt;pub-dates&gt;&lt;date&gt;2005/07/01/&lt;/date&gt;&lt;/pub-dates&gt;&lt;/dates&gt;&lt;isbn&gt;1572-6657&lt;/isbn&gt;&lt;urls&gt;&lt;related-urls&gt;&lt;url&gt;http://www.sciencedirect.com/science/article/pii/S0022072805001786&lt;/url&gt;&lt;/related-urls&gt;&lt;/urls&gt;&lt;electronic-resource-num&gt;https://doi.org/10.1016/j.jelechem.2005.03.030&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[197]</w:t>
      </w:r>
      <w:r w:rsidRPr="0092670C">
        <w:rPr>
          <w:rFonts w:ascii="Arial" w:eastAsia="Calibri" w:hAnsi="Arial" w:cs="Arial"/>
        </w:rPr>
        <w:fldChar w:fldCharType="end"/>
      </w:r>
      <w:r w:rsidRPr="0092670C">
        <w:rPr>
          <w:rFonts w:ascii="Arial" w:eastAsia="Calibri" w:hAnsi="Arial" w:cs="Arial"/>
        </w:rPr>
        <w:t xml:space="preserve">. </w:t>
      </w:r>
    </w:p>
    <w:p w14:paraId="50F61179" w14:textId="7C929117" w:rsidR="006B4538" w:rsidRDefault="006B4538" w:rsidP="00131A12">
      <w:pPr>
        <w:pStyle w:val="Heading2"/>
        <w:rPr>
          <w:rFonts w:ascii="Arial" w:eastAsia="Calibri" w:hAnsi="Arial" w:cs="Arial"/>
        </w:rPr>
      </w:pPr>
      <w:bookmarkStart w:id="120" w:name="_Toc82538749"/>
      <w:r>
        <w:rPr>
          <w:rFonts w:ascii="Arial" w:eastAsia="Calibri" w:hAnsi="Arial" w:cs="Arial"/>
        </w:rPr>
        <w:t>Physical analysis</w:t>
      </w:r>
      <w:bookmarkEnd w:id="120"/>
    </w:p>
    <w:p w14:paraId="1DD51226" w14:textId="2532FBF1" w:rsidR="006B4538" w:rsidRPr="0092670C" w:rsidRDefault="006B4538" w:rsidP="003E14AA">
      <w:pPr>
        <w:spacing w:line="360" w:lineRule="auto"/>
        <w:jc w:val="both"/>
        <w:rPr>
          <w:rFonts w:ascii="Arial" w:eastAsia="Calibri" w:hAnsi="Arial" w:cs="Arial"/>
        </w:rPr>
      </w:pPr>
      <w:r>
        <w:rPr>
          <w:rFonts w:ascii="Arial" w:eastAsia="Calibri" w:hAnsi="Arial" w:cs="Arial"/>
        </w:rPr>
        <w:t>Whilst electrochemical analysis is vital to understand the SEI</w:t>
      </w:r>
      <w:r w:rsidR="00441CB4">
        <w:rPr>
          <w:rFonts w:ascii="Arial" w:eastAsia="Calibri" w:hAnsi="Arial" w:cs="Arial"/>
        </w:rPr>
        <w:t>, It doesn’t</w:t>
      </w:r>
      <w:r w:rsidR="00D76884">
        <w:rPr>
          <w:rFonts w:ascii="Arial" w:eastAsia="Calibri" w:hAnsi="Arial" w:cs="Arial"/>
        </w:rPr>
        <w:t xml:space="preserve"> </w:t>
      </w:r>
      <w:r w:rsidR="00441CB4">
        <w:rPr>
          <w:rFonts w:ascii="Arial" w:eastAsia="Calibri" w:hAnsi="Arial" w:cs="Arial"/>
        </w:rPr>
        <w:t>provide</w:t>
      </w:r>
      <w:r w:rsidR="00AC7E67">
        <w:rPr>
          <w:rFonts w:ascii="Arial" w:eastAsia="Calibri" w:hAnsi="Arial" w:cs="Arial"/>
        </w:rPr>
        <w:t xml:space="preserve"> </w:t>
      </w:r>
      <w:r w:rsidR="00D76884">
        <w:rPr>
          <w:rFonts w:ascii="Arial" w:eastAsia="Calibri" w:hAnsi="Arial" w:cs="Arial"/>
        </w:rPr>
        <w:t xml:space="preserve">information on the </w:t>
      </w:r>
      <w:r w:rsidR="005D1264">
        <w:rPr>
          <w:rFonts w:ascii="Arial" w:eastAsia="Calibri" w:hAnsi="Arial" w:cs="Arial"/>
        </w:rPr>
        <w:t xml:space="preserve">changes taking place on the </w:t>
      </w:r>
      <w:r w:rsidR="00C7575A">
        <w:rPr>
          <w:rFonts w:ascii="Arial" w:eastAsia="Calibri" w:hAnsi="Arial" w:cs="Arial"/>
        </w:rPr>
        <w:t>electrode itself</w:t>
      </w:r>
      <w:r w:rsidR="00511F24">
        <w:rPr>
          <w:rFonts w:ascii="Arial" w:eastAsia="Calibri" w:hAnsi="Arial" w:cs="Arial"/>
        </w:rPr>
        <w:t xml:space="preserve">. Physical </w:t>
      </w:r>
      <w:r w:rsidR="00934D19">
        <w:rPr>
          <w:rFonts w:ascii="Arial" w:eastAsia="Calibri" w:hAnsi="Arial" w:cs="Arial"/>
        </w:rPr>
        <w:t xml:space="preserve">analysis can help to </w:t>
      </w:r>
      <w:r w:rsidR="00AE526B">
        <w:rPr>
          <w:rFonts w:ascii="Arial" w:eastAsia="Calibri" w:hAnsi="Arial" w:cs="Arial"/>
        </w:rPr>
        <w:t xml:space="preserve">link the physical changes </w:t>
      </w:r>
      <w:r w:rsidR="00D2035E">
        <w:rPr>
          <w:rFonts w:ascii="Arial" w:eastAsia="Calibri" w:hAnsi="Arial" w:cs="Arial"/>
        </w:rPr>
        <w:t>that take place with the electrochemical impact that hose changes have. In this section t</w:t>
      </w:r>
      <w:r w:rsidR="00C8069F">
        <w:rPr>
          <w:rFonts w:ascii="Arial" w:eastAsia="Calibri" w:hAnsi="Arial" w:cs="Arial"/>
        </w:rPr>
        <w:t xml:space="preserve">he physical techniques used in this thesis are described </w:t>
      </w:r>
      <w:r w:rsidR="00F96DBC">
        <w:rPr>
          <w:rFonts w:ascii="Arial" w:eastAsia="Calibri" w:hAnsi="Arial" w:cs="Arial"/>
        </w:rPr>
        <w:t xml:space="preserve">and their use for understanding the SEI is highlighted. </w:t>
      </w:r>
    </w:p>
    <w:p w14:paraId="5ECA440B" w14:textId="77777777" w:rsidR="003E14AA" w:rsidRPr="0092670C" w:rsidRDefault="003E14AA" w:rsidP="00F96DBC">
      <w:pPr>
        <w:pStyle w:val="Heading3"/>
        <w:rPr>
          <w:rFonts w:ascii="Arial" w:eastAsia="Calibri" w:hAnsi="Arial" w:cs="Arial"/>
        </w:rPr>
      </w:pPr>
      <w:bookmarkStart w:id="121" w:name="_Toc82538750"/>
      <w:r w:rsidRPr="0092670C">
        <w:rPr>
          <w:rFonts w:ascii="Arial" w:eastAsia="Calibri" w:hAnsi="Arial" w:cs="Arial"/>
        </w:rPr>
        <w:t>Atomic force microscopy (AFM)</w:t>
      </w:r>
      <w:bookmarkEnd w:id="121"/>
    </w:p>
    <w:p w14:paraId="10A139E8" w14:textId="749724AA"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AFM measures the height of surfaces and plots the topography as a colour-coded image. It measures these changes by keeping a tip</w:t>
      </w:r>
      <w:r w:rsidR="00F556A9" w:rsidRPr="0092670C">
        <w:rPr>
          <w:rFonts w:ascii="Arial" w:eastAsia="Calibri" w:hAnsi="Arial" w:cs="Arial"/>
        </w:rPr>
        <w:t xml:space="preserve">, as seen in </w:t>
      </w:r>
      <w:r w:rsidR="00F556A9" w:rsidRPr="0092670C">
        <w:rPr>
          <w:rFonts w:ascii="Arial" w:eastAsia="Calibri" w:hAnsi="Arial" w:cs="Arial"/>
        </w:rPr>
        <w:fldChar w:fldCharType="begin"/>
      </w:r>
      <w:r w:rsidR="00F556A9" w:rsidRPr="0092670C">
        <w:rPr>
          <w:rFonts w:ascii="Arial" w:eastAsia="Calibri" w:hAnsi="Arial" w:cs="Arial"/>
        </w:rPr>
        <w:instrText xml:space="preserve"> REF _Ref29206679 \h  \* MERGEFORMAT </w:instrText>
      </w:r>
      <w:r w:rsidR="00F556A9" w:rsidRPr="0092670C">
        <w:rPr>
          <w:rFonts w:ascii="Arial" w:eastAsia="Calibri" w:hAnsi="Arial" w:cs="Arial"/>
        </w:rPr>
      </w:r>
      <w:r w:rsidR="00F556A9"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9</w:t>
      </w:r>
      <w:r w:rsidR="00F556A9" w:rsidRPr="0092670C">
        <w:rPr>
          <w:rFonts w:ascii="Arial" w:eastAsia="Calibri" w:hAnsi="Arial" w:cs="Arial"/>
        </w:rPr>
        <w:fldChar w:fldCharType="end"/>
      </w:r>
      <w:r w:rsidRPr="0092670C">
        <w:rPr>
          <w:rFonts w:ascii="Arial" w:eastAsia="Calibri" w:hAnsi="Arial" w:cs="Arial"/>
        </w:rPr>
        <w:t>, close to the surface of the sample in question. As the tip moves across the surface van der Waals forces</w:t>
      </w:r>
      <w:r w:rsidR="00CF5BDB">
        <w:rPr>
          <w:rFonts w:ascii="Arial" w:eastAsia="Calibri" w:hAnsi="Arial" w:cs="Arial"/>
        </w:rPr>
        <w:t xml:space="preserve"> will </w:t>
      </w:r>
      <w:r w:rsidR="00786049">
        <w:rPr>
          <w:rFonts w:ascii="Arial" w:eastAsia="Calibri" w:hAnsi="Arial" w:cs="Arial"/>
        </w:rPr>
        <w:t>interact</w:t>
      </w:r>
      <w:r w:rsidR="006A2245">
        <w:rPr>
          <w:rFonts w:ascii="Arial" w:eastAsia="Calibri" w:hAnsi="Arial" w:cs="Arial"/>
        </w:rPr>
        <w:t xml:space="preserve"> with it </w:t>
      </w:r>
      <w:r w:rsidR="00786049">
        <w:rPr>
          <w:rFonts w:ascii="Arial" w:eastAsia="Calibri" w:hAnsi="Arial" w:cs="Arial"/>
        </w:rPr>
        <w:t>causing it to move in response</w:t>
      </w:r>
      <w:r w:rsidRPr="0092670C">
        <w:rPr>
          <w:rFonts w:ascii="Arial" w:eastAsia="Calibri" w:hAnsi="Arial" w:cs="Arial"/>
        </w:rPr>
        <w:t xml:space="preserve">. These changes are detected by using a laser whose beam reflects off the top of the tip and is collected by a </w:t>
      </w:r>
      <w:r w:rsidR="00B63296" w:rsidRPr="0092670C">
        <w:rPr>
          <w:rFonts w:ascii="Arial" w:eastAsia="Calibri" w:hAnsi="Arial" w:cs="Arial"/>
        </w:rPr>
        <w:t xml:space="preserve">split </w:t>
      </w:r>
      <w:r w:rsidRPr="0092670C">
        <w:rPr>
          <w:rFonts w:ascii="Arial" w:eastAsia="Calibri" w:hAnsi="Arial" w:cs="Arial"/>
        </w:rPr>
        <w:t xml:space="preserve">photodetector.  AFM has been widely used to look at surfaces and the growth of thin films. </w:t>
      </w:r>
    </w:p>
    <w:p w14:paraId="14373FF1" w14:textId="77777777" w:rsidR="003E14AA" w:rsidRPr="0092670C" w:rsidRDefault="003E14AA" w:rsidP="003E14AA">
      <w:pPr>
        <w:keepNext/>
        <w:spacing w:line="256" w:lineRule="auto"/>
        <w:jc w:val="center"/>
        <w:rPr>
          <w:rFonts w:ascii="Arial" w:eastAsia="Calibri" w:hAnsi="Arial" w:cs="Arial"/>
        </w:rPr>
      </w:pPr>
      <w:r w:rsidRPr="0092670C">
        <w:rPr>
          <w:rFonts w:ascii="Arial" w:eastAsia="Calibri" w:hAnsi="Arial" w:cs="Arial"/>
          <w:noProof/>
        </w:rPr>
        <w:drawing>
          <wp:inline distT="0" distB="0" distL="0" distR="0" wp14:anchorId="2CC51D42" wp14:editId="21003D9A">
            <wp:extent cx="3333750" cy="2266950"/>
            <wp:effectExtent l="0" t="0" r="0" b="0"/>
            <wp:docPr id="26" name="Picture 1" descr="https://www.brukerafmprobes.com/images/Product/tip/detailed/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ukerafmprobes.com/images/Product/tip/detailed/3365.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p>
    <w:p w14:paraId="269CBF0B" w14:textId="0883CBAF" w:rsidR="003E14AA" w:rsidRPr="0092670C" w:rsidRDefault="003E14AA" w:rsidP="003E14AA">
      <w:pPr>
        <w:spacing w:after="200" w:line="240" w:lineRule="auto"/>
        <w:jc w:val="center"/>
        <w:rPr>
          <w:rFonts w:ascii="Arial" w:eastAsia="Calibri" w:hAnsi="Arial" w:cs="Arial"/>
          <w:i/>
          <w:iCs/>
          <w:color w:val="44546A" w:themeColor="text2"/>
          <w:sz w:val="20"/>
          <w:szCs w:val="20"/>
        </w:rPr>
      </w:pPr>
      <w:bookmarkStart w:id="122" w:name="_Ref29206679"/>
      <w:r w:rsidRPr="0092670C">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13</w:t>
      </w:r>
      <w:r w:rsidR="00356A26">
        <w:rPr>
          <w:rFonts w:ascii="Arial" w:eastAsia="Calibri" w:hAnsi="Arial" w:cs="Arial"/>
          <w:i/>
          <w:iCs/>
          <w:color w:val="44546A" w:themeColor="text2"/>
          <w:sz w:val="20"/>
          <w:szCs w:val="20"/>
        </w:rPr>
        <w:fldChar w:fldCharType="end"/>
      </w:r>
      <w:bookmarkEnd w:id="122"/>
      <w:r w:rsidRPr="0092670C">
        <w:rPr>
          <w:rFonts w:ascii="Arial" w:eastAsia="Calibri" w:hAnsi="Arial" w:cs="Arial"/>
          <w:i/>
          <w:iCs/>
          <w:color w:val="44546A" w:themeColor="text2"/>
          <w:sz w:val="20"/>
          <w:szCs w:val="20"/>
        </w:rPr>
        <w:t xml:space="preserve">: SEM image of an AFM tip </w:t>
      </w:r>
      <w:r w:rsidRPr="0092670C">
        <w:rPr>
          <w:rFonts w:ascii="Arial" w:eastAsia="Calibri" w:hAnsi="Arial" w:cs="Arial"/>
          <w:i/>
          <w:iCs/>
          <w:color w:val="44546A" w:themeColor="text2"/>
          <w:sz w:val="20"/>
          <w:szCs w:val="20"/>
        </w:rPr>
        <w:fldChar w:fldCharType="begin"/>
      </w:r>
      <w:r w:rsidR="0034337D">
        <w:rPr>
          <w:rFonts w:ascii="Arial" w:eastAsia="Calibri" w:hAnsi="Arial" w:cs="Arial"/>
          <w:i/>
          <w:iCs/>
          <w:color w:val="44546A" w:themeColor="text2"/>
          <w:sz w:val="20"/>
          <w:szCs w:val="20"/>
        </w:rPr>
        <w:instrText xml:space="preserve"> ADDIN EN.CITE &lt;EndNote&gt;&lt;Cite&gt;&lt;RecNum&gt;166&lt;/RecNum&gt;&lt;DisplayText&gt;[198]&lt;/DisplayText&gt;&lt;record&gt;&lt;rec-number&gt;166&lt;/rec-number&gt;&lt;foreign-keys&gt;&lt;key app="EN" db-id="5sa9s0e0r0d9fnexra7pr5xdwd5ztevx95s2" timestamp="1550053473"&gt;166&lt;/key&gt;&lt;/foreign-keys&gt;&lt;ref-type name="Web Page"&gt;12&lt;/ref-type&gt;&lt;contributors&gt;&lt;/contributors&gt;&lt;titles&gt;&lt;title&gt;https://www.brukerafmprobes.com/p-3365-nchv.aspx&lt;/title&gt;&lt;/titles&gt;&lt;volume&gt;2019&lt;/volume&gt;&lt;number&gt;13/02/19&lt;/number&gt;&lt;dates&gt;&lt;/dates&gt;&lt;publisher&gt;Bruker&lt;/publisher&gt;&lt;urls&gt;&lt;/urls&gt;&lt;/record&gt;&lt;/Cite&gt;&lt;/EndNote&gt;</w:instrText>
      </w:r>
      <w:r w:rsidRPr="0092670C">
        <w:rPr>
          <w:rFonts w:ascii="Arial" w:eastAsia="Calibri" w:hAnsi="Arial" w:cs="Arial"/>
          <w:i/>
          <w:iCs/>
          <w:color w:val="44546A" w:themeColor="text2"/>
          <w:sz w:val="20"/>
          <w:szCs w:val="20"/>
        </w:rPr>
        <w:fldChar w:fldCharType="separate"/>
      </w:r>
      <w:r w:rsidR="0034337D">
        <w:rPr>
          <w:rFonts w:ascii="Arial" w:eastAsia="Calibri" w:hAnsi="Arial" w:cs="Arial"/>
          <w:i/>
          <w:iCs/>
          <w:noProof/>
          <w:color w:val="44546A" w:themeColor="text2"/>
          <w:sz w:val="20"/>
          <w:szCs w:val="20"/>
        </w:rPr>
        <w:t>[198]</w:t>
      </w:r>
      <w:r w:rsidRPr="0092670C">
        <w:rPr>
          <w:rFonts w:ascii="Arial" w:eastAsia="Calibri" w:hAnsi="Arial" w:cs="Arial"/>
          <w:i/>
          <w:iCs/>
          <w:color w:val="44546A" w:themeColor="text2"/>
          <w:sz w:val="20"/>
          <w:szCs w:val="20"/>
        </w:rPr>
        <w:fldChar w:fldCharType="end"/>
      </w:r>
      <w:r w:rsidR="0001780D" w:rsidRPr="0092670C">
        <w:rPr>
          <w:rFonts w:ascii="Arial" w:eastAsia="Calibri" w:hAnsi="Arial" w:cs="Arial"/>
          <w:i/>
          <w:iCs/>
          <w:color w:val="44546A" w:themeColor="text2"/>
          <w:sz w:val="20"/>
          <w:szCs w:val="20"/>
        </w:rPr>
        <w:t>.</w:t>
      </w:r>
    </w:p>
    <w:p w14:paraId="6659CF34" w14:textId="5E1F5324"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There are several types modes with which an AFM tip can interact with the sample. The three most common are contact, non-contact and tapping mode. In contact mode the tip is in contact with the surface and the tip moves up or down as it is dragged along the surface. As the height of the surface changes the tip moves to avoid dragging and this change is picked up by the photodiode and used to make the AFM image</w:t>
      </w:r>
      <w:r w:rsidR="009A6305" w:rsidRPr="0092670C">
        <w:rPr>
          <w:rFonts w:ascii="Arial" w:eastAsia="Calibri" w:hAnsi="Arial" w:cs="Arial"/>
        </w:rPr>
        <w:t xml:space="preserve">, a schematic of which can be seen in </w:t>
      </w:r>
      <w:r w:rsidR="00AA7130" w:rsidRPr="0092670C">
        <w:rPr>
          <w:rFonts w:ascii="Arial" w:eastAsia="Calibri" w:hAnsi="Arial" w:cs="Arial"/>
        </w:rPr>
        <w:fldChar w:fldCharType="begin"/>
      </w:r>
      <w:r w:rsidR="00AA7130" w:rsidRPr="0092670C">
        <w:rPr>
          <w:rFonts w:ascii="Arial" w:eastAsia="Calibri" w:hAnsi="Arial" w:cs="Arial"/>
        </w:rPr>
        <w:instrText xml:space="preserve"> REF _Ref29206779 \h  \* MERGEFORMAT </w:instrText>
      </w:r>
      <w:r w:rsidR="00AA7130" w:rsidRPr="0092670C">
        <w:rPr>
          <w:rFonts w:ascii="Arial" w:eastAsia="Calibri" w:hAnsi="Arial" w:cs="Arial"/>
        </w:rPr>
      </w:r>
      <w:r w:rsidR="00AA7130" w:rsidRPr="0092670C">
        <w:rPr>
          <w:rFonts w:ascii="Arial" w:eastAsia="Calibri" w:hAnsi="Arial" w:cs="Arial"/>
        </w:rPr>
        <w:fldChar w:fldCharType="separate"/>
      </w:r>
      <w:r w:rsidR="007342C8" w:rsidRPr="007342C8">
        <w:rPr>
          <w:rFonts w:ascii="Arial" w:hAnsi="Arial" w:cs="Arial"/>
        </w:rPr>
        <w:t xml:space="preserve">Figure </w:t>
      </w:r>
      <w:r w:rsidR="007342C8" w:rsidRPr="007342C8">
        <w:rPr>
          <w:rFonts w:ascii="Arial" w:hAnsi="Arial" w:cs="Arial"/>
          <w:noProof/>
        </w:rPr>
        <w:t>2</w:t>
      </w:r>
      <w:r w:rsidR="007342C8" w:rsidRPr="007342C8">
        <w:rPr>
          <w:rFonts w:ascii="Arial" w:hAnsi="Arial" w:cs="Arial"/>
          <w:noProof/>
        </w:rPr>
        <w:noBreakHyphen/>
        <w:t>10</w:t>
      </w:r>
      <w:r w:rsidR="00AA7130" w:rsidRPr="0092670C">
        <w:rPr>
          <w:rFonts w:ascii="Arial" w:eastAsia="Calibri" w:hAnsi="Arial" w:cs="Arial"/>
        </w:rPr>
        <w:fldChar w:fldCharType="end"/>
      </w:r>
      <w:r w:rsidRPr="0092670C">
        <w:rPr>
          <w:rFonts w:ascii="Arial" w:eastAsia="Calibri" w:hAnsi="Arial" w:cs="Arial"/>
        </w:rPr>
        <w:t>.</w:t>
      </w:r>
    </w:p>
    <w:p w14:paraId="1E6EDF4D" w14:textId="77777777" w:rsidR="003E14AA" w:rsidRPr="0092670C" w:rsidRDefault="003E14AA" w:rsidP="003E14AA">
      <w:pPr>
        <w:keepNext/>
        <w:spacing w:line="360" w:lineRule="auto"/>
        <w:jc w:val="center"/>
        <w:rPr>
          <w:rFonts w:ascii="Arial" w:hAnsi="Arial" w:cs="Arial"/>
        </w:rPr>
      </w:pPr>
      <w:r w:rsidRPr="0092670C">
        <w:rPr>
          <w:rFonts w:ascii="Arial" w:hAnsi="Arial" w:cs="Arial"/>
          <w:noProof/>
        </w:rPr>
        <w:drawing>
          <wp:inline distT="0" distB="0" distL="0" distR="0" wp14:anchorId="21480182" wp14:editId="626E936B">
            <wp:extent cx="3495675" cy="2695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95675" cy="2695575"/>
                    </a:xfrm>
                    <a:prstGeom prst="rect">
                      <a:avLst/>
                    </a:prstGeom>
                  </pic:spPr>
                </pic:pic>
              </a:graphicData>
            </a:graphic>
          </wp:inline>
        </w:drawing>
      </w:r>
    </w:p>
    <w:p w14:paraId="1E79458C" w14:textId="247119CA" w:rsidR="003E14AA" w:rsidRPr="0092670C" w:rsidRDefault="003E14AA" w:rsidP="003E14AA">
      <w:pPr>
        <w:spacing w:after="200" w:line="240" w:lineRule="auto"/>
        <w:jc w:val="center"/>
        <w:rPr>
          <w:rFonts w:ascii="Arial" w:eastAsia="Calibri" w:hAnsi="Arial" w:cs="Arial"/>
          <w:i/>
          <w:iCs/>
          <w:color w:val="44546A" w:themeColor="text2"/>
          <w:sz w:val="20"/>
          <w:szCs w:val="20"/>
        </w:rPr>
      </w:pPr>
      <w:bookmarkStart w:id="123" w:name="_Ref29206779"/>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14</w:t>
      </w:r>
      <w:r w:rsidR="00356A26">
        <w:rPr>
          <w:rFonts w:ascii="Arial" w:hAnsi="Arial" w:cs="Arial"/>
          <w:i/>
          <w:iCs/>
          <w:color w:val="44546A" w:themeColor="text2"/>
          <w:sz w:val="20"/>
          <w:szCs w:val="20"/>
        </w:rPr>
        <w:fldChar w:fldCharType="end"/>
      </w:r>
      <w:bookmarkEnd w:id="123"/>
      <w:r w:rsidRPr="0092670C">
        <w:rPr>
          <w:rFonts w:ascii="Arial" w:hAnsi="Arial" w:cs="Arial"/>
          <w:i/>
          <w:iCs/>
          <w:color w:val="44546A" w:themeColor="text2"/>
          <w:sz w:val="20"/>
          <w:szCs w:val="20"/>
        </w:rPr>
        <w:t xml:space="preserve">: Schematic of a typical AFM setup </w:t>
      </w:r>
      <w:r w:rsidRPr="0092670C">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&lt;EndNote&gt;&lt;Cite&gt;&lt;Author&gt;Shan&lt;/Author&gt;&lt;Year&gt;2015&lt;/Year&gt;&lt;RecNum&gt;336&lt;/RecNum&gt;&lt;DisplayText&gt;[199]&lt;/DisplayText&gt;&lt;record&gt;&lt;rec-number&gt;336&lt;/rec-number&gt;&lt;foreign-keys&gt;&lt;key app="EN" db-id="5sa9s0e0r0d9fnexra7pr5xdwd5ztevx95s2" timestamp="1563205780"&gt;336&lt;/key&gt;&lt;/foreign-keys&gt;&lt;ref-type name="Journal Article"&gt;17&lt;/ref-type&gt;&lt;contributors&gt;&lt;authors&gt;&lt;author&gt;Shan, Yuping&lt;/author&gt;&lt;author&gt;Wang, Hongda&lt;/author&gt;&lt;/authors&gt;&lt;/contributors&gt;&lt;titles&gt;&lt;title&gt;The structure and function of cell membranes examined by atomic force microscopy and single-molecule force spectroscopy&lt;/title&gt;&lt;secondary-title&gt;Chemical Society Reviews&lt;/secondary-title&gt;&lt;/titles&gt;&lt;periodical&gt;&lt;full-title&gt;Chemical Society Reviews&lt;/full-title&gt;&lt;abbr-1&gt;Chem. Soc. Rev.&lt;/abbr-1&gt;&lt;/periodical&gt;&lt;pages&gt;3617-3638&lt;/pages&gt;&lt;volume&gt;44&lt;/volume&gt;&lt;number&gt;11&lt;/number&gt;&lt;dates&gt;&lt;year&gt;2015&lt;/year&gt;&lt;/dates&gt;&lt;publisher&gt;The Royal Society of Chemistry&lt;/publisher&gt;&lt;isbn&gt;0306-0012&lt;/isbn&gt;&lt;work-type&gt;10.1039/C4CS00508B&lt;/work-type&gt;&lt;urls&gt;&lt;related-urls&gt;&lt;url&gt;http://dx.doi.org/10.1039/C4CS00508B&lt;/url&gt;&lt;/related-urls&gt;&lt;/urls&gt;&lt;electronic-resource-num&gt;10.1039/C4CS00508B&lt;/electronic-resource-num&gt;&lt;/record&gt;&lt;/Cite&gt;&lt;/EndNote&gt;</w:instrText>
      </w:r>
      <w:r w:rsidRPr="0092670C">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[199]</w:t>
      </w:r>
      <w:r w:rsidRPr="0092670C">
        <w:rPr>
          <w:rFonts w:ascii="Arial" w:hAnsi="Arial" w:cs="Arial"/>
          <w:i/>
          <w:iCs/>
          <w:color w:val="44546A" w:themeColor="text2"/>
          <w:sz w:val="20"/>
          <w:szCs w:val="20"/>
        </w:rPr>
        <w:fldChar w:fldCharType="end"/>
      </w:r>
      <w:r w:rsidR="0001780D" w:rsidRPr="0092670C">
        <w:rPr>
          <w:rFonts w:ascii="Arial" w:hAnsi="Arial" w:cs="Arial"/>
          <w:i/>
          <w:iCs/>
          <w:color w:val="44546A" w:themeColor="text2"/>
          <w:sz w:val="20"/>
          <w:szCs w:val="20"/>
        </w:rPr>
        <w:t>.</w:t>
      </w:r>
    </w:p>
    <w:p w14:paraId="2D6DC4A8" w14:textId="642A6AD8"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In tapping mode, the tip is kept close to its resonance frequency</w:t>
      </w:r>
      <w:r w:rsidR="00ED4F1B" w:rsidRPr="0092670C">
        <w:rPr>
          <w:rFonts w:ascii="Arial" w:eastAsia="Calibri" w:hAnsi="Arial" w:cs="Arial"/>
        </w:rPr>
        <w:t xml:space="preserve"> (within 10%)</w:t>
      </w:r>
      <w:r w:rsidRPr="0092670C">
        <w:rPr>
          <w:rFonts w:ascii="Arial" w:eastAsia="Calibri" w:hAnsi="Arial" w:cs="Arial"/>
        </w:rPr>
        <w:t xml:space="preserve">. As the tip </w:t>
      </w:r>
      <w:r w:rsidR="00E12F6B" w:rsidRPr="0092670C">
        <w:rPr>
          <w:rFonts w:ascii="Arial" w:eastAsia="Calibri" w:hAnsi="Arial" w:cs="Arial"/>
        </w:rPr>
        <w:t xml:space="preserve">approaches </w:t>
      </w:r>
      <w:r w:rsidRPr="0092670C">
        <w:rPr>
          <w:rFonts w:ascii="Arial" w:eastAsia="Calibri" w:hAnsi="Arial" w:cs="Arial"/>
        </w:rPr>
        <w:t>the surface this frequency is altered. This causes a servomechanism to move the tip to return it to the resonance frequency. This</w:t>
      </w:r>
      <w:r w:rsidR="007F5063" w:rsidRPr="0092670C">
        <w:rPr>
          <w:rFonts w:ascii="Arial" w:eastAsia="Calibri" w:hAnsi="Arial" w:cs="Arial"/>
        </w:rPr>
        <w:t xml:space="preserve"> feedback loop</w:t>
      </w:r>
      <w:r w:rsidRPr="0092670C">
        <w:rPr>
          <w:rFonts w:ascii="Arial" w:eastAsia="Calibri" w:hAnsi="Arial" w:cs="Arial"/>
        </w:rPr>
        <w:t xml:space="preserve"> keeps the tip at the correct distance from the surface to maintain its maximum oscillation. Keeping the tip </w:t>
      </w:r>
      <w:r w:rsidR="00FA1D20" w:rsidRPr="0092670C">
        <w:rPr>
          <w:rFonts w:ascii="Arial" w:eastAsia="Calibri" w:hAnsi="Arial" w:cs="Arial"/>
        </w:rPr>
        <w:t>just off</w:t>
      </w:r>
      <w:r w:rsidRPr="0092670C">
        <w:rPr>
          <w:rFonts w:ascii="Arial" w:eastAsia="Calibri" w:hAnsi="Arial" w:cs="Arial"/>
        </w:rPr>
        <w:t xml:space="preserve"> its resonance frequency maximises its sensitivity to changes in height of the sample. </w:t>
      </w:r>
    </w:p>
    <w:p w14:paraId="671E2EBB" w14:textId="717FD7EC"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In non-contact mode the tip is also kept close to its resonance frequency. The tip is kept just above the surface and the interactions between the tip and the surface act to lower the frequency of the tip. There is a feedback mechanism that acts to return the tip to its resonance frequency. The amount of force required to return to the resonance frequency is used to determine the distance from the surface, with this information </w:t>
      </w:r>
      <w:r w:rsidR="00C36699">
        <w:rPr>
          <w:rFonts w:ascii="Arial" w:eastAsia="Calibri" w:hAnsi="Arial" w:cs="Arial"/>
        </w:rPr>
        <w:t>a</w:t>
      </w:r>
      <w:r w:rsidRPr="0092670C">
        <w:rPr>
          <w:rFonts w:ascii="Arial" w:eastAsia="Calibri" w:hAnsi="Arial" w:cs="Arial"/>
        </w:rPr>
        <w:t xml:space="preserve"> 3d map of the surface</w:t>
      </w:r>
      <w:r w:rsidR="00C36699">
        <w:rPr>
          <w:rFonts w:ascii="Arial" w:eastAsia="Calibri" w:hAnsi="Arial" w:cs="Arial"/>
        </w:rPr>
        <w:t xml:space="preserve"> is created</w:t>
      </w:r>
      <w:r w:rsidRPr="0092670C">
        <w:rPr>
          <w:rFonts w:ascii="Arial" w:eastAsia="Calibri" w:hAnsi="Arial" w:cs="Arial"/>
        </w:rPr>
        <w:t>. The difference between tapping mode and non-contact is the fact that in tapping mode the tip touches the surface and in non-contact mode it doesn’t. This difference is due to the different oscillations of the tip with tapping mode hav</w:t>
      </w:r>
      <w:r w:rsidR="00850AC0">
        <w:rPr>
          <w:rFonts w:ascii="Arial" w:eastAsia="Calibri" w:hAnsi="Arial" w:cs="Arial"/>
        </w:rPr>
        <w:t>ing a</w:t>
      </w:r>
      <w:r w:rsidRPr="0092670C">
        <w:rPr>
          <w:rFonts w:ascii="Arial" w:eastAsia="Calibri" w:hAnsi="Arial" w:cs="Arial"/>
        </w:rPr>
        <w:t xml:space="preserve"> larger oscillation than that seen in non-contact mode.</w:t>
      </w:r>
    </w:p>
    <w:p w14:paraId="0BF3A3A3" w14:textId="2CC693CF"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Our AFM machine is a Bruker dimension icon. It is used in ScanAsyst mode. This is a propriety solution that mixes tapping mode with a closed loop system designed to reduce the force used</w:t>
      </w:r>
      <w:r w:rsidR="001C7F5A"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&lt;EndNote&gt;&lt;Cite&gt;&lt;Author&gt;Stefan B. Kaemmer&lt;/Author&gt;&lt;Year&gt;2011&lt;/Year&gt;&lt;RecNum&gt;163&lt;/RecNum&gt;&lt;DisplayText&gt;[200]&lt;/DisplayText&gt;&lt;record&gt;&lt;rec-number&gt;163&lt;/rec-number&gt;&lt;foreign-keys&gt;&lt;key app="EN" db-id="5sa9s0e0r0d9fnexra7pr5xdwd5ztevx95s2" timestamp="1549983148"&gt;163&lt;/key&gt;&lt;/foreign-keys&gt;&lt;ref-type name="Journal Article"&gt;17&lt;/ref-type&gt;&lt;contributors&gt;&lt;authors&gt;&lt;author&gt;Stefan B. Kaemmer, Ph.D.&lt;/author&gt;&lt;/authors&gt;&lt;/contributors&gt;&lt;titles&gt;&lt;title&gt;Introduction to Bruker’s ScanAsyst and PeakForce Tapping AFM Technology&lt;/title&gt;&lt;/titles&gt;&lt;number&gt;Application Note #133&lt;/number&gt;&lt;dates&gt;&lt;year&gt;2011&lt;/year&gt;&lt;/dates&gt;&lt;urls&gt;&lt;/urls&gt;&lt;/record&gt;&lt;/Cite&gt;&lt;/EndNote&gt;</w:instrText>
      </w:r>
      <w:r w:rsidRPr="0092670C">
        <w:rPr>
          <w:rFonts w:ascii="Arial" w:eastAsia="Calibri" w:hAnsi="Arial" w:cs="Arial"/>
        </w:rPr>
        <w:fldChar w:fldCharType="separate"/>
      </w:r>
      <w:r w:rsidR="0034337D">
        <w:rPr>
          <w:rFonts w:ascii="Arial" w:eastAsia="Calibri" w:hAnsi="Arial" w:cs="Arial"/>
          <w:noProof/>
        </w:rPr>
        <w:t>[200]</w:t>
      </w:r>
      <w:r w:rsidRPr="0092670C">
        <w:rPr>
          <w:rFonts w:ascii="Arial" w:eastAsia="Calibri" w:hAnsi="Arial" w:cs="Arial"/>
        </w:rPr>
        <w:fldChar w:fldCharType="end"/>
      </w:r>
      <w:r w:rsidRPr="0092670C">
        <w:rPr>
          <w:rFonts w:ascii="Arial" w:eastAsia="Calibri" w:hAnsi="Arial" w:cs="Arial"/>
        </w:rPr>
        <w:t xml:space="preserve">. This mechanism causes less damage to both the surface and the tip. This mode also allows for a more streamlined setup procedure with the computer algorithm handling the setting of several parameters that have to be dealt with manually when using tapping mode.                                                     </w:t>
      </w:r>
    </w:p>
    <w:p w14:paraId="1CD966AE" w14:textId="0F426513"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The topographical information gleaned from AFM images helps us to better understand electrode surfaces. As the SEI grows it alters the topography and this change can be seen using AFM. AFM can even measure SEI growth </w:t>
      </w:r>
      <w:r w:rsidR="00A9567F">
        <w:rPr>
          <w:rFonts w:ascii="Arial" w:eastAsia="Calibri" w:hAnsi="Arial" w:cs="Arial"/>
        </w:rPr>
        <w:t>in situ</w:t>
      </w:r>
      <w:r w:rsidRPr="0092670C">
        <w:rPr>
          <w:rFonts w:ascii="Arial" w:eastAsia="Calibri" w:hAnsi="Arial" w:cs="Arial"/>
        </w:rPr>
        <w:t xml:space="preserve"> although this is rare due to the difficulties of fitting an AFM inside a glovebox</w:t>
      </w:r>
      <w:r w:rsidR="001C7F5A" w:rsidRPr="0092670C">
        <w:rPr>
          <w:rFonts w:ascii="Arial" w:eastAsia="Calibri" w:hAnsi="Arial" w:cs="Arial"/>
        </w:rPr>
        <w:t xml:space="preserve"> </w:t>
      </w:r>
      <w:r w:rsidRPr="0092670C">
        <w:rPr>
          <w:rFonts w:ascii="Arial" w:eastAsia="Calibri" w:hAnsi="Arial" w:cs="Arial"/>
        </w:rPr>
        <w:fldChar w:fldCharType="begin">
          <w:fldData xml:space="preserve">PEVuZE5vdGU+PENpdGU+PEF1dGhvcj5CcmVpdHVuZzwvQXV0aG9yPjxZZWFyPjIwMTY8L1llYXI+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PEVuZE5vdGU+PENpdGU+PEF1dGhvcj5CcmVpdHVuZzwvQXV0aG9yPjxZZWFyPjIwMTY8L1llYXI+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[201, 202]</w:t>
      </w:r>
      <w:r w:rsidRPr="0092670C">
        <w:rPr>
          <w:rFonts w:ascii="Arial" w:eastAsia="Calibri" w:hAnsi="Arial" w:cs="Arial"/>
        </w:rPr>
        <w:fldChar w:fldCharType="end"/>
      </w:r>
      <w:r w:rsidRPr="0092670C">
        <w:rPr>
          <w:rFonts w:ascii="Arial" w:eastAsia="Calibri" w:hAnsi="Arial" w:cs="Arial"/>
        </w:rPr>
        <w:t xml:space="preserve">. Most AFM studies are conducted </w:t>
      </w:r>
      <w:r w:rsidR="005B2818">
        <w:rPr>
          <w:rFonts w:ascii="Arial" w:eastAsia="Calibri" w:hAnsi="Arial" w:cs="Arial"/>
        </w:rPr>
        <w:t>e</w:t>
      </w:r>
      <w:r w:rsidRPr="0092670C">
        <w:rPr>
          <w:rFonts w:ascii="Arial" w:eastAsia="Calibri" w:hAnsi="Arial" w:cs="Arial"/>
        </w:rPr>
        <w:t>x</w:t>
      </w:r>
      <w:r w:rsidR="005B2818">
        <w:rPr>
          <w:rFonts w:ascii="Arial" w:eastAsia="Calibri" w:hAnsi="Arial" w:cs="Arial"/>
        </w:rPr>
        <w:t xml:space="preserve"> s</w:t>
      </w:r>
      <w:r w:rsidRPr="0092670C">
        <w:rPr>
          <w:rFonts w:ascii="Arial" w:eastAsia="Calibri" w:hAnsi="Arial" w:cs="Arial"/>
        </w:rPr>
        <w:t xml:space="preserve">itu though and they still provide important information about the SEI </w:t>
      </w:r>
      <w:r w:rsidR="00D2513C">
        <w:rPr>
          <w:rFonts w:ascii="Arial" w:eastAsia="Calibri" w:hAnsi="Arial" w:cs="Arial"/>
        </w:rPr>
        <w:t>and</w:t>
      </w:r>
      <w:r w:rsidRPr="0092670C">
        <w:rPr>
          <w:rFonts w:ascii="Arial" w:eastAsia="Calibri" w:hAnsi="Arial" w:cs="Arial"/>
        </w:rPr>
        <w:t xml:space="preserve"> its formation</w:t>
      </w:r>
      <w:r w:rsidR="001C7F5A" w:rsidRPr="0092670C">
        <w:rPr>
          <w:rFonts w:ascii="Arial" w:eastAsia="Calibri" w:hAnsi="Arial" w:cs="Arial"/>
        </w:rPr>
        <w:t xml:space="preserve"> </w:t>
      </w:r>
      <w:r w:rsidRPr="0092670C">
        <w:rPr>
          <w:rFonts w:ascii="Arial" w:eastAsia="Calibri" w:hAnsi="Arial" w:cs="Arial"/>
        </w:rPr>
        <w:fldChar w:fldCharType="begin">
          <w:fldData xml:space="preserve">PEVuZE5vdGU+PENpdGU+PEF1dGhvcj5MZXJveTwvQXV0aG9yPjxZZWFyPjIwMDU8L1llYXI+PFJl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PEVuZE5vdGU+PENpdGU+PEF1dGhvcj5MZXJveTwvQXV0aG9yPjxZZWFyPjIwMDU8L1llYXI+PFJl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[203]</w:t>
      </w:r>
      <w:r w:rsidRPr="0092670C">
        <w:rPr>
          <w:rFonts w:ascii="Arial" w:eastAsia="Calibri" w:hAnsi="Arial" w:cs="Arial"/>
        </w:rPr>
        <w:fldChar w:fldCharType="end"/>
      </w:r>
      <w:r w:rsidRPr="0092670C">
        <w:rPr>
          <w:rFonts w:ascii="Arial" w:eastAsia="Calibri" w:hAnsi="Arial" w:cs="Arial"/>
        </w:rPr>
        <w:t>.</w:t>
      </w:r>
    </w:p>
    <w:p w14:paraId="5B44D91B" w14:textId="021B3C13"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This is only a brief overview of AFM’s uses and background and how it can be used to probe the SEI. Limited theoretical knowledge is required for interpreting AFM images but for more information scanning probe microscopy by Bert Voigtländer is a comprehensive source giving an overview from first principles to practical experimental issues such as artefacts</w:t>
      </w:r>
      <w:r w:rsidR="001C7F5A"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&lt;EndNote&gt;&lt;Cite&gt;&lt;Author&gt;Voigtländer&lt;/Author&gt;&lt;Year&gt;2015&lt;/Year&gt;&lt;RecNum&gt;335&lt;/RecNum&gt;&lt;DisplayText&gt;[204]&lt;/DisplayText&gt;&lt;record&gt;&lt;rec-number&gt;335&lt;/rec-number&gt;&lt;foreign-keys&gt;&lt;key app="EN" db-id="5sa9s0e0r0d9fnexra7pr5xdwd5ztevx95s2" timestamp="1563196988"&gt;335&lt;/key&gt;&lt;/foreign-keys&gt;&lt;ref-type name="Book"&gt;6&lt;/ref-type&gt;&lt;contributors&gt;&lt;authors&gt;&lt;author&gt;Voigtländer, B.&lt;/author&gt;&lt;/authors&gt;&lt;/contributors&gt;&lt;titles&gt;&lt;title&gt;Scanning Probe Microscopy: Atomic Force Microscopy and Scanning Tunneling Microscopy&lt;/title&gt;&lt;/titles&gt;&lt;dates&gt;&lt;year&gt;2015&lt;/year&gt;&lt;/dates&gt;&lt;publisher&gt;Springer Berlin Heidelberg&lt;/publisher&gt;&lt;isbn&gt;9783662452400&lt;/isbn&gt;&lt;urls&gt;&lt;related-urls&gt;&lt;url&gt;https://books.google.co.uk/books?id=e4vPBgAAQBAJ&lt;/url&gt;&lt;/related-urls&gt;&lt;/urls&gt;&lt;/record&gt;&lt;/Cite&gt;&lt;/EndNote&gt;</w:instrText>
      </w:r>
      <w:r w:rsidRPr="0092670C">
        <w:rPr>
          <w:rFonts w:ascii="Arial" w:eastAsia="Calibri" w:hAnsi="Arial" w:cs="Arial"/>
        </w:rPr>
        <w:fldChar w:fldCharType="separate"/>
      </w:r>
      <w:r w:rsidR="0034337D">
        <w:rPr>
          <w:rFonts w:ascii="Arial" w:eastAsia="Calibri" w:hAnsi="Arial" w:cs="Arial"/>
          <w:noProof/>
        </w:rPr>
        <w:t>[204]</w:t>
      </w:r>
      <w:r w:rsidRPr="0092670C">
        <w:rPr>
          <w:rFonts w:ascii="Arial" w:eastAsia="Calibri" w:hAnsi="Arial" w:cs="Arial"/>
        </w:rPr>
        <w:fldChar w:fldCharType="end"/>
      </w:r>
      <w:r w:rsidRPr="0092670C">
        <w:rPr>
          <w:rFonts w:ascii="Arial" w:eastAsia="Calibri" w:hAnsi="Arial" w:cs="Arial"/>
        </w:rPr>
        <w:t xml:space="preserve">. </w:t>
      </w:r>
    </w:p>
    <w:p w14:paraId="563BCCC3" w14:textId="77777777" w:rsidR="003E14AA" w:rsidRPr="0092670C" w:rsidRDefault="003E14AA" w:rsidP="0057359A">
      <w:pPr>
        <w:pStyle w:val="Heading3"/>
        <w:rPr>
          <w:rFonts w:ascii="Arial" w:eastAsia="Calibri" w:hAnsi="Arial" w:cs="Arial"/>
        </w:rPr>
      </w:pPr>
      <w:bookmarkStart w:id="124" w:name="_Toc82538751"/>
      <w:r w:rsidRPr="0092670C">
        <w:rPr>
          <w:rFonts w:ascii="Arial" w:eastAsia="Calibri" w:hAnsi="Arial" w:cs="Arial"/>
        </w:rPr>
        <w:t>Differential scanning calorimetry</w:t>
      </w:r>
      <w:bookmarkEnd w:id="124"/>
    </w:p>
    <w:p w14:paraId="4F2B37BF" w14:textId="6357F17A"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Differential scanning calorimetry (DSC) measures the heat flow between a sample and its environment as the temperature of the sample is increased relative to a reference. This technique was first developed by Watson and O’Neil in 1962</w:t>
      </w:r>
      <w:r w:rsidR="006D0C93"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&lt;EndNote&gt;&lt;Cite&gt;&lt;Author&gt;Watson&lt;/Author&gt;&lt;Year&gt;1966&lt;/Year&gt;&lt;RecNum&gt;179&lt;/RecNum&gt;&lt;DisplayText&gt;[205]&lt;/DisplayText&gt;&lt;record&gt;&lt;rec-number&gt;179&lt;/rec-number&gt;&lt;foreign-keys&gt;&lt;key app="EN" db-id="5sa9s0e0r0d9fnexra7pr5xdwd5ztevx95s2" timestamp="1551181520"&gt;179&lt;/key&gt;&lt;/foreign-keys&gt;&lt;ref-type name="Generic"&gt;13&lt;/ref-type&gt;&lt;contributors&gt;&lt;authors&gt;&lt;author&gt;Watson, Emmett S&lt;/author&gt;&lt;author&gt;O&amp;apos;neill, Michael J&lt;/author&gt;&lt;/authors&gt;&lt;/contributors&gt;&lt;titles&gt;&lt;title&gt;Differential microcalorimeter&lt;/title&gt;&lt;/titles&gt;&lt;dates&gt;&lt;year&gt;1966&lt;/year&gt;&lt;/dates&gt;&lt;publisher&gt;Google Patents&lt;/publisher&gt;&lt;urls&gt;&lt;/urls&gt;&lt;/record&gt;&lt;/Cite&gt;&lt;/EndNote&gt;</w:instrText>
      </w:r>
      <w:r w:rsidRPr="0092670C">
        <w:rPr>
          <w:rFonts w:ascii="Arial" w:eastAsia="Calibri" w:hAnsi="Arial" w:cs="Arial"/>
        </w:rPr>
        <w:fldChar w:fldCharType="separate"/>
      </w:r>
      <w:r w:rsidR="0034337D">
        <w:rPr>
          <w:rFonts w:ascii="Arial" w:eastAsia="Calibri" w:hAnsi="Arial" w:cs="Arial"/>
          <w:noProof/>
        </w:rPr>
        <w:t>[205]</w:t>
      </w:r>
      <w:r w:rsidRPr="0092670C">
        <w:rPr>
          <w:rFonts w:ascii="Arial" w:eastAsia="Calibri" w:hAnsi="Arial" w:cs="Arial"/>
        </w:rPr>
        <w:fldChar w:fldCharType="end"/>
      </w:r>
      <w:r w:rsidRPr="0092670C">
        <w:rPr>
          <w:rFonts w:ascii="Arial" w:eastAsia="Calibri" w:hAnsi="Arial" w:cs="Arial"/>
        </w:rPr>
        <w:t>. When an endothermic reaction occurs within the sample the heat flow turns negative as more energy is required to keep the sample at the same temperature as the reference. Conversely when an exothermic reaction occurs within the sample the heat flow becomes positive as the sample is partially heating itself. DSC can show both chemical and physical changes within a sample. An example of a physical change is a glass transition. Glass transitions are often seen in polymers and DSC</w:t>
      </w:r>
      <w:r w:rsidR="004614E0" w:rsidRPr="0092670C">
        <w:rPr>
          <w:rFonts w:ascii="Arial" w:eastAsia="Calibri" w:hAnsi="Arial" w:cs="Arial"/>
        </w:rPr>
        <w:t xml:space="preserve"> is</w:t>
      </w:r>
      <w:r w:rsidRPr="0092670C">
        <w:rPr>
          <w:rFonts w:ascii="Arial" w:eastAsia="Calibri" w:hAnsi="Arial" w:cs="Arial"/>
        </w:rPr>
        <w:t xml:space="preserve"> frequently used a quality control measure in polymer manufacturing</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&lt;EndNote&gt;&lt;Cite&gt;&lt;Author&gt;Ebnesajjad&lt;/Author&gt;&lt;Year&gt;2016&lt;/Year&gt;&lt;RecNum&gt;176&lt;/RecNum&gt;&lt;DisplayText&gt;[206]&lt;/DisplayText&gt;&lt;record&gt;&lt;rec-number&gt;176&lt;/rec-number&gt;&lt;foreign-keys&gt;&lt;key app="EN" db-id="5sa9s0e0r0d9fnexra7pr5xdwd5ztevx95s2" timestamp="1551097456"&gt;176&lt;/key&gt;&lt;/foreign-keys&gt;&lt;ref-type name="Book Section"&gt;5&lt;/ref-type&gt;&lt;contributors&gt;&lt;authors&gt;&lt;author&gt;Ebnesajjad, Sina&lt;/author&gt;&lt;/authors&gt;&lt;secondary-authors&gt;&lt;author&gt;Baur, Erwin&lt;/author&gt;&lt;author&gt;Ruhrberg, Katja&lt;/author&gt;&lt;author&gt;Woishnis, William&lt;/author&gt;&lt;/secondary-authors&gt;&lt;/contributors&gt;&lt;titles&gt;&lt;title&gt;Introduction to Plastics&lt;/title&gt;&lt;secondary-title&gt;Chemical Resistance of Commodity Thermoplastics&lt;/secondary-title&gt;&lt;/titles&gt;&lt;pages&gt;xiii-xxv&lt;/pages&gt;&lt;dates&gt;&lt;year&gt;2016&lt;/year&gt;&lt;pub-dates&gt;&lt;date&gt;2016/01/01/&lt;/date&gt;&lt;/pub-dates&gt;&lt;/dates&gt;&lt;publisher&gt;William Andrew Publishing&lt;/publisher&gt;&lt;isbn&gt;978-0-323-47358-3&lt;/isbn&gt;&lt;urls&gt;&lt;related-urls&gt;&lt;url&gt;http://www.sciencedirect.com/science/article/pii/B978032347358300017X&lt;/url&gt;&lt;/related-urls&gt;&lt;/urls&gt;&lt;electronic-resource-num&gt;https://doi.org/10.1016/B978-0-323-47358-3.00017-X&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[206]</w:t>
      </w:r>
      <w:r w:rsidRPr="0092670C">
        <w:rPr>
          <w:rFonts w:ascii="Arial" w:eastAsia="Calibri" w:hAnsi="Arial" w:cs="Arial"/>
        </w:rPr>
        <w:fldChar w:fldCharType="end"/>
      </w:r>
      <w:r w:rsidRPr="0092670C">
        <w:rPr>
          <w:rFonts w:ascii="Arial" w:eastAsia="Calibri" w:hAnsi="Arial" w:cs="Arial"/>
        </w:rPr>
        <w:t>. An example of an exothermic chemical change is the oxidation of carboxymethyl cellulose (CMC). CMC is a common binder in Li-ion cells and its thermal stability has been well researched</w:t>
      </w:r>
      <w:r w:rsidR="006D0C93" w:rsidRPr="0092670C">
        <w:rPr>
          <w:rFonts w:ascii="Arial" w:eastAsia="Calibri" w:hAnsi="Arial" w:cs="Arial"/>
        </w:rPr>
        <w:t xml:space="preserve"> </w:t>
      </w:r>
      <w:r w:rsidRPr="0092670C">
        <w:rPr>
          <w:rFonts w:ascii="Arial" w:eastAsia="Calibri" w:hAnsi="Arial" w:cs="Arial"/>
        </w:rPr>
        <w:fldChar w:fldCharType="begin">
          <w:fldData xml:space="preserve">PEVuZE5vdGU+PENpdGU+PEF1dGhvcj5FbC1TYXllZDwvQXV0aG9yPjxZZWFyPjIwMTE8L1llYXI+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PEVuZE5vdGU+PENpdGU+PEF1dGhvcj5FbC1TYXllZDwvQXV0aG9yPjxZZWFyPjIwMTE8L1llYXI+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[207, 208]</w:t>
      </w:r>
      <w:r w:rsidRPr="0092670C">
        <w:rPr>
          <w:rFonts w:ascii="Arial" w:eastAsia="Calibri" w:hAnsi="Arial" w:cs="Arial"/>
        </w:rPr>
        <w:fldChar w:fldCharType="end"/>
      </w:r>
      <w:r w:rsidRPr="0092670C">
        <w:rPr>
          <w:rFonts w:ascii="Arial" w:eastAsia="Calibri" w:hAnsi="Arial" w:cs="Arial"/>
        </w:rPr>
        <w:t xml:space="preserve">. As can be seen in </w:t>
      </w:r>
      <w:r w:rsidRPr="0092670C">
        <w:rPr>
          <w:rFonts w:ascii="Arial" w:eastAsia="Calibri" w:hAnsi="Arial" w:cs="Arial"/>
        </w:rPr>
        <w:fldChar w:fldCharType="begin"/>
      </w:r>
      <w:r w:rsidRPr="0092670C">
        <w:rPr>
          <w:rFonts w:ascii="Arial" w:eastAsia="Calibri" w:hAnsi="Arial" w:cs="Arial"/>
        </w:rPr>
        <w:instrText xml:space="preserve"> REF _Ref2080147 \h  \* MERGEFORMAT </w:instrText>
      </w:r>
      <w:r w:rsidRPr="0092670C">
        <w:rPr>
          <w:rFonts w:ascii="Arial" w:eastAsia="Calibri" w:hAnsi="Arial" w:cs="Arial"/>
        </w:rPr>
      </w:r>
      <w:r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13</w:t>
      </w:r>
      <w:r w:rsidRPr="0092670C">
        <w:rPr>
          <w:rFonts w:ascii="Arial" w:eastAsia="Calibri" w:hAnsi="Arial" w:cs="Arial"/>
        </w:rPr>
        <w:fldChar w:fldCharType="end"/>
      </w:r>
      <w:r w:rsidRPr="0092670C">
        <w:rPr>
          <w:rFonts w:ascii="Arial" w:eastAsia="Calibri" w:hAnsi="Arial" w:cs="Arial"/>
        </w:rPr>
        <w:t xml:space="preserve"> the</w:t>
      </w:r>
      <w:r w:rsidR="00F31F61" w:rsidRPr="0092670C">
        <w:rPr>
          <w:rFonts w:ascii="Arial" w:eastAsia="Calibri" w:hAnsi="Arial" w:cs="Arial"/>
        </w:rPr>
        <w:t>re is a</w:t>
      </w:r>
      <w:r w:rsidRPr="0092670C">
        <w:rPr>
          <w:rFonts w:ascii="Arial" w:eastAsia="Calibri" w:hAnsi="Arial" w:cs="Arial"/>
        </w:rPr>
        <w:t xml:space="preserve"> large exothermic </w:t>
      </w:r>
      <w:r w:rsidR="006909D8" w:rsidRPr="0092670C">
        <w:rPr>
          <w:rFonts w:ascii="Arial" w:eastAsia="Calibri" w:hAnsi="Arial" w:cs="Arial"/>
        </w:rPr>
        <w:t>(</w:t>
      </w:r>
      <w:r w:rsidRPr="0092670C">
        <w:rPr>
          <w:rFonts w:ascii="Arial" w:eastAsia="Calibri" w:hAnsi="Arial" w:cs="Arial"/>
        </w:rPr>
        <w:t>≈300</w:t>
      </w:r>
      <w:r w:rsidR="00953711">
        <w:rPr>
          <w:rFonts w:ascii="Arial" w:eastAsia="Calibri" w:hAnsi="Arial" w:cs="Arial"/>
        </w:rPr>
        <w:t xml:space="preserve"> </w:t>
      </w:r>
      <w:r w:rsidRPr="0092670C">
        <w:rPr>
          <w:rFonts w:ascii="Arial" w:eastAsia="Calibri" w:hAnsi="Arial" w:cs="Arial"/>
        </w:rPr>
        <w:t>°C</w:t>
      </w:r>
      <w:r w:rsidR="006909D8" w:rsidRPr="0092670C">
        <w:rPr>
          <w:rFonts w:ascii="Arial" w:eastAsia="Calibri" w:hAnsi="Arial" w:cs="Arial"/>
        </w:rPr>
        <w:t>)</w:t>
      </w:r>
      <w:r w:rsidRPr="0092670C">
        <w:rPr>
          <w:rFonts w:ascii="Arial" w:eastAsia="Calibri" w:hAnsi="Arial" w:cs="Arial"/>
        </w:rPr>
        <w:t xml:space="preserve"> </w:t>
      </w:r>
      <w:r w:rsidR="00525E50" w:rsidRPr="0092670C">
        <w:rPr>
          <w:rFonts w:ascii="Arial" w:eastAsia="Calibri" w:hAnsi="Arial" w:cs="Arial"/>
        </w:rPr>
        <w:t>peak</w:t>
      </w:r>
      <w:r w:rsidRPr="0092670C">
        <w:rPr>
          <w:rFonts w:ascii="Arial" w:eastAsia="Calibri" w:hAnsi="Arial" w:cs="Arial"/>
        </w:rPr>
        <w:t xml:space="preserve"> as a result of th</w:t>
      </w:r>
      <w:r w:rsidR="00F31F61" w:rsidRPr="0092670C">
        <w:rPr>
          <w:rFonts w:ascii="Arial" w:eastAsia="Calibri" w:hAnsi="Arial" w:cs="Arial"/>
        </w:rPr>
        <w:t>is</w:t>
      </w:r>
      <w:r w:rsidRPr="0092670C">
        <w:rPr>
          <w:rFonts w:ascii="Arial" w:eastAsia="Calibri" w:hAnsi="Arial" w:cs="Arial"/>
        </w:rPr>
        <w:t xml:space="preserve"> oxidation reaction. CMC is a hydroscopic material that readily absorbs moisture from the air. This results in an endothermic physical change where the water evaporates from the sample</w:t>
      </w:r>
      <w:r w:rsidR="005661A1" w:rsidRPr="0092670C">
        <w:rPr>
          <w:rFonts w:ascii="Arial" w:eastAsia="Calibri" w:hAnsi="Arial" w:cs="Arial"/>
        </w:rPr>
        <w:t xml:space="preserve">, </w:t>
      </w:r>
      <w:r w:rsidR="00164488" w:rsidRPr="0092670C">
        <w:rPr>
          <w:rFonts w:ascii="Arial" w:eastAsia="Calibri" w:hAnsi="Arial" w:cs="Arial"/>
        </w:rPr>
        <w:t xml:space="preserve">which is also seen as the depression in </w:t>
      </w:r>
      <w:r w:rsidR="00164488" w:rsidRPr="0092670C">
        <w:rPr>
          <w:rFonts w:ascii="Arial" w:eastAsia="Calibri" w:hAnsi="Arial" w:cs="Arial"/>
        </w:rPr>
        <w:fldChar w:fldCharType="begin"/>
      </w:r>
      <w:r w:rsidR="00164488" w:rsidRPr="0092670C">
        <w:rPr>
          <w:rFonts w:ascii="Arial" w:eastAsia="Calibri" w:hAnsi="Arial" w:cs="Arial"/>
        </w:rPr>
        <w:instrText xml:space="preserve"> REF _Ref2080147 \h  \* MERGEFORMAT </w:instrText>
      </w:r>
      <w:r w:rsidR="00164488" w:rsidRPr="0092670C">
        <w:rPr>
          <w:rFonts w:ascii="Arial" w:eastAsia="Calibri" w:hAnsi="Arial" w:cs="Arial"/>
        </w:rPr>
      </w:r>
      <w:r w:rsidR="00164488" w:rsidRPr="0092670C">
        <w:rPr>
          <w:rFonts w:ascii="Arial" w:eastAsia="Calibri" w:hAnsi="Arial" w:cs="Arial"/>
        </w:rPr>
        <w:fldChar w:fldCharType="separate"/>
      </w:r>
      <w:r w:rsidR="007342C8" w:rsidRPr="007342C8">
        <w:rPr>
          <w:rFonts w:ascii="Arial" w:eastAsia="Calibri" w:hAnsi="Arial" w:cs="Arial"/>
        </w:rPr>
        <w:t xml:space="preserve">Figure </w:t>
      </w:r>
      <w:r w:rsidR="007342C8" w:rsidRPr="007342C8">
        <w:rPr>
          <w:rFonts w:ascii="Arial" w:eastAsia="Calibri" w:hAnsi="Arial" w:cs="Arial"/>
          <w:noProof/>
        </w:rPr>
        <w:t>2</w:t>
      </w:r>
      <w:r w:rsidR="007342C8" w:rsidRPr="007342C8">
        <w:rPr>
          <w:rFonts w:ascii="Arial" w:eastAsia="Calibri" w:hAnsi="Arial" w:cs="Arial"/>
          <w:noProof/>
        </w:rPr>
        <w:noBreakHyphen/>
        <w:t>13</w:t>
      </w:r>
      <w:r w:rsidR="00164488" w:rsidRPr="0092670C">
        <w:rPr>
          <w:rFonts w:ascii="Arial" w:eastAsia="Calibri" w:hAnsi="Arial" w:cs="Arial"/>
        </w:rPr>
        <w:fldChar w:fldCharType="end"/>
      </w:r>
      <w:r w:rsidRPr="0092670C">
        <w:rPr>
          <w:rFonts w:ascii="Arial" w:eastAsia="Calibri" w:hAnsi="Arial" w:cs="Arial"/>
        </w:rPr>
        <w:t xml:space="preserve">. </w:t>
      </w:r>
    </w:p>
    <w:p w14:paraId="48066B3C" w14:textId="77777777" w:rsidR="003E14AA" w:rsidRPr="0092670C" w:rsidRDefault="0067644A" w:rsidP="003E14AA">
      <w:pPr>
        <w:keepNext/>
        <w:spacing w:line="256" w:lineRule="auto"/>
        <w:jc w:val="center"/>
        <w:rPr>
          <w:rFonts w:ascii="Arial" w:eastAsia="Calibri" w:hAnsi="Arial" w:cs="Arial"/>
        </w:rPr>
      </w:pPr>
      <w:r w:rsidRPr="0092670C">
        <w:rPr>
          <w:rFonts w:ascii="Arial" w:eastAsia="Calibri" w:hAnsi="Arial" w:cs="Arial"/>
          <w:noProof/>
        </w:rPr>
      </w:r>
      <w:r w:rsidR="0067644A" w:rsidRPr="0092670C">
        <w:rPr>
          <w:rFonts w:ascii="Arial" w:eastAsia="Calibri" w:hAnsi="Arial" w:cs="Arial"/>
          <w:noProof/>
        </w:rPr>
        <w:object w:dxaOrig="6195" w:dyaOrig="4755" w14:anchorId="1C76BCAD">
          <v:shape id="_x0000_i1066" type="#_x0000_t75" style="width:311.8pt;height:239.8pt" o:ole="">
            <v:imagedata r:id="rId132" o:title=""/>
          </v:shape>
          <o:OLEObject Type="Embed" ProgID="Origin95.Graph" ShapeID="_x0000_i1066" DrawAspect="Content" ObjectID="_1700733955" r:id="rId133"/>
        </w:object>
      </w:r>
    </w:p>
    <w:p w14:paraId="394CB643" w14:textId="74CDC1F8" w:rsidR="003E14AA" w:rsidRPr="0092670C" w:rsidRDefault="003E14AA" w:rsidP="003E14AA">
      <w:pPr>
        <w:spacing w:after="200" w:line="240" w:lineRule="auto"/>
        <w:jc w:val="center"/>
        <w:rPr>
          <w:rFonts w:ascii="Arial" w:eastAsia="Calibri" w:hAnsi="Arial" w:cs="Arial"/>
          <w:i/>
          <w:iCs/>
          <w:color w:val="44546A" w:themeColor="text2"/>
          <w:sz w:val="20"/>
          <w:szCs w:val="20"/>
        </w:rPr>
      </w:pPr>
      <w:bookmarkStart w:id="125" w:name="_Ref2080147"/>
      <w:r w:rsidRPr="0092670C">
        <w:rPr>
          <w:rFonts w:ascii="Arial" w:eastAsia="Calibri" w:hAnsi="Arial" w:cs="Arial"/>
          <w:i/>
          <w:iCs/>
          <w:color w:val="44546A" w:themeColor="text2"/>
          <w:sz w:val="20"/>
          <w:szCs w:val="20"/>
        </w:rPr>
        <w:t xml:space="preserve">Figure </w:t>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STYLEREF 1 \s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2</w:t>
      </w:r>
      <w:r w:rsidR="00356A26">
        <w:rPr>
          <w:rFonts w:ascii="Arial" w:eastAsia="Calibri" w:hAnsi="Arial" w:cs="Arial"/>
          <w:i/>
          <w:iCs/>
          <w:color w:val="44546A" w:themeColor="text2"/>
          <w:sz w:val="20"/>
          <w:szCs w:val="20"/>
        </w:rPr>
        <w:fldChar w:fldCharType="end"/>
      </w:r>
      <w:r w:rsidR="00356A26">
        <w:rPr>
          <w:rFonts w:ascii="Arial" w:eastAsia="Calibri" w:hAnsi="Arial" w:cs="Arial"/>
          <w:i/>
          <w:iCs/>
          <w:color w:val="44546A" w:themeColor="text2"/>
          <w:sz w:val="20"/>
          <w:szCs w:val="20"/>
        </w:rPr>
        <w:noBreakHyphen/>
      </w:r>
      <w:r w:rsidR="00356A26">
        <w:rPr>
          <w:rFonts w:ascii="Arial" w:eastAsia="Calibri" w:hAnsi="Arial" w:cs="Arial"/>
          <w:i/>
          <w:iCs/>
          <w:color w:val="44546A" w:themeColor="text2"/>
          <w:sz w:val="20"/>
          <w:szCs w:val="20"/>
        </w:rPr>
        <w:fldChar w:fldCharType="begin"/>
      </w:r>
      <w:r w:rsidR="00356A26">
        <w:rPr>
          <w:rFonts w:ascii="Arial" w:eastAsia="Calibri" w:hAnsi="Arial" w:cs="Arial"/>
          <w:i/>
          <w:iCs/>
          <w:color w:val="44546A" w:themeColor="text2"/>
          <w:sz w:val="20"/>
          <w:szCs w:val="20"/>
        </w:rPr>
        <w:instrText xml:space="preserve"> SEQ Figure \* ARABIC \s 1 </w:instrText>
      </w:r>
      <w:r w:rsidR="00356A26">
        <w:rPr>
          <w:rFonts w:ascii="Arial" w:eastAsia="Calibri" w:hAnsi="Arial" w:cs="Arial"/>
          <w:i/>
          <w:iCs/>
          <w:color w:val="44546A" w:themeColor="text2"/>
          <w:sz w:val="20"/>
          <w:szCs w:val="20"/>
        </w:rPr>
        <w:fldChar w:fldCharType="separate"/>
      </w:r>
      <w:r w:rsidR="00356A26">
        <w:rPr>
          <w:rFonts w:ascii="Arial" w:eastAsia="Calibri" w:hAnsi="Arial" w:cs="Arial"/>
          <w:i/>
          <w:iCs/>
          <w:noProof/>
          <w:color w:val="44546A" w:themeColor="text2"/>
          <w:sz w:val="20"/>
          <w:szCs w:val="20"/>
        </w:rPr>
        <w:t>15</w:t>
      </w:r>
      <w:r w:rsidR="00356A26">
        <w:rPr>
          <w:rFonts w:ascii="Arial" w:eastAsia="Calibri" w:hAnsi="Arial" w:cs="Arial"/>
          <w:i/>
          <w:iCs/>
          <w:color w:val="44546A" w:themeColor="text2"/>
          <w:sz w:val="20"/>
          <w:szCs w:val="20"/>
        </w:rPr>
        <w:fldChar w:fldCharType="end"/>
      </w:r>
      <w:bookmarkEnd w:id="125"/>
      <w:r w:rsidRPr="0092670C">
        <w:rPr>
          <w:rFonts w:ascii="Arial" w:eastAsia="Calibri" w:hAnsi="Arial" w:cs="Arial"/>
          <w:i/>
          <w:iCs/>
          <w:color w:val="44546A" w:themeColor="text2"/>
          <w:sz w:val="20"/>
          <w:szCs w:val="20"/>
        </w:rPr>
        <w:t>: A DSC curve showing the oxidation of CMC</w:t>
      </w:r>
      <w:r w:rsidR="002A66A9" w:rsidRPr="0092670C">
        <w:rPr>
          <w:rFonts w:ascii="Arial" w:eastAsia="Calibri" w:hAnsi="Arial" w:cs="Arial"/>
          <w:i/>
          <w:iCs/>
          <w:color w:val="44546A" w:themeColor="text2"/>
          <w:sz w:val="20"/>
          <w:szCs w:val="20"/>
        </w:rPr>
        <w:t>.</w:t>
      </w:r>
    </w:p>
    <w:p w14:paraId="4EF8FD88" w14:textId="6F219A01"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When the </w:t>
      </w:r>
      <w:r w:rsidR="00A31241">
        <w:rPr>
          <w:rFonts w:ascii="Arial" w:eastAsia="Calibri" w:hAnsi="Arial" w:cs="Arial"/>
        </w:rPr>
        <w:t>SEI</w:t>
      </w:r>
      <w:r w:rsidRPr="0092670C">
        <w:rPr>
          <w:rFonts w:ascii="Arial" w:eastAsia="Calibri" w:hAnsi="Arial" w:cs="Arial"/>
        </w:rPr>
        <w:t xml:space="preserve"> is heated several of these transitions can be seen and these are reported in the literature</w:t>
      </w:r>
      <w:r w:rsidR="006D0C93" w:rsidRPr="0092670C">
        <w:rPr>
          <w:rFonts w:ascii="Arial" w:eastAsia="Calibri" w:hAnsi="Arial" w:cs="Arial"/>
        </w:rPr>
        <w:t xml:space="preserve"> </w:t>
      </w:r>
      <w:r w:rsidRPr="0092670C">
        <w:rPr>
          <w:rFonts w:ascii="Arial" w:eastAsia="Calibri" w:hAnsi="Arial" w:cs="Arial"/>
        </w:rPr>
        <w:fldChar w:fldCharType="begin">
          <w:fldData xml:space="preserve">PEVuZE5vdGU+PENpdGU+PEF1dGhvcj5aaGFuZzwvQXV0aG9yPjxZZWFyPjE5OTg8L1llYXI+PFJl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</w:fldData>
        </w:fldChar>
      </w:r>
      <w:r w:rsidR="0034337D">
        <w:rPr>
          <w:rFonts w:ascii="Arial" w:eastAsia="Calibri" w:hAnsi="Arial" w:cs="Arial"/>
        </w:rPr>
        <w:instrText xml:space="preserve"> ADDIN EN.CITE </w:instrText>
      </w:r>
      <w:r w:rsidR="0034337D">
        <w:rPr>
          <w:rFonts w:ascii="Arial" w:eastAsia="Calibri" w:hAnsi="Arial" w:cs="Arial"/>
        </w:rPr>
        <w:fldChar w:fldCharType="begin">
          <w:fldData xml:space="preserve">PEVuZE5vdGU+PENpdGU+PEF1dGhvcj5aaGFuZzwvQXV0aG9yPjxZZWFyPjE5OTg8L1llYXI+PFJl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</w:fldData>
        </w:fldChar>
      </w:r>
      <w:r w:rsidR="0034337D">
        <w:rPr>
          <w:rFonts w:ascii="Arial" w:eastAsia="Calibri" w:hAnsi="Arial" w:cs="Arial"/>
        </w:rPr>
        <w:instrText xml:space="preserve"> ADDIN EN.CITE.DATA </w:instrText>
      </w:r>
      <w:r w:rsidR="0034337D">
        <w:rPr>
          <w:rFonts w:ascii="Arial" w:eastAsia="Calibri" w:hAnsi="Arial" w:cs="Arial"/>
        </w:rPr>
      </w:r>
      <w:r w:rsidR="0034337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34337D">
        <w:rPr>
          <w:rFonts w:ascii="Arial" w:eastAsia="Calibri" w:hAnsi="Arial" w:cs="Arial"/>
          <w:noProof/>
        </w:rPr>
        <w:t>[209, 210]</w:t>
      </w:r>
      <w:r w:rsidRPr="0092670C">
        <w:rPr>
          <w:rFonts w:ascii="Arial" w:eastAsia="Calibri" w:hAnsi="Arial" w:cs="Arial"/>
        </w:rPr>
        <w:fldChar w:fldCharType="end"/>
      </w:r>
      <w:r w:rsidRPr="0092670C">
        <w:rPr>
          <w:rFonts w:ascii="Arial" w:eastAsia="Calibri" w:hAnsi="Arial" w:cs="Arial"/>
        </w:rPr>
        <w:t>. These reactions are charge dependant as charged anodes contain high energy Li that change the reaction that can occur within the cell. This provides a good indication of the state of charge of the electrode with the total heat flux into the cell being lower the more it is charged. The literature highlights two main reactions that occur on anodes. These are the decomposition of the SEI and the reaction between lithiated anode material and the SEI. The reactions are heavily anode dependant as well as charge dependant. The decomposition of the SEI can occur anywhere between 100-</w:t>
      </w:r>
      <w:r w:rsidR="00436D0F">
        <w:rPr>
          <w:rFonts w:ascii="Arial" w:eastAsia="Calibri" w:hAnsi="Arial" w:cs="Arial"/>
        </w:rPr>
        <w:t>150</w:t>
      </w:r>
      <w:r w:rsidR="00953711">
        <w:rPr>
          <w:rFonts w:ascii="Arial" w:eastAsia="Calibri" w:hAnsi="Arial" w:cs="Arial"/>
        </w:rPr>
        <w:t xml:space="preserve"> </w:t>
      </w:r>
      <w:r w:rsidRPr="0092670C">
        <w:rPr>
          <w:rFonts w:ascii="Arial" w:eastAsia="Calibri" w:hAnsi="Arial" w:cs="Arial"/>
        </w:rPr>
        <w:t>°C depending upon its composition</w:t>
      </w:r>
      <w:r w:rsidR="00436D0F">
        <w:rPr>
          <w:rFonts w:ascii="Arial" w:eastAsia="Calibri" w:hAnsi="Arial" w:cs="Arial"/>
        </w:rPr>
        <w:t xml:space="preserve"> </w:t>
      </w:r>
      <w:r w:rsidR="00F33384">
        <w:rPr>
          <w:rFonts w:ascii="Arial" w:eastAsia="Calibri" w:hAnsi="Arial" w:cs="Arial"/>
        </w:rPr>
        <w:fldChar w:fldCharType="begin"/>
      </w:r>
      <w:r w:rsidR="0034337D">
        <w:rPr>
          <w:rFonts w:ascii="Arial" w:eastAsia="Calibri" w:hAnsi="Arial" w:cs="Arial"/>
        </w:rPr>
        <w:instrText xml:space="preserve"> ADDIN EN.CITE &lt;EndNote&gt;&lt;Cite&gt;&lt;Author&gt;Son&lt;/Author&gt;&lt;Year&gt;2019&lt;/Year&gt;&lt;RecNum&gt;379&lt;/RecNum&gt;&lt;DisplayText&gt;[211]&lt;/DisplayText&gt;&lt;record&gt;&lt;rec-number&gt;379&lt;/rec-number&gt;&lt;foreign-keys&gt;&lt;key app="EN" db-id="5sa9s0e0r0d9fnexra7pr5xdwd5ztevx95s2" timestamp="1631895491"&gt;379&lt;/key&gt;&lt;/foreign-keys&gt;&lt;ref-type name="Journal Article"&gt;17&lt;/ref-type&gt;&lt;contributors&gt;&lt;authors&gt;&lt;author&gt;Son, Kihyun&lt;/author&gt;&lt;author&gt;Hwang, Soo Min&lt;/author&gt;&lt;author&gt;Woo, Seok-Gyun&lt;/author&gt;&lt;author&gt;Paik, Meenseon&lt;/author&gt;&lt;author&gt;Song, Eui Hwan&lt;/author&gt;&lt;author&gt;Kim, Young-Jun&lt;/author&gt;&lt;/authors&gt;&lt;/contributors&gt;&lt;titles&gt;&lt;title&gt;Thermal and chemical characterization of the solid-electrolyte interphase in Li-ion batteries using a novel separator sampling method&lt;/title&gt;&lt;secondary-title&gt;Journal of Power Sources&lt;/secondary-title&gt;&lt;/titles&gt;&lt;periodical&gt;&lt;full-title&gt;Journal of Power Sources&lt;/full-title&gt;&lt;/periodical&gt;&lt;pages&gt;227083&lt;/pages&gt;&lt;volume&gt;440&lt;/volume&gt;&lt;keywords&gt;&lt;keyword&gt;DSC&lt;/keyword&gt;&lt;keyword&gt;Safety&lt;/keyword&gt;&lt;keyword&gt;SEI&lt;/keyword&gt;&lt;keyword&gt;Separator&lt;/keyword&gt;&lt;keyword&gt;LIBs&lt;/keyword&gt;&lt;/keywords&gt;&lt;dates&gt;&lt;year&gt;2019&lt;/year&gt;&lt;pub-dates&gt;&lt;date&gt;2019/11/15/&lt;/date&gt;&lt;/pub-dates&gt;&lt;/dates&gt;&lt;isbn&gt;0378-7753&lt;/isbn&gt;&lt;urls&gt;&lt;related-urls&gt;&lt;url&gt;https://www.sciencedirect.com/science/article/pii/S0378775319310766&lt;/url&gt;&lt;/related-urls&gt;&lt;/urls&gt;&lt;electronic-resource-num&gt;https://doi.org/10.1016/j.jpowsour.2019.227083&lt;/electronic-resource-num&gt;&lt;/record&gt;&lt;/Cite&gt;&lt;/EndNote&gt;</w:instrText>
      </w:r>
      <w:r w:rsidR="00F33384">
        <w:rPr>
          <w:rFonts w:ascii="Arial" w:eastAsia="Calibri" w:hAnsi="Arial" w:cs="Arial"/>
        </w:rPr>
        <w:fldChar w:fldCharType="separate"/>
      </w:r>
      <w:r w:rsidR="0034337D">
        <w:rPr>
          <w:rFonts w:ascii="Arial" w:eastAsia="Calibri" w:hAnsi="Arial" w:cs="Arial"/>
          <w:noProof/>
        </w:rPr>
        <w:t>[211]</w:t>
      </w:r>
      <w:r w:rsidR="00F33384">
        <w:rPr>
          <w:rFonts w:ascii="Arial" w:eastAsia="Calibri" w:hAnsi="Arial" w:cs="Arial"/>
        </w:rPr>
        <w:fldChar w:fldCharType="end"/>
      </w:r>
      <w:r w:rsidRPr="0092670C">
        <w:rPr>
          <w:rFonts w:ascii="Arial" w:eastAsia="Calibri" w:hAnsi="Arial" w:cs="Arial"/>
        </w:rPr>
        <w:t>. The reaction between the lithiated anode and the SEI takes place at far higher temperature typically around 300</w:t>
      </w:r>
      <w:r w:rsidR="00953711">
        <w:rPr>
          <w:rFonts w:ascii="Arial" w:eastAsia="Calibri" w:hAnsi="Arial" w:cs="Arial"/>
        </w:rPr>
        <w:t xml:space="preserve"> </w:t>
      </w:r>
      <w:r w:rsidRPr="0092670C">
        <w:rPr>
          <w:rFonts w:ascii="Arial" w:eastAsia="Calibri" w:hAnsi="Arial" w:cs="Arial"/>
        </w:rPr>
        <w:t xml:space="preserve">°C. This can lead to overlap with CMC oxidation and this highlights the importance of comparing the amplitude of the heat flow as well as the temperature where the change occurs. </w:t>
      </w:r>
    </w:p>
    <w:p w14:paraId="6C4F13E2" w14:textId="77777777" w:rsidR="003E14AA" w:rsidRPr="0092670C" w:rsidRDefault="003E14AA" w:rsidP="0095474F">
      <w:pPr>
        <w:pStyle w:val="Heading3"/>
        <w:rPr>
          <w:rFonts w:ascii="Arial" w:eastAsia="Calibri" w:hAnsi="Arial" w:cs="Arial"/>
        </w:rPr>
      </w:pPr>
      <w:bookmarkStart w:id="126" w:name="_Toc82538752"/>
      <w:r w:rsidRPr="0092670C">
        <w:rPr>
          <w:rFonts w:ascii="Arial" w:eastAsia="Calibri" w:hAnsi="Arial" w:cs="Arial"/>
        </w:rPr>
        <w:t>X-ray photoelectron spectroscopy</w:t>
      </w:r>
      <w:bookmarkEnd w:id="126"/>
      <w:r w:rsidRPr="0092670C">
        <w:rPr>
          <w:rFonts w:ascii="Arial" w:eastAsia="Calibri" w:hAnsi="Arial" w:cs="Arial"/>
        </w:rPr>
        <w:t xml:space="preserve"> </w:t>
      </w:r>
    </w:p>
    <w:p w14:paraId="30BAC53B" w14:textId="3ED82511"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X-ray photoelectron spectroscopy (XPS) uses X-rays for elemental analysis and for his reason it is occasionally called electron spectroscopy for chemical analysis (ESCA). The technique is based upon the photoelectric effect first described by </w:t>
      </w:r>
      <w:r w:rsidR="00615D81" w:rsidRPr="0092670C">
        <w:rPr>
          <w:rFonts w:ascii="Arial" w:eastAsia="Calibri" w:hAnsi="Arial" w:cs="Arial"/>
        </w:rPr>
        <w:t>H</w:t>
      </w:r>
      <w:r w:rsidRPr="0092670C">
        <w:rPr>
          <w:rFonts w:ascii="Arial" w:eastAsia="Calibri" w:hAnsi="Arial" w:cs="Arial"/>
        </w:rPr>
        <w:t>ertz in 1887</w:t>
      </w:r>
      <w:r w:rsidR="00615D81"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&lt;EndNote&gt;&lt;Cite&gt;&lt;Author&gt;Hertz&lt;/Author&gt;&lt;Year&gt;1887&lt;/Year&gt;&lt;RecNum&gt;71&lt;/RecNum&gt;&lt;DisplayText&gt;[212]&lt;/DisplayText&gt;&lt;record&gt;&lt;rec-number&gt;71&lt;/rec-number&gt;&lt;foreign-keys&gt;&lt;key app="EN" db-id="5sa9s0e0r0d9fnexra7pr5xdwd5ztevx95s2" timestamp="1516016225"&gt;71&lt;/key&gt;&lt;/foreign-keys&gt;&lt;ref-type name="Journal Article"&gt;17&lt;/ref-type&gt;&lt;contributors&gt;&lt;authors&gt;&lt;author&gt;Hertz, H.&lt;/author&gt;&lt;/authors&gt;&lt;/contributors&gt;&lt;titles&gt;&lt;title&gt;Ueber einen Einfluss des ultravioletten Lichtes auf die electrische Entladung&lt;/title&gt;&lt;secondary-title&gt;Annalen der Physik&lt;/secondary-title&gt;&lt;/titles&gt;&lt;periodical&gt;&lt;full-title&gt;Annalen der Physik&lt;/full-title&gt;&lt;/periodical&gt;&lt;pages&gt;983-1000&lt;/pages&gt;&lt;volume&gt;267&lt;/volume&gt;&lt;number&gt;8&lt;/number&gt;&lt;dates&gt;&lt;year&gt;1887&lt;/year&gt;&lt;/dates&gt;&lt;publisher&gt;WILEY-VCH Verlag&lt;/publisher&gt;&lt;isbn&gt;1521-3889&lt;/isbn&gt;&lt;urls&gt;&lt;related-urls&gt;&lt;url&gt;http://dx.doi.org/10.1002/andp.18872670827&lt;/url&gt;&lt;/related-urls&gt;&lt;/urls&gt;&lt;electronic-resource-num&gt;10.1002/andp.18872670827&lt;/electronic-resource-num&gt;&lt;/record&gt;&lt;/Cite&gt;&lt;/EndNote&gt;</w:instrText>
      </w:r>
      <w:r w:rsidRPr="0092670C">
        <w:rPr>
          <w:rFonts w:ascii="Arial" w:eastAsia="Calibri" w:hAnsi="Arial" w:cs="Arial"/>
        </w:rPr>
        <w:fldChar w:fldCharType="separate"/>
      </w:r>
      <w:r w:rsidR="0034337D">
        <w:rPr>
          <w:rFonts w:ascii="Arial" w:eastAsia="Calibri" w:hAnsi="Arial" w:cs="Arial"/>
          <w:noProof/>
        </w:rPr>
        <w:t>[212]</w:t>
      </w:r>
      <w:r w:rsidRPr="0092670C">
        <w:rPr>
          <w:rFonts w:ascii="Arial" w:eastAsia="Calibri" w:hAnsi="Arial" w:cs="Arial"/>
        </w:rPr>
        <w:fldChar w:fldCharType="end"/>
      </w:r>
      <w:r w:rsidRPr="0092670C">
        <w:rPr>
          <w:rFonts w:ascii="Arial" w:eastAsia="Calibri" w:hAnsi="Arial" w:cs="Arial"/>
        </w:rPr>
        <w:t>. The effect was explained by Einstein in 1905, winning the Nobel prize for his work in 1921</w:t>
      </w:r>
      <w:r w:rsidR="00615D81" w:rsidRPr="0092670C">
        <w:rPr>
          <w:rFonts w:ascii="Arial" w:eastAsia="Calibri" w:hAnsi="Arial" w:cs="Arial"/>
        </w:rPr>
        <w:t xml:space="preserve"> </w:t>
      </w:r>
      <w:r w:rsidRPr="0092670C">
        <w:rPr>
          <w:rFonts w:ascii="Arial" w:eastAsia="Calibri" w:hAnsi="Arial" w:cs="Arial"/>
        </w:rPr>
        <w:fldChar w:fldCharType="begin"/>
      </w:r>
      <w:r w:rsidR="0034337D">
        <w:rPr>
          <w:rFonts w:ascii="Arial" w:eastAsia="Calibri" w:hAnsi="Arial" w:cs="Arial"/>
        </w:rPr>
        <w:instrText xml:space="preserve"> ADDIN EN.CITE &lt;EndNote&gt;&lt;Cite&gt;&lt;Author&gt;Einstein&lt;/Author&gt;&lt;Year&gt;1905&lt;/Year&gt;&lt;RecNum&gt;195&lt;/RecNum&gt;&lt;DisplayText&gt;[213, 214]&lt;/DisplayText&gt;&lt;record&gt;&lt;rec-number&gt;195&lt;/rec-number&gt;&lt;foreign-keys&gt;&lt;key app="EN" db-id="5sa9s0e0r0d9fnexra7pr5xdwd5ztevx95s2" timestamp="1552062085"&gt;195&lt;/key&gt;&lt;/foreign-keys&gt;&lt;ref-type name="Journal Article"&gt;17&lt;/ref-type&gt;&lt;contributors&gt;&lt;authors&gt;&lt;author&gt;Einstein, A.&lt;/author&gt;&lt;/authors&gt;&lt;/contributors&gt;&lt;titles&gt;&lt;title&gt;Über einen die Erzeugung und Verwandlung des Lichtes betreffenden heuristischen Gesichtspunkt&lt;/title&gt;&lt;secondary-title&gt;Annalen der Physik&lt;/secondary-title&gt;&lt;/titles&gt;&lt;periodical&gt;&lt;full-title&gt;Annalen der Physik&lt;/full-title&gt;&lt;/periodical&gt;&lt;pages&gt;132-148&lt;/pages&gt;&lt;volume&gt;322&lt;/volume&gt;&lt;number&gt;6&lt;/number&gt;&lt;dates&gt;&lt;year&gt;1905&lt;/year&gt;&lt;/dates&gt;&lt;urls&gt;&lt;related-urls&gt;&lt;url&gt;https://onlinelibrary.wiley.com/doi/abs/10.1002/andp.19053220607&lt;/url&gt;&lt;/related-urls&gt;&lt;/urls&gt;&lt;electronic-resource-num&gt;doi:10.1002/andp.19053220607&lt;/electronic-resource-num&gt;&lt;/record&gt;&lt;/Cite&gt;&lt;Cite&gt;&lt;Author&gt;Stachel&lt;/Author&gt;&lt;Year&gt;2005&lt;/Year&gt;&lt;RecNum&gt;196&lt;/RecNum&gt;&lt;record&gt;&lt;rec-number&gt;196&lt;/rec-number&gt;&lt;foreign-keys&gt;&lt;key app="EN" db-id="5sa9s0e0r0d9fnexra7pr5xdwd5ztevx95s2" timestamp="1552062415"&gt;196&lt;/key&gt;&lt;/foreign-keys&gt;&lt;ref-type name="Journal Article"&gt;17&lt;/ref-type&gt;&lt;contributors&gt;&lt;authors&gt;&lt;author&gt;Stachel, John J&lt;/author&gt;&lt;/authors&gt;&lt;/contributors&gt;&lt;titles&gt;&lt;title&gt;Einstein&amp;apos;s miraculous year: five papers that changed the face of physics&lt;/title&gt;&lt;/titles&gt;&lt;dates&gt;&lt;year&gt;2005&lt;/year&gt;&lt;/dates&gt;&lt;urls&gt;&lt;/urls&gt;&lt;/record&gt;&lt;/Cite&gt;&lt;/EndNote&gt;</w:instrText>
      </w:r>
      <w:r w:rsidRPr="0092670C">
        <w:rPr>
          <w:rFonts w:ascii="Arial" w:eastAsia="Calibri" w:hAnsi="Arial" w:cs="Arial"/>
        </w:rPr>
        <w:fldChar w:fldCharType="separate"/>
      </w:r>
      <w:r w:rsidR="0034337D">
        <w:rPr>
          <w:rFonts w:ascii="Arial" w:eastAsia="Calibri" w:hAnsi="Arial" w:cs="Arial"/>
          <w:noProof/>
        </w:rPr>
        <w:t>[213, 214]</w:t>
      </w:r>
      <w:r w:rsidRPr="0092670C">
        <w:rPr>
          <w:rFonts w:ascii="Arial" w:eastAsia="Calibri" w:hAnsi="Arial" w:cs="Arial"/>
        </w:rPr>
        <w:fldChar w:fldCharType="end"/>
      </w:r>
      <w:r w:rsidRPr="0092670C">
        <w:rPr>
          <w:rFonts w:ascii="Arial" w:eastAsia="Calibri" w:hAnsi="Arial" w:cs="Arial"/>
        </w:rPr>
        <w:t xml:space="preserve">. The Photoelectric effect is the phenomena where light is shined upon a material and electrons are emitted from the material. It was found that the intensity of the light had no bearing on the photons emitted from the material if the frequency of the light was high enough. Once the frequency was increased to a certain point then electrons started to be released. This dependency was described mathematically by </w:t>
      </w:r>
      <w:r w:rsidRPr="0092670C">
        <w:rPr>
          <w:rFonts w:ascii="Arial" w:eastAsia="Calibri" w:hAnsi="Arial" w:cs="Arial"/>
        </w:rPr>
        <w:fldChar w:fldCharType="begin"/>
      </w:r>
      <w:r w:rsidRPr="0092670C">
        <w:rPr>
          <w:rFonts w:ascii="Arial" w:eastAsia="Calibri" w:hAnsi="Arial" w:cs="Arial"/>
        </w:rPr>
        <w:instrText xml:space="preserve"> REF _Ref2956030 \h  \* MERGEFORMAT </w:instrText>
      </w:r>
      <w:r w:rsidRPr="0092670C">
        <w:rPr>
          <w:rFonts w:ascii="Arial" w:eastAsia="Calibri" w:hAnsi="Arial" w:cs="Arial"/>
        </w:rPr>
      </w:r>
      <w:r w:rsidRPr="0092670C">
        <w:rPr>
          <w:rFonts w:ascii="Arial" w:eastAsia="Calibri" w:hAnsi="Arial" w:cs="Arial"/>
        </w:rPr>
        <w:fldChar w:fldCharType="separate"/>
      </w:r>
      <w:r w:rsidR="007342C8" w:rsidRPr="007342C8">
        <w:rPr>
          <w:rFonts w:ascii="Arial" w:eastAsia="Calibri" w:hAnsi="Arial" w:cs="Arial"/>
        </w:rPr>
        <w:t xml:space="preserve">Equation </w:t>
      </w:r>
      <w:r w:rsidR="007342C8" w:rsidRPr="007342C8">
        <w:rPr>
          <w:rFonts w:ascii="Arial" w:eastAsia="Calibri" w:hAnsi="Arial" w:cs="Arial"/>
          <w:noProof/>
        </w:rPr>
        <w:t>2</w:t>
      </w:r>
      <w:r w:rsidR="007342C8" w:rsidRPr="007342C8">
        <w:rPr>
          <w:rFonts w:ascii="Arial" w:eastAsia="Calibri" w:hAnsi="Arial" w:cs="Arial"/>
          <w:noProof/>
        </w:rPr>
        <w:noBreakHyphen/>
        <w:t>4</w:t>
      </w:r>
      <w:r w:rsidRPr="0092670C">
        <w:rPr>
          <w:rFonts w:ascii="Arial" w:eastAsia="Calibri" w:hAnsi="Arial" w:cs="Arial"/>
        </w:rPr>
        <w:fldChar w:fldCharType="end"/>
      </w:r>
      <w:r w:rsidRPr="0092670C">
        <w:rPr>
          <w:rFonts w:ascii="Arial" w:eastAsia="Calibri" w:hAnsi="Arial" w:cs="Arial"/>
        </w:rPr>
        <w:t xml:space="preserve"> where E</w:t>
      </w:r>
      <w:r w:rsidRPr="0092670C">
        <w:rPr>
          <w:rFonts w:ascii="Arial" w:eastAsia="Calibri" w:hAnsi="Arial" w:cs="Arial"/>
          <w:vertAlign w:val="subscript"/>
        </w:rPr>
        <w:t xml:space="preserve">max </w:t>
      </w:r>
      <w:r w:rsidRPr="0092670C">
        <w:rPr>
          <w:rFonts w:ascii="Arial" w:eastAsia="Calibri" w:hAnsi="Arial" w:cs="Arial"/>
        </w:rPr>
        <w:t>is the maximum energy that the electron can have in joules, h is Planck’s constant, f is the frequency of the photon, in Hz and ϕ is the work function of the material in question, in joules.</w:t>
      </w:r>
    </w:p>
    <w:p w14:paraId="082D334A" w14:textId="77777777" w:rsidR="003E14AA" w:rsidRPr="0092670C" w:rsidRDefault="0067644A" w:rsidP="005569B7">
      <w:pPr>
        <w:keepNext/>
        <w:tabs>
          <w:tab w:val="left" w:pos="3450"/>
        </w:tabs>
        <w:spacing w:before="400" w:line="360" w:lineRule="auto"/>
        <w:jc w:val="center"/>
        <w:rPr>
          <w:rFonts w:ascii="Arial" w:eastAsia="Calibri" w:hAnsi="Arial" w:cs="Arial"/>
        </w:rPr>
      </w:pPr>
      <m:oMathPara>
        <m:oMath>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max</m:t>
              </m:r>
            </m:sub>
          </m:sSub>
          <m:r>
            <w:rPr>
              <w:rFonts w:ascii="Cambria Math" w:eastAsia="Calibri" w:hAnsi="Cambria Math" w:cs="Arial"/>
            </w:rPr>
            <m:t>=hf-φ</m:t>
          </m:r>
        </m:oMath>
      </m:oMathPara>
    </w:p>
    <w:p w14:paraId="491562F7" w14:textId="713C34FD" w:rsidR="003E14AA" w:rsidRPr="0092670C" w:rsidRDefault="003E14AA" w:rsidP="005569B7">
      <w:pPr>
        <w:spacing w:after="400" w:line="360" w:lineRule="auto"/>
        <w:jc w:val="center"/>
        <w:rPr>
          <w:rFonts w:ascii="Arial" w:eastAsia="Calibri" w:hAnsi="Arial" w:cs="Arial"/>
          <w:i/>
          <w:iCs/>
          <w:color w:val="44546A" w:themeColor="text2"/>
          <w:sz w:val="20"/>
          <w:szCs w:val="20"/>
        </w:rPr>
      </w:pPr>
      <w:bookmarkStart w:id="127" w:name="_Ref2956030"/>
      <w:r w:rsidRPr="0092670C">
        <w:rPr>
          <w:rFonts w:ascii="Arial" w:eastAsia="Calibri" w:hAnsi="Arial" w:cs="Arial"/>
          <w:i/>
          <w:iCs/>
          <w:color w:val="44546A" w:themeColor="text2"/>
          <w:sz w:val="20"/>
          <w:szCs w:val="20"/>
        </w:rPr>
        <w:t xml:space="preserve">Equation </w:t>
      </w:r>
      <w:r w:rsidR="0059014F">
        <w:rPr>
          <w:rFonts w:ascii="Arial" w:eastAsia="Calibri" w:hAnsi="Arial" w:cs="Arial"/>
          <w:i/>
          <w:iCs/>
          <w:color w:val="44546A" w:themeColor="text2"/>
          <w:sz w:val="20"/>
          <w:szCs w:val="20"/>
        </w:rPr>
        <w:fldChar w:fldCharType="begin"/>
      </w:r>
      <w:r w:rsidR="0059014F">
        <w:rPr>
          <w:rFonts w:ascii="Arial" w:eastAsia="Calibri" w:hAnsi="Arial" w:cs="Arial"/>
          <w:i/>
          <w:iCs/>
          <w:color w:val="44546A" w:themeColor="text2"/>
          <w:sz w:val="20"/>
          <w:szCs w:val="20"/>
        </w:rPr>
        <w:instrText xml:space="preserve"> SEQ Equation \* ARABIC </w:instrText>
      </w:r>
      <w:r w:rsidR="0059014F">
        <w:rPr>
          <w:rFonts w:ascii="Arial" w:eastAsia="Calibri" w:hAnsi="Arial" w:cs="Arial"/>
          <w:i/>
          <w:iCs/>
          <w:color w:val="44546A" w:themeColor="text2"/>
          <w:sz w:val="20"/>
          <w:szCs w:val="20"/>
        </w:rPr>
        <w:fldChar w:fldCharType="separate"/>
      </w:r>
      <w:r w:rsidR="0059014F">
        <w:rPr>
          <w:rFonts w:ascii="Arial" w:eastAsia="Calibri" w:hAnsi="Arial" w:cs="Arial"/>
          <w:i/>
          <w:iCs/>
          <w:noProof/>
          <w:color w:val="44546A" w:themeColor="text2"/>
          <w:sz w:val="20"/>
          <w:szCs w:val="20"/>
        </w:rPr>
        <w:t>9</w:t>
      </w:r>
      <w:r w:rsidR="0059014F">
        <w:rPr>
          <w:rFonts w:ascii="Arial" w:eastAsia="Calibri" w:hAnsi="Arial" w:cs="Arial"/>
          <w:i/>
          <w:iCs/>
          <w:color w:val="44546A" w:themeColor="text2"/>
          <w:sz w:val="20"/>
          <w:szCs w:val="20"/>
        </w:rPr>
        <w:fldChar w:fldCharType="end"/>
      </w:r>
      <w:bookmarkEnd w:id="127"/>
      <w:r w:rsidRPr="0092670C">
        <w:rPr>
          <w:rFonts w:ascii="Arial" w:eastAsia="Calibri" w:hAnsi="Arial" w:cs="Arial"/>
          <w:i/>
          <w:iCs/>
          <w:color w:val="44546A" w:themeColor="text2"/>
          <w:sz w:val="20"/>
          <w:szCs w:val="20"/>
        </w:rPr>
        <w:t>: The photoelectric effect</w:t>
      </w:r>
      <w:r w:rsidR="00245EEA">
        <w:rPr>
          <w:rFonts w:ascii="Arial" w:eastAsia="Calibri" w:hAnsi="Arial" w:cs="Arial"/>
          <w:i/>
          <w:iCs/>
          <w:color w:val="44546A" w:themeColor="text2"/>
          <w:sz w:val="20"/>
          <w:szCs w:val="20"/>
        </w:rPr>
        <w:t>.</w:t>
      </w:r>
    </w:p>
    <w:p w14:paraId="548289B4" w14:textId="52E9AFEB"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The work function is the energy required to eject an electron and it is linked to the binding energy of the electron, but it is dependent on the surface of the material whereas the binding energy is dependent upon the bulk material. XPS uses the photoelectric effect to bombard a sample with X-rays of a fixed wavelength, from a single source (typically Al or Mg). The electrons are then ejected, and their energies measured. This is all conducted in an ultra-high vacuum (≈1x10</w:t>
      </w:r>
      <w:r w:rsidRPr="0092670C">
        <w:rPr>
          <w:rFonts w:ascii="Arial" w:eastAsia="Calibri" w:hAnsi="Arial" w:cs="Arial"/>
          <w:vertAlign w:val="superscript"/>
        </w:rPr>
        <w:t>-6</w:t>
      </w:r>
      <w:r w:rsidR="008D223A">
        <w:rPr>
          <w:rFonts w:ascii="Arial" w:eastAsia="Calibri" w:hAnsi="Arial" w:cs="Arial"/>
          <w:vertAlign w:val="superscript"/>
        </w:rPr>
        <w:t xml:space="preserve"> </w:t>
      </w:r>
      <w:r w:rsidRPr="0092670C">
        <w:rPr>
          <w:rFonts w:ascii="Arial" w:eastAsia="Calibri" w:hAnsi="Arial" w:cs="Arial"/>
        </w:rPr>
        <w:t xml:space="preserve">mbar) to minimise the kinetic energy lost.  This information is then used to calculate the binding energy of the electrons and this is plotted on the X axis with the electron count plotted on the Y-axis. The binding energy not only gives information on the element that the electron is sourced from but also the electron environment. This can give the researcher information about the oxidation state of the atom as well as the chemical environment, although this change isn’t as easy to resolve when compared with other techniques such as nuclear magnetic resonance (NMR). </w:t>
      </w:r>
    </w:p>
    <w:p w14:paraId="2EE98E6A" w14:textId="16A7DB4D"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XPS is a quantita</w:t>
      </w:r>
      <w:r w:rsidR="005F58DA">
        <w:rPr>
          <w:rFonts w:ascii="Arial" w:eastAsia="Calibri" w:hAnsi="Arial" w:cs="Arial"/>
        </w:rPr>
        <w:t>tive</w:t>
      </w:r>
      <w:r w:rsidRPr="0092670C">
        <w:rPr>
          <w:rFonts w:ascii="Arial" w:eastAsia="Calibri" w:hAnsi="Arial" w:cs="Arial"/>
        </w:rPr>
        <w:t xml:space="preserve"> technique and this allows for the</w:t>
      </w:r>
      <w:r w:rsidR="00A80ADD" w:rsidRPr="0092670C">
        <w:rPr>
          <w:rFonts w:ascii="Arial" w:eastAsia="Calibri" w:hAnsi="Arial" w:cs="Arial"/>
        </w:rPr>
        <w:t xml:space="preserve"> relative</w:t>
      </w:r>
      <w:r w:rsidRPr="0092670C">
        <w:rPr>
          <w:rFonts w:ascii="Arial" w:eastAsia="Calibri" w:hAnsi="Arial" w:cs="Arial"/>
        </w:rPr>
        <w:t xml:space="preserve"> elemental composition of the sample to be measured. This is useful and can be combined with etching to see how the composition of the sample changes at different depths. </w:t>
      </w:r>
    </w:p>
    <w:p w14:paraId="1DE3A353" w14:textId="0D5D8519" w:rsidR="007F362E" w:rsidRPr="002E3B17" w:rsidRDefault="003E14AA" w:rsidP="00B916BD">
      <w:pPr>
        <w:spacing w:line="360" w:lineRule="auto"/>
        <w:jc w:val="both"/>
        <w:rPr>
          <w:rFonts w:ascii="Arial" w:hAnsi="Arial" w:cs="Arial"/>
        </w:rPr>
      </w:pPr>
      <w:r w:rsidRPr="0092670C">
        <w:rPr>
          <w:rFonts w:ascii="Arial" w:eastAsia="Calibri" w:hAnsi="Arial" w:cs="Arial"/>
        </w:rPr>
        <w:t xml:space="preserve">XPS has been used frequently to analyse the SEI. This has led to the most common SEI components being recorded and these results have been compiled into a table by Verma </w:t>
      </w:r>
      <w:r w:rsidRPr="0092670C">
        <w:rPr>
          <w:rFonts w:ascii="Arial" w:eastAsia="Calibri" w:hAnsi="Arial" w:cs="Arial"/>
          <w:i/>
          <w:iCs/>
        </w:rPr>
        <w:t>et al</w:t>
      </w:r>
      <w:r w:rsidR="008A0959" w:rsidRPr="0092670C">
        <w:rPr>
          <w:rFonts w:ascii="Arial" w:eastAsia="Calibri" w:hAnsi="Arial" w:cs="Arial"/>
          <w:i/>
          <w:iCs/>
        </w:rPr>
        <w:t>.</w:t>
      </w:r>
      <w:r w:rsidR="00EC122C">
        <w:rPr>
          <w:rFonts w:ascii="Arial" w:eastAsia="Calibri" w:hAnsi="Arial" w:cs="Arial"/>
          <w:i/>
          <w:iCs/>
        </w:rPr>
        <w:t xml:space="preserve"> </w:t>
      </w:r>
      <w:r w:rsidR="00EC122C">
        <w:rPr>
          <w:rFonts w:ascii="Arial" w:eastAsia="Calibri" w:hAnsi="Arial" w:cs="Arial"/>
        </w:rPr>
        <w:t xml:space="preserve">and seen in </w:t>
      </w:r>
      <w:r w:rsidR="00EC122C" w:rsidRPr="00EC122C">
        <w:rPr>
          <w:rFonts w:ascii="Arial" w:eastAsia="Calibri" w:hAnsi="Arial" w:cs="Arial"/>
        </w:rPr>
        <w:fldChar w:fldCharType="begin"/>
      </w:r>
      <w:r w:rsidR="00EC122C" w:rsidRPr="00EC122C">
        <w:rPr>
          <w:rFonts w:ascii="Arial" w:eastAsia="Calibri" w:hAnsi="Arial" w:cs="Arial"/>
        </w:rPr>
        <w:instrText xml:space="preserve"> REF _Ref40737627 \h </w:instrText>
      </w:r>
      <w:r w:rsidR="00EC122C">
        <w:rPr>
          <w:rFonts w:ascii="Arial" w:eastAsia="Calibri" w:hAnsi="Arial" w:cs="Arial"/>
        </w:rPr>
        <w:instrText xml:space="preserve"> \* MERGEFORMAT </w:instrText>
      </w:r>
      <w:r w:rsidR="00EC122C" w:rsidRPr="00EC122C">
        <w:rPr>
          <w:rFonts w:ascii="Arial" w:eastAsia="Calibri" w:hAnsi="Arial" w:cs="Arial"/>
        </w:rPr>
      </w:r>
      <w:r w:rsidR="00EC122C" w:rsidRPr="00EC122C">
        <w:rPr>
          <w:rFonts w:ascii="Arial" w:eastAsia="Calibri" w:hAnsi="Arial" w:cs="Arial"/>
        </w:rPr>
        <w:fldChar w:fldCharType="separate"/>
      </w:r>
      <w:r w:rsidR="007342C8" w:rsidRPr="007342C8">
        <w:rPr>
          <w:rFonts w:ascii="Arial" w:hAnsi="Arial" w:cs="Arial"/>
        </w:rPr>
        <w:t>Table</w:t>
      </w:r>
      <w:r w:rsidR="007342C8" w:rsidRPr="007342C8">
        <w:rPr>
          <w:rFonts w:ascii="Arial" w:hAnsi="Arial" w:cs="Arial"/>
          <w:noProof/>
        </w:rPr>
        <w:t xml:space="preserve"> </w:t>
      </w:r>
      <w:r w:rsidR="007342C8">
        <w:rPr>
          <w:rFonts w:ascii="Arial" w:hAnsi="Arial" w:cs="Arial"/>
          <w:noProof/>
          <w:sz w:val="20"/>
          <w:szCs w:val="20"/>
        </w:rPr>
        <w:t>2</w:t>
      </w:r>
      <w:r w:rsidR="007342C8" w:rsidRPr="002F7B62">
        <w:rPr>
          <w:rFonts w:ascii="Arial" w:hAnsi="Arial" w:cs="Arial"/>
          <w:noProof/>
          <w:sz w:val="20"/>
          <w:szCs w:val="20"/>
        </w:rPr>
        <w:noBreakHyphen/>
      </w:r>
      <w:r w:rsidR="007342C8">
        <w:rPr>
          <w:rFonts w:ascii="Arial" w:hAnsi="Arial" w:cs="Arial"/>
          <w:noProof/>
          <w:sz w:val="20"/>
          <w:szCs w:val="20"/>
        </w:rPr>
        <w:t>1</w:t>
      </w:r>
      <w:r w:rsidR="00EC122C" w:rsidRPr="00EC122C">
        <w:rPr>
          <w:rFonts w:ascii="Arial" w:eastAsia="Calibri" w:hAnsi="Arial" w:cs="Arial"/>
        </w:rPr>
        <w:fldChar w:fldCharType="end"/>
      </w:r>
      <w:r w:rsidR="008A0959" w:rsidRPr="0092670C">
        <w:rPr>
          <w:rFonts w:ascii="Arial" w:eastAsia="Calibri" w:hAnsi="Arial" w:cs="Arial"/>
        </w:rPr>
        <w:t xml:space="preserve"> </w:t>
      </w:r>
      <w:r w:rsidRPr="0092670C">
        <w:rPr>
          <w:rFonts w:ascii="Arial" w:eastAsia="Calibri"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eastAsia="Calibri" w:hAnsi="Arial" w:cs="Arial"/>
        </w:rPr>
        <w:instrText xml:space="preserve"> ADDIN EN.CITE </w:instrText>
      </w:r>
      <w:r w:rsidR="00C10A8D">
        <w:rPr>
          <w:rFonts w:ascii="Arial" w:eastAsia="Calibri"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eastAsia="Calibri" w:hAnsi="Arial" w:cs="Arial"/>
        </w:rPr>
        <w:instrText xml:space="preserve"> ADDIN EN.CITE.DATA </w:instrText>
      </w:r>
      <w:r w:rsidR="00C10A8D">
        <w:rPr>
          <w:rFonts w:ascii="Arial" w:eastAsia="Calibri" w:hAnsi="Arial" w:cs="Arial"/>
        </w:rPr>
      </w:r>
      <w:r w:rsidR="00C10A8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C10A8D">
        <w:rPr>
          <w:rFonts w:ascii="Arial" w:eastAsia="Calibri" w:hAnsi="Arial" w:cs="Arial"/>
          <w:noProof/>
        </w:rPr>
        <w:t>[34]</w:t>
      </w:r>
      <w:r w:rsidRPr="0092670C">
        <w:rPr>
          <w:rFonts w:ascii="Arial" w:eastAsia="Calibri" w:hAnsi="Arial" w:cs="Arial"/>
        </w:rPr>
        <w:fldChar w:fldCharType="end"/>
      </w:r>
      <w:r w:rsidRPr="0092670C">
        <w:rPr>
          <w:rFonts w:ascii="Arial" w:eastAsia="Calibri" w:hAnsi="Arial" w:cs="Arial"/>
        </w:rPr>
        <w:t>.</w:t>
      </w:r>
      <w:r w:rsidR="00EC122C">
        <w:rPr>
          <w:rFonts w:ascii="Arial" w:eastAsia="Calibri" w:hAnsi="Arial" w:cs="Arial"/>
        </w:rPr>
        <w:t xml:space="preserve"> </w:t>
      </w:r>
      <w:r w:rsidR="0095269F" w:rsidRPr="0092670C">
        <w:rPr>
          <w:rFonts w:ascii="Arial" w:eastAsia="Calibri" w:hAnsi="Arial" w:cs="Arial"/>
        </w:rPr>
        <w:t>It has several properties that have made it useful for studying the SEI. The first one of these is depth. XPS has a poor penetrating depth (≈50</w:t>
      </w:r>
      <w:r w:rsidR="00502C16">
        <w:rPr>
          <w:rFonts w:ascii="Arial" w:eastAsia="Calibri" w:hAnsi="Arial" w:cs="Arial"/>
        </w:rPr>
        <w:t> </w:t>
      </w:r>
      <w:r w:rsidR="0095269F" w:rsidRPr="0092670C">
        <w:rPr>
          <w:rFonts w:ascii="Arial" w:eastAsia="Calibri" w:hAnsi="Arial" w:cs="Arial"/>
        </w:rPr>
        <w:t xml:space="preserve">Å), Although this can be extended if needed using angular dependant XPS or ion etching </w:t>
      </w:r>
      <w:r w:rsidR="0095269F" w:rsidRPr="0092670C">
        <w:rPr>
          <w:rFonts w:ascii="Arial" w:eastAsia="Calibri" w:hAnsi="Arial" w:cs="Arial"/>
        </w:rPr>
        <w:fldChar w:fldCharType="begin"/>
      </w:r>
      <w:r w:rsidR="0034337D">
        <w:rPr>
          <w:rFonts w:ascii="Arial" w:eastAsia="Calibri" w:hAnsi="Arial" w:cs="Arial"/>
        </w:rPr>
        <w:instrText xml:space="preserve"> ADDIN EN.CITE &lt;EndNote&gt;&lt;Cite&gt;&lt;Author&gt;Bryngelsson&lt;/Author&gt;&lt;Year&gt;2007&lt;/Year&gt;&lt;RecNum&gt;171&lt;/RecNum&gt;&lt;DisplayText&gt;[215]&lt;/DisplayText&gt;&lt;record&gt;&lt;rec-number&gt;171&lt;/rec-number&gt;&lt;foreign-keys&gt;&lt;key app="EN" db-id="5sa9s0e0r0d9fnexra7pr5xdwd5ztevx95s2" timestamp="1550597309"&gt;171&lt;/key&gt;&lt;/foreign-keys&gt;&lt;ref-type name="Journal Article"&gt;17&lt;/ref-type&gt;&lt;contributors&gt;&lt;authors&gt;&lt;author&gt;Bryngelsson, H.&lt;/author&gt;&lt;author&gt;Stjerndahl, M.&lt;/author&gt;&lt;author&gt;Gustafsson, T.&lt;/author&gt;&lt;author&gt;Edström, K.&lt;/author&gt;&lt;/authors&gt;&lt;/contributors&gt;&lt;titles&gt;&lt;title&gt;How dynamic is the SEI?&lt;/title&gt;&lt;secondary-title&gt;Journal of Power Sources&lt;/secondary-title&gt;&lt;/titles&gt;&lt;periodical&gt;&lt;full-title&gt;Journal of Power Sources&lt;/full-title&gt;&lt;/periodical&gt;&lt;pages&gt;970-975&lt;/pages&gt;&lt;volume&gt;174&lt;/volume&gt;&lt;number&gt;2&lt;/number&gt;&lt;keywords&gt;&lt;keyword&gt;Li-ion battery&lt;/keyword&gt;&lt;keyword&gt;Intermetallic anode&lt;/keyword&gt;&lt;keyword&gt;SEI&lt;/keyword&gt;&lt;keyword&gt;Graphite&lt;/keyword&gt;&lt;keyword&gt;XPS&lt;/keyword&gt;&lt;keyword&gt;AlSb&lt;/keyword&gt;&lt;/keywords&gt;&lt;dates&gt;&lt;year&gt;2007&lt;/year&gt;&lt;pub-dates&gt;&lt;date&gt;2007/12/06/&lt;/date&gt;&lt;/pub-dates&gt;&lt;/dates&gt;&lt;isbn&gt;0378-7753&lt;/isbn&gt;&lt;urls&gt;&lt;related-urls&gt;&lt;url&gt;http://www.sciencedirect.com/science/article/pii/S0378775307013353&lt;/url&gt;&lt;/related-urls&gt;&lt;/urls&gt;&lt;electronic-resource-num&gt;https://doi.org/10.1016/j.jpowsour.2007.06.050&lt;/electronic-resource-num&gt;&lt;/record&gt;&lt;/Cite&gt;&lt;/EndNote&gt;</w:instrText>
      </w:r>
      <w:r w:rsidR="0095269F" w:rsidRPr="0092670C">
        <w:rPr>
          <w:rFonts w:ascii="Arial" w:eastAsia="Calibri" w:hAnsi="Arial" w:cs="Arial"/>
        </w:rPr>
        <w:fldChar w:fldCharType="separate"/>
      </w:r>
      <w:r w:rsidR="0034337D">
        <w:rPr>
          <w:rFonts w:ascii="Arial" w:eastAsia="Calibri" w:hAnsi="Arial" w:cs="Arial"/>
          <w:noProof/>
        </w:rPr>
        <w:t>[215]</w:t>
      </w:r>
      <w:r w:rsidR="0095269F" w:rsidRPr="0092670C">
        <w:rPr>
          <w:rFonts w:ascii="Arial" w:eastAsia="Calibri" w:hAnsi="Arial" w:cs="Arial"/>
        </w:rPr>
        <w:fldChar w:fldCharType="end"/>
      </w:r>
      <w:r w:rsidR="0095269F" w:rsidRPr="0092670C">
        <w:rPr>
          <w:rFonts w:ascii="Arial" w:eastAsia="Calibri" w:hAnsi="Arial" w:cs="Arial"/>
        </w:rPr>
        <w:t>. This in turn makes it a surface sensitive technique which is ideal for observing the SEI by being able to cut out the signal from the graphite and copper current collector that would otherwise dominate the signal.</w:t>
      </w:r>
      <w:bookmarkStart w:id="128" w:name="_Ref40737627"/>
    </w:p>
    <w:p w14:paraId="6D316944" w14:textId="3D16D114" w:rsidR="009157C1" w:rsidRPr="002F7B62" w:rsidRDefault="006C467F" w:rsidP="007F362E">
      <w:pPr>
        <w:pStyle w:val="Caption"/>
        <w:keepNext/>
        <w:rPr>
          <w:rFonts w:ascii="Arial" w:hAnsi="Arial" w:cs="Arial"/>
          <w:sz w:val="20"/>
          <w:szCs w:val="20"/>
        </w:rPr>
      </w:pPr>
      <w:r w:rsidRPr="002F7B62">
        <w:rPr>
          <w:rFonts w:ascii="Arial" w:hAnsi="Arial" w:cs="Arial"/>
          <w:sz w:val="20"/>
          <w:szCs w:val="20"/>
        </w:rPr>
        <w:t xml:space="preserve">Table </w:t>
      </w:r>
      <w:r w:rsidR="004F6B49" w:rsidRPr="002F7B62">
        <w:rPr>
          <w:rFonts w:ascii="Arial" w:hAnsi="Arial" w:cs="Arial"/>
          <w:sz w:val="20"/>
          <w:szCs w:val="20"/>
        </w:rPr>
        <w:fldChar w:fldCharType="begin"/>
      </w:r>
      <w:r w:rsidR="004F6B49" w:rsidRPr="002F7B62">
        <w:rPr>
          <w:rFonts w:ascii="Arial" w:hAnsi="Arial" w:cs="Arial"/>
          <w:sz w:val="20"/>
          <w:szCs w:val="20"/>
        </w:rPr>
        <w:instrText xml:space="preserve"> STYLEREF 1 \s </w:instrText>
      </w:r>
      <w:r w:rsidR="004F6B49" w:rsidRPr="002F7B62">
        <w:rPr>
          <w:rFonts w:ascii="Arial" w:hAnsi="Arial" w:cs="Arial"/>
          <w:sz w:val="20"/>
          <w:szCs w:val="20"/>
        </w:rPr>
        <w:fldChar w:fldCharType="separate"/>
      </w:r>
      <w:r w:rsidR="007342C8">
        <w:rPr>
          <w:rFonts w:ascii="Arial" w:hAnsi="Arial" w:cs="Arial"/>
          <w:noProof/>
          <w:sz w:val="20"/>
          <w:szCs w:val="20"/>
        </w:rPr>
        <w:t>2</w:t>
      </w:r>
      <w:r w:rsidR="004F6B49" w:rsidRPr="002F7B62">
        <w:rPr>
          <w:rFonts w:ascii="Arial" w:hAnsi="Arial" w:cs="Arial"/>
          <w:sz w:val="20"/>
          <w:szCs w:val="20"/>
        </w:rPr>
        <w:fldChar w:fldCharType="end"/>
      </w:r>
      <w:r w:rsidR="004F6B49" w:rsidRPr="002F7B62">
        <w:rPr>
          <w:rFonts w:ascii="Arial" w:hAnsi="Arial" w:cs="Arial"/>
          <w:sz w:val="20"/>
          <w:szCs w:val="20"/>
        </w:rPr>
        <w:noBreakHyphen/>
      </w:r>
      <w:r w:rsidR="004F6B49" w:rsidRPr="002F7B62">
        <w:rPr>
          <w:rFonts w:ascii="Arial" w:hAnsi="Arial" w:cs="Arial"/>
          <w:sz w:val="20"/>
          <w:szCs w:val="20"/>
        </w:rPr>
        <w:fldChar w:fldCharType="begin"/>
      </w:r>
      <w:r w:rsidR="004F6B49" w:rsidRPr="002F7B62">
        <w:rPr>
          <w:rFonts w:ascii="Arial" w:hAnsi="Arial" w:cs="Arial"/>
          <w:sz w:val="20"/>
          <w:szCs w:val="20"/>
        </w:rPr>
        <w:instrText xml:space="preserve"> SEQ Table \* ARABIC \s 1 </w:instrText>
      </w:r>
      <w:r w:rsidR="004F6B49" w:rsidRPr="002F7B62">
        <w:rPr>
          <w:rFonts w:ascii="Arial" w:hAnsi="Arial" w:cs="Arial"/>
          <w:sz w:val="20"/>
          <w:szCs w:val="20"/>
        </w:rPr>
        <w:fldChar w:fldCharType="separate"/>
      </w:r>
      <w:r w:rsidR="007342C8">
        <w:rPr>
          <w:rFonts w:ascii="Arial" w:hAnsi="Arial" w:cs="Arial"/>
          <w:noProof/>
          <w:sz w:val="20"/>
          <w:szCs w:val="20"/>
        </w:rPr>
        <w:t>1</w:t>
      </w:r>
      <w:r w:rsidR="004F6B49" w:rsidRPr="002F7B62">
        <w:rPr>
          <w:rFonts w:ascii="Arial" w:hAnsi="Arial" w:cs="Arial"/>
          <w:sz w:val="20"/>
          <w:szCs w:val="20"/>
        </w:rPr>
        <w:fldChar w:fldCharType="end"/>
      </w:r>
      <w:bookmarkEnd w:id="128"/>
      <w:r w:rsidRPr="002F7B62">
        <w:rPr>
          <w:rFonts w:ascii="Arial" w:hAnsi="Arial" w:cs="Arial"/>
          <w:sz w:val="20"/>
          <w:szCs w:val="20"/>
        </w:rPr>
        <w:t>: Common SEI elements and their XPS peak positions</w:t>
      </w:r>
      <w:r w:rsidR="00EC122C" w:rsidRPr="002F7B62">
        <w:rPr>
          <w:rFonts w:ascii="Arial" w:hAnsi="Arial" w:cs="Arial"/>
          <w:sz w:val="20"/>
          <w:szCs w:val="20"/>
        </w:rPr>
        <w:t xml:space="preserve"> </w:t>
      </w:r>
      <w:r w:rsidR="00EC122C" w:rsidRPr="002F7B62">
        <w:rPr>
          <w:rFonts w:ascii="Arial" w:hAnsi="Arial" w:cs="Arial"/>
          <w:sz w:val="20"/>
          <w:szCs w:val="20"/>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hAnsi="Arial" w:cs="Arial"/>
          <w:sz w:val="20"/>
          <w:szCs w:val="20"/>
        </w:rPr>
        <w:instrText xml:space="preserve"> ADDIN EN.CITE </w:instrText>
      </w:r>
      <w:r w:rsidR="00C10A8D">
        <w:rPr>
          <w:rFonts w:ascii="Arial" w:hAnsi="Arial" w:cs="Arial"/>
          <w:sz w:val="20"/>
          <w:szCs w:val="20"/>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hAnsi="Arial" w:cs="Arial"/>
          <w:sz w:val="20"/>
          <w:szCs w:val="20"/>
        </w:rPr>
        <w:instrText xml:space="preserve"> ADDIN EN.CITE.DATA </w:instrText>
      </w:r>
      <w:r w:rsidR="00C10A8D">
        <w:rPr>
          <w:rFonts w:ascii="Arial" w:hAnsi="Arial" w:cs="Arial"/>
          <w:sz w:val="20"/>
          <w:szCs w:val="20"/>
        </w:rPr>
      </w:r>
      <w:r w:rsidR="00C10A8D">
        <w:rPr>
          <w:rFonts w:ascii="Arial" w:hAnsi="Arial" w:cs="Arial"/>
          <w:sz w:val="20"/>
          <w:szCs w:val="20"/>
        </w:rPr>
        <w:fldChar w:fldCharType="end"/>
      </w:r>
      <w:r w:rsidR="00EC122C" w:rsidRPr="002F7B62">
        <w:rPr>
          <w:rFonts w:ascii="Arial" w:hAnsi="Arial" w:cs="Arial"/>
          <w:sz w:val="20"/>
          <w:szCs w:val="20"/>
        </w:rPr>
      </w:r>
      <w:r w:rsidR="00EC122C" w:rsidRPr="002F7B62">
        <w:rPr>
          <w:rFonts w:ascii="Arial" w:hAnsi="Arial" w:cs="Arial"/>
          <w:sz w:val="20"/>
          <w:szCs w:val="20"/>
        </w:rPr>
        <w:fldChar w:fldCharType="separate"/>
      </w:r>
      <w:r w:rsidR="00C10A8D">
        <w:rPr>
          <w:rFonts w:ascii="Arial" w:hAnsi="Arial" w:cs="Arial"/>
          <w:noProof/>
          <w:sz w:val="20"/>
          <w:szCs w:val="20"/>
        </w:rPr>
        <w:t>[34]</w:t>
      </w:r>
      <w:r w:rsidR="00EC122C" w:rsidRPr="002F7B62">
        <w:rPr>
          <w:rFonts w:ascii="Arial" w:hAnsi="Arial" w:cs="Arial"/>
          <w:sz w:val="20"/>
          <w:szCs w:val="20"/>
        </w:rPr>
        <w:fldChar w:fldCharType="end"/>
      </w:r>
      <w:r w:rsidR="0095269F" w:rsidRPr="002F7B62">
        <w:rPr>
          <w:rFonts w:ascii="Arial" w:hAnsi="Arial" w:cs="Arial"/>
          <w:sz w:val="20"/>
          <w:szCs w:val="20"/>
        </w:rPr>
        <w:t>.</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14F96" w14:paraId="063592B6" w14:textId="77777777" w:rsidTr="001226C9">
        <w:trPr>
          <w:cantSplit/>
          <w:tblHeader/>
        </w:trPr>
        <w:tc>
          <w:tcPr>
            <w:tcW w:w="4247" w:type="dxa"/>
            <w:tcBorders>
              <w:top w:val="single" w:sz="4" w:space="0" w:color="auto"/>
              <w:bottom w:val="single" w:sz="4" w:space="0" w:color="auto"/>
            </w:tcBorders>
          </w:tcPr>
          <w:p w14:paraId="62A4CB1B" w14:textId="53B181A7" w:rsidR="00014F96" w:rsidRPr="008002D8" w:rsidRDefault="00E44B82" w:rsidP="003E14AA">
            <w:pPr>
              <w:spacing w:line="360" w:lineRule="auto"/>
              <w:jc w:val="both"/>
              <w:rPr>
                <w:rFonts w:ascii="Arial" w:hAnsi="Arial" w:cs="Arial"/>
              </w:rPr>
            </w:pPr>
            <w:r w:rsidRPr="008002D8">
              <w:rPr>
                <w:rFonts w:ascii="Arial" w:hAnsi="Arial" w:cs="Arial"/>
              </w:rPr>
              <w:t xml:space="preserve">Peak </w:t>
            </w:r>
            <w:r w:rsidR="009120F7" w:rsidRPr="008002D8">
              <w:rPr>
                <w:rFonts w:ascii="Arial" w:hAnsi="Arial" w:cs="Arial"/>
              </w:rPr>
              <w:t>position (eV)</w:t>
            </w:r>
          </w:p>
        </w:tc>
        <w:tc>
          <w:tcPr>
            <w:tcW w:w="4247" w:type="dxa"/>
            <w:tcBorders>
              <w:top w:val="single" w:sz="4" w:space="0" w:color="auto"/>
              <w:bottom w:val="single" w:sz="4" w:space="0" w:color="auto"/>
            </w:tcBorders>
          </w:tcPr>
          <w:p w14:paraId="6710AFCF" w14:textId="43E22AC3" w:rsidR="00014F96" w:rsidRPr="008002D8" w:rsidRDefault="002E265C" w:rsidP="003E14AA">
            <w:pPr>
              <w:spacing w:line="360" w:lineRule="auto"/>
              <w:jc w:val="both"/>
              <w:rPr>
                <w:rFonts w:ascii="Arial" w:hAnsi="Arial" w:cs="Arial"/>
              </w:rPr>
            </w:pPr>
            <w:r w:rsidRPr="008002D8">
              <w:rPr>
                <w:rFonts w:ascii="Arial" w:hAnsi="Arial" w:cs="Arial"/>
              </w:rPr>
              <w:t>Assignment</w:t>
            </w:r>
          </w:p>
        </w:tc>
      </w:tr>
      <w:tr w:rsidR="00014F96" w14:paraId="4A86DE34" w14:textId="77777777" w:rsidTr="001226C9">
        <w:trPr>
          <w:cantSplit/>
          <w:tblHeader/>
        </w:trPr>
        <w:tc>
          <w:tcPr>
            <w:tcW w:w="4247" w:type="dxa"/>
            <w:tcBorders>
              <w:top w:val="single" w:sz="4" w:space="0" w:color="auto"/>
            </w:tcBorders>
          </w:tcPr>
          <w:p w14:paraId="504A02EB" w14:textId="0FF08506" w:rsidR="00014F96" w:rsidRPr="008002D8" w:rsidRDefault="009120F7" w:rsidP="003E14AA">
            <w:pPr>
              <w:spacing w:line="360" w:lineRule="auto"/>
              <w:jc w:val="both"/>
              <w:rPr>
                <w:rFonts w:ascii="Arial" w:hAnsi="Arial" w:cs="Arial"/>
                <w:u w:val="single"/>
              </w:rPr>
            </w:pPr>
            <w:r w:rsidRPr="008002D8">
              <w:rPr>
                <w:rFonts w:ascii="Arial" w:hAnsi="Arial" w:cs="Arial"/>
                <w:u w:val="single"/>
              </w:rPr>
              <w:t>C</w:t>
            </w:r>
            <w:r w:rsidR="002E265C" w:rsidRPr="008002D8">
              <w:rPr>
                <w:rFonts w:ascii="Arial" w:hAnsi="Arial" w:cs="Arial"/>
                <w:u w:val="single"/>
              </w:rPr>
              <w:t xml:space="preserve"> </w:t>
            </w:r>
            <w:r w:rsidRPr="008002D8">
              <w:rPr>
                <w:rFonts w:ascii="Arial" w:hAnsi="Arial" w:cs="Arial"/>
                <w:u w:val="single"/>
              </w:rPr>
              <w:t>1s peaks</w:t>
            </w:r>
          </w:p>
        </w:tc>
        <w:tc>
          <w:tcPr>
            <w:tcW w:w="4247" w:type="dxa"/>
            <w:tcBorders>
              <w:top w:val="single" w:sz="4" w:space="0" w:color="auto"/>
            </w:tcBorders>
          </w:tcPr>
          <w:p w14:paraId="425ED10E" w14:textId="77777777" w:rsidR="00014F96" w:rsidRPr="008002D8" w:rsidRDefault="00014F96" w:rsidP="003E14AA">
            <w:pPr>
              <w:spacing w:line="360" w:lineRule="auto"/>
              <w:jc w:val="both"/>
              <w:rPr>
                <w:rFonts w:ascii="Arial" w:hAnsi="Arial" w:cs="Arial"/>
              </w:rPr>
            </w:pPr>
          </w:p>
        </w:tc>
      </w:tr>
      <w:tr w:rsidR="00014F96" w14:paraId="0A3C8E92" w14:textId="77777777" w:rsidTr="001226C9">
        <w:trPr>
          <w:cantSplit/>
          <w:tblHeader/>
        </w:trPr>
        <w:tc>
          <w:tcPr>
            <w:tcW w:w="4247" w:type="dxa"/>
          </w:tcPr>
          <w:p w14:paraId="33073BBF" w14:textId="07BB74D1" w:rsidR="00014F96" w:rsidRPr="008002D8" w:rsidRDefault="00566C37" w:rsidP="003E14AA">
            <w:pPr>
              <w:spacing w:line="360" w:lineRule="auto"/>
              <w:jc w:val="both"/>
              <w:rPr>
                <w:rFonts w:ascii="Arial" w:hAnsi="Arial" w:cs="Arial"/>
              </w:rPr>
            </w:pPr>
            <w:r w:rsidRPr="008002D8">
              <w:rPr>
                <w:rFonts w:ascii="Arial" w:hAnsi="Arial" w:cs="Arial"/>
              </w:rPr>
              <w:t>2</w:t>
            </w:r>
            <w:r w:rsidR="0042429E" w:rsidRPr="008002D8">
              <w:rPr>
                <w:rFonts w:ascii="Arial" w:hAnsi="Arial" w:cs="Arial"/>
              </w:rPr>
              <w:t>82.5</w:t>
            </w:r>
          </w:p>
        </w:tc>
        <w:tc>
          <w:tcPr>
            <w:tcW w:w="4247" w:type="dxa"/>
          </w:tcPr>
          <w:p w14:paraId="378BD379" w14:textId="0CE9FC3C" w:rsidR="00014F96" w:rsidRPr="008002D8" w:rsidRDefault="006B30F7" w:rsidP="003E14AA">
            <w:pPr>
              <w:spacing w:line="360" w:lineRule="auto"/>
              <w:jc w:val="both"/>
              <w:rPr>
                <w:rFonts w:ascii="Arial" w:hAnsi="Arial" w:cs="Arial"/>
                <w:vertAlign w:val="subscript"/>
              </w:rPr>
            </w:pPr>
            <w:r w:rsidRPr="008002D8">
              <w:rPr>
                <w:rFonts w:ascii="Arial" w:hAnsi="Arial" w:cs="Arial"/>
              </w:rPr>
              <w:t>Li</w:t>
            </w:r>
            <w:r w:rsidRPr="008002D8">
              <w:rPr>
                <w:rFonts w:ascii="Arial" w:hAnsi="Arial" w:cs="Arial"/>
                <w:vertAlign w:val="subscript"/>
              </w:rPr>
              <w:t>2</w:t>
            </w:r>
            <w:r w:rsidRPr="008002D8">
              <w:rPr>
                <w:rFonts w:ascii="Arial" w:hAnsi="Arial" w:cs="Arial"/>
                <w:b/>
                <w:bCs/>
              </w:rPr>
              <w:t>C</w:t>
            </w:r>
            <w:r w:rsidRPr="008002D8">
              <w:rPr>
                <w:rFonts w:ascii="Arial" w:hAnsi="Arial" w:cs="Arial"/>
                <w:vertAlign w:val="subscript"/>
              </w:rPr>
              <w:t>2</w:t>
            </w:r>
          </w:p>
        </w:tc>
      </w:tr>
      <w:tr w:rsidR="00014F96" w14:paraId="2C3332D7" w14:textId="77777777" w:rsidTr="001226C9">
        <w:trPr>
          <w:cantSplit/>
          <w:tblHeader/>
        </w:trPr>
        <w:tc>
          <w:tcPr>
            <w:tcW w:w="4247" w:type="dxa"/>
          </w:tcPr>
          <w:p w14:paraId="503620B3" w14:textId="56B630EB" w:rsidR="00014F96" w:rsidRPr="008002D8" w:rsidRDefault="0042429E" w:rsidP="003E14AA">
            <w:pPr>
              <w:spacing w:line="360" w:lineRule="auto"/>
              <w:jc w:val="both"/>
              <w:rPr>
                <w:rFonts w:ascii="Arial" w:hAnsi="Arial" w:cs="Arial"/>
              </w:rPr>
            </w:pPr>
            <w:r w:rsidRPr="008002D8">
              <w:rPr>
                <w:rFonts w:ascii="Arial" w:hAnsi="Arial" w:cs="Arial"/>
              </w:rPr>
              <w:t>283.7</w:t>
            </w:r>
            <w:r w:rsidR="006B30F7" w:rsidRPr="008002D8">
              <w:rPr>
                <w:rFonts w:ascii="Arial" w:hAnsi="Arial" w:cs="Arial"/>
              </w:rPr>
              <w:t xml:space="preserve">, 284, 284.3, </w:t>
            </w:r>
            <w:r w:rsidR="006226EB" w:rsidRPr="008002D8">
              <w:rPr>
                <w:rFonts w:ascii="Arial" w:hAnsi="Arial" w:cs="Arial"/>
              </w:rPr>
              <w:t>284.4, 284.8, 285</w:t>
            </w:r>
          </w:p>
        </w:tc>
        <w:tc>
          <w:tcPr>
            <w:tcW w:w="4247" w:type="dxa"/>
          </w:tcPr>
          <w:p w14:paraId="47914C91" w14:textId="4B3D1955" w:rsidR="00014F96" w:rsidRPr="008002D8" w:rsidRDefault="006226EB" w:rsidP="003E14AA">
            <w:pPr>
              <w:spacing w:line="360" w:lineRule="auto"/>
              <w:jc w:val="both"/>
              <w:rPr>
                <w:rFonts w:ascii="Arial" w:hAnsi="Arial" w:cs="Arial"/>
              </w:rPr>
            </w:pPr>
            <w:r w:rsidRPr="008002D8">
              <w:rPr>
                <w:rFonts w:ascii="Arial" w:hAnsi="Arial" w:cs="Arial"/>
                <w:b/>
                <w:bCs/>
              </w:rPr>
              <w:t>C</w:t>
            </w:r>
            <w:r w:rsidRPr="008002D8">
              <w:rPr>
                <w:rFonts w:ascii="Arial" w:hAnsi="Arial" w:cs="Arial"/>
              </w:rPr>
              <w:t>-H</w:t>
            </w:r>
            <w:r w:rsidR="00141A32" w:rsidRPr="008002D8">
              <w:rPr>
                <w:rFonts w:ascii="Arial" w:hAnsi="Arial" w:cs="Arial"/>
              </w:rPr>
              <w:t>, sp</w:t>
            </w:r>
            <w:r w:rsidR="00141A32" w:rsidRPr="008002D8">
              <w:rPr>
                <w:rFonts w:ascii="Arial" w:hAnsi="Arial" w:cs="Arial"/>
                <w:vertAlign w:val="superscript"/>
              </w:rPr>
              <w:t>2</w:t>
            </w:r>
            <w:r w:rsidR="00141A32" w:rsidRPr="008002D8">
              <w:rPr>
                <w:rFonts w:ascii="Arial" w:hAnsi="Arial" w:cs="Arial"/>
              </w:rPr>
              <w:t xml:space="preserve"> carbon</w:t>
            </w:r>
          </w:p>
        </w:tc>
      </w:tr>
      <w:tr w:rsidR="00014F96" w14:paraId="441E0477" w14:textId="77777777" w:rsidTr="001226C9">
        <w:trPr>
          <w:cantSplit/>
          <w:tblHeader/>
        </w:trPr>
        <w:tc>
          <w:tcPr>
            <w:tcW w:w="4247" w:type="dxa"/>
          </w:tcPr>
          <w:p w14:paraId="4332259E" w14:textId="6EEB90FA" w:rsidR="00014F96" w:rsidRPr="008002D8" w:rsidRDefault="00FD5692" w:rsidP="003E14AA">
            <w:pPr>
              <w:spacing w:line="360" w:lineRule="auto"/>
              <w:jc w:val="both"/>
              <w:rPr>
                <w:rFonts w:ascii="Arial" w:hAnsi="Arial" w:cs="Arial"/>
              </w:rPr>
            </w:pPr>
            <w:r w:rsidRPr="008002D8">
              <w:rPr>
                <w:rFonts w:ascii="Arial" w:hAnsi="Arial" w:cs="Arial"/>
              </w:rPr>
              <w:t>285.5</w:t>
            </w:r>
            <w:r w:rsidR="009607A7" w:rsidRPr="008002D8">
              <w:rPr>
                <w:rFonts w:ascii="Arial" w:hAnsi="Arial" w:cs="Arial"/>
              </w:rPr>
              <w:t>, 286, 286.1, 287</w:t>
            </w:r>
          </w:p>
        </w:tc>
        <w:tc>
          <w:tcPr>
            <w:tcW w:w="4247" w:type="dxa"/>
          </w:tcPr>
          <w:p w14:paraId="75D9EB1F" w14:textId="617D197D" w:rsidR="00014F96" w:rsidRPr="008002D8" w:rsidRDefault="009607A7" w:rsidP="003E14AA">
            <w:pPr>
              <w:spacing w:line="360" w:lineRule="auto"/>
              <w:jc w:val="both"/>
              <w:rPr>
                <w:rFonts w:ascii="Arial" w:hAnsi="Arial" w:cs="Arial"/>
              </w:rPr>
            </w:pPr>
            <w:r w:rsidRPr="008002D8">
              <w:rPr>
                <w:rFonts w:ascii="Arial" w:hAnsi="Arial" w:cs="Arial"/>
                <w:b/>
                <w:bCs/>
              </w:rPr>
              <w:t>C</w:t>
            </w:r>
            <w:r w:rsidRPr="008002D8">
              <w:rPr>
                <w:rFonts w:ascii="Arial" w:hAnsi="Arial" w:cs="Arial"/>
              </w:rPr>
              <w:t>-OH</w:t>
            </w:r>
          </w:p>
        </w:tc>
      </w:tr>
      <w:tr w:rsidR="00014F96" w14:paraId="4E9BB3D1" w14:textId="77777777" w:rsidTr="001226C9">
        <w:trPr>
          <w:cantSplit/>
          <w:tblHeader/>
        </w:trPr>
        <w:tc>
          <w:tcPr>
            <w:tcW w:w="4247" w:type="dxa"/>
          </w:tcPr>
          <w:p w14:paraId="4E9E1AFA" w14:textId="247FE4E3" w:rsidR="00014F96" w:rsidRPr="008002D8" w:rsidRDefault="0008115B" w:rsidP="003E14AA">
            <w:pPr>
              <w:spacing w:line="360" w:lineRule="auto"/>
              <w:jc w:val="both"/>
              <w:rPr>
                <w:rFonts w:ascii="Arial" w:hAnsi="Arial" w:cs="Arial"/>
              </w:rPr>
            </w:pPr>
            <w:r w:rsidRPr="008002D8">
              <w:rPr>
                <w:rFonts w:ascii="Arial" w:hAnsi="Arial" w:cs="Arial"/>
              </w:rPr>
              <w:t>285.5</w:t>
            </w:r>
          </w:p>
        </w:tc>
        <w:tc>
          <w:tcPr>
            <w:tcW w:w="4247" w:type="dxa"/>
          </w:tcPr>
          <w:p w14:paraId="227DC92E" w14:textId="42052073" w:rsidR="00014F96" w:rsidRPr="008002D8" w:rsidRDefault="0008115B" w:rsidP="003E14AA">
            <w:pPr>
              <w:spacing w:line="360" w:lineRule="auto"/>
              <w:jc w:val="both"/>
              <w:rPr>
                <w:rFonts w:ascii="Arial" w:hAnsi="Arial" w:cs="Arial"/>
              </w:rPr>
            </w:pPr>
            <w:r w:rsidRPr="008002D8">
              <w:rPr>
                <w:rFonts w:ascii="Arial" w:hAnsi="Arial" w:cs="Arial"/>
              </w:rPr>
              <w:t>Polymeric carbon in the SEI</w:t>
            </w:r>
          </w:p>
        </w:tc>
      </w:tr>
      <w:tr w:rsidR="00014F96" w14:paraId="249B6AC6" w14:textId="77777777" w:rsidTr="001226C9">
        <w:trPr>
          <w:cantSplit/>
          <w:tblHeader/>
        </w:trPr>
        <w:tc>
          <w:tcPr>
            <w:tcW w:w="4247" w:type="dxa"/>
          </w:tcPr>
          <w:p w14:paraId="464E250E" w14:textId="14021990" w:rsidR="00014F96" w:rsidRPr="008002D8" w:rsidRDefault="00263C07" w:rsidP="003E14AA">
            <w:pPr>
              <w:spacing w:line="360" w:lineRule="auto"/>
              <w:jc w:val="both"/>
              <w:rPr>
                <w:rFonts w:ascii="Arial" w:hAnsi="Arial" w:cs="Arial"/>
              </w:rPr>
            </w:pPr>
            <w:r w:rsidRPr="008002D8">
              <w:rPr>
                <w:rFonts w:ascii="Arial" w:hAnsi="Arial" w:cs="Arial"/>
              </w:rPr>
              <w:t>286.5</w:t>
            </w:r>
          </w:p>
        </w:tc>
        <w:tc>
          <w:tcPr>
            <w:tcW w:w="4247" w:type="dxa"/>
          </w:tcPr>
          <w:p w14:paraId="3EF0528B" w14:textId="0D861208" w:rsidR="00014F96" w:rsidRPr="008002D8" w:rsidRDefault="0006157E" w:rsidP="003E14AA">
            <w:pPr>
              <w:spacing w:line="360" w:lineRule="auto"/>
              <w:jc w:val="both"/>
              <w:rPr>
                <w:rFonts w:ascii="Arial" w:hAnsi="Arial" w:cs="Arial"/>
              </w:rPr>
            </w:pPr>
            <w:r w:rsidRPr="008002D8">
              <w:rPr>
                <w:rFonts w:ascii="Arial" w:hAnsi="Arial" w:cs="Arial"/>
              </w:rPr>
              <w:t>(</w:t>
            </w:r>
            <w:r w:rsidR="006C1A3C" w:rsidRPr="008002D8">
              <w:rPr>
                <w:rFonts w:ascii="Arial" w:hAnsi="Arial" w:cs="Arial"/>
              </w:rPr>
              <w:t>-</w:t>
            </w:r>
            <w:r w:rsidR="006C1A3C" w:rsidRPr="008002D8">
              <w:rPr>
                <w:rFonts w:ascii="Arial" w:hAnsi="Arial" w:cs="Arial"/>
                <w:b/>
                <w:bCs/>
              </w:rPr>
              <w:t>C</w:t>
            </w:r>
            <w:r w:rsidR="006C1A3C" w:rsidRPr="008002D8">
              <w:rPr>
                <w:rFonts w:ascii="Arial" w:hAnsi="Arial" w:cs="Arial"/>
              </w:rPr>
              <w:t>H</w:t>
            </w:r>
            <w:r w:rsidR="006C1A3C" w:rsidRPr="008002D8">
              <w:rPr>
                <w:rFonts w:ascii="Arial" w:hAnsi="Arial" w:cs="Arial"/>
                <w:vertAlign w:val="subscript"/>
              </w:rPr>
              <w:t>2</w:t>
            </w:r>
            <w:r w:rsidR="006C1A3C" w:rsidRPr="008002D8">
              <w:rPr>
                <w:rFonts w:ascii="Arial" w:hAnsi="Arial" w:cs="Arial"/>
                <w:b/>
                <w:bCs/>
              </w:rPr>
              <w:t>C</w:t>
            </w:r>
            <w:r w:rsidR="006C1A3C" w:rsidRPr="008002D8">
              <w:rPr>
                <w:rFonts w:ascii="Arial" w:hAnsi="Arial" w:cs="Arial"/>
              </w:rPr>
              <w:t>H</w:t>
            </w:r>
            <w:r w:rsidR="00025B07" w:rsidRPr="008002D8">
              <w:rPr>
                <w:rFonts w:ascii="Arial" w:hAnsi="Arial" w:cs="Arial"/>
                <w:vertAlign w:val="subscript"/>
              </w:rPr>
              <w:t>2</w:t>
            </w:r>
            <w:r w:rsidR="00025B07" w:rsidRPr="008002D8">
              <w:rPr>
                <w:rFonts w:ascii="Arial" w:hAnsi="Arial" w:cs="Arial"/>
              </w:rPr>
              <w:t>O-)</w:t>
            </w:r>
            <w:r w:rsidR="00025B07" w:rsidRPr="008002D8">
              <w:rPr>
                <w:rFonts w:ascii="Arial" w:hAnsi="Arial" w:cs="Arial"/>
                <w:vertAlign w:val="subscript"/>
              </w:rPr>
              <w:t>n</w:t>
            </w:r>
          </w:p>
        </w:tc>
      </w:tr>
      <w:tr w:rsidR="00014F96" w14:paraId="65271094" w14:textId="77777777" w:rsidTr="001226C9">
        <w:trPr>
          <w:cantSplit/>
          <w:tblHeader/>
        </w:trPr>
        <w:tc>
          <w:tcPr>
            <w:tcW w:w="4247" w:type="dxa"/>
          </w:tcPr>
          <w:p w14:paraId="795C0452" w14:textId="022B9E59" w:rsidR="00014F96" w:rsidRPr="008002D8" w:rsidRDefault="00C108BF" w:rsidP="003E14AA">
            <w:pPr>
              <w:spacing w:line="360" w:lineRule="auto"/>
              <w:jc w:val="both"/>
              <w:rPr>
                <w:rFonts w:ascii="Arial" w:hAnsi="Arial" w:cs="Arial"/>
              </w:rPr>
            </w:pPr>
            <w:r w:rsidRPr="008002D8">
              <w:rPr>
                <w:rFonts w:ascii="Arial" w:hAnsi="Arial" w:cs="Arial"/>
              </w:rPr>
              <w:t xml:space="preserve">285, </w:t>
            </w:r>
            <w:r w:rsidR="00D867C7" w:rsidRPr="008002D8">
              <w:rPr>
                <w:rFonts w:ascii="Arial" w:hAnsi="Arial" w:cs="Arial"/>
              </w:rPr>
              <w:t>285.5</w:t>
            </w:r>
            <w:r w:rsidR="00E4710A" w:rsidRPr="008002D8">
              <w:rPr>
                <w:rFonts w:ascii="Arial" w:hAnsi="Arial" w:cs="Arial"/>
              </w:rPr>
              <w:t>, 286, 286.5</w:t>
            </w:r>
          </w:p>
        </w:tc>
        <w:tc>
          <w:tcPr>
            <w:tcW w:w="4247" w:type="dxa"/>
          </w:tcPr>
          <w:p w14:paraId="5A1EA830" w14:textId="70F8C955" w:rsidR="00014F96" w:rsidRPr="008002D8" w:rsidRDefault="00E4710A" w:rsidP="003E14AA">
            <w:pPr>
              <w:spacing w:line="360" w:lineRule="auto"/>
              <w:jc w:val="both"/>
              <w:rPr>
                <w:rFonts w:ascii="Arial" w:hAnsi="Arial" w:cs="Arial"/>
              </w:rPr>
            </w:pPr>
            <w:r w:rsidRPr="008002D8">
              <w:rPr>
                <w:rFonts w:ascii="Arial" w:hAnsi="Arial" w:cs="Arial"/>
                <w:b/>
                <w:bCs/>
              </w:rPr>
              <w:t>C</w:t>
            </w:r>
            <w:r w:rsidRPr="008002D8">
              <w:rPr>
                <w:rFonts w:ascii="Arial" w:hAnsi="Arial" w:cs="Arial"/>
              </w:rPr>
              <w:t>-O-</w:t>
            </w:r>
            <w:r w:rsidRPr="008002D8">
              <w:rPr>
                <w:rFonts w:ascii="Arial" w:hAnsi="Arial" w:cs="Arial"/>
                <w:b/>
                <w:bCs/>
              </w:rPr>
              <w:t>C</w:t>
            </w:r>
          </w:p>
        </w:tc>
      </w:tr>
      <w:tr w:rsidR="00E4710A" w14:paraId="075AA65C" w14:textId="77777777" w:rsidTr="001226C9">
        <w:trPr>
          <w:cantSplit/>
          <w:tblHeader/>
        </w:trPr>
        <w:tc>
          <w:tcPr>
            <w:tcW w:w="4247" w:type="dxa"/>
          </w:tcPr>
          <w:p w14:paraId="4F323033" w14:textId="0B5FF1C5" w:rsidR="00E4710A" w:rsidRPr="008002D8" w:rsidRDefault="001D5E2D" w:rsidP="003E14AA">
            <w:pPr>
              <w:spacing w:line="360" w:lineRule="auto"/>
              <w:jc w:val="both"/>
              <w:rPr>
                <w:rFonts w:ascii="Arial" w:hAnsi="Arial" w:cs="Arial"/>
              </w:rPr>
            </w:pPr>
            <w:r w:rsidRPr="008002D8">
              <w:rPr>
                <w:rFonts w:ascii="Arial" w:hAnsi="Arial" w:cs="Arial"/>
              </w:rPr>
              <w:t>287-</w:t>
            </w:r>
            <w:r w:rsidR="0058744F" w:rsidRPr="008002D8">
              <w:rPr>
                <w:rFonts w:ascii="Arial" w:hAnsi="Arial" w:cs="Arial"/>
              </w:rPr>
              <w:t>288, 287, 289.1</w:t>
            </w:r>
          </w:p>
        </w:tc>
        <w:tc>
          <w:tcPr>
            <w:tcW w:w="4247" w:type="dxa"/>
          </w:tcPr>
          <w:p w14:paraId="536FE96C" w14:textId="6AA5C778" w:rsidR="00E4710A" w:rsidRPr="008002D8" w:rsidRDefault="0058744F" w:rsidP="003E14AA">
            <w:pPr>
              <w:spacing w:line="360" w:lineRule="auto"/>
              <w:jc w:val="both"/>
              <w:rPr>
                <w:rFonts w:ascii="Arial" w:hAnsi="Arial" w:cs="Arial"/>
              </w:rPr>
            </w:pPr>
            <w:r w:rsidRPr="008002D8">
              <w:rPr>
                <w:rFonts w:ascii="Arial" w:hAnsi="Arial" w:cs="Arial"/>
              </w:rPr>
              <w:t xml:space="preserve">Ether carbons </w:t>
            </w:r>
          </w:p>
        </w:tc>
      </w:tr>
      <w:tr w:rsidR="0058744F" w14:paraId="6DFE7885" w14:textId="77777777" w:rsidTr="001226C9">
        <w:trPr>
          <w:cantSplit/>
          <w:tblHeader/>
        </w:trPr>
        <w:tc>
          <w:tcPr>
            <w:tcW w:w="4247" w:type="dxa"/>
          </w:tcPr>
          <w:p w14:paraId="57CD78F1" w14:textId="514C688F" w:rsidR="0058744F" w:rsidRPr="008002D8" w:rsidRDefault="009970E5" w:rsidP="003E14AA">
            <w:pPr>
              <w:spacing w:line="360" w:lineRule="auto"/>
              <w:jc w:val="both"/>
              <w:rPr>
                <w:rFonts w:ascii="Arial" w:hAnsi="Arial" w:cs="Arial"/>
              </w:rPr>
            </w:pPr>
            <w:r w:rsidRPr="008002D8">
              <w:rPr>
                <w:rFonts w:ascii="Arial" w:hAnsi="Arial" w:cs="Arial"/>
              </w:rPr>
              <w:t>287, 287.3</w:t>
            </w:r>
          </w:p>
        </w:tc>
        <w:tc>
          <w:tcPr>
            <w:tcW w:w="4247" w:type="dxa"/>
          </w:tcPr>
          <w:p w14:paraId="00A5A6D9" w14:textId="7113FABF" w:rsidR="0058744F" w:rsidRPr="008002D8" w:rsidRDefault="009970E5" w:rsidP="003E14AA">
            <w:pPr>
              <w:spacing w:line="360" w:lineRule="auto"/>
              <w:jc w:val="both"/>
              <w:rPr>
                <w:rFonts w:ascii="Arial" w:hAnsi="Arial" w:cs="Arial"/>
              </w:rPr>
            </w:pPr>
            <w:r w:rsidRPr="008002D8">
              <w:rPr>
                <w:rFonts w:ascii="Arial" w:hAnsi="Arial" w:cs="Arial"/>
                <w:b/>
                <w:bCs/>
              </w:rPr>
              <w:t>C</w:t>
            </w:r>
            <w:r w:rsidRPr="008002D8">
              <w:rPr>
                <w:rFonts w:ascii="Arial" w:hAnsi="Arial" w:cs="Arial"/>
              </w:rPr>
              <w:t>=O</w:t>
            </w:r>
          </w:p>
        </w:tc>
      </w:tr>
      <w:tr w:rsidR="009970E5" w14:paraId="031F9189" w14:textId="77777777" w:rsidTr="001226C9">
        <w:trPr>
          <w:cantSplit/>
          <w:tblHeader/>
        </w:trPr>
        <w:tc>
          <w:tcPr>
            <w:tcW w:w="4247" w:type="dxa"/>
          </w:tcPr>
          <w:p w14:paraId="6132B832" w14:textId="7E445F2B" w:rsidR="009970E5" w:rsidRPr="008002D8" w:rsidRDefault="00B37FFB" w:rsidP="003E14AA">
            <w:pPr>
              <w:spacing w:line="360" w:lineRule="auto"/>
              <w:jc w:val="both"/>
              <w:rPr>
                <w:rFonts w:ascii="Arial" w:hAnsi="Arial" w:cs="Arial"/>
              </w:rPr>
            </w:pPr>
            <w:r w:rsidRPr="008002D8">
              <w:rPr>
                <w:rFonts w:ascii="Arial" w:hAnsi="Arial" w:cs="Arial"/>
              </w:rPr>
              <w:t xml:space="preserve">287.6, 289-290, </w:t>
            </w:r>
            <w:r w:rsidR="002E1612" w:rsidRPr="008002D8">
              <w:rPr>
                <w:rFonts w:ascii="Arial" w:hAnsi="Arial" w:cs="Arial"/>
              </w:rPr>
              <w:t>289.1</w:t>
            </w:r>
          </w:p>
        </w:tc>
        <w:tc>
          <w:tcPr>
            <w:tcW w:w="4247" w:type="dxa"/>
          </w:tcPr>
          <w:p w14:paraId="71D13D0A" w14:textId="652C5554" w:rsidR="009970E5" w:rsidRPr="008002D8" w:rsidRDefault="004239E9" w:rsidP="003E14AA">
            <w:pPr>
              <w:spacing w:line="360" w:lineRule="auto"/>
              <w:jc w:val="both"/>
              <w:rPr>
                <w:rFonts w:ascii="Arial" w:hAnsi="Arial" w:cs="Arial"/>
              </w:rPr>
            </w:pPr>
            <w:r w:rsidRPr="008002D8">
              <w:rPr>
                <w:rFonts w:ascii="Arial" w:hAnsi="Arial" w:cs="Arial"/>
                <w:b/>
                <w:bCs/>
              </w:rPr>
              <w:t>C</w:t>
            </w:r>
            <w:r w:rsidRPr="008002D8">
              <w:rPr>
                <w:rFonts w:ascii="Arial" w:hAnsi="Arial" w:cs="Arial"/>
              </w:rPr>
              <w:t>-(OR)(</w:t>
            </w:r>
            <w:r w:rsidR="007720FC" w:rsidRPr="008002D8">
              <w:rPr>
                <w:rFonts w:ascii="Arial" w:hAnsi="Arial" w:cs="Arial"/>
              </w:rPr>
              <w:t>CO</w:t>
            </w:r>
            <w:r w:rsidR="007720FC" w:rsidRPr="008002D8">
              <w:rPr>
                <w:rFonts w:ascii="Arial" w:hAnsi="Arial" w:cs="Arial"/>
                <w:vertAlign w:val="subscript"/>
              </w:rPr>
              <w:t>2</w:t>
            </w:r>
            <w:r w:rsidR="007720FC" w:rsidRPr="008002D8">
              <w:rPr>
                <w:rFonts w:ascii="Arial" w:hAnsi="Arial" w:cs="Arial"/>
              </w:rPr>
              <w:t xml:space="preserve">Li) or </w:t>
            </w:r>
            <w:r w:rsidR="007720FC" w:rsidRPr="008002D8">
              <w:rPr>
                <w:rFonts w:ascii="Arial" w:hAnsi="Arial" w:cs="Arial"/>
                <w:b/>
                <w:bCs/>
              </w:rPr>
              <w:t>C</w:t>
            </w:r>
            <w:r w:rsidR="007720FC" w:rsidRPr="008002D8">
              <w:rPr>
                <w:rFonts w:ascii="Arial" w:hAnsi="Arial" w:cs="Arial"/>
              </w:rPr>
              <w:t>OOR</w:t>
            </w:r>
          </w:p>
        </w:tc>
      </w:tr>
      <w:tr w:rsidR="007720FC" w14:paraId="720638A4" w14:textId="77777777" w:rsidTr="001226C9">
        <w:trPr>
          <w:cantSplit/>
          <w:tblHeader/>
        </w:trPr>
        <w:tc>
          <w:tcPr>
            <w:tcW w:w="4247" w:type="dxa"/>
          </w:tcPr>
          <w:p w14:paraId="1F2BA5C0" w14:textId="17B28427" w:rsidR="007720FC" w:rsidRPr="008002D8" w:rsidRDefault="007720FC" w:rsidP="003E14AA">
            <w:pPr>
              <w:spacing w:line="360" w:lineRule="auto"/>
              <w:jc w:val="both"/>
              <w:rPr>
                <w:rFonts w:ascii="Arial" w:hAnsi="Arial" w:cs="Arial"/>
              </w:rPr>
            </w:pPr>
            <w:r w:rsidRPr="008002D8">
              <w:rPr>
                <w:rFonts w:ascii="Arial" w:hAnsi="Arial" w:cs="Arial"/>
              </w:rPr>
              <w:t xml:space="preserve">288-291, </w:t>
            </w:r>
            <w:r w:rsidR="000C055A" w:rsidRPr="008002D8">
              <w:rPr>
                <w:rFonts w:ascii="Arial" w:hAnsi="Arial" w:cs="Arial"/>
              </w:rPr>
              <w:t>290, 290.6</w:t>
            </w:r>
          </w:p>
        </w:tc>
        <w:tc>
          <w:tcPr>
            <w:tcW w:w="4247" w:type="dxa"/>
          </w:tcPr>
          <w:p w14:paraId="688283C6" w14:textId="0E0DEF86" w:rsidR="007720FC" w:rsidRPr="008002D8" w:rsidRDefault="000C055A" w:rsidP="003E14AA">
            <w:pPr>
              <w:spacing w:line="360" w:lineRule="auto"/>
              <w:jc w:val="both"/>
              <w:rPr>
                <w:rFonts w:ascii="Arial" w:hAnsi="Arial" w:cs="Arial"/>
              </w:rPr>
            </w:pPr>
            <w:r w:rsidRPr="008002D8">
              <w:rPr>
                <w:rFonts w:ascii="Arial" w:hAnsi="Arial" w:cs="Arial"/>
              </w:rPr>
              <w:t>RO-</w:t>
            </w:r>
            <w:r w:rsidRPr="008002D8">
              <w:rPr>
                <w:rFonts w:ascii="Arial" w:hAnsi="Arial" w:cs="Arial"/>
                <w:b/>
                <w:bCs/>
              </w:rPr>
              <w:t>C</w:t>
            </w:r>
            <w:r w:rsidRPr="008002D8">
              <w:rPr>
                <w:rFonts w:ascii="Arial" w:hAnsi="Arial" w:cs="Arial"/>
              </w:rPr>
              <w:t>O</w:t>
            </w:r>
            <w:r w:rsidRPr="008002D8">
              <w:rPr>
                <w:rFonts w:ascii="Arial" w:hAnsi="Arial" w:cs="Arial"/>
                <w:vertAlign w:val="subscript"/>
              </w:rPr>
              <w:t>2</w:t>
            </w:r>
            <w:r w:rsidRPr="008002D8">
              <w:rPr>
                <w:rFonts w:ascii="Arial" w:hAnsi="Arial" w:cs="Arial"/>
              </w:rPr>
              <w:t>Li</w:t>
            </w:r>
          </w:p>
        </w:tc>
      </w:tr>
      <w:tr w:rsidR="002E265C" w14:paraId="1FFB6888" w14:textId="77777777" w:rsidTr="001226C9">
        <w:trPr>
          <w:cantSplit/>
          <w:tblHeader/>
        </w:trPr>
        <w:tc>
          <w:tcPr>
            <w:tcW w:w="4247" w:type="dxa"/>
          </w:tcPr>
          <w:p w14:paraId="64891741" w14:textId="34DCB75B" w:rsidR="002E265C" w:rsidRPr="008002D8" w:rsidRDefault="002E265C" w:rsidP="003E14AA">
            <w:pPr>
              <w:spacing w:line="360" w:lineRule="auto"/>
              <w:jc w:val="both"/>
              <w:rPr>
                <w:rFonts w:ascii="Arial" w:hAnsi="Arial" w:cs="Arial"/>
                <w:u w:val="single"/>
              </w:rPr>
            </w:pPr>
            <w:r w:rsidRPr="008002D8">
              <w:rPr>
                <w:rFonts w:ascii="Arial" w:hAnsi="Arial" w:cs="Arial"/>
                <w:u w:val="single"/>
              </w:rPr>
              <w:t>O 1s</w:t>
            </w:r>
            <w:r w:rsidR="00C821A8" w:rsidRPr="008002D8">
              <w:rPr>
                <w:rFonts w:ascii="Arial" w:hAnsi="Arial" w:cs="Arial"/>
                <w:u w:val="single"/>
              </w:rPr>
              <w:t xml:space="preserve"> </w:t>
            </w:r>
            <w:r w:rsidRPr="008002D8">
              <w:rPr>
                <w:rFonts w:ascii="Arial" w:hAnsi="Arial" w:cs="Arial"/>
                <w:u w:val="single"/>
              </w:rPr>
              <w:t>peaks</w:t>
            </w:r>
          </w:p>
        </w:tc>
        <w:tc>
          <w:tcPr>
            <w:tcW w:w="4247" w:type="dxa"/>
          </w:tcPr>
          <w:p w14:paraId="7A4E1152" w14:textId="77777777" w:rsidR="002E265C" w:rsidRPr="008002D8" w:rsidRDefault="002E265C" w:rsidP="003E14AA">
            <w:pPr>
              <w:spacing w:line="360" w:lineRule="auto"/>
              <w:jc w:val="both"/>
              <w:rPr>
                <w:rFonts w:ascii="Arial" w:hAnsi="Arial" w:cs="Arial"/>
              </w:rPr>
            </w:pPr>
          </w:p>
        </w:tc>
      </w:tr>
      <w:tr w:rsidR="002E265C" w14:paraId="03F0A5A7" w14:textId="77777777" w:rsidTr="001226C9">
        <w:trPr>
          <w:cantSplit/>
          <w:tblHeader/>
        </w:trPr>
        <w:tc>
          <w:tcPr>
            <w:tcW w:w="4247" w:type="dxa"/>
          </w:tcPr>
          <w:p w14:paraId="7D104CA6" w14:textId="0AEF77AD" w:rsidR="002E265C" w:rsidRPr="008002D8" w:rsidRDefault="003F0EA6" w:rsidP="003E14AA">
            <w:pPr>
              <w:spacing w:line="360" w:lineRule="auto"/>
              <w:jc w:val="both"/>
              <w:rPr>
                <w:rFonts w:ascii="Arial" w:hAnsi="Arial" w:cs="Arial"/>
              </w:rPr>
            </w:pPr>
            <w:r w:rsidRPr="008002D8">
              <w:rPr>
                <w:rFonts w:ascii="Arial" w:hAnsi="Arial" w:cs="Arial"/>
              </w:rPr>
              <w:t>532.4, 533.8, 534.5</w:t>
            </w:r>
          </w:p>
        </w:tc>
        <w:tc>
          <w:tcPr>
            <w:tcW w:w="4247" w:type="dxa"/>
          </w:tcPr>
          <w:p w14:paraId="75597529" w14:textId="4E3C35CF" w:rsidR="002E265C" w:rsidRPr="008002D8" w:rsidRDefault="003F0EA6" w:rsidP="003E14AA">
            <w:pPr>
              <w:spacing w:line="360" w:lineRule="auto"/>
              <w:jc w:val="both"/>
              <w:rPr>
                <w:rFonts w:ascii="Arial" w:hAnsi="Arial" w:cs="Arial"/>
              </w:rPr>
            </w:pPr>
            <w:r w:rsidRPr="008002D8">
              <w:rPr>
                <w:rFonts w:ascii="Arial" w:hAnsi="Arial" w:cs="Arial"/>
              </w:rPr>
              <w:t>R</w:t>
            </w:r>
            <w:r w:rsidRPr="008002D8">
              <w:rPr>
                <w:rFonts w:ascii="Arial" w:hAnsi="Arial" w:cs="Arial"/>
                <w:b/>
                <w:bCs/>
              </w:rPr>
              <w:t>O</w:t>
            </w:r>
            <w:r w:rsidRPr="008002D8">
              <w:rPr>
                <w:rFonts w:ascii="Arial" w:hAnsi="Arial" w:cs="Arial"/>
              </w:rPr>
              <w:t>-C</w:t>
            </w:r>
            <w:r w:rsidRPr="008002D8">
              <w:rPr>
                <w:rFonts w:ascii="Arial" w:hAnsi="Arial" w:cs="Arial"/>
                <w:b/>
                <w:bCs/>
              </w:rPr>
              <w:t>O</w:t>
            </w:r>
            <w:r w:rsidRPr="008002D8">
              <w:rPr>
                <w:rFonts w:ascii="Arial" w:hAnsi="Arial" w:cs="Arial"/>
                <w:vertAlign w:val="subscript"/>
              </w:rPr>
              <w:t>2</w:t>
            </w:r>
            <w:r w:rsidRPr="008002D8">
              <w:rPr>
                <w:rFonts w:ascii="Arial" w:hAnsi="Arial" w:cs="Arial"/>
              </w:rPr>
              <w:t>Li</w:t>
            </w:r>
          </w:p>
        </w:tc>
      </w:tr>
      <w:tr w:rsidR="00DC2CD8" w14:paraId="78357F3B" w14:textId="77777777" w:rsidTr="001226C9">
        <w:trPr>
          <w:cantSplit/>
          <w:tblHeader/>
        </w:trPr>
        <w:tc>
          <w:tcPr>
            <w:tcW w:w="4247" w:type="dxa"/>
          </w:tcPr>
          <w:p w14:paraId="10FA7D75" w14:textId="058063D9" w:rsidR="00DC2CD8" w:rsidRPr="008002D8" w:rsidRDefault="00DC2CD8" w:rsidP="003E14AA">
            <w:pPr>
              <w:spacing w:line="360" w:lineRule="auto"/>
              <w:jc w:val="both"/>
              <w:rPr>
                <w:rFonts w:ascii="Arial" w:hAnsi="Arial" w:cs="Arial"/>
              </w:rPr>
            </w:pPr>
            <w:r w:rsidRPr="008002D8">
              <w:rPr>
                <w:rFonts w:ascii="Arial" w:hAnsi="Arial" w:cs="Arial"/>
              </w:rPr>
              <w:t>532.5</w:t>
            </w:r>
            <w:r w:rsidR="00AB2C54" w:rsidRPr="008002D8">
              <w:rPr>
                <w:rFonts w:ascii="Arial" w:hAnsi="Arial" w:cs="Arial"/>
              </w:rPr>
              <w:t>, 533, 534</w:t>
            </w:r>
          </w:p>
        </w:tc>
        <w:tc>
          <w:tcPr>
            <w:tcW w:w="4247" w:type="dxa"/>
          </w:tcPr>
          <w:p w14:paraId="74ABA713" w14:textId="6007DABE" w:rsidR="00DC2CD8" w:rsidRPr="008002D8" w:rsidRDefault="00AB2C54" w:rsidP="003E14AA">
            <w:pPr>
              <w:spacing w:line="360" w:lineRule="auto"/>
              <w:jc w:val="both"/>
              <w:rPr>
                <w:rFonts w:ascii="Arial" w:hAnsi="Arial" w:cs="Arial"/>
              </w:rPr>
            </w:pPr>
            <w:r w:rsidRPr="008002D8">
              <w:rPr>
                <w:rFonts w:ascii="Arial" w:hAnsi="Arial" w:cs="Arial"/>
              </w:rPr>
              <w:t>C-</w:t>
            </w:r>
            <w:r w:rsidRPr="008002D8">
              <w:rPr>
                <w:rFonts w:ascii="Arial" w:hAnsi="Arial" w:cs="Arial"/>
                <w:b/>
                <w:bCs/>
              </w:rPr>
              <w:t>O</w:t>
            </w:r>
            <w:r w:rsidRPr="008002D8">
              <w:rPr>
                <w:rFonts w:ascii="Arial" w:hAnsi="Arial" w:cs="Arial"/>
              </w:rPr>
              <w:t>-C or C-</w:t>
            </w:r>
            <w:r w:rsidRPr="008002D8">
              <w:rPr>
                <w:rFonts w:ascii="Arial" w:hAnsi="Arial" w:cs="Arial"/>
                <w:b/>
                <w:bCs/>
              </w:rPr>
              <w:t>O</w:t>
            </w:r>
            <w:r w:rsidRPr="008002D8">
              <w:rPr>
                <w:rFonts w:ascii="Arial" w:hAnsi="Arial" w:cs="Arial"/>
              </w:rPr>
              <w:t>-H</w:t>
            </w:r>
          </w:p>
        </w:tc>
      </w:tr>
      <w:tr w:rsidR="00AB2C54" w14:paraId="036C4FCF" w14:textId="77777777" w:rsidTr="001226C9">
        <w:trPr>
          <w:cantSplit/>
          <w:tblHeader/>
        </w:trPr>
        <w:tc>
          <w:tcPr>
            <w:tcW w:w="4247" w:type="dxa"/>
          </w:tcPr>
          <w:p w14:paraId="638B6521" w14:textId="7791C406" w:rsidR="00AB2C54" w:rsidRPr="008002D8" w:rsidRDefault="00AB2C54" w:rsidP="003E14AA">
            <w:pPr>
              <w:spacing w:line="360" w:lineRule="auto"/>
              <w:jc w:val="both"/>
              <w:rPr>
                <w:rFonts w:ascii="Arial" w:hAnsi="Arial" w:cs="Arial"/>
              </w:rPr>
            </w:pPr>
            <w:r w:rsidRPr="008002D8">
              <w:rPr>
                <w:rFonts w:ascii="Arial" w:hAnsi="Arial" w:cs="Arial"/>
              </w:rPr>
              <w:t>531</w:t>
            </w:r>
          </w:p>
        </w:tc>
        <w:tc>
          <w:tcPr>
            <w:tcW w:w="4247" w:type="dxa"/>
          </w:tcPr>
          <w:p w14:paraId="75B387C4" w14:textId="3A8C3D47" w:rsidR="00AB2C54" w:rsidRPr="008002D8" w:rsidRDefault="001821FB" w:rsidP="003E14AA">
            <w:pPr>
              <w:spacing w:line="360" w:lineRule="auto"/>
              <w:jc w:val="both"/>
              <w:rPr>
                <w:rFonts w:ascii="Arial" w:hAnsi="Arial" w:cs="Arial"/>
                <w:b/>
                <w:bCs/>
              </w:rPr>
            </w:pPr>
            <w:r w:rsidRPr="008002D8">
              <w:rPr>
                <w:rFonts w:ascii="Arial" w:hAnsi="Arial" w:cs="Arial"/>
              </w:rPr>
              <w:t>C=</w:t>
            </w:r>
            <w:r w:rsidRPr="008002D8">
              <w:rPr>
                <w:rFonts w:ascii="Arial" w:hAnsi="Arial" w:cs="Arial"/>
                <w:b/>
                <w:bCs/>
              </w:rPr>
              <w:t>O</w:t>
            </w:r>
          </w:p>
        </w:tc>
      </w:tr>
      <w:tr w:rsidR="001821FB" w14:paraId="214F9C27" w14:textId="77777777" w:rsidTr="001226C9">
        <w:trPr>
          <w:cantSplit/>
          <w:tblHeader/>
        </w:trPr>
        <w:tc>
          <w:tcPr>
            <w:tcW w:w="4247" w:type="dxa"/>
          </w:tcPr>
          <w:p w14:paraId="7BBE1C53" w14:textId="7585032A" w:rsidR="001821FB" w:rsidRPr="008002D8" w:rsidRDefault="001821FB" w:rsidP="003E14AA">
            <w:pPr>
              <w:spacing w:line="360" w:lineRule="auto"/>
              <w:jc w:val="both"/>
              <w:rPr>
                <w:rFonts w:ascii="Arial" w:hAnsi="Arial" w:cs="Arial"/>
              </w:rPr>
            </w:pPr>
            <w:r w:rsidRPr="008002D8">
              <w:rPr>
                <w:rFonts w:ascii="Arial" w:hAnsi="Arial" w:cs="Arial"/>
              </w:rPr>
              <w:t>530.8</w:t>
            </w:r>
          </w:p>
        </w:tc>
        <w:tc>
          <w:tcPr>
            <w:tcW w:w="4247" w:type="dxa"/>
          </w:tcPr>
          <w:p w14:paraId="47519F0D" w14:textId="2D79D42D" w:rsidR="001821FB" w:rsidRPr="008002D8" w:rsidRDefault="00C821A8" w:rsidP="003E14AA">
            <w:pPr>
              <w:spacing w:line="360" w:lineRule="auto"/>
              <w:jc w:val="both"/>
              <w:rPr>
                <w:rFonts w:ascii="Arial" w:hAnsi="Arial" w:cs="Arial"/>
              </w:rPr>
            </w:pPr>
            <w:r w:rsidRPr="008002D8">
              <w:rPr>
                <w:rFonts w:ascii="Arial" w:hAnsi="Arial" w:cs="Arial"/>
              </w:rPr>
              <w:t>C-</w:t>
            </w:r>
            <w:r w:rsidRPr="008002D8">
              <w:rPr>
                <w:rFonts w:ascii="Arial" w:hAnsi="Arial" w:cs="Arial"/>
                <w:b/>
                <w:bCs/>
              </w:rPr>
              <w:t>O</w:t>
            </w:r>
            <w:r w:rsidRPr="008002D8">
              <w:rPr>
                <w:rFonts w:ascii="Arial" w:hAnsi="Arial" w:cs="Arial"/>
              </w:rPr>
              <w:t>-Li</w:t>
            </w:r>
          </w:p>
        </w:tc>
      </w:tr>
      <w:tr w:rsidR="00C821A8" w14:paraId="2A60BDA3" w14:textId="77777777" w:rsidTr="001226C9">
        <w:trPr>
          <w:cantSplit/>
          <w:tblHeader/>
        </w:trPr>
        <w:tc>
          <w:tcPr>
            <w:tcW w:w="4247" w:type="dxa"/>
          </w:tcPr>
          <w:p w14:paraId="7A691514" w14:textId="59324C2F" w:rsidR="00C821A8" w:rsidRPr="008002D8" w:rsidRDefault="00C821A8" w:rsidP="003E14AA">
            <w:pPr>
              <w:spacing w:line="360" w:lineRule="auto"/>
              <w:jc w:val="both"/>
              <w:rPr>
                <w:rFonts w:ascii="Arial" w:hAnsi="Arial" w:cs="Arial"/>
                <w:u w:val="single"/>
              </w:rPr>
            </w:pPr>
            <w:r w:rsidRPr="008002D8">
              <w:rPr>
                <w:rFonts w:ascii="Arial" w:hAnsi="Arial" w:cs="Arial"/>
                <w:u w:val="single"/>
              </w:rPr>
              <w:t>Li 1s peaks</w:t>
            </w:r>
          </w:p>
        </w:tc>
        <w:tc>
          <w:tcPr>
            <w:tcW w:w="4247" w:type="dxa"/>
          </w:tcPr>
          <w:p w14:paraId="2C5A9707" w14:textId="77777777" w:rsidR="00C821A8" w:rsidRPr="008002D8" w:rsidRDefault="00C821A8" w:rsidP="003E14AA">
            <w:pPr>
              <w:spacing w:line="360" w:lineRule="auto"/>
              <w:jc w:val="both"/>
              <w:rPr>
                <w:rFonts w:ascii="Arial" w:hAnsi="Arial" w:cs="Arial"/>
              </w:rPr>
            </w:pPr>
          </w:p>
        </w:tc>
      </w:tr>
      <w:tr w:rsidR="00C821A8" w14:paraId="13900272" w14:textId="77777777" w:rsidTr="001226C9">
        <w:trPr>
          <w:cantSplit/>
          <w:tblHeader/>
        </w:trPr>
        <w:tc>
          <w:tcPr>
            <w:tcW w:w="4247" w:type="dxa"/>
          </w:tcPr>
          <w:p w14:paraId="51C3F15C" w14:textId="12A0B51C" w:rsidR="00C821A8" w:rsidRPr="008002D8" w:rsidRDefault="00C821A8" w:rsidP="003E14AA">
            <w:pPr>
              <w:spacing w:line="360" w:lineRule="auto"/>
              <w:jc w:val="both"/>
              <w:rPr>
                <w:rFonts w:ascii="Arial" w:hAnsi="Arial" w:cs="Arial"/>
              </w:rPr>
            </w:pPr>
            <w:r w:rsidRPr="008002D8">
              <w:rPr>
                <w:rFonts w:ascii="Arial" w:hAnsi="Arial" w:cs="Arial"/>
              </w:rPr>
              <w:t>54</w:t>
            </w:r>
          </w:p>
        </w:tc>
        <w:tc>
          <w:tcPr>
            <w:tcW w:w="4247" w:type="dxa"/>
          </w:tcPr>
          <w:p w14:paraId="650F35CE" w14:textId="7E14BE8A" w:rsidR="00C821A8" w:rsidRPr="008002D8" w:rsidRDefault="00C821A8" w:rsidP="003E14AA">
            <w:pPr>
              <w:spacing w:line="360" w:lineRule="auto"/>
              <w:jc w:val="both"/>
              <w:rPr>
                <w:rFonts w:ascii="Arial" w:hAnsi="Arial" w:cs="Arial"/>
              </w:rPr>
            </w:pPr>
            <w:r w:rsidRPr="008002D8">
              <w:rPr>
                <w:rFonts w:ascii="Arial" w:hAnsi="Arial" w:cs="Arial"/>
                <w:b/>
                <w:bCs/>
              </w:rPr>
              <w:t>Li</w:t>
            </w:r>
            <w:r w:rsidRPr="008002D8">
              <w:rPr>
                <w:rFonts w:ascii="Arial" w:hAnsi="Arial" w:cs="Arial"/>
              </w:rPr>
              <w:t>-O</w:t>
            </w:r>
          </w:p>
        </w:tc>
      </w:tr>
      <w:tr w:rsidR="00C821A8" w14:paraId="17F1709B" w14:textId="77777777" w:rsidTr="001226C9">
        <w:trPr>
          <w:cantSplit/>
          <w:tblHeader/>
        </w:trPr>
        <w:tc>
          <w:tcPr>
            <w:tcW w:w="4247" w:type="dxa"/>
          </w:tcPr>
          <w:p w14:paraId="6B5FCC00" w14:textId="7B61EEC3" w:rsidR="00C821A8" w:rsidRPr="008002D8" w:rsidRDefault="00C821A8" w:rsidP="003E14AA">
            <w:pPr>
              <w:spacing w:line="360" w:lineRule="auto"/>
              <w:jc w:val="both"/>
              <w:rPr>
                <w:rFonts w:ascii="Arial" w:hAnsi="Arial" w:cs="Arial"/>
              </w:rPr>
            </w:pPr>
            <w:r w:rsidRPr="008002D8">
              <w:rPr>
                <w:rFonts w:ascii="Arial" w:hAnsi="Arial" w:cs="Arial"/>
              </w:rPr>
              <w:t>55.5</w:t>
            </w:r>
          </w:p>
        </w:tc>
        <w:tc>
          <w:tcPr>
            <w:tcW w:w="4247" w:type="dxa"/>
          </w:tcPr>
          <w:p w14:paraId="552217A1" w14:textId="0864856C" w:rsidR="00C821A8" w:rsidRPr="008002D8" w:rsidRDefault="00C821A8" w:rsidP="003E14AA">
            <w:pPr>
              <w:spacing w:line="360" w:lineRule="auto"/>
              <w:jc w:val="both"/>
              <w:rPr>
                <w:rFonts w:ascii="Arial" w:hAnsi="Arial" w:cs="Arial"/>
                <w:vertAlign w:val="subscript"/>
              </w:rPr>
            </w:pPr>
            <w:r w:rsidRPr="008002D8">
              <w:rPr>
                <w:rFonts w:ascii="Arial" w:hAnsi="Arial" w:cs="Arial"/>
                <w:b/>
                <w:bCs/>
              </w:rPr>
              <w:t>Li</w:t>
            </w:r>
            <w:r w:rsidRPr="008002D8">
              <w:rPr>
                <w:rFonts w:ascii="Arial" w:hAnsi="Arial" w:cs="Arial"/>
              </w:rPr>
              <w:t>-CO</w:t>
            </w:r>
            <w:r w:rsidRPr="008002D8">
              <w:rPr>
                <w:rFonts w:ascii="Arial" w:hAnsi="Arial" w:cs="Arial"/>
                <w:vertAlign w:val="subscript"/>
              </w:rPr>
              <w:t>3</w:t>
            </w:r>
          </w:p>
        </w:tc>
      </w:tr>
      <w:tr w:rsidR="00C821A8" w14:paraId="6664B913" w14:textId="77777777" w:rsidTr="001226C9">
        <w:trPr>
          <w:cantSplit/>
          <w:tblHeader/>
        </w:trPr>
        <w:tc>
          <w:tcPr>
            <w:tcW w:w="4247" w:type="dxa"/>
          </w:tcPr>
          <w:p w14:paraId="7B9E910A" w14:textId="782DE6BB" w:rsidR="00C821A8" w:rsidRPr="008002D8" w:rsidRDefault="00C821A8" w:rsidP="003E14AA">
            <w:pPr>
              <w:spacing w:line="360" w:lineRule="auto"/>
              <w:jc w:val="both"/>
              <w:rPr>
                <w:rFonts w:ascii="Arial" w:hAnsi="Arial" w:cs="Arial"/>
              </w:rPr>
            </w:pPr>
            <w:r w:rsidRPr="008002D8">
              <w:rPr>
                <w:rFonts w:ascii="Arial" w:hAnsi="Arial" w:cs="Arial"/>
              </w:rPr>
              <w:t>55</w:t>
            </w:r>
          </w:p>
        </w:tc>
        <w:tc>
          <w:tcPr>
            <w:tcW w:w="4247" w:type="dxa"/>
          </w:tcPr>
          <w:p w14:paraId="0D2F3083" w14:textId="305D0C28" w:rsidR="00C821A8" w:rsidRPr="008002D8" w:rsidRDefault="00C821A8" w:rsidP="003E14AA">
            <w:pPr>
              <w:spacing w:line="360" w:lineRule="auto"/>
              <w:jc w:val="both"/>
              <w:rPr>
                <w:rFonts w:ascii="Arial" w:hAnsi="Arial" w:cs="Arial"/>
              </w:rPr>
            </w:pPr>
            <w:r w:rsidRPr="008002D8">
              <w:rPr>
                <w:rFonts w:ascii="Arial" w:hAnsi="Arial" w:cs="Arial"/>
                <w:b/>
                <w:bCs/>
              </w:rPr>
              <w:t>Li</w:t>
            </w:r>
            <w:r w:rsidRPr="008002D8">
              <w:rPr>
                <w:rFonts w:ascii="Arial" w:hAnsi="Arial" w:cs="Arial"/>
              </w:rPr>
              <w:t>-O-C</w:t>
            </w:r>
          </w:p>
        </w:tc>
      </w:tr>
      <w:tr w:rsidR="00C821A8" w14:paraId="0F0E1BFA" w14:textId="77777777" w:rsidTr="001226C9">
        <w:trPr>
          <w:cantSplit/>
          <w:tblHeader/>
        </w:trPr>
        <w:tc>
          <w:tcPr>
            <w:tcW w:w="4247" w:type="dxa"/>
          </w:tcPr>
          <w:p w14:paraId="4B540BED" w14:textId="28C3A279" w:rsidR="00C821A8" w:rsidRPr="008002D8" w:rsidRDefault="00C821A8" w:rsidP="003E14AA">
            <w:pPr>
              <w:spacing w:line="360" w:lineRule="auto"/>
              <w:jc w:val="both"/>
              <w:rPr>
                <w:rFonts w:ascii="Arial" w:hAnsi="Arial" w:cs="Arial"/>
                <w:u w:val="single"/>
              </w:rPr>
            </w:pPr>
            <w:r w:rsidRPr="008002D8">
              <w:rPr>
                <w:rFonts w:ascii="Arial" w:hAnsi="Arial" w:cs="Arial"/>
                <w:u w:val="single"/>
              </w:rPr>
              <w:t>F 1s peaks</w:t>
            </w:r>
          </w:p>
        </w:tc>
        <w:tc>
          <w:tcPr>
            <w:tcW w:w="4247" w:type="dxa"/>
          </w:tcPr>
          <w:p w14:paraId="725A58D0" w14:textId="77777777" w:rsidR="00C821A8" w:rsidRPr="008002D8" w:rsidRDefault="00C821A8" w:rsidP="003E14AA">
            <w:pPr>
              <w:spacing w:line="360" w:lineRule="auto"/>
              <w:jc w:val="both"/>
              <w:rPr>
                <w:rFonts w:ascii="Arial" w:hAnsi="Arial" w:cs="Arial"/>
                <w:b/>
                <w:bCs/>
              </w:rPr>
            </w:pPr>
          </w:p>
        </w:tc>
      </w:tr>
      <w:tr w:rsidR="00C821A8" w14:paraId="268DC738" w14:textId="77777777" w:rsidTr="001226C9">
        <w:trPr>
          <w:cantSplit/>
          <w:tblHeader/>
        </w:trPr>
        <w:tc>
          <w:tcPr>
            <w:tcW w:w="4247" w:type="dxa"/>
          </w:tcPr>
          <w:p w14:paraId="258CF0BC" w14:textId="709A8E1F" w:rsidR="00C821A8" w:rsidRPr="008002D8" w:rsidRDefault="00C821A8" w:rsidP="003E14AA">
            <w:pPr>
              <w:spacing w:line="360" w:lineRule="auto"/>
              <w:jc w:val="both"/>
              <w:rPr>
                <w:rFonts w:ascii="Arial" w:hAnsi="Arial" w:cs="Arial"/>
              </w:rPr>
            </w:pPr>
            <w:r w:rsidRPr="008002D8">
              <w:rPr>
                <w:rFonts w:ascii="Arial" w:hAnsi="Arial" w:cs="Arial"/>
              </w:rPr>
              <w:t>688.8</w:t>
            </w:r>
          </w:p>
        </w:tc>
        <w:tc>
          <w:tcPr>
            <w:tcW w:w="4247" w:type="dxa"/>
          </w:tcPr>
          <w:p w14:paraId="2AFC27C0" w14:textId="1D566800" w:rsidR="00C821A8" w:rsidRPr="008002D8" w:rsidRDefault="00C821A8" w:rsidP="003E14AA">
            <w:pPr>
              <w:spacing w:line="360" w:lineRule="auto"/>
              <w:jc w:val="both"/>
              <w:rPr>
                <w:rFonts w:ascii="Arial" w:hAnsi="Arial" w:cs="Arial"/>
                <w:b/>
                <w:bCs/>
              </w:rPr>
            </w:pPr>
            <w:r w:rsidRPr="008002D8">
              <w:rPr>
                <w:rFonts w:ascii="Arial" w:hAnsi="Arial" w:cs="Arial"/>
              </w:rPr>
              <w:t>P-</w:t>
            </w:r>
            <w:r w:rsidRPr="008002D8">
              <w:rPr>
                <w:rFonts w:ascii="Arial" w:hAnsi="Arial" w:cs="Arial"/>
                <w:b/>
                <w:bCs/>
              </w:rPr>
              <w:t>F</w:t>
            </w:r>
          </w:p>
        </w:tc>
      </w:tr>
      <w:tr w:rsidR="00C821A8" w14:paraId="4B556E2C" w14:textId="77777777" w:rsidTr="001226C9">
        <w:trPr>
          <w:cantSplit/>
          <w:tblHeader/>
        </w:trPr>
        <w:tc>
          <w:tcPr>
            <w:tcW w:w="4247" w:type="dxa"/>
          </w:tcPr>
          <w:p w14:paraId="688D1FE0" w14:textId="43CE30CD" w:rsidR="00C821A8" w:rsidRPr="008002D8" w:rsidRDefault="00C821A8" w:rsidP="003E14AA">
            <w:pPr>
              <w:spacing w:line="360" w:lineRule="auto"/>
              <w:jc w:val="both"/>
              <w:rPr>
                <w:rFonts w:ascii="Arial" w:hAnsi="Arial" w:cs="Arial"/>
              </w:rPr>
            </w:pPr>
            <w:r w:rsidRPr="008002D8">
              <w:rPr>
                <w:rFonts w:ascii="Arial" w:hAnsi="Arial" w:cs="Arial"/>
              </w:rPr>
              <w:t>685-686.5</w:t>
            </w:r>
            <w:r w:rsidR="00212E3D" w:rsidRPr="008002D8">
              <w:rPr>
                <w:rFonts w:ascii="Arial" w:hAnsi="Arial" w:cs="Arial"/>
              </w:rPr>
              <w:t>, 648.8</w:t>
            </w:r>
          </w:p>
        </w:tc>
        <w:tc>
          <w:tcPr>
            <w:tcW w:w="4247" w:type="dxa"/>
          </w:tcPr>
          <w:p w14:paraId="090CCE5D" w14:textId="2A808265" w:rsidR="00C821A8" w:rsidRPr="008002D8" w:rsidRDefault="00212E3D" w:rsidP="003E14AA">
            <w:pPr>
              <w:spacing w:line="360" w:lineRule="auto"/>
              <w:jc w:val="both"/>
              <w:rPr>
                <w:rFonts w:ascii="Arial" w:hAnsi="Arial" w:cs="Arial"/>
                <w:b/>
                <w:bCs/>
              </w:rPr>
            </w:pPr>
            <w:r w:rsidRPr="008002D8">
              <w:rPr>
                <w:rFonts w:ascii="Arial" w:hAnsi="Arial" w:cs="Arial"/>
              </w:rPr>
              <w:t>Li-</w:t>
            </w:r>
            <w:r w:rsidRPr="008002D8">
              <w:rPr>
                <w:rFonts w:ascii="Arial" w:hAnsi="Arial" w:cs="Arial"/>
                <w:b/>
                <w:bCs/>
              </w:rPr>
              <w:t>F</w:t>
            </w:r>
          </w:p>
        </w:tc>
      </w:tr>
      <w:tr w:rsidR="00212E3D" w14:paraId="2FD4B833" w14:textId="77777777" w:rsidTr="001226C9">
        <w:trPr>
          <w:cantSplit/>
          <w:tblHeader/>
        </w:trPr>
        <w:tc>
          <w:tcPr>
            <w:tcW w:w="4247" w:type="dxa"/>
          </w:tcPr>
          <w:p w14:paraId="3CE46894" w14:textId="41CBB194" w:rsidR="00212E3D" w:rsidRPr="008002D8" w:rsidRDefault="00A01ADB" w:rsidP="003E14AA">
            <w:pPr>
              <w:spacing w:line="360" w:lineRule="auto"/>
              <w:jc w:val="both"/>
              <w:rPr>
                <w:rFonts w:ascii="Arial" w:hAnsi="Arial" w:cs="Arial"/>
              </w:rPr>
            </w:pPr>
            <w:r w:rsidRPr="008002D8">
              <w:rPr>
                <w:rFonts w:ascii="Arial" w:hAnsi="Arial" w:cs="Arial"/>
              </w:rPr>
              <w:t>683.5</w:t>
            </w:r>
          </w:p>
        </w:tc>
        <w:tc>
          <w:tcPr>
            <w:tcW w:w="4247" w:type="dxa"/>
          </w:tcPr>
          <w:p w14:paraId="218CC0FF" w14:textId="582D80CA" w:rsidR="00212E3D" w:rsidRPr="008002D8" w:rsidRDefault="00212E3D" w:rsidP="003E14AA">
            <w:pPr>
              <w:spacing w:line="360" w:lineRule="auto"/>
              <w:jc w:val="both"/>
              <w:rPr>
                <w:rFonts w:ascii="Arial" w:hAnsi="Arial" w:cs="Arial"/>
              </w:rPr>
            </w:pPr>
            <w:r w:rsidRPr="008002D8">
              <w:rPr>
                <w:rFonts w:ascii="Arial" w:hAnsi="Arial" w:cs="Arial"/>
              </w:rPr>
              <w:t>Na-F</w:t>
            </w:r>
          </w:p>
        </w:tc>
      </w:tr>
    </w:tbl>
    <w:p w14:paraId="37C5C7F5" w14:textId="77777777" w:rsidR="006B6E36" w:rsidRDefault="006B6E36" w:rsidP="003E14AA">
      <w:pPr>
        <w:spacing w:line="360" w:lineRule="auto"/>
        <w:jc w:val="both"/>
        <w:rPr>
          <w:rFonts w:ascii="Arial" w:eastAsia="Calibri" w:hAnsi="Arial" w:cs="Arial"/>
        </w:rPr>
      </w:pPr>
    </w:p>
    <w:p w14:paraId="5109520C" w14:textId="61D2124D" w:rsidR="003E14AA" w:rsidRPr="0092670C" w:rsidRDefault="003E14AA" w:rsidP="003E14AA">
      <w:pPr>
        <w:spacing w:line="360" w:lineRule="auto"/>
        <w:jc w:val="both"/>
        <w:rPr>
          <w:rFonts w:ascii="Arial" w:eastAsia="Calibri" w:hAnsi="Arial" w:cs="Arial"/>
        </w:rPr>
      </w:pPr>
      <w:r w:rsidRPr="0092670C">
        <w:rPr>
          <w:rFonts w:ascii="Arial" w:eastAsia="Calibri" w:hAnsi="Arial" w:cs="Arial"/>
        </w:rPr>
        <w:t xml:space="preserve">Some systems also allow the samples to be loaded in an oxygen free environment, helping to ensure that the SEI is stable. XPS is not a perfect technique however and there are several factors that need to taken into consideration, </w:t>
      </w:r>
      <w:r w:rsidR="008D54E6" w:rsidRPr="0092670C">
        <w:rPr>
          <w:rFonts w:ascii="Arial" w:eastAsia="Calibri" w:hAnsi="Arial" w:cs="Arial"/>
        </w:rPr>
        <w:t>the</w:t>
      </w:r>
      <w:r w:rsidRPr="0092670C">
        <w:rPr>
          <w:rFonts w:ascii="Arial" w:eastAsia="Calibri" w:hAnsi="Arial" w:cs="Arial"/>
        </w:rPr>
        <w:t xml:space="preserve"> main one is the high energy X-rays used and its effect on the sample. The high energy X-rays used mean that there is a real risk of radiation damage to the SEI, causing chemical change. Another issue is deconvoluting the spectra of the sample. The SEI components peaks overlap with each other (and other complicated systems) and this means that they need to be separated to properly understand the system. This is not an easy procedure, and this can be seen in the variation in reported values within the literature</w:t>
      </w:r>
      <w:r w:rsidR="003E64D2" w:rsidRPr="0092670C">
        <w:rPr>
          <w:rFonts w:ascii="Arial" w:eastAsia="Calibri" w:hAnsi="Arial" w:cs="Arial"/>
        </w:rPr>
        <w:t xml:space="preserve"> </w:t>
      </w:r>
      <w:r w:rsidRPr="0092670C">
        <w:rPr>
          <w:rFonts w:ascii="Arial" w:eastAsia="Calibri"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eastAsia="Calibri" w:hAnsi="Arial" w:cs="Arial"/>
        </w:rPr>
        <w:instrText xml:space="preserve"> ADDIN EN.CITE </w:instrText>
      </w:r>
      <w:r w:rsidR="00C10A8D">
        <w:rPr>
          <w:rFonts w:ascii="Arial" w:eastAsia="Calibri" w:hAnsi="Arial" w:cs="Arial"/>
        </w:rPr>
        <w:fldChar w:fldCharType="begin">
          <w:fldData xml:space="preserve">PEVuZE5vdGU+PENpdGU+PEF1dGhvcj5WZXJtYTwvQXV0aG9yPjxZZWFyPjIwMTA8L1llYXI+PFJl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</w:fldData>
        </w:fldChar>
      </w:r>
      <w:r w:rsidR="00C10A8D">
        <w:rPr>
          <w:rFonts w:ascii="Arial" w:eastAsia="Calibri" w:hAnsi="Arial" w:cs="Arial"/>
        </w:rPr>
        <w:instrText xml:space="preserve"> ADDIN EN.CITE.DATA </w:instrText>
      </w:r>
      <w:r w:rsidR="00C10A8D">
        <w:rPr>
          <w:rFonts w:ascii="Arial" w:eastAsia="Calibri" w:hAnsi="Arial" w:cs="Arial"/>
        </w:rPr>
      </w:r>
      <w:r w:rsidR="00C10A8D">
        <w:rPr>
          <w:rFonts w:ascii="Arial" w:eastAsia="Calibri" w:hAnsi="Arial" w:cs="Arial"/>
        </w:rPr>
        <w:fldChar w:fldCharType="end"/>
      </w:r>
      <w:r w:rsidRPr="0092670C">
        <w:rPr>
          <w:rFonts w:ascii="Arial" w:eastAsia="Calibri" w:hAnsi="Arial" w:cs="Arial"/>
        </w:rPr>
      </w:r>
      <w:r w:rsidRPr="0092670C">
        <w:rPr>
          <w:rFonts w:ascii="Arial" w:eastAsia="Calibri" w:hAnsi="Arial" w:cs="Arial"/>
        </w:rPr>
        <w:fldChar w:fldCharType="separate"/>
      </w:r>
      <w:r w:rsidR="00C10A8D">
        <w:rPr>
          <w:rFonts w:ascii="Arial" w:eastAsia="Calibri" w:hAnsi="Arial" w:cs="Arial"/>
          <w:noProof/>
        </w:rPr>
        <w:t>[34]</w:t>
      </w:r>
      <w:r w:rsidRPr="0092670C">
        <w:rPr>
          <w:rFonts w:ascii="Arial" w:eastAsia="Calibri" w:hAnsi="Arial" w:cs="Arial"/>
        </w:rPr>
        <w:fldChar w:fldCharType="end"/>
      </w:r>
      <w:r w:rsidRPr="0092670C">
        <w:rPr>
          <w:rFonts w:ascii="Arial" w:eastAsia="Calibri" w:hAnsi="Arial" w:cs="Arial"/>
        </w:rPr>
        <w:t xml:space="preserve">. These variations in values make it even harder to assign the peaks as there is significant overlap between the values reported for different chemical species and this could change the interpretations of the results. </w:t>
      </w:r>
    </w:p>
    <w:p w14:paraId="6E53E066" w14:textId="2ACDEDEA" w:rsidR="004C4758" w:rsidRPr="0092670C" w:rsidRDefault="004C4758" w:rsidP="003E14AA">
      <w:pPr>
        <w:spacing w:after="200" w:line="360" w:lineRule="auto"/>
        <w:jc w:val="center"/>
        <w:rPr>
          <w:rFonts w:ascii="Arial" w:eastAsia="Calibri" w:hAnsi="Arial" w:cs="Arial"/>
          <w:i/>
          <w:iCs/>
          <w:color w:val="44546A" w:themeColor="text2"/>
          <w:sz w:val="20"/>
          <w:szCs w:val="20"/>
        </w:rPr>
      </w:pPr>
      <w:r w:rsidRPr="0092670C">
        <w:rPr>
          <w:rFonts w:ascii="Arial" w:eastAsia="Calibri" w:hAnsi="Arial" w:cs="Arial"/>
          <w:i/>
          <w:iCs/>
          <w:color w:val="44546A" w:themeColor="text2"/>
          <w:sz w:val="20"/>
          <w:szCs w:val="20"/>
        </w:rPr>
        <w:br w:type="page"/>
      </w:r>
    </w:p>
    <w:p w14:paraId="1AB388DD" w14:textId="22FAD5DA" w:rsidR="004C4758" w:rsidRPr="0092670C" w:rsidRDefault="004C4758">
      <w:pPr>
        <w:rPr>
          <w:rFonts w:ascii="Arial" w:hAnsi="Arial" w:cs="Arial"/>
          <w:b/>
          <w:u w:val="single"/>
        </w:rPr>
      </w:pPr>
      <w:bookmarkStart w:id="129" w:name="_Ref16684870"/>
    </w:p>
    <w:p w14:paraId="6A453660" w14:textId="21A0B8DB" w:rsidR="00E336EA" w:rsidRPr="0092670C" w:rsidRDefault="00E336EA" w:rsidP="004C4758">
      <w:pPr>
        <w:pStyle w:val="Heading1"/>
        <w:spacing w:before="4000" w:line="360" w:lineRule="auto"/>
        <w:rPr>
          <w:rFonts w:ascii="Arial" w:hAnsi="Arial" w:cs="Arial"/>
          <w:b/>
          <w:u w:val="single"/>
        </w:rPr>
      </w:pPr>
      <w:bookmarkStart w:id="130" w:name="_Toc82538753"/>
      <w:r w:rsidRPr="0092670C">
        <w:rPr>
          <w:rFonts w:ascii="Arial" w:hAnsi="Arial" w:cs="Arial"/>
          <w:b/>
          <w:u w:val="single"/>
        </w:rPr>
        <w:t>Pre-lithiation of graphite</w:t>
      </w:r>
      <w:bookmarkEnd w:id="129"/>
      <w:bookmarkEnd w:id="130"/>
    </w:p>
    <w:p w14:paraId="29B2481D" w14:textId="50C71662" w:rsidR="000E6678" w:rsidRPr="0092670C" w:rsidRDefault="00985804" w:rsidP="007718EC">
      <w:pPr>
        <w:spacing w:line="360" w:lineRule="auto"/>
        <w:jc w:val="both"/>
        <w:rPr>
          <w:rFonts w:ascii="Arial" w:hAnsi="Arial" w:cs="Arial"/>
        </w:rPr>
      </w:pPr>
      <w:r w:rsidRPr="0092670C">
        <w:rPr>
          <w:rFonts w:ascii="Arial" w:hAnsi="Arial" w:cs="Arial"/>
        </w:rPr>
        <w:t>It was s</w:t>
      </w:r>
      <w:r w:rsidR="00A86EA4" w:rsidRPr="0092670C">
        <w:rPr>
          <w:rFonts w:ascii="Arial" w:hAnsi="Arial" w:cs="Arial"/>
        </w:rPr>
        <w:t>een in the literature review that pre-lithiation can be used as an effective metho</w:t>
      </w:r>
      <w:r w:rsidR="00D374A6" w:rsidRPr="0092670C">
        <w:rPr>
          <w:rFonts w:ascii="Arial" w:hAnsi="Arial" w:cs="Arial"/>
        </w:rPr>
        <w:t xml:space="preserve">d to increase the coulombic efficiency of the </w:t>
      </w:r>
      <w:r w:rsidR="004B0F62" w:rsidRPr="0092670C">
        <w:rPr>
          <w:rFonts w:ascii="Arial" w:hAnsi="Arial" w:cs="Arial"/>
        </w:rPr>
        <w:t>anode,</w:t>
      </w:r>
      <w:r w:rsidR="00A34796" w:rsidRPr="0092670C">
        <w:rPr>
          <w:rFonts w:ascii="Arial" w:hAnsi="Arial" w:cs="Arial"/>
        </w:rPr>
        <w:t xml:space="preserve"> but </w:t>
      </w:r>
      <w:r w:rsidR="001D096D" w:rsidRPr="0092670C">
        <w:rPr>
          <w:rFonts w:ascii="Arial" w:hAnsi="Arial" w:cs="Arial"/>
        </w:rPr>
        <w:t xml:space="preserve">little work has been </w:t>
      </w:r>
      <w:r w:rsidR="002073FF" w:rsidRPr="0092670C">
        <w:rPr>
          <w:rFonts w:ascii="Arial" w:hAnsi="Arial" w:cs="Arial"/>
        </w:rPr>
        <w:t xml:space="preserve">performed to </w:t>
      </w:r>
      <w:r w:rsidR="00E44A9B">
        <w:rPr>
          <w:rFonts w:ascii="Arial" w:hAnsi="Arial" w:cs="Arial"/>
        </w:rPr>
        <w:t>understand</w:t>
      </w:r>
      <w:r w:rsidR="009805E9" w:rsidRPr="0092670C">
        <w:rPr>
          <w:rFonts w:ascii="Arial" w:hAnsi="Arial" w:cs="Arial"/>
        </w:rPr>
        <w:t xml:space="preserve"> the </w:t>
      </w:r>
      <w:r w:rsidR="005065A3" w:rsidRPr="0092670C">
        <w:rPr>
          <w:rFonts w:ascii="Arial" w:hAnsi="Arial" w:cs="Arial"/>
        </w:rPr>
        <w:t xml:space="preserve">processes </w:t>
      </w:r>
      <w:r w:rsidR="00716915" w:rsidRPr="0092670C">
        <w:rPr>
          <w:rFonts w:ascii="Arial" w:hAnsi="Arial" w:cs="Arial"/>
        </w:rPr>
        <w:t xml:space="preserve">that occur during </w:t>
      </w:r>
      <w:r w:rsidR="00830F13" w:rsidRPr="0092670C">
        <w:rPr>
          <w:rFonts w:ascii="Arial" w:hAnsi="Arial" w:cs="Arial"/>
        </w:rPr>
        <w:t>pre-lithiation</w:t>
      </w:r>
      <w:r w:rsidR="00A16DE4" w:rsidRPr="0092670C">
        <w:rPr>
          <w:rFonts w:ascii="Arial" w:hAnsi="Arial" w:cs="Arial"/>
        </w:rPr>
        <w:t xml:space="preserve">. </w:t>
      </w:r>
      <w:r w:rsidR="00CB7D51" w:rsidRPr="0092670C">
        <w:rPr>
          <w:rFonts w:ascii="Arial" w:hAnsi="Arial" w:cs="Arial"/>
        </w:rPr>
        <w:t xml:space="preserve">Outlined here is how </w:t>
      </w:r>
      <w:r w:rsidR="007718EC" w:rsidRPr="0092670C">
        <w:rPr>
          <w:rFonts w:ascii="Arial" w:hAnsi="Arial" w:cs="Arial"/>
        </w:rPr>
        <w:t>the pre-lithiation time and the electrolyte employed can</w:t>
      </w:r>
      <w:r w:rsidR="006832E2" w:rsidRPr="0092670C">
        <w:rPr>
          <w:rFonts w:ascii="Arial" w:hAnsi="Arial" w:cs="Arial"/>
        </w:rPr>
        <w:t xml:space="preserve"> affect the SEI and its effect of the</w:t>
      </w:r>
      <w:r w:rsidR="009D4789" w:rsidRPr="0092670C">
        <w:rPr>
          <w:rFonts w:ascii="Arial" w:hAnsi="Arial" w:cs="Arial"/>
        </w:rPr>
        <w:t xml:space="preserve"> capacity retention of the anode. </w:t>
      </w:r>
      <w:r w:rsidR="007718EC" w:rsidRPr="0092670C">
        <w:rPr>
          <w:rFonts w:ascii="Arial" w:hAnsi="Arial" w:cs="Arial"/>
        </w:rPr>
        <w:t xml:space="preserve"> </w:t>
      </w:r>
      <w:r w:rsidR="000E6678" w:rsidRPr="0092670C">
        <w:rPr>
          <w:rFonts w:ascii="Arial" w:hAnsi="Arial" w:cs="Arial"/>
        </w:rPr>
        <w:br w:type="page"/>
      </w:r>
    </w:p>
    <w:p w14:paraId="5940063A" w14:textId="77777777" w:rsidR="00E336EA" w:rsidRPr="0092670C" w:rsidRDefault="00E336EA" w:rsidP="00F80BDA">
      <w:pPr>
        <w:pStyle w:val="Heading2"/>
        <w:rPr>
          <w:rFonts w:ascii="Arial" w:hAnsi="Arial" w:cs="Arial"/>
          <w:sz w:val="32"/>
          <w:szCs w:val="32"/>
        </w:rPr>
      </w:pPr>
      <w:bookmarkStart w:id="131" w:name="_Toc8747363"/>
      <w:bookmarkStart w:id="132" w:name="_Toc82538754"/>
      <w:r w:rsidRPr="0092670C">
        <w:rPr>
          <w:rFonts w:ascii="Arial" w:hAnsi="Arial" w:cs="Arial"/>
        </w:rPr>
        <w:t>Introduction</w:t>
      </w:r>
      <w:bookmarkEnd w:id="131"/>
      <w:bookmarkEnd w:id="132"/>
    </w:p>
    <w:p w14:paraId="083BC739" w14:textId="45357289" w:rsidR="00E336EA" w:rsidRPr="0092670C" w:rsidRDefault="00E336EA" w:rsidP="00E336EA">
      <w:pPr>
        <w:spacing w:line="360" w:lineRule="auto"/>
        <w:jc w:val="both"/>
        <w:rPr>
          <w:rFonts w:ascii="Arial" w:hAnsi="Arial" w:cs="Arial"/>
        </w:rPr>
      </w:pPr>
      <w:r w:rsidRPr="0092670C">
        <w:rPr>
          <w:rFonts w:ascii="Arial" w:hAnsi="Arial" w:cs="Arial"/>
        </w:rPr>
        <w:t>There are two main anode materials used in li-ion cells: graphite and silicon. Li can’t be used as an anode by itself as there is a real risk of dendrite formation on the anode</w:t>
      </w:r>
      <w:r w:rsidR="00CC5F1F" w:rsidRPr="0092670C">
        <w:rPr>
          <w:rFonts w:ascii="Arial" w:hAnsi="Arial" w:cs="Arial"/>
        </w:rPr>
        <w:t xml:space="preserve"> </w:t>
      </w:r>
      <w:r w:rsidR="00AB64A8" w:rsidRPr="0092670C">
        <w:rPr>
          <w:rFonts w:ascii="Arial" w:hAnsi="Arial" w:cs="Arial"/>
        </w:rPr>
        <w:fldChar w:fldCharType="begin"/>
      </w:r>
      <w:r w:rsidR="0034337D">
        <w:rPr>
          <w:rFonts w:ascii="Arial" w:hAnsi="Arial" w:cs="Arial"/>
        </w:rPr>
        <w:instrText xml:space="preserve"> ADDIN EN.CITE &lt;EndNote&gt;&lt;Cite&gt;&lt;Author&gt;Xu&lt;/Author&gt;&lt;Year&gt;2014&lt;/Year&gt;&lt;RecNum&gt;356&lt;/RecNum&gt;&lt;DisplayText&gt;[216]&lt;/DisplayText&gt;&lt;record&gt;&lt;rec-number&gt;356&lt;/rec-number&gt;&lt;foreign-keys&gt;&lt;key app="EN" db-id="5sa9s0e0r0d9fnexra7pr5xdwd5ztevx95s2" timestamp="1575391957"&gt;356&lt;/key&gt;&lt;/foreign-keys&gt;&lt;ref-type name="Journal Article"&gt;17&lt;/ref-type&gt;&lt;contributors&gt;&lt;authors&gt;&lt;author&gt;Xu, Wu&lt;/author&gt;&lt;author&gt;Wang, Jiulin&lt;/author&gt;&lt;author&gt;Ding, Fei&lt;/author&gt;&lt;author&gt;Chen, Xilin&lt;/author&gt;&lt;author&gt;Nasybulin, Eduard&lt;/author&gt;&lt;author&gt;Zhang, Yaohui&lt;/author&gt;&lt;author&gt;Zhang, Ji-Guang&lt;/author&gt;&lt;/authors&gt;&lt;/contributors&gt;&lt;titles&gt;&lt;title&gt;Lithium metal anodes for rechargeable batteries&lt;/title&gt;&lt;secondary-title&gt;Energy Environ. Sci.&lt;/secondary-title&gt;&lt;/titles&gt;&lt;periodical&gt;&lt;full-title&gt;Energy Environ. Sci.&lt;/full-title&gt;&lt;/periodical&gt;&lt;pages&gt;513-537&lt;/pages&gt;&lt;volume&gt;7&lt;/volume&gt;&lt;number&gt;2&lt;/number&gt;&lt;dates&gt;&lt;year&gt;2014&lt;/year&gt;&lt;/dates&gt;&lt;publisher&gt;Royal Society of Chemistry (RSC)&lt;/publisher&gt;&lt;isbn&gt;1754-5692&lt;/isbn&gt;&lt;urls&gt;&lt;related-urls&gt;&lt;url&gt;https://dx.doi.org/10.1039/C3EE40795K&lt;/url&gt;&lt;/related-urls&gt;&lt;pdf-urls&gt;&lt;url&gt;file://C:\Users\danie\Downloads\kopernio\Xu-2014-Lithium-metal-anodes-for-rechargeab.pdf&lt;/url&gt;&lt;/pdf-urls&gt;&lt;/urls&gt;&lt;electronic-resource-num&gt;10.1039/c3ee40795k&lt;/electronic-resource-num&gt;&lt;/record&gt;&lt;/Cite&gt;&lt;/EndNote&gt;</w:instrText>
      </w:r>
      <w:r w:rsidR="00AB64A8" w:rsidRPr="0092670C">
        <w:rPr>
          <w:rFonts w:ascii="Arial" w:hAnsi="Arial" w:cs="Arial"/>
        </w:rPr>
        <w:fldChar w:fldCharType="separate"/>
      </w:r>
      <w:r w:rsidR="0034337D">
        <w:rPr>
          <w:rFonts w:ascii="Arial" w:hAnsi="Arial" w:cs="Arial"/>
          <w:noProof/>
        </w:rPr>
        <w:t>[216]</w:t>
      </w:r>
      <w:r w:rsidR="00AB64A8" w:rsidRPr="0092670C">
        <w:rPr>
          <w:rFonts w:ascii="Arial" w:hAnsi="Arial" w:cs="Arial"/>
        </w:rPr>
        <w:fldChar w:fldCharType="end"/>
      </w:r>
      <w:r w:rsidRPr="0092670C">
        <w:rPr>
          <w:rFonts w:ascii="Arial" w:hAnsi="Arial" w:cs="Arial"/>
        </w:rPr>
        <w:t>. These dendrites can grow to such an extent that it pierces the separator and touches the cathode. This is a s</w:t>
      </w:r>
      <w:r w:rsidR="00412563" w:rsidRPr="0092670C">
        <w:rPr>
          <w:rFonts w:ascii="Arial" w:hAnsi="Arial" w:cs="Arial"/>
        </w:rPr>
        <w:t>h</w:t>
      </w:r>
      <w:r w:rsidRPr="0092670C">
        <w:rPr>
          <w:rFonts w:ascii="Arial" w:hAnsi="Arial" w:cs="Arial"/>
        </w:rPr>
        <w:t xml:space="preserve">ort circuit and leads to a process known as thermal runaway. Thermal runaway is such an issue that Li-anodes can’t be used reliably for more than 100 cycles. This leaves behind the two main anode materials used in </w:t>
      </w:r>
      <w:r w:rsidR="0057638E">
        <w:rPr>
          <w:rFonts w:ascii="Arial" w:hAnsi="Arial" w:cs="Arial"/>
        </w:rPr>
        <w:t>commercial</w:t>
      </w:r>
      <w:r w:rsidRPr="0092670C">
        <w:rPr>
          <w:rFonts w:ascii="Arial" w:hAnsi="Arial" w:cs="Arial"/>
        </w:rPr>
        <w:t xml:space="preserve"> cells: graphite and silicon. Graphite is ubiquitous in commercial cells although it suffers from a significantly lower capacity than Si</w:t>
      </w:r>
      <w:r w:rsidR="00CC5F1F" w:rsidRPr="0092670C">
        <w:rPr>
          <w:rFonts w:ascii="Arial" w:hAnsi="Arial" w:cs="Arial"/>
        </w:rPr>
        <w:t xml:space="preserve"> </w:t>
      </w:r>
      <w:r w:rsidR="00B86DEE" w:rsidRPr="0092670C">
        <w:rPr>
          <w:rFonts w:ascii="Arial" w:hAnsi="Arial" w:cs="Arial"/>
        </w:rPr>
        <w:fldChar w:fldCharType="begin"/>
      </w:r>
      <w:r w:rsidR="0034337D">
        <w:rPr>
          <w:rFonts w:ascii="Arial" w:hAnsi="Arial" w:cs="Arial"/>
        </w:rPr>
        <w:instrText xml:space="preserve"> ADDIN EN.CITE &lt;EndNote&gt;&lt;Cite&gt;&lt;Author&gt;Aurbach&lt;/Author&gt;&lt;Year&gt;1996&lt;/Year&gt;&lt;RecNum&gt;77&lt;/RecNum&gt;&lt;DisplayText&gt;[217]&lt;/DisplayText&gt;&lt;record&gt;&lt;rec-number&gt;77&lt;/rec-number&gt;&lt;foreign-keys&gt;&lt;key app="EN" db-id="5sa9s0e0r0d9fnexra7pr5xdwd5ztevx95s2" timestamp="1516112056"&gt;77&lt;/key&gt;&lt;/foreign-keys&gt;&lt;ref-type name="Journal Article"&gt;17&lt;/ref-type&gt;&lt;contributors&gt;&lt;authors&gt;&lt;author&gt;Aurbach, D.&lt;/author&gt;&lt;author&gt;Markovsky, B.&lt;/author&gt;&lt;author&gt;Shechter, A.&lt;/author&gt;&lt;author&gt;Ein</w:instrText>
      </w:r>
      <w:r w:rsidR="0034337D">
        <w:rPr>
          <w:rFonts w:ascii="Cambria Math" w:hAnsi="Cambria Math" w:cs="Cambria Math"/>
        </w:rPr>
        <w:instrText>‐</w:instrText>
      </w:r>
      <w:r w:rsidR="0034337D">
        <w:rPr>
          <w:rFonts w:ascii="Arial" w:hAnsi="Arial" w:cs="Arial"/>
        </w:rPr>
        <w:instrText>Eli, Y.&lt;/author&gt;&lt;author&gt;Cohen, H.&lt;/author&gt;&lt;/authors&gt;&lt;/contributors&gt;&lt;titles&gt;&lt;title&gt;A Comparative Study of Synthetic Graphite and Li Electrodes in Electrolyte Solutions Based on Ethylene Carbonate</w:instrText>
      </w:r>
      <w:r w:rsidR="0034337D">
        <w:rPr>
          <w:rFonts w:ascii="Cambria Math" w:hAnsi="Cambria Math" w:cs="Cambria Math"/>
        </w:rPr>
        <w:instrText>‐</w:instrText>
      </w:r>
      <w:r w:rsidR="0034337D">
        <w:rPr>
          <w:rFonts w:ascii="Arial" w:hAnsi="Arial" w:cs="Arial"/>
        </w:rPr>
        <w:instrText>Dimethyl Carbonate Mixtures&lt;/title&gt;&lt;secondary-title&gt;Journal of The Electrochemical Society&lt;/secondary-title&gt;&lt;/titles&gt;&lt;periodical&gt;&lt;full-title&gt;Journal of the Electrochemical Society&lt;/full-title&gt;&lt;abbr-1&gt;J. Electrochem. Soc.&lt;/abbr-1&gt;&lt;/periodical&gt;&lt;pages&gt;3809-3820&lt;/pages&gt;&lt;volume&gt;143&lt;/volume&gt;&lt;number&gt;12&lt;/number&gt;&lt;dates&gt;&lt;year&gt;1996&lt;/year&gt;&lt;pub-dates&gt;&lt;date&gt;December 1, 1996&lt;/date&gt;&lt;/pub-dates&gt;&lt;/dates&gt;&lt;urls&gt;&lt;related-urls&gt;&lt;url&gt;http://jes.ecsdl.org/content/143/12/3809.abstract&lt;/url&gt;&lt;/related-urls&gt;&lt;/urls&gt;&lt;electronic-resource-num&gt;10.1149/1.1837300&lt;/electronic-resource-num&gt;&lt;/record&gt;&lt;/Cite&gt;&lt;/EndNote&gt;</w:instrText>
      </w:r>
      <w:r w:rsidR="00B86DEE" w:rsidRPr="0092670C">
        <w:rPr>
          <w:rFonts w:ascii="Arial" w:hAnsi="Arial" w:cs="Arial"/>
        </w:rPr>
        <w:fldChar w:fldCharType="separate"/>
      </w:r>
      <w:r w:rsidR="0034337D">
        <w:rPr>
          <w:rFonts w:ascii="Arial" w:hAnsi="Arial" w:cs="Arial"/>
          <w:noProof/>
        </w:rPr>
        <w:t>[217]</w:t>
      </w:r>
      <w:r w:rsidR="00B86DEE" w:rsidRPr="0092670C">
        <w:rPr>
          <w:rFonts w:ascii="Arial" w:hAnsi="Arial" w:cs="Arial"/>
        </w:rPr>
        <w:fldChar w:fldCharType="end"/>
      </w:r>
      <w:r w:rsidRPr="0092670C">
        <w:rPr>
          <w:rFonts w:ascii="Arial" w:hAnsi="Arial" w:cs="Arial"/>
        </w:rPr>
        <w:t>. Graphite has become popular due to its low potential Vs. Li/Li</w:t>
      </w:r>
      <w:r w:rsidRPr="0092670C">
        <w:rPr>
          <w:rFonts w:ascii="Arial" w:hAnsi="Arial" w:cs="Arial"/>
          <w:vertAlign w:val="superscript"/>
        </w:rPr>
        <w:t>+</w:t>
      </w:r>
      <w:r w:rsidRPr="0092670C">
        <w:rPr>
          <w:rFonts w:ascii="Arial" w:hAnsi="Arial" w:cs="Arial"/>
        </w:rPr>
        <w:t xml:space="preserve"> and it’s stable SEI that gives it high cyclability. In industry the SEI is formed in cells using a process known as formation cycling</w:t>
      </w:r>
      <w:r w:rsidR="00CC5F1F" w:rsidRPr="0092670C">
        <w:rPr>
          <w:rFonts w:ascii="Arial" w:hAnsi="Arial" w:cs="Arial"/>
        </w:rPr>
        <w:t xml:space="preserve"> </w:t>
      </w:r>
      <w:r w:rsidRPr="0092670C">
        <w:rPr>
          <w:rFonts w:ascii="Arial" w:hAnsi="Arial" w:cs="Arial"/>
        </w:rPr>
        <w:fldChar w:fldCharType="begin">
          <w:fldData xml:space="preserve">PEVuZE5vdGU+PENpdGU+PEF1dGhvcj5BbjwvQXV0aG9yPjxZZWFyPjIwMTY8L1llYXI+PFJlY051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</w:fldData>
        </w:fldChar>
      </w:r>
      <w:r w:rsidR="004F0EC3">
        <w:rPr>
          <w:rFonts w:ascii="Arial" w:hAnsi="Arial" w:cs="Arial"/>
        </w:rPr>
        <w:instrText xml:space="preserve"> ADDIN EN.CITE </w:instrText>
      </w:r>
      <w:r w:rsidR="004F0EC3">
        <w:rPr>
          <w:rFonts w:ascii="Arial" w:hAnsi="Arial" w:cs="Arial"/>
        </w:rPr>
        <w:fldChar w:fldCharType="begin">
          <w:fldData xml:space="preserve">PEVuZE5vdGU+PENpdGU+PEF1dGhvcj5BbjwvQXV0aG9yPjxZZWFyPjIwMTY8L1llYXI+PFJlY051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</w:fldData>
        </w:fldChar>
      </w:r>
      <w:r w:rsidR="004F0EC3">
        <w:rPr>
          <w:rFonts w:ascii="Arial" w:hAnsi="Arial" w:cs="Arial"/>
        </w:rPr>
        <w:instrText xml:space="preserve"> ADDIN EN.CITE.DATA </w:instrText>
      </w:r>
      <w:r w:rsidR="004F0EC3">
        <w:rPr>
          <w:rFonts w:ascii="Arial" w:hAnsi="Arial" w:cs="Arial"/>
        </w:rPr>
      </w:r>
      <w:r w:rsidR="004F0EC3">
        <w:rPr>
          <w:rFonts w:ascii="Arial" w:hAnsi="Arial" w:cs="Arial"/>
        </w:rPr>
        <w:fldChar w:fldCharType="end"/>
      </w:r>
      <w:r w:rsidRPr="0092670C">
        <w:rPr>
          <w:rFonts w:ascii="Arial" w:hAnsi="Arial" w:cs="Arial"/>
        </w:rPr>
      </w:r>
      <w:r w:rsidRPr="0092670C">
        <w:rPr>
          <w:rFonts w:ascii="Arial" w:hAnsi="Arial" w:cs="Arial"/>
        </w:rPr>
        <w:fldChar w:fldCharType="separate"/>
      </w:r>
      <w:r w:rsidR="004F0EC3">
        <w:rPr>
          <w:rFonts w:ascii="Arial" w:hAnsi="Arial" w:cs="Arial"/>
          <w:noProof/>
        </w:rPr>
        <w:t>[2, 21]</w:t>
      </w:r>
      <w:r w:rsidRPr="0092670C">
        <w:rPr>
          <w:rFonts w:ascii="Arial" w:hAnsi="Arial" w:cs="Arial"/>
        </w:rPr>
        <w:fldChar w:fldCharType="end"/>
      </w:r>
      <w:r w:rsidRPr="0092670C">
        <w:rPr>
          <w:rFonts w:ascii="Arial" w:hAnsi="Arial" w:cs="Arial"/>
        </w:rPr>
        <w:t>. This formation cycling step is one of the most expensive stages of battery production</w:t>
      </w:r>
      <w:r w:rsidR="00CC5F1F"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&lt;EndNote&gt;&lt;Cite&gt;&lt;Author&gt;Wood&lt;/Author&gt;&lt;Year&gt;2015&lt;/Year&gt;&lt;RecNum&gt;167&lt;/RecNum&gt;&lt;DisplayText&gt;[101]&lt;/DisplayText&gt;&lt;record&gt;&lt;rec-number&gt;167&lt;/rec-number&gt;&lt;foreign-keys&gt;&lt;key app="EN" db-id="5sa9s0e0r0d9fnexra7pr5xdwd5ztevx95s2" timestamp="1550165465"&gt;167&lt;/key&gt;&lt;/foreign-keys&gt;&lt;ref-type name="Journal Article"&gt;17&lt;/ref-type&gt;&lt;contributors&gt;&lt;authors&gt;&lt;author&gt;Wood, David L.&lt;/author&gt;&lt;author&gt;Li, Jianlin&lt;/author&gt;&lt;author&gt;Daniel, Claus&lt;/author&gt;&lt;/authors&gt;&lt;/contributors&gt;&lt;titles&gt;&lt;title&gt;Prospects for reducing the processing cost of lithium ion batteries&lt;/title&gt;&lt;secondary-title&gt;Journal of Power Sources&lt;/secondary-title&gt;&lt;/titles&gt;&lt;periodical&gt;&lt;full-title&gt;Journal of Power Sources&lt;/full-title&gt;&lt;/periodical&gt;&lt;pages&gt;234-242&lt;/pages&gt;&lt;volume&gt;275&lt;/volume&gt;&lt;keywords&gt;&lt;keyword&gt;Lithium-ion battery&lt;/keyword&gt;&lt;keyword&gt;Cost reduction study&lt;/keyword&gt;&lt;keyword&gt;Electrode processing&lt;/keyword&gt;&lt;keyword&gt;Aqueous colloidal chemistry&lt;/keyword&gt;&lt;keyword&gt;Thick electrodes&lt;/keyword&gt;&lt;keyword&gt;Formation cycle&lt;/keyword&gt;&lt;/keywords&gt;&lt;dates&gt;&lt;year&gt;2015&lt;/year&gt;&lt;pub-dates&gt;&lt;date&gt;2015/02/01/&lt;/date&gt;&lt;/pub-dates&gt;&lt;/dates&gt;&lt;isbn&gt;0378-7753&lt;/isbn&gt;&lt;urls&gt;&lt;related-urls&gt;&lt;url&gt;http://www.sciencedirect.com/science/article/pii/S037877531401845X&lt;/url&gt;&lt;/related-urls&gt;&lt;/urls&gt;&lt;electronic-resource-num&gt;https://doi.org/10.1016/j.jpowsour.2014.11.019&lt;/electronic-resource-num&gt;&lt;/record&gt;&lt;/Cite&gt;&lt;/EndNote&gt;</w:instrText>
      </w:r>
      <w:r w:rsidRPr="0092670C">
        <w:rPr>
          <w:rFonts w:ascii="Arial" w:hAnsi="Arial" w:cs="Arial"/>
        </w:rPr>
        <w:fldChar w:fldCharType="separate"/>
      </w:r>
      <w:r w:rsidR="0034337D">
        <w:rPr>
          <w:rFonts w:ascii="Arial" w:hAnsi="Arial" w:cs="Arial"/>
          <w:noProof/>
        </w:rPr>
        <w:t>[101]</w:t>
      </w:r>
      <w:r w:rsidRPr="0092670C">
        <w:rPr>
          <w:rFonts w:ascii="Arial" w:hAnsi="Arial" w:cs="Arial"/>
        </w:rPr>
        <w:fldChar w:fldCharType="end"/>
      </w:r>
      <w:r w:rsidRPr="0092670C">
        <w:rPr>
          <w:rFonts w:ascii="Arial" w:hAnsi="Arial" w:cs="Arial"/>
        </w:rPr>
        <w:t xml:space="preserve">. This makes it vital to </w:t>
      </w:r>
      <w:r w:rsidR="00FF4569" w:rsidRPr="0092670C">
        <w:rPr>
          <w:rFonts w:ascii="Arial" w:hAnsi="Arial" w:cs="Arial"/>
        </w:rPr>
        <w:t xml:space="preserve">develop </w:t>
      </w:r>
      <w:r w:rsidR="00623902" w:rsidRPr="0092670C">
        <w:rPr>
          <w:rFonts w:ascii="Arial" w:hAnsi="Arial" w:cs="Arial"/>
        </w:rPr>
        <w:t xml:space="preserve">novel formation strategies </w:t>
      </w:r>
      <w:r w:rsidR="00B9231F" w:rsidRPr="0092670C">
        <w:rPr>
          <w:rFonts w:ascii="Arial" w:hAnsi="Arial" w:cs="Arial"/>
        </w:rPr>
        <w:t xml:space="preserve">to </w:t>
      </w:r>
      <w:r w:rsidR="00344B9A" w:rsidRPr="0092670C">
        <w:rPr>
          <w:rFonts w:ascii="Arial" w:hAnsi="Arial" w:cs="Arial"/>
        </w:rPr>
        <w:t xml:space="preserve">lower costs and improve coulombic efficiency. </w:t>
      </w:r>
    </w:p>
    <w:p w14:paraId="78569B9D" w14:textId="76E1760C" w:rsidR="00E336EA" w:rsidRPr="0092670C" w:rsidRDefault="00E336EA" w:rsidP="00E336EA">
      <w:pPr>
        <w:spacing w:line="360" w:lineRule="auto"/>
        <w:jc w:val="both"/>
        <w:rPr>
          <w:rFonts w:ascii="Arial" w:hAnsi="Arial" w:cs="Arial"/>
        </w:rPr>
      </w:pPr>
      <w:r w:rsidRPr="0092670C">
        <w:rPr>
          <w:rFonts w:ascii="Arial" w:hAnsi="Arial" w:cs="Arial"/>
        </w:rPr>
        <w:t>One option for forming the SEI is pre-lithiation. Anodes have two main pre-lithiation options</w:t>
      </w:r>
      <w:r w:rsidR="00CC5F1F" w:rsidRPr="0092670C">
        <w:rPr>
          <w:rFonts w:ascii="Arial" w:hAnsi="Arial" w:cs="Arial"/>
        </w:rPr>
        <w:t xml:space="preserve"> </w:t>
      </w:r>
      <w:r w:rsidR="00C76B50" w:rsidRPr="0092670C">
        <w:rPr>
          <w:rFonts w:ascii="Arial" w:hAnsi="Arial" w:cs="Arial"/>
        </w:rPr>
        <w:fldChar w:fldCharType="begin"/>
      </w:r>
      <w:r w:rsidR="0034337D">
        <w:rPr>
          <w:rFonts w:ascii="Arial" w:hAnsi="Arial" w:cs="Arial"/>
        </w:rPr>
        <w:instrText xml:space="preserve"> ADDIN EN.CITE &lt;EndNote&gt;&lt;Cite&gt;&lt;Author&gt;Holtstiege&lt;/Author&gt;&lt;Year&gt;2018&lt;/Year&gt;&lt;RecNum&gt;147&lt;/RecNum&gt;&lt;DisplayText&gt;[118]&lt;/DisplayText&gt;&lt;record&gt;&lt;rec-number&gt;147&lt;/rec-number&gt;&lt;foreign-keys&gt;&lt;key app="EN" db-id="5sa9s0e0r0d9fnexra7pr5xdwd5ztevx95s2" timestamp="1536589820"&gt;147&lt;/key&gt;&lt;/foreign-keys&gt;&lt;ref-type name="Journal Article"&gt;17&lt;/ref-type&gt;&lt;contributors&gt;&lt;authors&gt;&lt;author&gt;Holtstiege, Florian&lt;/author&gt;&lt;author&gt;Bärmann, Peer&lt;/author&gt;&lt;author&gt;Nölle, Roman&lt;/author&gt;&lt;author&gt;Winter, Martin&lt;/author&gt;&lt;author&gt;Placke, Tobias&lt;/author&gt;&lt;/authors&gt;&lt;/contributors&gt;&lt;titles&gt;&lt;title&gt;Pre-Lithiation Strategies for Rechargeable Energy Storage Technologies: Concepts, Promises and Challenges&lt;/title&gt;&lt;secondary-title&gt;Batteries&lt;/secondary-title&gt;&lt;/titles&gt;&lt;periodical&gt;&lt;full-title&gt;Batteries&lt;/full-title&gt;&lt;/periodical&gt;&lt;pages&gt;4&lt;/pages&gt;&lt;volume&gt;4&lt;/volume&gt;&lt;number&gt;1&lt;/number&gt;&lt;dates&gt;&lt;year&gt;2018&lt;/year&gt;&lt;/dates&gt;&lt;isbn&gt;2313-0105&lt;/isbn&gt;&lt;accession-num&gt;doi:10.3390/batteries4010004&lt;/accession-num&gt;&lt;urls&gt;&lt;related-urls&gt;&lt;url&gt;http://www.mdpi.com/2313-0105/4/1/4&lt;/url&gt;&lt;/related-urls&gt;&lt;/urls&gt;&lt;/record&gt;&lt;/Cite&gt;&lt;/EndNote&gt;</w:instrText>
      </w:r>
      <w:r w:rsidR="00C76B50" w:rsidRPr="0092670C">
        <w:rPr>
          <w:rFonts w:ascii="Arial" w:hAnsi="Arial" w:cs="Arial"/>
        </w:rPr>
        <w:fldChar w:fldCharType="separate"/>
      </w:r>
      <w:r w:rsidR="0034337D">
        <w:rPr>
          <w:rFonts w:ascii="Arial" w:hAnsi="Arial" w:cs="Arial"/>
          <w:noProof/>
        </w:rPr>
        <w:t>[118]</w:t>
      </w:r>
      <w:r w:rsidR="00C76B50" w:rsidRPr="0092670C">
        <w:rPr>
          <w:rFonts w:ascii="Arial" w:hAnsi="Arial" w:cs="Arial"/>
        </w:rPr>
        <w:fldChar w:fldCharType="end"/>
      </w:r>
      <w:r w:rsidRPr="0092670C">
        <w:rPr>
          <w:rFonts w:ascii="Arial" w:hAnsi="Arial" w:cs="Arial"/>
        </w:rPr>
        <w:t>. There is the mechanical method where the anode and lithium are physically placed together and the electrochemical method where the anode is partially cycled. Both of these techniques have a number of advantages and disadvantages. The differences between the two techniques are discussed in detail further on.</w:t>
      </w:r>
    </w:p>
    <w:p w14:paraId="2D9CC1EF" w14:textId="77777777" w:rsidR="00E336EA" w:rsidRPr="0092670C" w:rsidRDefault="00E336EA" w:rsidP="00BC7C37">
      <w:pPr>
        <w:pStyle w:val="Heading2"/>
        <w:rPr>
          <w:rFonts w:ascii="Arial" w:hAnsi="Arial" w:cs="Arial"/>
          <w:sz w:val="32"/>
          <w:szCs w:val="32"/>
        </w:rPr>
      </w:pPr>
      <w:bookmarkStart w:id="133" w:name="_Toc8747364"/>
      <w:bookmarkStart w:id="134" w:name="_Toc82538755"/>
      <w:r w:rsidRPr="0092670C">
        <w:rPr>
          <w:rFonts w:ascii="Arial" w:hAnsi="Arial" w:cs="Arial"/>
          <w:sz w:val="32"/>
          <w:szCs w:val="32"/>
        </w:rPr>
        <w:t>The effects of electrolyte additives on pre-lithiation</w:t>
      </w:r>
      <w:bookmarkEnd w:id="133"/>
      <w:bookmarkEnd w:id="134"/>
    </w:p>
    <w:p w14:paraId="71C8B6E0" w14:textId="17FCBB85" w:rsidR="00E336EA" w:rsidRPr="0092670C" w:rsidRDefault="00E336EA" w:rsidP="00E336EA">
      <w:pPr>
        <w:keepNext/>
        <w:spacing w:line="360" w:lineRule="auto"/>
        <w:jc w:val="both"/>
        <w:rPr>
          <w:rFonts w:ascii="Arial" w:hAnsi="Arial" w:cs="Arial"/>
        </w:rPr>
      </w:pPr>
      <w:r w:rsidRPr="0092670C">
        <w:rPr>
          <w:rFonts w:ascii="Arial" w:hAnsi="Arial" w:cs="Arial"/>
        </w:rPr>
        <w:t xml:space="preserve">We have seen that the traditional </w:t>
      </w:r>
      <w:r w:rsidR="00E97AF2" w:rsidRPr="0092670C">
        <w:rPr>
          <w:rFonts w:ascii="Arial" w:hAnsi="Arial" w:cs="Arial"/>
        </w:rPr>
        <w:t>carbonate-based</w:t>
      </w:r>
      <w:r w:rsidRPr="0092670C">
        <w:rPr>
          <w:rFonts w:ascii="Arial" w:hAnsi="Arial" w:cs="Arial"/>
        </w:rPr>
        <w:t xml:space="preserve"> electrolytes are inadequate for</w:t>
      </w:r>
      <w:r w:rsidR="007F6C1B" w:rsidRPr="0092670C">
        <w:rPr>
          <w:rFonts w:ascii="Arial" w:hAnsi="Arial" w:cs="Arial"/>
        </w:rPr>
        <w:t xml:space="preserve"> long term</w:t>
      </w:r>
      <w:r w:rsidRPr="0092670C">
        <w:rPr>
          <w:rFonts w:ascii="Arial" w:hAnsi="Arial" w:cs="Arial"/>
        </w:rPr>
        <w:t xml:space="preserve"> cell cycling, due to poor SEI formation. Additives are often used to increase the performance of Li-ion cells and there are a number available</w:t>
      </w:r>
      <w:r w:rsidR="00CC5F1F"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&lt;EndNote&gt;&lt;Cite&gt;&lt;Author&gt;Zhang&lt;/Author&gt;&lt;Year&gt;2006&lt;/Year&gt;&lt;RecNum&gt;49&lt;/RecNum&gt;&lt;DisplayText&gt;[73]&lt;/DisplayText&gt;&lt;record&gt;&lt;rec-number&gt;49&lt;/rec-number&gt;&lt;foreign-keys&gt;&lt;key app="EN" db-id="5sa9s0e0r0d9fnexra7pr5xdwd5ztevx95s2" timestamp="1512656278"&gt;49&lt;/key&gt;&lt;/foreign-keys&gt;&lt;ref-type name="Journal Article"&gt;17&lt;/ref-type&gt;&lt;contributors&gt;&lt;authors&gt;&lt;author&gt;Zhang, Sheng Shui&lt;/author&gt;&lt;/authors&gt;&lt;/contributors&gt;&lt;titles&gt;&lt;title&gt;A review on electrolyte additives for lithium-ion batteries&lt;/title&gt;&lt;secondary-title&gt;Journal of Power Sources&lt;/secondary-title&gt;&lt;/titles&gt;&lt;periodical&gt;&lt;full-title&gt;Journal of Power Sources&lt;/full-title&gt;&lt;/periodical&gt;&lt;pages&gt;1379-1394&lt;/pages&gt;&lt;volume&gt;162&lt;/volume&gt;&lt;number&gt;2&lt;/number&gt;&lt;keywords&gt;&lt;keyword&gt;Electrolyte&lt;/keyword&gt;&lt;keyword&gt;Additive&lt;/keyword&gt;&lt;keyword&gt;Solid electrolyte interface&lt;/keyword&gt;&lt;keyword&gt;Overcharge&lt;/keyword&gt;&lt;keyword&gt;Li-ion battery&lt;/keyword&gt;&lt;/keywords&gt;&lt;dates&gt;&lt;year&gt;2006&lt;/year&gt;&lt;pub-dates&gt;&lt;date&gt;2006/11/22/&lt;/date&gt;&lt;/pub-dates&gt;&lt;/dates&gt;&lt;isbn&gt;0378-7753&lt;/isbn&gt;&lt;urls&gt;&lt;related-urls&gt;&lt;url&gt;http://www.sciencedirect.com/science/article/pii/S0378775306017538&lt;/url&gt;&lt;/related-urls&gt;&lt;/urls&gt;&lt;electronic-resource-num&gt;https://doi.org/10.1016/j.jpowsour.2006.07.074&lt;/electronic-resource-num&gt;&lt;/record&gt;&lt;/Cite&gt;&lt;/EndNote&gt;</w:instrText>
      </w:r>
      <w:r w:rsidRPr="0092670C">
        <w:rPr>
          <w:rFonts w:ascii="Arial" w:hAnsi="Arial" w:cs="Arial"/>
        </w:rPr>
        <w:fldChar w:fldCharType="separate"/>
      </w:r>
      <w:r w:rsidR="00C10A8D">
        <w:rPr>
          <w:rFonts w:ascii="Arial" w:hAnsi="Arial" w:cs="Arial"/>
          <w:noProof/>
        </w:rPr>
        <w:t>[73]</w:t>
      </w:r>
      <w:r w:rsidRPr="0092670C">
        <w:rPr>
          <w:rFonts w:ascii="Arial" w:hAnsi="Arial" w:cs="Arial"/>
        </w:rPr>
        <w:fldChar w:fldCharType="end"/>
      </w:r>
      <w:r w:rsidRPr="0092670C">
        <w:rPr>
          <w:rFonts w:ascii="Arial" w:hAnsi="Arial" w:cs="Arial"/>
        </w:rPr>
        <w:t xml:space="preserve">. These are wide ranging and are used to improve many facets of LIB performance including performance and environmental performance such as increasing the temperature range. One of the most common is </w:t>
      </w:r>
      <w:r w:rsidR="00E826B1">
        <w:rPr>
          <w:rFonts w:ascii="Arial" w:hAnsi="Arial" w:cs="Arial"/>
        </w:rPr>
        <w:t>f</w:t>
      </w:r>
      <w:r w:rsidRPr="0092670C">
        <w:rPr>
          <w:rFonts w:ascii="Arial" w:hAnsi="Arial" w:cs="Arial"/>
        </w:rPr>
        <w:t>luoroethylene carbonate (FEC), which is known to improve capacity</w:t>
      </w:r>
      <w:r w:rsidR="00CC5F1F" w:rsidRPr="0092670C">
        <w:rPr>
          <w:rFonts w:ascii="Arial" w:hAnsi="Arial" w:cs="Arial"/>
        </w:rPr>
        <w:t xml:space="preserve"> </w:t>
      </w:r>
      <w:r w:rsidRPr="0092670C">
        <w:rPr>
          <w:rFonts w:ascii="Arial" w:hAnsi="Arial" w:cs="Arial"/>
        </w:rPr>
        <w:fldChar w:fldCharType="begin">
          <w:fldData xml:space="preserve">PEVuZE5vdGU+PENpdGU+PEF1dGhvcj5NYXJrZXZpY2g8L0F1dGhvcj48WWVhcj4yMDE3PC9ZZWFy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PEVuZE5vdGU+PENpdGU+PEF1dGhvcj5NYXJrZXZpY2g8L0F1dGhvcj48WWVhcj4yMDE3PC9ZZWFy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[80]</w:t>
      </w:r>
      <w:r w:rsidRPr="0092670C">
        <w:rPr>
          <w:rFonts w:ascii="Arial" w:hAnsi="Arial" w:cs="Arial"/>
        </w:rPr>
        <w:fldChar w:fldCharType="end"/>
      </w:r>
      <w:r w:rsidRPr="0092670C">
        <w:rPr>
          <w:rFonts w:ascii="Arial" w:hAnsi="Arial" w:cs="Arial"/>
        </w:rPr>
        <w:t>. FEC does this by having a higher breakdown voltage that leads to the formation of several SEI components including LiF</w:t>
      </w:r>
      <w:r w:rsidR="00BC2124" w:rsidRPr="0092670C">
        <w:rPr>
          <w:rFonts w:ascii="Arial" w:hAnsi="Arial" w:cs="Arial"/>
        </w:rPr>
        <w:t xml:space="preserve">, with the mechanistic scheme highlighted in </w:t>
      </w:r>
      <w:r w:rsidR="00BC2124" w:rsidRPr="00A62B46">
        <w:rPr>
          <w:rFonts w:ascii="Arial" w:hAnsi="Arial" w:cs="Arial"/>
        </w:rPr>
        <w:fldChar w:fldCharType="begin"/>
      </w:r>
      <w:r w:rsidR="00BC2124" w:rsidRPr="00A62B46">
        <w:rPr>
          <w:rFonts w:ascii="Arial" w:hAnsi="Arial" w:cs="Arial"/>
        </w:rPr>
        <w:instrText xml:space="preserve"> REF _Ref31487682 \h  \* MERGEFORMAT </w:instrText>
      </w:r>
      <w:r w:rsidR="00BC2124" w:rsidRPr="00A62B46">
        <w:rPr>
          <w:rFonts w:ascii="Arial" w:hAnsi="Arial" w:cs="Arial"/>
        </w:rPr>
      </w:r>
      <w:r w:rsidR="00BC2124" w:rsidRPr="00A62B46">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w:t>
      </w:r>
      <w:r w:rsidR="00BC2124" w:rsidRPr="00A62B46">
        <w:rPr>
          <w:rFonts w:ascii="Arial" w:hAnsi="Arial" w:cs="Arial"/>
        </w:rPr>
        <w:fldChar w:fldCharType="end"/>
      </w:r>
      <w:r w:rsidRPr="0092670C">
        <w:rPr>
          <w:rFonts w:ascii="Arial" w:hAnsi="Arial" w:cs="Arial"/>
        </w:rPr>
        <w:t>. The presence of LiF increases the ionic conduction through the SEI</w:t>
      </w:r>
      <w:r w:rsidR="00CC5F1F"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&lt;EndNote&gt;&lt;Cite&gt;&lt;Author&gt;Markevich&lt;/Author&gt;&lt;Year&gt;2013&lt;/Year&gt;&lt;RecNum&gt;168&lt;/RecNum&gt;&lt;DisplayText&gt;[218]&lt;/DisplayText&gt;&lt;record&gt;&lt;rec-number&gt;168&lt;/rec-number&gt;&lt;foreign-keys&gt;&lt;key app="EN" db-id="5sa9s0e0r0d9fnexra7pr5xdwd5ztevx95s2" timestamp="1550228207"&gt;168&lt;/key&gt;&lt;/foreign-keys&gt;&lt;ref-type name="Journal Article"&gt;17&lt;/ref-type&gt;&lt;contributors&gt;&lt;authors&gt;&lt;author&gt;Markevich, E.&lt;/author&gt;&lt;author&gt;Fridman, K.&lt;/author&gt;&lt;author&gt;Sharabi, R.&lt;/author&gt;&lt;author&gt;Elazari, R.&lt;/author&gt;&lt;author&gt;Salitra, G.&lt;/author&gt;&lt;author&gt;Gottlieb, H. E.&lt;/author&gt;&lt;author&gt;Gershinsky, G.&lt;/author&gt;&lt;author&gt;Garsuch, A.&lt;/author&gt;&lt;author&gt;Semrau, G.&lt;/author&gt;&lt;author&gt;Schmidt, M. A.&lt;/author&gt;&lt;author&gt;Aurbach, D.&lt;/author&gt;&lt;/authors&gt;&lt;/contributors&gt;&lt;titles&gt;&lt;title&gt;Amorphous Columnar Silicon Anodes for Advanced High Voltage Lithium Ion Full Cells: Dominant Factors Governing Cycling Performance&lt;/title&gt;&lt;secondary-title&gt;Journal of The Electrochemical Society&lt;/secondary-title&gt;&lt;/titles&gt;&lt;periodical&gt;&lt;full-title&gt;Journal of the Electrochemical Society&lt;/full-title&gt;&lt;abbr-1&gt;J. Electrochem. Soc.&lt;/abbr-1&gt;&lt;/periodical&gt;&lt;pages&gt;A1824-A1833&lt;/pages&gt;&lt;volume&gt;160&lt;/volume&gt;&lt;number&gt;10&lt;/number&gt;&lt;dates&gt;&lt;year&gt;2013&lt;/year&gt;&lt;pub-dates&gt;&lt;date&gt;January 1, 2013&lt;/date&gt;&lt;/pub-dates&gt;&lt;/dates&gt;&lt;urls&gt;&lt;related-urls&gt;&lt;url&gt;http://jes.ecsdl.org/content/160/10/A1824.abstract&lt;/url&gt;&lt;/related-urls&gt;&lt;/urls&gt;&lt;electronic-resource-num&gt;10.1149/2.085310jes&lt;/electronic-resource-num&gt;&lt;/record&gt;&lt;/Cite&gt;&lt;/EndNote&gt;</w:instrText>
      </w:r>
      <w:r w:rsidRPr="0092670C">
        <w:rPr>
          <w:rFonts w:ascii="Arial" w:hAnsi="Arial" w:cs="Arial"/>
        </w:rPr>
        <w:fldChar w:fldCharType="separate"/>
      </w:r>
      <w:r w:rsidR="0034337D">
        <w:rPr>
          <w:rFonts w:ascii="Arial" w:hAnsi="Arial" w:cs="Arial"/>
          <w:noProof/>
        </w:rPr>
        <w:t>[218]</w:t>
      </w:r>
      <w:r w:rsidRPr="0092670C">
        <w:rPr>
          <w:rFonts w:ascii="Arial" w:hAnsi="Arial" w:cs="Arial"/>
        </w:rPr>
        <w:fldChar w:fldCharType="end"/>
      </w:r>
      <w:r w:rsidRPr="0092670C">
        <w:rPr>
          <w:rFonts w:ascii="Arial" w:hAnsi="Arial" w:cs="Arial"/>
        </w:rPr>
        <w:t>. These properties are vital for peak cell performance and have led to FEC becoming the most common additive used in literature alongside vinylene carbonate</w:t>
      </w:r>
      <w:r w:rsidR="00CC5F1F"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&lt;EndNote&gt;&lt;Cite&gt;&lt;Author&gt;Jaumann&lt;/Author&gt;&lt;Year&gt;2017&lt;/Year&gt;&lt;RecNum&gt;202&lt;/RecNum&gt;&lt;DisplayText&gt;[219]&lt;/DisplayText&gt;&lt;record&gt;&lt;rec-number&gt;202&lt;/rec-number&gt;&lt;foreign-keys&gt;&lt;key app="EN" db-id="5sa9s0e0r0d9fnexra7pr5xdwd5ztevx95s2" timestamp="1553168724"&gt;202&lt;/key&gt;&lt;/foreign-keys&gt;&lt;ref-type name="Journal Article"&gt;17&lt;/ref-type&gt;&lt;contributors&gt;&lt;authors&gt;&lt;author&gt;Jaumann, Tony&lt;/author&gt;&lt;author&gt;Balach, Juan&lt;/author&gt;&lt;author&gt;Langklotz, Ulrike&lt;/author&gt;&lt;author&gt;Sauchuk, Viktar&lt;/author&gt;&lt;author&gt;Fritsch, Marco&lt;/author&gt;&lt;author&gt;Michaelis, Alexander&lt;/author&gt;&lt;author&gt;Teltevskij, Valerij&lt;/author&gt;&lt;author&gt;Mikhailova, Daria&lt;/author&gt;&lt;author&gt;Oswald, Steffen&lt;/author&gt;&lt;author&gt;Klose, Markus&lt;/author&gt;&lt;/authors&gt;&lt;/contributors&gt;&lt;titles&gt;&lt;title&gt;Lifetime vs. rate capability: understanding the role of FEC and VC in high-energy Li-ion batteries with nano-silicon anodes&lt;/title&gt;&lt;secondary-title&gt;Energy Storage Materials&lt;/secondary-title&gt;&lt;/titles&gt;&lt;periodical&gt;&lt;full-title&gt;Energy Storage Materials&lt;/full-title&gt;&lt;/periodical&gt;&lt;pages&gt;26-35&lt;/pages&gt;&lt;volume&gt;6&lt;/volume&gt;&lt;dates&gt;&lt;year&gt;2017&lt;/year&gt;&lt;/dates&gt;&lt;isbn&gt;2405-8297&lt;/isbn&gt;&lt;urls&gt;&lt;/urls&gt;&lt;/record&gt;&lt;/Cite&gt;&lt;/EndNote&gt;</w:instrText>
      </w:r>
      <w:r w:rsidRPr="0092670C">
        <w:rPr>
          <w:rFonts w:ascii="Arial" w:hAnsi="Arial" w:cs="Arial"/>
        </w:rPr>
        <w:fldChar w:fldCharType="separate"/>
      </w:r>
      <w:r w:rsidR="0034337D">
        <w:rPr>
          <w:rFonts w:ascii="Arial" w:hAnsi="Arial" w:cs="Arial"/>
          <w:noProof/>
        </w:rPr>
        <w:t>[219]</w:t>
      </w:r>
      <w:r w:rsidRPr="0092670C">
        <w:rPr>
          <w:rFonts w:ascii="Arial" w:hAnsi="Arial" w:cs="Arial"/>
        </w:rPr>
        <w:fldChar w:fldCharType="end"/>
      </w:r>
      <w:r w:rsidRPr="0092670C">
        <w:rPr>
          <w:rFonts w:ascii="Arial" w:hAnsi="Arial" w:cs="Arial"/>
        </w:rPr>
        <w:t xml:space="preserve">. </w:t>
      </w:r>
    </w:p>
    <w:p w14:paraId="3C1CB366" w14:textId="77777777" w:rsidR="00E336EA" w:rsidRPr="0092670C" w:rsidRDefault="00E336EA" w:rsidP="00E336EA">
      <w:pPr>
        <w:rPr>
          <w:rFonts w:ascii="Arial" w:hAnsi="Arial" w:cs="Arial"/>
        </w:rPr>
      </w:pPr>
    </w:p>
    <w:p w14:paraId="341B2BFE" w14:textId="44749C9E" w:rsidR="00E336EA" w:rsidRPr="0092670C" w:rsidRDefault="0067644A" w:rsidP="00E336EA">
      <w:pPr>
        <w:keepNext/>
        <w:jc w:val="center"/>
        <w:rPr>
          <w:rFonts w:ascii="Arial" w:hAnsi="Arial" w:cs="Arial"/>
        </w:rPr>
      </w:pPr>
      <w:r>
        <w:rPr>
          <w:noProof/>
        </w:rPr>
      </w:r>
      <w:r w:rsidR="0067644A">
        <w:rPr>
          <w:noProof/>
        </w:rPr>
        <w:object w:dxaOrig="14427" w:dyaOrig="9312" w14:anchorId="343BFA0D">
          <v:shape id="_x0000_i1067" type="#_x0000_t75" style="width:426.2pt;height:276.1pt" o:ole="">
            <v:imagedata r:id="rId134" o:title=""/>
          </v:shape>
          <o:OLEObject Type="Embed" ProgID="ChemDraw.Document.6.0" ShapeID="_x0000_i1067" DrawAspect="Content" ObjectID="_1700733956" r:id="rId135"/>
        </w:object>
      </w:r>
    </w:p>
    <w:p w14:paraId="1173843F" w14:textId="7778006C" w:rsidR="00E336EA" w:rsidRPr="0092670C" w:rsidRDefault="00E336EA" w:rsidP="00E336EA">
      <w:pPr>
        <w:spacing w:after="200" w:line="240" w:lineRule="auto"/>
        <w:jc w:val="center"/>
        <w:rPr>
          <w:rFonts w:ascii="Arial" w:hAnsi="Arial" w:cs="Arial"/>
          <w:i/>
          <w:iCs/>
          <w:color w:val="44546A" w:themeColor="text2"/>
          <w:sz w:val="20"/>
          <w:szCs w:val="20"/>
        </w:rPr>
      </w:pPr>
      <w:bookmarkStart w:id="135" w:name="_Ref31487682"/>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bookmarkEnd w:id="135"/>
      <w:r w:rsidRPr="0092670C">
        <w:rPr>
          <w:rFonts w:ascii="Arial" w:hAnsi="Arial" w:cs="Arial"/>
          <w:i/>
          <w:iCs/>
          <w:color w:val="44546A" w:themeColor="text2"/>
          <w:sz w:val="20"/>
          <w:szCs w:val="20"/>
        </w:rPr>
        <w:t xml:space="preserve">: Potential reaction scheme for FEC </w:t>
      </w:r>
      <w:r w:rsidRPr="0092670C">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&lt;EndNote&gt;&lt;Cite&gt;&lt;Author&gt;Markevich&lt;/Author&gt;&lt;Year&gt;2013&lt;/Year&gt;&lt;RecNum&gt;168&lt;/RecNum&gt;&lt;DisplayText&gt;[218]&lt;/DisplayText&gt;&lt;record&gt;&lt;rec-number&gt;168&lt;/rec-number&gt;&lt;foreign-keys&gt;&lt;key app="EN" db-id="5sa9s0e0r0d9fnexra7pr5xdwd5ztevx95s2" timestamp="1550228207"&gt;168&lt;/key&gt;&lt;/foreign-keys&gt;&lt;ref-type name="Journal Article"&gt;17&lt;/ref-type&gt;&lt;contributors&gt;&lt;authors&gt;&lt;author&gt;Markevich, E.&lt;/author&gt;&lt;author&gt;Fridman, K.&lt;/author&gt;&lt;author&gt;Sharabi, R.&lt;/author&gt;&lt;author&gt;Elazari, R.&lt;/author&gt;&lt;author&gt;Salitra, G.&lt;/author&gt;&lt;author&gt;Gottlieb, H. E.&lt;/author&gt;&lt;author&gt;Gershinsky, G.&lt;/author&gt;&lt;author&gt;Garsuch, A.&lt;/author&gt;&lt;author&gt;Semrau, G.&lt;/author&gt;&lt;author&gt;Schmidt, M. A.&lt;/author&gt;&lt;author&gt;Aurbach, D.&lt;/author&gt;&lt;/authors&gt;&lt;/contributors&gt;&lt;titles&gt;&lt;title&gt;Amorphous Columnar Silicon Anodes for Advanced High Voltage Lithium Ion Full Cells: Dominant Factors Governing Cycling Performance&lt;/title&gt;&lt;secondary-title&gt;Journal of The Electrochemical Society&lt;/secondary-title&gt;&lt;/titles&gt;&lt;periodical&gt;&lt;full-title&gt;Journal of the Electrochemical Society&lt;/full-title&gt;&lt;abbr-1&gt;J. Electrochem. Soc.&lt;/abbr-1&gt;&lt;/periodical&gt;&lt;pages&gt;A1824-A1833&lt;/pages&gt;&lt;volume&gt;160&lt;/volume&gt;&lt;number&gt;10&lt;/number&gt;&lt;dates&gt;&lt;year&gt;2013&lt;/year&gt;&lt;pub-dates&gt;&lt;date&gt;January 1, 2013&lt;/date&gt;&lt;/pub-dates&gt;&lt;/dates&gt;&lt;urls&gt;&lt;related-urls&gt;&lt;url&gt;http://jes.ecsdl.org/content/160/10/A1824.abstract&lt;/url&gt;&lt;/related-urls&gt;&lt;/urls&gt;&lt;electronic-resource-num&gt;10.1149/2.085310jes&lt;/electronic-resource-num&gt;&lt;/record&gt;&lt;/Cite&gt;&lt;/EndNote&gt;</w:instrText>
      </w:r>
      <w:r w:rsidRPr="0092670C">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[218]</w:t>
      </w:r>
      <w:r w:rsidRPr="0092670C">
        <w:rPr>
          <w:rFonts w:ascii="Arial" w:hAnsi="Arial" w:cs="Arial"/>
          <w:i/>
          <w:iCs/>
          <w:color w:val="44546A" w:themeColor="text2"/>
          <w:sz w:val="20"/>
          <w:szCs w:val="20"/>
        </w:rPr>
        <w:fldChar w:fldCharType="end"/>
      </w:r>
      <w:r w:rsidR="0074135A" w:rsidRPr="0092670C">
        <w:rPr>
          <w:rFonts w:ascii="Arial" w:hAnsi="Arial" w:cs="Arial"/>
          <w:i/>
          <w:iCs/>
          <w:color w:val="44546A" w:themeColor="text2"/>
          <w:sz w:val="20"/>
          <w:szCs w:val="20"/>
        </w:rPr>
        <w:t>.</w:t>
      </w:r>
    </w:p>
    <w:p w14:paraId="17A5179E" w14:textId="0B9514FC" w:rsidR="00E336EA" w:rsidRPr="0092670C" w:rsidRDefault="00E336EA" w:rsidP="00E336EA">
      <w:pPr>
        <w:spacing w:line="360" w:lineRule="auto"/>
        <w:jc w:val="both"/>
        <w:rPr>
          <w:rFonts w:ascii="Arial" w:hAnsi="Arial" w:cs="Arial"/>
        </w:rPr>
      </w:pPr>
      <w:r w:rsidRPr="0092670C">
        <w:rPr>
          <w:rFonts w:ascii="Arial" w:hAnsi="Arial" w:cs="Arial"/>
        </w:rPr>
        <w:t>These additives aren’t</w:t>
      </w:r>
      <w:r w:rsidR="003A121A" w:rsidRPr="0092670C">
        <w:rPr>
          <w:rFonts w:ascii="Arial" w:hAnsi="Arial" w:cs="Arial"/>
        </w:rPr>
        <w:t xml:space="preserve"> a panacea </w:t>
      </w:r>
      <w:r w:rsidRPr="0092670C">
        <w:rPr>
          <w:rFonts w:ascii="Arial" w:hAnsi="Arial" w:cs="Arial"/>
        </w:rPr>
        <w:t xml:space="preserve">and they cannot be used to solve every issue with Li-ion cells. One issue is that these additives must be added to the cell purely to be consumed for SEI formation. This is extremely wasteful considering the limited space and weight that is available within the cell. By creating a SEI outside of the cell this step of additive can be removed leaving more space for either electrolyte or even excluded to increase the </w:t>
      </w:r>
      <w:r w:rsidR="00DC3173">
        <w:rPr>
          <w:rFonts w:ascii="Arial" w:hAnsi="Arial" w:cs="Arial"/>
        </w:rPr>
        <w:t>energy density</w:t>
      </w:r>
      <w:r w:rsidRPr="0092670C">
        <w:rPr>
          <w:rFonts w:ascii="Arial" w:hAnsi="Arial" w:cs="Arial"/>
        </w:rPr>
        <w:t xml:space="preserve"> of the cell.  </w:t>
      </w:r>
    </w:p>
    <w:p w14:paraId="3387BAC0" w14:textId="0C49A9E7" w:rsidR="00E336EA" w:rsidRPr="0092670C" w:rsidRDefault="00CA7FF4" w:rsidP="00E336EA">
      <w:pPr>
        <w:spacing w:line="360" w:lineRule="auto"/>
        <w:jc w:val="both"/>
        <w:rPr>
          <w:rFonts w:ascii="Arial" w:hAnsi="Arial" w:cs="Arial"/>
        </w:rPr>
      </w:pPr>
      <w:r w:rsidRPr="0092670C">
        <w:rPr>
          <w:rFonts w:ascii="Arial" w:hAnsi="Arial" w:cs="Arial"/>
        </w:rPr>
        <w:t>Here, we see</w:t>
      </w:r>
      <w:r w:rsidR="00E336EA" w:rsidRPr="0092670C">
        <w:rPr>
          <w:rFonts w:ascii="Arial" w:hAnsi="Arial" w:cs="Arial"/>
        </w:rPr>
        <w:t xml:space="preserve"> the benefits of using additives could be applied to a graphite electrode before cycling occurs. Mechanical pre-lithiation has been used previously to improve the coulombic efficiency of the cell</w:t>
      </w:r>
      <w:r w:rsidR="00C51BFF" w:rsidRPr="0092670C">
        <w:rPr>
          <w:rFonts w:ascii="Arial" w:hAnsi="Arial" w:cs="Arial"/>
        </w:rPr>
        <w:t xml:space="preserve"> </w:t>
      </w:r>
      <w:r w:rsidR="00E336EA" w:rsidRPr="0092670C">
        <w:rPr>
          <w:rFonts w:ascii="Arial" w:hAnsi="Arial" w:cs="Arial"/>
        </w:rPr>
        <w:fldChar w:fldCharType="begin">
          <w:fldData xml:space="preserve">PEVuZE5vdGU+PENpdGU+PEF1dGhvcj5Ib2x0c3RpZWdlPC9BdXRob3I+PFllYXI+MjAxODwvWWVh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PEVuZE5vdGU+PENpdGU+PEF1dGhvcj5Ib2x0c3RpZWdlPC9BdXRob3I+PFllYXI+MjAxODwvWWVh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00E336EA" w:rsidRPr="0092670C">
        <w:rPr>
          <w:rFonts w:ascii="Arial" w:hAnsi="Arial" w:cs="Arial"/>
        </w:rPr>
      </w:r>
      <w:r w:rsidR="00E336EA" w:rsidRPr="0092670C">
        <w:rPr>
          <w:rFonts w:ascii="Arial" w:hAnsi="Arial" w:cs="Arial"/>
        </w:rPr>
        <w:fldChar w:fldCharType="separate"/>
      </w:r>
      <w:r w:rsidR="0034337D">
        <w:rPr>
          <w:rFonts w:ascii="Arial" w:hAnsi="Arial" w:cs="Arial"/>
          <w:noProof/>
        </w:rPr>
        <w:t>[118, 144, 158]</w:t>
      </w:r>
      <w:r w:rsidR="00E336EA" w:rsidRPr="0092670C">
        <w:rPr>
          <w:rFonts w:ascii="Arial" w:hAnsi="Arial" w:cs="Arial"/>
        </w:rPr>
        <w:fldChar w:fldCharType="end"/>
      </w:r>
      <w:r w:rsidR="00E336EA" w:rsidRPr="0092670C">
        <w:rPr>
          <w:rFonts w:ascii="Arial" w:hAnsi="Arial" w:cs="Arial"/>
        </w:rPr>
        <w:t xml:space="preserve">. By combining mechanical pre-lithiation with FEC can the performance of the cell be increased, when compared with cells pre-lithiated using a traditional electrolyte, in this case LP30.  </w:t>
      </w:r>
    </w:p>
    <w:p w14:paraId="791433FC" w14:textId="77777777" w:rsidR="00E336EA" w:rsidRPr="0092670C" w:rsidRDefault="00E336EA" w:rsidP="00C448ED">
      <w:pPr>
        <w:pStyle w:val="Heading3"/>
        <w:rPr>
          <w:rFonts w:ascii="Arial" w:hAnsi="Arial" w:cs="Arial"/>
          <w:b/>
          <w:color w:val="2F5496" w:themeColor="accent1" w:themeShade="BF"/>
          <w:sz w:val="26"/>
          <w:szCs w:val="26"/>
        </w:rPr>
      </w:pPr>
      <w:bookmarkStart w:id="136" w:name="_Toc8747365"/>
      <w:bookmarkStart w:id="137" w:name="_Toc82538756"/>
      <w:r w:rsidRPr="0092670C">
        <w:rPr>
          <w:rFonts w:ascii="Arial" w:hAnsi="Arial" w:cs="Arial"/>
          <w:color w:val="2F5496" w:themeColor="accent1" w:themeShade="BF"/>
          <w:sz w:val="26"/>
          <w:szCs w:val="26"/>
        </w:rPr>
        <w:t>Experimental</w:t>
      </w:r>
      <w:bookmarkEnd w:id="136"/>
      <w:bookmarkEnd w:id="137"/>
    </w:p>
    <w:p w14:paraId="55811313" w14:textId="1608FA80" w:rsidR="00012947" w:rsidRPr="00012947" w:rsidRDefault="00012947" w:rsidP="00012947">
      <w:pPr>
        <w:spacing w:line="360" w:lineRule="auto"/>
        <w:jc w:val="both"/>
        <w:rPr>
          <w:rFonts w:ascii="Arial" w:hAnsi="Arial" w:cs="Arial"/>
        </w:rPr>
      </w:pPr>
      <w:bookmarkStart w:id="138" w:name="_Toc8747366"/>
      <w:r w:rsidRPr="00012947">
        <w:rPr>
          <w:rFonts w:ascii="Arial" w:hAnsi="Arial" w:cs="Arial"/>
        </w:rPr>
        <w:t>Graphite electrodes were made as described in 2.2.1. The electrodes were then pre-lithiated for 24 hours with either LP30 (1.0M LiPF</w:t>
      </w:r>
      <w:r w:rsidRPr="00012947">
        <w:rPr>
          <w:rFonts w:ascii="Arial" w:hAnsi="Arial" w:cs="Arial"/>
          <w:vertAlign w:val="subscript"/>
        </w:rPr>
        <w:t>6</w:t>
      </w:r>
      <w:r w:rsidRPr="00012947">
        <w:rPr>
          <w:rFonts w:ascii="Arial" w:hAnsi="Arial" w:cs="Arial"/>
        </w:rPr>
        <w:t xml:space="preserve"> in EC/DMC=50/50 (v/v), battery grade, Sigma Aldrich) or FEC (98%, Alfa Aesar) as outlined in 2.3.1. These electrodes were then assembled into coin cells and cycled at C/10 </w:t>
      </w:r>
      <w:r w:rsidR="002E3B17">
        <w:rPr>
          <w:rFonts w:ascii="Arial" w:hAnsi="Arial" w:cs="Arial"/>
        </w:rPr>
        <w:t xml:space="preserve">between 0.1 and 2.5 V </w:t>
      </w:r>
      <w:r w:rsidRPr="00012947">
        <w:rPr>
          <w:rFonts w:ascii="Arial" w:hAnsi="Arial" w:cs="Arial"/>
        </w:rPr>
        <w:t xml:space="preserve">for 100 cycles using CC/CV cycling for the charge on a Maccor series 4000M at 25°C. An electrode the hadn’t been pre-lithiated was also cycled as a reference. </w:t>
      </w:r>
    </w:p>
    <w:p w14:paraId="687BBF35" w14:textId="77777777" w:rsidR="00E336EA" w:rsidRPr="0092670C" w:rsidRDefault="00E336EA" w:rsidP="00C448ED">
      <w:pPr>
        <w:pStyle w:val="Heading3"/>
        <w:rPr>
          <w:rFonts w:ascii="Arial" w:hAnsi="Arial" w:cs="Arial"/>
          <w:b/>
          <w:color w:val="2F5496" w:themeColor="accent1" w:themeShade="BF"/>
          <w:sz w:val="26"/>
          <w:szCs w:val="26"/>
        </w:rPr>
      </w:pPr>
      <w:bookmarkStart w:id="139" w:name="_Toc82538757"/>
      <w:r w:rsidRPr="0092670C">
        <w:rPr>
          <w:rFonts w:ascii="Arial" w:hAnsi="Arial" w:cs="Arial"/>
          <w:color w:val="2F5496" w:themeColor="accent1" w:themeShade="BF"/>
          <w:sz w:val="26"/>
          <w:szCs w:val="26"/>
        </w:rPr>
        <w:t>Results</w:t>
      </w:r>
      <w:bookmarkEnd w:id="138"/>
      <w:bookmarkEnd w:id="139"/>
    </w:p>
    <w:p w14:paraId="6E6343AB" w14:textId="4161A03D" w:rsidR="00E336EA" w:rsidRPr="0092670C" w:rsidRDefault="00DE7608" w:rsidP="00E336EA">
      <w:pPr>
        <w:spacing w:line="360" w:lineRule="auto"/>
        <w:jc w:val="both"/>
        <w:rPr>
          <w:rFonts w:ascii="Arial" w:hAnsi="Arial" w:cs="Arial"/>
        </w:rPr>
      </w:pPr>
      <w:r w:rsidRPr="0092670C">
        <w:rPr>
          <w:rFonts w:ascii="Arial" w:hAnsi="Arial" w:cs="Arial"/>
        </w:rPr>
        <w:fldChar w:fldCharType="begin"/>
      </w:r>
      <w:r w:rsidRPr="0092670C">
        <w:rPr>
          <w:rFonts w:ascii="Arial" w:hAnsi="Arial" w:cs="Arial"/>
        </w:rPr>
        <w:instrText xml:space="preserve"> REF _Ref31487829 \h </w:instrText>
      </w:r>
      <w:r w:rsidR="004C5FE2" w:rsidRPr="0092670C">
        <w:rPr>
          <w:rFonts w:ascii="Arial" w:hAnsi="Arial" w:cs="Arial"/>
        </w:rPr>
        <w:instrText xml:space="preserve">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2</w:t>
      </w:r>
      <w:r w:rsidRPr="0092670C">
        <w:rPr>
          <w:rFonts w:ascii="Arial" w:hAnsi="Arial" w:cs="Arial"/>
        </w:rPr>
        <w:fldChar w:fldCharType="end"/>
      </w:r>
      <w:r w:rsidRPr="0092670C">
        <w:rPr>
          <w:rFonts w:ascii="Arial" w:hAnsi="Arial" w:cs="Arial"/>
          <w:sz w:val="28"/>
          <w:szCs w:val="28"/>
        </w:rPr>
        <w:t xml:space="preserve"> </w:t>
      </w:r>
      <w:r w:rsidR="004C5FE2" w:rsidRPr="0092670C">
        <w:rPr>
          <w:rFonts w:ascii="Arial" w:hAnsi="Arial" w:cs="Arial"/>
        </w:rPr>
        <w:t>reveals that b</w:t>
      </w:r>
      <w:r w:rsidR="00E336EA" w:rsidRPr="0092670C">
        <w:rPr>
          <w:rFonts w:ascii="Arial" w:hAnsi="Arial" w:cs="Arial"/>
        </w:rPr>
        <w:t xml:space="preserve">oth cells that have been pre-lithiated show far higher capacity retention than the reference cell. This higher capacity retention shows that pre-lithiation has created a stable SEI on the cell, allowing the graphite to cycle consistently.  Whilst Pre-lithiation has a noticeable benefit to the capacity retention and performance of the cell the addition of FEC gives it an </w:t>
      </w:r>
      <w:r w:rsidR="002E3B17">
        <w:rPr>
          <w:rFonts w:ascii="Arial" w:hAnsi="Arial" w:cs="Arial"/>
        </w:rPr>
        <w:t>additional increase</w:t>
      </w:r>
      <w:r w:rsidR="00E336EA" w:rsidRPr="0092670C">
        <w:rPr>
          <w:rFonts w:ascii="Arial" w:hAnsi="Arial" w:cs="Arial"/>
        </w:rPr>
        <w:t xml:space="preserve">. These results help to reaffirm that pre-lithiation forms an SEI layer. This experiment also demonstrates that the additive use can be separated from the cell and still give its desired benefits using this technique. This experiment also demonstrates what happens to a cell without formation cycling and how vital a robust SEI is to </w:t>
      </w:r>
      <w:r w:rsidR="008474E3" w:rsidRPr="0092670C">
        <w:rPr>
          <w:rFonts w:ascii="Arial" w:hAnsi="Arial" w:cs="Arial"/>
        </w:rPr>
        <w:t>ensure</w:t>
      </w:r>
      <w:r w:rsidR="00E336EA" w:rsidRPr="0092670C">
        <w:rPr>
          <w:rFonts w:ascii="Arial" w:hAnsi="Arial" w:cs="Arial"/>
        </w:rPr>
        <w:t xml:space="preserve"> that the cells </w:t>
      </w:r>
      <w:r w:rsidR="009622F4" w:rsidRPr="0092670C">
        <w:rPr>
          <w:rFonts w:ascii="Arial" w:hAnsi="Arial" w:cs="Arial"/>
        </w:rPr>
        <w:t>have</w:t>
      </w:r>
      <w:r w:rsidR="00E336EA" w:rsidRPr="0092670C">
        <w:rPr>
          <w:rFonts w:ascii="Arial" w:hAnsi="Arial" w:cs="Arial"/>
        </w:rPr>
        <w:t xml:space="preserve"> a high capacity and that degradation is minimised. </w:t>
      </w:r>
    </w:p>
    <w:p w14:paraId="39FC3989" w14:textId="3751253C" w:rsidR="005A3CC3" w:rsidRPr="0092670C" w:rsidRDefault="0067644A" w:rsidP="005A3CC3">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3B013FE0">
          <v:shape id="_x0000_i1068" type="#_x0000_t75" style="width:390.2pt;height:299.9pt" o:ole="">
            <v:imagedata r:id="rId136" o:title=""/>
          </v:shape>
          <o:OLEObject Type="Embed" ProgID="Origin95.Graph" ShapeID="_x0000_i1068" DrawAspect="Content" ObjectID="_1700733957" r:id="rId137"/>
        </w:object>
      </w:r>
    </w:p>
    <w:p w14:paraId="1C380959" w14:textId="3C9DCF6B" w:rsidR="005A3CC3" w:rsidRPr="0092670C" w:rsidRDefault="005A3CC3" w:rsidP="005A3CC3">
      <w:pPr>
        <w:spacing w:after="200" w:line="360" w:lineRule="auto"/>
        <w:jc w:val="center"/>
        <w:rPr>
          <w:rFonts w:ascii="Arial" w:hAnsi="Arial" w:cs="Arial"/>
          <w:i/>
          <w:iCs/>
          <w:color w:val="44546A" w:themeColor="text2"/>
          <w:sz w:val="20"/>
          <w:szCs w:val="20"/>
        </w:rPr>
      </w:pPr>
      <w:bookmarkStart w:id="140" w:name="_Ref31487829"/>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w:t>
      </w:r>
      <w:r w:rsidR="00356A26">
        <w:rPr>
          <w:rFonts w:ascii="Arial" w:hAnsi="Arial" w:cs="Arial"/>
          <w:i/>
          <w:iCs/>
          <w:color w:val="44546A" w:themeColor="text2"/>
          <w:sz w:val="20"/>
          <w:szCs w:val="20"/>
        </w:rPr>
        <w:fldChar w:fldCharType="end"/>
      </w:r>
      <w:bookmarkEnd w:id="140"/>
      <w:r w:rsidRPr="0092670C">
        <w:rPr>
          <w:rFonts w:ascii="Arial" w:hAnsi="Arial" w:cs="Arial"/>
          <w:i/>
          <w:iCs/>
          <w:color w:val="44546A" w:themeColor="text2"/>
          <w:sz w:val="20"/>
          <w:szCs w:val="20"/>
        </w:rPr>
        <w:t xml:space="preserve">: </w:t>
      </w:r>
      <w:r w:rsidR="0058239A" w:rsidRPr="0092670C">
        <w:rPr>
          <w:rFonts w:ascii="Arial" w:hAnsi="Arial" w:cs="Arial"/>
          <w:i/>
          <w:iCs/>
          <w:color w:val="44546A" w:themeColor="text2"/>
          <w:sz w:val="20"/>
          <w:szCs w:val="20"/>
        </w:rPr>
        <w:t>P</w:t>
      </w:r>
      <w:r w:rsidRPr="0092670C">
        <w:rPr>
          <w:rFonts w:ascii="Arial" w:hAnsi="Arial" w:cs="Arial"/>
          <w:i/>
          <w:iCs/>
          <w:color w:val="44546A" w:themeColor="text2"/>
          <w:sz w:val="20"/>
          <w:szCs w:val="20"/>
        </w:rPr>
        <w:t>erformance of cell pre-lithiated with and without additives</w:t>
      </w:r>
      <w:r w:rsidR="0058239A" w:rsidRPr="0092670C">
        <w:rPr>
          <w:rFonts w:ascii="Arial" w:hAnsi="Arial" w:cs="Arial"/>
          <w:i/>
          <w:iCs/>
          <w:color w:val="44546A" w:themeColor="text2"/>
          <w:sz w:val="20"/>
          <w:szCs w:val="20"/>
        </w:rPr>
        <w:t>.</w:t>
      </w:r>
    </w:p>
    <w:p w14:paraId="184AF1D9" w14:textId="77777777" w:rsidR="005A3CC3" w:rsidRPr="0092670C" w:rsidRDefault="005A3CC3" w:rsidP="00E336EA">
      <w:pPr>
        <w:spacing w:line="360" w:lineRule="auto"/>
        <w:jc w:val="both"/>
        <w:rPr>
          <w:rFonts w:ascii="Arial" w:hAnsi="Arial" w:cs="Arial"/>
        </w:rPr>
      </w:pPr>
    </w:p>
    <w:p w14:paraId="7127FB24" w14:textId="59B2A555"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79F98957">
          <v:shape id="_x0000_i1069" type="#_x0000_t75" style="width:365.8pt;height:282.2pt" o:ole="">
            <v:imagedata r:id="rId138" o:title=""/>
          </v:shape>
          <o:OLEObject Type="Embed" ProgID="Origin95.Graph" ShapeID="_x0000_i1069" DrawAspect="Content" ObjectID="_1700733958" r:id="rId139"/>
        </w:object>
      </w:r>
    </w:p>
    <w:p w14:paraId="25DA9661" w14:textId="17E69FC9" w:rsidR="00E336EA" w:rsidRPr="0092670C" w:rsidRDefault="00E336EA" w:rsidP="00E336EA">
      <w:pPr>
        <w:spacing w:after="200" w:line="360" w:lineRule="auto"/>
        <w:jc w:val="center"/>
        <w:rPr>
          <w:rFonts w:ascii="Arial" w:hAnsi="Arial" w:cs="Arial"/>
          <w:i/>
          <w:iCs/>
          <w:color w:val="44546A" w:themeColor="text2"/>
          <w:sz w:val="20"/>
          <w:szCs w:val="20"/>
        </w:rPr>
      </w:pPr>
      <w:bookmarkStart w:id="141" w:name="_Ref3148889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bookmarkEnd w:id="141"/>
      <w:r w:rsidRPr="0092670C">
        <w:rPr>
          <w:rFonts w:ascii="Arial" w:hAnsi="Arial" w:cs="Arial"/>
          <w:i/>
          <w:iCs/>
          <w:color w:val="44546A" w:themeColor="text2"/>
          <w:sz w:val="20"/>
          <w:szCs w:val="20"/>
        </w:rPr>
        <w:t>: Voltage Vs. capacity plot highlighting the pre-lithiated cells keeping a higher voltage for longer</w:t>
      </w:r>
      <w:r w:rsidR="0058239A" w:rsidRPr="0092670C">
        <w:rPr>
          <w:rFonts w:ascii="Arial" w:hAnsi="Arial" w:cs="Arial"/>
          <w:i/>
          <w:iCs/>
          <w:color w:val="44546A" w:themeColor="text2"/>
          <w:sz w:val="20"/>
          <w:szCs w:val="20"/>
        </w:rPr>
        <w:t>.</w:t>
      </w:r>
    </w:p>
    <w:p w14:paraId="4DC7DC48" w14:textId="6BE0B84C" w:rsidR="00E336EA" w:rsidRPr="0092670C" w:rsidRDefault="00E336EA" w:rsidP="00E336EA">
      <w:pPr>
        <w:spacing w:line="360" w:lineRule="auto"/>
        <w:jc w:val="both"/>
        <w:rPr>
          <w:rFonts w:ascii="Arial" w:hAnsi="Arial" w:cs="Arial"/>
        </w:rPr>
      </w:pPr>
      <w:r w:rsidRPr="0092670C">
        <w:rPr>
          <w:rFonts w:ascii="Arial" w:hAnsi="Arial" w:cs="Arial"/>
        </w:rPr>
        <w:t>The voltage Vs. capacity plot</w:t>
      </w:r>
      <w:r w:rsidR="00D3224B" w:rsidRPr="0092670C">
        <w:rPr>
          <w:rFonts w:ascii="Arial" w:hAnsi="Arial" w:cs="Arial"/>
        </w:rPr>
        <w:t xml:space="preserve"> </w:t>
      </w:r>
      <w:r w:rsidR="00D3224B" w:rsidRPr="0092670C">
        <w:rPr>
          <w:rFonts w:ascii="Arial" w:hAnsi="Arial" w:cs="Arial"/>
        </w:rPr>
        <w:fldChar w:fldCharType="begin"/>
      </w:r>
      <w:r w:rsidR="00D3224B" w:rsidRPr="0092670C">
        <w:rPr>
          <w:rFonts w:ascii="Arial" w:hAnsi="Arial" w:cs="Arial"/>
        </w:rPr>
        <w:instrText xml:space="preserve"> REF _Ref31488891 \h  \* MERGEFORMAT </w:instrText>
      </w:r>
      <w:r w:rsidR="00D3224B" w:rsidRPr="0092670C">
        <w:rPr>
          <w:rFonts w:ascii="Arial" w:hAnsi="Arial" w:cs="Arial"/>
        </w:rPr>
      </w:r>
      <w:r w:rsidR="00D3224B"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w:t>
      </w:r>
      <w:r w:rsidR="00D3224B" w:rsidRPr="0092670C">
        <w:rPr>
          <w:rFonts w:ascii="Arial" w:hAnsi="Arial" w:cs="Arial"/>
        </w:rPr>
        <w:fldChar w:fldCharType="end"/>
      </w:r>
      <w:r w:rsidR="00D3224B" w:rsidRPr="0092670C">
        <w:rPr>
          <w:rFonts w:ascii="Arial" w:hAnsi="Arial" w:cs="Arial"/>
        </w:rPr>
        <w:t xml:space="preserve"> </w:t>
      </w:r>
      <w:r w:rsidRPr="0092670C">
        <w:rPr>
          <w:rFonts w:ascii="Arial" w:hAnsi="Arial" w:cs="Arial"/>
        </w:rPr>
        <w:t xml:space="preserve">shows that the pre-lithiated cell kept a higher voltage for longer. The </w:t>
      </w:r>
      <w:r w:rsidR="00A735C1">
        <w:rPr>
          <w:rFonts w:ascii="Arial" w:hAnsi="Arial" w:cs="Arial"/>
        </w:rPr>
        <w:t>v</w:t>
      </w:r>
      <w:r w:rsidRPr="0092670C">
        <w:rPr>
          <w:rFonts w:ascii="Arial" w:hAnsi="Arial" w:cs="Arial"/>
        </w:rPr>
        <w:t>oltage for the reference cell is lower as the</w:t>
      </w:r>
      <w:r w:rsidR="00B90565" w:rsidRPr="0092670C">
        <w:rPr>
          <w:rFonts w:ascii="Arial" w:hAnsi="Arial" w:cs="Arial"/>
        </w:rPr>
        <w:t xml:space="preserve"> parasitic reactions that occur during</w:t>
      </w:r>
      <w:r w:rsidRPr="0092670C">
        <w:rPr>
          <w:rFonts w:ascii="Arial" w:hAnsi="Arial" w:cs="Arial"/>
        </w:rPr>
        <w:t xml:space="preserve"> SEI formation is </w:t>
      </w:r>
      <w:r w:rsidR="00E95352" w:rsidRPr="0092670C">
        <w:rPr>
          <w:rFonts w:ascii="Arial" w:hAnsi="Arial" w:cs="Arial"/>
        </w:rPr>
        <w:t>offs</w:t>
      </w:r>
      <w:r w:rsidR="009C7B87" w:rsidRPr="0092670C">
        <w:rPr>
          <w:rFonts w:ascii="Arial" w:hAnsi="Arial" w:cs="Arial"/>
        </w:rPr>
        <w:t>etting the start of the</w:t>
      </w:r>
      <w:r w:rsidRPr="0092670C">
        <w:rPr>
          <w:rFonts w:ascii="Arial" w:hAnsi="Arial" w:cs="Arial"/>
        </w:rPr>
        <w:t xml:space="preserve"> intercalation</w:t>
      </w:r>
      <w:r w:rsidR="009C7B87" w:rsidRPr="0092670C">
        <w:rPr>
          <w:rFonts w:ascii="Arial" w:hAnsi="Arial" w:cs="Arial"/>
        </w:rPr>
        <w:t xml:space="preserve"> process</w:t>
      </w:r>
      <w:r w:rsidRPr="0092670C">
        <w:rPr>
          <w:rFonts w:ascii="Arial" w:hAnsi="Arial" w:cs="Arial"/>
        </w:rPr>
        <w:t xml:space="preserve">. </w:t>
      </w:r>
      <w:r w:rsidR="0058239A" w:rsidRPr="0092670C">
        <w:rPr>
          <w:rFonts w:ascii="Arial" w:hAnsi="Arial" w:cs="Arial"/>
        </w:rPr>
        <w:t xml:space="preserve">This higher voltage is useful as it reduces the risk of </w:t>
      </w:r>
      <w:r w:rsidR="00CB70CE" w:rsidRPr="0092670C">
        <w:rPr>
          <w:rFonts w:ascii="Arial" w:hAnsi="Arial" w:cs="Arial"/>
        </w:rPr>
        <w:t>the cell reaching its cut-off voltage prematurely in high rate situations.</w:t>
      </w:r>
    </w:p>
    <w:p w14:paraId="075A9638" w14:textId="76BFE6BA" w:rsidR="00E336EA" w:rsidRPr="0092670C" w:rsidRDefault="00CD63B5" w:rsidP="00E336EA">
      <w:pPr>
        <w:keepNext/>
        <w:spacing w:line="360" w:lineRule="auto"/>
        <w:jc w:val="center"/>
        <w:rPr>
          <w:rFonts w:ascii="Arial" w:hAnsi="Arial" w:cs="Arial"/>
        </w:rPr>
      </w:pPr>
      <w:r w:rsidRPr="0092670C">
        <w:rPr>
          <w:rFonts w:ascii="Arial" w:hAnsi="Arial" w:cs="Arial"/>
          <w:noProof/>
        </w:rPr>
        <mc:AlternateContent>
          <mc:Choice Requires="wps">
            <w:drawing>
              <wp:anchor distT="0" distB="0" distL="114300" distR="114300" simplePos="0" relativeHeight="251658247" behindDoc="0" locked="0" layoutInCell="1" allowOverlap="1" wp14:anchorId="4EA9193C" wp14:editId="0D90FD25">
                <wp:simplePos x="0" y="0"/>
                <wp:positionH relativeFrom="column">
                  <wp:posOffset>2362200</wp:posOffset>
                </wp:positionH>
                <wp:positionV relativeFrom="paragraph">
                  <wp:posOffset>1713229</wp:posOffset>
                </wp:positionV>
                <wp:extent cx="2129790" cy="367665"/>
                <wp:effectExtent l="19050" t="57150" r="22860" b="32385"/>
                <wp:wrapNone/>
                <wp:docPr id="21" name="Straight Arrow Connector 21"/>
                <wp:cNvGraphicFramePr/>
                <a:graphic xmlns:a="http://schemas.openxmlformats.org/drawingml/2006/main">
                  <a:graphicData uri="http://schemas.microsoft.com/office/word/2010/wordprocessingShape">
                    <wps:wsp>
                      <wps:cNvCnPr/>
                      <wps:spPr>
                        <a:xfrm flipH="1" flipV="1">
                          <a:off x="0" y="0"/>
                          <a:ext cx="2129790" cy="3676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260A77" id="Straight Arrow Connector 21" o:spid="_x0000_s1026" type="#_x0000_t32" style="position:absolute;margin-left:186pt;margin-top:134.9pt;width:167.7pt;height:28.9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" strokecolor="windowText" strokeweight=".5pt">
                <v:stroke endarrow="block" joinstyle="miter"/>
              </v:shape>
            </w:pict>
          </mc:Fallback>
        </mc:AlternateContent>
      </w:r>
      <w:r w:rsidR="000A0617" w:rsidRPr="0092670C">
        <w:rPr>
          <w:rFonts w:ascii="Arial" w:hAnsi="Arial" w:cs="Arial"/>
          <w:noProof/>
        </w:rPr>
        <mc:AlternateContent>
          <mc:Choice Requires="wps">
            <w:drawing>
              <wp:anchor distT="0" distB="0" distL="114300" distR="114300" simplePos="0" relativeHeight="251658250" behindDoc="0" locked="0" layoutInCell="1" allowOverlap="1" wp14:anchorId="4545EA21" wp14:editId="689CD7F6">
                <wp:simplePos x="0" y="0"/>
                <wp:positionH relativeFrom="column">
                  <wp:posOffset>4507230</wp:posOffset>
                </wp:positionH>
                <wp:positionV relativeFrom="paragraph">
                  <wp:posOffset>1961515</wp:posOffset>
                </wp:positionV>
                <wp:extent cx="914400" cy="257175"/>
                <wp:effectExtent l="0" t="0" r="25400" b="28575"/>
                <wp:wrapNone/>
                <wp:docPr id="16" name="Text Box 16"/>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ysClr val="window" lastClr="FFFFFF"/>
                        </a:solidFill>
                        <a:ln w="6350">
                          <a:solidFill>
                            <a:prstClr val="black"/>
                          </a:solidFill>
                        </a:ln>
                      </wps:spPr>
                      <wps:txbx>
                        <w:txbxContent>
                          <w:p w14:paraId="158A7CEB" w14:textId="0ED9E46E" w:rsidR="000E4910" w:rsidRDefault="000E4910" w:rsidP="00E336EA">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5EA21" id="Text Box 16" o:spid="_x0000_s1035" type="#_x0000_t202" style="position:absolute;left:0;text-align:left;margin-left:354.9pt;margin-top:154.45pt;width:1in;height:20.25pt;z-index:2516582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" fillcolor="window" strokeweight=".5pt">
                <v:textbox>
                  <w:txbxContent>
                    <w:p w14:paraId="158A7CEB" w14:textId="0ED9E46E" w:rsidR="000E4910" w:rsidRDefault="000E4910" w:rsidP="00E336EA">
                      <w:r>
                        <w:t>1</w:t>
                      </w:r>
                    </w:p>
                  </w:txbxContent>
                </v:textbox>
              </v:shape>
            </w:pict>
          </mc:Fallback>
        </mc:AlternateContent>
      </w:r>
      <w:r w:rsidR="000A0617" w:rsidRPr="0092670C">
        <w:rPr>
          <w:rFonts w:ascii="Arial" w:hAnsi="Arial" w:cs="Arial"/>
          <w:noProof/>
        </w:rPr>
        <mc:AlternateContent>
          <mc:Choice Requires="wps">
            <w:drawing>
              <wp:anchor distT="0" distB="0" distL="114300" distR="114300" simplePos="0" relativeHeight="251658268" behindDoc="0" locked="0" layoutInCell="1" allowOverlap="1" wp14:anchorId="06699582" wp14:editId="60CACCD1">
                <wp:simplePos x="0" y="0"/>
                <wp:positionH relativeFrom="column">
                  <wp:posOffset>373380</wp:posOffset>
                </wp:positionH>
                <wp:positionV relativeFrom="paragraph">
                  <wp:posOffset>2312670</wp:posOffset>
                </wp:positionV>
                <wp:extent cx="914400" cy="257175"/>
                <wp:effectExtent l="0" t="0" r="25400" b="28575"/>
                <wp:wrapNone/>
                <wp:docPr id="3073" name="Text Box 307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ysClr val="window" lastClr="FFFFFF"/>
                        </a:solidFill>
                        <a:ln w="6350">
                          <a:solidFill>
                            <a:prstClr val="black"/>
                          </a:solidFill>
                        </a:ln>
                      </wps:spPr>
                      <wps:txbx>
                        <w:txbxContent>
                          <w:p w14:paraId="74BF3BA9" w14:textId="3F7E6457" w:rsidR="000E4910" w:rsidRDefault="000E4910" w:rsidP="000A0617">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99582" id="Text Box 3073" o:spid="_x0000_s1036" type="#_x0000_t202" style="position:absolute;left:0;text-align:left;margin-left:29.4pt;margin-top:182.1pt;width:1in;height:20.25pt;z-index:2516582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" fillcolor="window" strokeweight=".5pt">
                <v:textbox>
                  <w:txbxContent>
                    <w:p w14:paraId="74BF3BA9" w14:textId="3F7E6457" w:rsidR="000E4910" w:rsidRDefault="000E4910" w:rsidP="000A0617">
                      <w:r>
                        <w:t>3</w:t>
                      </w:r>
                    </w:p>
                  </w:txbxContent>
                </v:textbox>
              </v:shape>
            </w:pict>
          </mc:Fallback>
        </mc:AlternateContent>
      </w:r>
      <w:r w:rsidR="000A0617" w:rsidRPr="0092670C">
        <w:rPr>
          <w:rFonts w:ascii="Arial" w:hAnsi="Arial" w:cs="Arial"/>
          <w:noProof/>
        </w:rPr>
        <mc:AlternateContent>
          <mc:Choice Requires="wps">
            <w:drawing>
              <wp:anchor distT="0" distB="0" distL="114300" distR="114300" simplePos="0" relativeHeight="251658267" behindDoc="0" locked="0" layoutInCell="1" allowOverlap="1" wp14:anchorId="6AB64ABA" wp14:editId="21AA84F6">
                <wp:simplePos x="0" y="0"/>
                <wp:positionH relativeFrom="column">
                  <wp:posOffset>1333500</wp:posOffset>
                </wp:positionH>
                <wp:positionV relativeFrom="paragraph">
                  <wp:posOffset>2827020</wp:posOffset>
                </wp:positionV>
                <wp:extent cx="914400" cy="257175"/>
                <wp:effectExtent l="0" t="0" r="25400" b="28575"/>
                <wp:wrapNone/>
                <wp:docPr id="27" name="Text Box 27"/>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ysClr val="window" lastClr="FFFFFF"/>
                        </a:solidFill>
                        <a:ln w="6350">
                          <a:solidFill>
                            <a:prstClr val="black"/>
                          </a:solidFill>
                        </a:ln>
                      </wps:spPr>
                      <wps:txbx>
                        <w:txbxContent>
                          <w:p w14:paraId="0A7CE49B" w14:textId="4C56F7B4" w:rsidR="000E4910" w:rsidRDefault="000E4910" w:rsidP="000A0617">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64ABA" id="Text Box 27" o:spid="_x0000_s1037" type="#_x0000_t202" style="position:absolute;left:0;text-align:left;margin-left:105pt;margin-top:222.6pt;width:1in;height:20.25pt;z-index:25165826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" fillcolor="window" strokeweight=".5pt">
                <v:textbox>
                  <w:txbxContent>
                    <w:p w14:paraId="0A7CE49B" w14:textId="4C56F7B4" w:rsidR="000E4910" w:rsidRDefault="000E4910" w:rsidP="000A0617">
                      <w:r>
                        <w:t>2</w:t>
                      </w:r>
                    </w:p>
                  </w:txbxContent>
                </v:textbox>
              </v:shape>
            </w:pict>
          </mc:Fallback>
        </mc:AlternateContent>
      </w:r>
      <w:r w:rsidR="003251FA" w:rsidRPr="0092670C">
        <w:rPr>
          <w:rFonts w:ascii="Arial" w:hAnsi="Arial" w:cs="Arial"/>
          <w:noProof/>
        </w:rPr>
        <mc:AlternateContent>
          <mc:Choice Requires="wps">
            <w:drawing>
              <wp:anchor distT="0" distB="0" distL="114300" distR="114300" simplePos="0" relativeHeight="251658249" behindDoc="0" locked="0" layoutInCell="1" allowOverlap="1" wp14:anchorId="7670B449" wp14:editId="22631E84">
                <wp:simplePos x="0" y="0"/>
                <wp:positionH relativeFrom="column">
                  <wp:posOffset>624840</wp:posOffset>
                </wp:positionH>
                <wp:positionV relativeFrom="paragraph">
                  <wp:posOffset>2358391</wp:posOffset>
                </wp:positionV>
                <wp:extent cx="899160" cy="45719"/>
                <wp:effectExtent l="0" t="57150" r="15240" b="50165"/>
                <wp:wrapNone/>
                <wp:docPr id="19" name="Straight Arrow Connector 19"/>
                <wp:cNvGraphicFramePr/>
                <a:graphic xmlns:a="http://schemas.openxmlformats.org/drawingml/2006/main">
                  <a:graphicData uri="http://schemas.microsoft.com/office/word/2010/wordprocessingShape">
                    <wps:wsp>
                      <wps:cNvCnPr/>
                      <wps:spPr>
                        <a:xfrm flipV="1">
                          <a:off x="0" y="0"/>
                          <a:ext cx="89916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93A186" id="Straight Arrow Connector 19" o:spid="_x0000_s1026" type="#_x0000_t32" style="position:absolute;margin-left:49.2pt;margin-top:185.7pt;width:70.8pt;height:3.6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" strokecolor="windowText" strokeweight=".5pt">
                <v:stroke endarrow="block" joinstyle="miter"/>
              </v:shape>
            </w:pict>
          </mc:Fallback>
        </mc:AlternateContent>
      </w:r>
      <w:r w:rsidR="003251FA" w:rsidRPr="0092670C">
        <w:rPr>
          <w:rFonts w:ascii="Arial" w:hAnsi="Arial" w:cs="Arial"/>
          <w:noProof/>
        </w:rPr>
        <mc:AlternateContent>
          <mc:Choice Requires="wps">
            <w:drawing>
              <wp:anchor distT="0" distB="0" distL="114300" distR="114300" simplePos="0" relativeHeight="251658248" behindDoc="0" locked="0" layoutInCell="1" allowOverlap="1" wp14:anchorId="7C89353B" wp14:editId="28BA6912">
                <wp:simplePos x="0" y="0"/>
                <wp:positionH relativeFrom="column">
                  <wp:posOffset>1554481</wp:posOffset>
                </wp:positionH>
                <wp:positionV relativeFrom="paragraph">
                  <wp:posOffset>2320290</wp:posOffset>
                </wp:positionV>
                <wp:extent cx="228600" cy="521970"/>
                <wp:effectExtent l="0" t="38100" r="57150" b="30480"/>
                <wp:wrapNone/>
                <wp:docPr id="20" name="Straight Arrow Connector 20"/>
                <wp:cNvGraphicFramePr/>
                <a:graphic xmlns:a="http://schemas.openxmlformats.org/drawingml/2006/main">
                  <a:graphicData uri="http://schemas.microsoft.com/office/word/2010/wordprocessingShape">
                    <wps:wsp>
                      <wps:cNvCnPr/>
                      <wps:spPr>
                        <a:xfrm flipV="1">
                          <a:off x="0" y="0"/>
                          <a:ext cx="228600" cy="521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52331" id="Straight Arrow Connector 20" o:spid="_x0000_s1026" type="#_x0000_t32" style="position:absolute;margin-left:122.4pt;margin-top:182.7pt;width:18pt;height:41.1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" strokecolor="windowText" strokeweight=".5pt">
                <v:stroke endarrow="block" joinstyle="miter"/>
              </v:shape>
            </w:pict>
          </mc:Fallback>
        </mc:AlternateContent>
      </w:r>
      <w:r w:rsidR="0067644A" w:rsidRPr="0092670C">
        <w:rPr>
          <w:rFonts w:ascii="Arial" w:hAnsi="Arial" w:cs="Arial"/>
          <w:noProof/>
        </w:rPr>
      </w:r>
      <w:r w:rsidR="0067644A" w:rsidRPr="0092670C">
        <w:rPr>
          <w:rFonts w:ascii="Arial" w:hAnsi="Arial" w:cs="Arial"/>
          <w:noProof/>
        </w:rPr>
        <w:object w:dxaOrig="6162" w:dyaOrig="4722" w14:anchorId="7516CC8F">
          <v:shape id="_x0000_i1070" type="#_x0000_t75" style="width:312.1pt;height:240.1pt" o:ole="">
            <v:imagedata r:id="rId140" o:title=""/>
          </v:shape>
          <o:OLEObject Type="Embed" ProgID="Origin95.Graph" ShapeID="_x0000_i1070" DrawAspect="Content" ObjectID="_1700733959" r:id="rId141"/>
        </w:object>
      </w:r>
    </w:p>
    <w:p w14:paraId="39419093" w14:textId="30C1E9BF" w:rsidR="00E336EA" w:rsidRPr="0092670C" w:rsidRDefault="00E336EA" w:rsidP="00E336EA">
      <w:pPr>
        <w:spacing w:after="200" w:line="360" w:lineRule="auto"/>
        <w:jc w:val="center"/>
        <w:rPr>
          <w:rFonts w:ascii="Arial" w:hAnsi="Arial" w:cs="Arial"/>
          <w:i/>
          <w:iCs/>
          <w:color w:val="44546A" w:themeColor="text2"/>
          <w:sz w:val="20"/>
          <w:szCs w:val="20"/>
        </w:rPr>
      </w:pPr>
      <w:bookmarkStart w:id="142" w:name="_Ref31488680"/>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4</w:t>
      </w:r>
      <w:r w:rsidR="00356A26">
        <w:rPr>
          <w:rFonts w:ascii="Arial" w:hAnsi="Arial" w:cs="Arial"/>
          <w:i/>
          <w:iCs/>
          <w:color w:val="44546A" w:themeColor="text2"/>
          <w:sz w:val="20"/>
          <w:szCs w:val="20"/>
        </w:rPr>
        <w:fldChar w:fldCharType="end"/>
      </w:r>
      <w:bookmarkEnd w:id="142"/>
      <w:r w:rsidRPr="0092670C">
        <w:rPr>
          <w:rFonts w:ascii="Arial" w:hAnsi="Arial" w:cs="Arial"/>
          <w:i/>
          <w:iCs/>
          <w:color w:val="44546A" w:themeColor="text2"/>
          <w:sz w:val="20"/>
          <w:szCs w:val="20"/>
        </w:rPr>
        <w:t xml:space="preserve">: </w:t>
      </w:r>
      <w:r w:rsidR="006A6AB2" w:rsidRPr="0092670C">
        <w:rPr>
          <w:rFonts w:ascii="Arial" w:hAnsi="Arial" w:cs="Arial"/>
          <w:i/>
          <w:iCs/>
          <w:color w:val="44546A" w:themeColor="text2"/>
          <w:sz w:val="20"/>
          <w:szCs w:val="20"/>
        </w:rPr>
        <w:t>D</w:t>
      </w:r>
      <w:r w:rsidRPr="0092670C">
        <w:rPr>
          <w:rFonts w:ascii="Arial" w:hAnsi="Arial" w:cs="Arial"/>
          <w:i/>
          <w:iCs/>
          <w:color w:val="44546A" w:themeColor="text2"/>
          <w:sz w:val="20"/>
          <w:szCs w:val="20"/>
        </w:rPr>
        <w:t>ifferential capacity plot of the cells 1</w:t>
      </w:r>
      <w:r w:rsidRPr="0092670C">
        <w:rPr>
          <w:rFonts w:ascii="Arial" w:hAnsi="Arial" w:cs="Arial"/>
          <w:i/>
          <w:iCs/>
          <w:color w:val="44546A" w:themeColor="text2"/>
          <w:sz w:val="20"/>
          <w:szCs w:val="20"/>
          <w:vertAlign w:val="superscript"/>
        </w:rPr>
        <w:t>st</w:t>
      </w:r>
      <w:r w:rsidRPr="0092670C">
        <w:rPr>
          <w:rFonts w:ascii="Arial" w:hAnsi="Arial" w:cs="Arial"/>
          <w:i/>
          <w:iCs/>
          <w:color w:val="44546A" w:themeColor="text2"/>
          <w:sz w:val="20"/>
          <w:szCs w:val="20"/>
        </w:rPr>
        <w:t xml:space="preserve"> cycle</w:t>
      </w:r>
      <w:r w:rsidR="006A6AB2" w:rsidRPr="0092670C">
        <w:rPr>
          <w:rFonts w:ascii="Arial" w:hAnsi="Arial" w:cs="Arial"/>
          <w:i/>
          <w:iCs/>
          <w:color w:val="44546A" w:themeColor="text2"/>
          <w:sz w:val="20"/>
          <w:szCs w:val="20"/>
        </w:rPr>
        <w:t>.</w:t>
      </w:r>
    </w:p>
    <w:p w14:paraId="23543404" w14:textId="7296571A" w:rsidR="00E336EA" w:rsidRPr="0092670C" w:rsidRDefault="00E336EA" w:rsidP="00E336EA">
      <w:pPr>
        <w:spacing w:line="360" w:lineRule="auto"/>
        <w:jc w:val="both"/>
        <w:rPr>
          <w:rFonts w:ascii="Arial" w:hAnsi="Arial" w:cs="Arial"/>
        </w:rPr>
      </w:pPr>
      <w:r w:rsidRPr="0092670C">
        <w:rPr>
          <w:rFonts w:ascii="Arial" w:hAnsi="Arial" w:cs="Arial"/>
        </w:rPr>
        <w:t>Differential capacity plots</w:t>
      </w:r>
      <w:r w:rsidR="004006E0" w:rsidRPr="0092670C">
        <w:rPr>
          <w:rFonts w:ascii="Arial" w:hAnsi="Arial" w:cs="Arial"/>
        </w:rPr>
        <w:t xml:space="preserve"> in </w:t>
      </w:r>
      <w:r w:rsidR="004006E0" w:rsidRPr="0092670C">
        <w:rPr>
          <w:rFonts w:ascii="Arial" w:hAnsi="Arial" w:cs="Arial"/>
        </w:rPr>
        <w:fldChar w:fldCharType="begin"/>
      </w:r>
      <w:r w:rsidR="004006E0" w:rsidRPr="0092670C">
        <w:rPr>
          <w:rFonts w:ascii="Arial" w:hAnsi="Arial" w:cs="Arial"/>
        </w:rPr>
        <w:instrText xml:space="preserve"> REF _Ref31488680 \h  \* MERGEFORMAT </w:instrText>
      </w:r>
      <w:r w:rsidR="004006E0" w:rsidRPr="0092670C">
        <w:rPr>
          <w:rFonts w:ascii="Arial" w:hAnsi="Arial" w:cs="Arial"/>
        </w:rPr>
      </w:r>
      <w:r w:rsidR="004006E0"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4</w:t>
      </w:r>
      <w:r w:rsidR="004006E0" w:rsidRPr="0092670C">
        <w:rPr>
          <w:rFonts w:ascii="Arial" w:hAnsi="Arial" w:cs="Arial"/>
        </w:rPr>
        <w:fldChar w:fldCharType="end"/>
      </w:r>
      <w:r w:rsidRPr="0092670C">
        <w:rPr>
          <w:rFonts w:ascii="Arial" w:hAnsi="Arial" w:cs="Arial"/>
        </w:rPr>
        <w:t xml:space="preserve"> highlight the difference between the reference cell and the pre-lithiated cells. In the anodic direction the reference peaks are severely depressed and shifted towards lower voltages.</w:t>
      </w:r>
      <w:r w:rsidR="00E515D4" w:rsidRPr="0092670C">
        <w:rPr>
          <w:rFonts w:ascii="Arial" w:hAnsi="Arial" w:cs="Arial"/>
        </w:rPr>
        <w:t xml:space="preserve"> This </w:t>
      </w:r>
      <w:r w:rsidR="00E11D36">
        <w:rPr>
          <w:rFonts w:ascii="Arial" w:hAnsi="Arial" w:cs="Arial"/>
        </w:rPr>
        <w:t>correlates with</w:t>
      </w:r>
      <w:r w:rsidR="00DA7E3A" w:rsidRPr="0092670C">
        <w:rPr>
          <w:rFonts w:ascii="Arial" w:hAnsi="Arial" w:cs="Arial"/>
        </w:rPr>
        <w:t xml:space="preserve"> the </w:t>
      </w:r>
      <w:r w:rsidR="00D3224B" w:rsidRPr="0092670C">
        <w:rPr>
          <w:rFonts w:ascii="Arial" w:hAnsi="Arial" w:cs="Arial"/>
        </w:rPr>
        <w:t xml:space="preserve">low voltage of the reference voltage of the cell in </w:t>
      </w:r>
      <w:r w:rsidR="00D3224B" w:rsidRPr="0092670C">
        <w:rPr>
          <w:rFonts w:ascii="Arial" w:hAnsi="Arial" w:cs="Arial"/>
        </w:rPr>
        <w:fldChar w:fldCharType="begin"/>
      </w:r>
      <w:r w:rsidR="00D3224B" w:rsidRPr="0092670C">
        <w:rPr>
          <w:rFonts w:ascii="Arial" w:hAnsi="Arial" w:cs="Arial"/>
        </w:rPr>
        <w:instrText xml:space="preserve"> REF _Ref31488891 \h  \* MERGEFORMAT </w:instrText>
      </w:r>
      <w:r w:rsidR="00D3224B" w:rsidRPr="0092670C">
        <w:rPr>
          <w:rFonts w:ascii="Arial" w:hAnsi="Arial" w:cs="Arial"/>
        </w:rPr>
      </w:r>
      <w:r w:rsidR="00D3224B"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w:t>
      </w:r>
      <w:r w:rsidR="00D3224B" w:rsidRPr="0092670C">
        <w:rPr>
          <w:rFonts w:ascii="Arial" w:hAnsi="Arial" w:cs="Arial"/>
        </w:rPr>
        <w:fldChar w:fldCharType="end"/>
      </w:r>
      <w:r w:rsidRPr="0092670C">
        <w:rPr>
          <w:rFonts w:ascii="Arial" w:hAnsi="Arial" w:cs="Arial"/>
        </w:rPr>
        <w:t xml:space="preserve"> </w:t>
      </w:r>
      <w:r w:rsidR="00455686" w:rsidRPr="0092670C">
        <w:rPr>
          <w:rFonts w:ascii="Arial" w:hAnsi="Arial" w:cs="Arial"/>
        </w:rPr>
        <w:t>t</w:t>
      </w:r>
      <w:r w:rsidRPr="0092670C">
        <w:rPr>
          <w:rFonts w:ascii="Arial" w:hAnsi="Arial" w:cs="Arial"/>
        </w:rPr>
        <w:t>he second peak has also merged with the third peak distorting the ΔE</w:t>
      </w:r>
      <w:r w:rsidRPr="0092670C">
        <w:rPr>
          <w:rFonts w:ascii="Arial" w:hAnsi="Arial" w:cs="Arial"/>
          <w:vertAlign w:val="subscript"/>
        </w:rPr>
        <w:t>p</w:t>
      </w:r>
      <w:r w:rsidRPr="0092670C">
        <w:rPr>
          <w:rFonts w:ascii="Arial" w:hAnsi="Arial" w:cs="Arial"/>
        </w:rPr>
        <w:t xml:space="preserve"> calculation. These changes are due to SEI formation taking current and causing graphite intercalation to be delayed. The Pre-lithiated cells both show cells without the anodic depression and instead they have peaks seen when a cell is cycling with a well formed SEI. </w:t>
      </w:r>
    </w:p>
    <w:p w14:paraId="705C4468" w14:textId="02D50E43" w:rsidR="00E336EA" w:rsidRPr="0092670C" w:rsidRDefault="00E336EA" w:rsidP="00E336EA">
      <w:pPr>
        <w:spacing w:line="360" w:lineRule="auto"/>
        <w:jc w:val="both"/>
        <w:rPr>
          <w:rFonts w:ascii="Arial" w:hAnsi="Arial" w:cs="Arial"/>
        </w:rPr>
      </w:pPr>
      <w:r w:rsidRPr="0092670C">
        <w:rPr>
          <w:rFonts w:ascii="Arial" w:hAnsi="Arial" w:cs="Arial"/>
        </w:rPr>
        <w:t xml:space="preserve">The different </w:t>
      </w:r>
      <w:r w:rsidRPr="00EE0E58">
        <w:rPr>
          <w:rFonts w:ascii="Arial" w:hAnsi="Arial" w:cs="Arial"/>
        </w:rPr>
        <w:t xml:space="preserve">peaks are labelled 1-3 </w:t>
      </w:r>
      <w:r w:rsidR="00A204A5" w:rsidRPr="00EE0E58">
        <w:rPr>
          <w:rFonts w:ascii="Arial" w:hAnsi="Arial" w:cs="Arial"/>
        </w:rPr>
        <w:t xml:space="preserve">in </w:t>
      </w:r>
      <w:r w:rsidR="00242BF4" w:rsidRPr="00EE0E58">
        <w:rPr>
          <w:rFonts w:ascii="Arial" w:hAnsi="Arial" w:cs="Arial"/>
        </w:rPr>
        <w:fldChar w:fldCharType="begin"/>
      </w:r>
      <w:r w:rsidR="00242BF4" w:rsidRPr="00EE0E58">
        <w:rPr>
          <w:rFonts w:ascii="Arial" w:hAnsi="Arial" w:cs="Arial"/>
        </w:rPr>
        <w:instrText xml:space="preserve"> REF _Ref31488680 \h </w:instrText>
      </w:r>
      <w:r w:rsidR="00EE0E58" w:rsidRPr="00EE0E58">
        <w:rPr>
          <w:rFonts w:ascii="Arial" w:hAnsi="Arial" w:cs="Arial"/>
        </w:rPr>
        <w:instrText xml:space="preserve"> \* MERGEFORMAT </w:instrText>
      </w:r>
      <w:r w:rsidR="00242BF4" w:rsidRPr="00EE0E58">
        <w:rPr>
          <w:rFonts w:ascii="Arial" w:hAnsi="Arial" w:cs="Arial"/>
        </w:rPr>
      </w:r>
      <w:r w:rsidR="00242BF4" w:rsidRPr="00EE0E58">
        <w:rPr>
          <w:rFonts w:ascii="Arial" w:hAnsi="Arial" w:cs="Arial"/>
        </w:rPr>
        <w:fldChar w:fldCharType="separate"/>
      </w:r>
      <w:r w:rsidR="00242BF4" w:rsidRPr="00EE0E58">
        <w:rPr>
          <w:rFonts w:ascii="Arial" w:hAnsi="Arial" w:cs="Arial"/>
        </w:rPr>
        <w:t xml:space="preserve">Figure </w:t>
      </w:r>
      <w:r w:rsidR="00242BF4" w:rsidRPr="00EE0E58">
        <w:rPr>
          <w:rFonts w:ascii="Arial" w:hAnsi="Arial" w:cs="Arial"/>
          <w:noProof/>
        </w:rPr>
        <w:t>3</w:t>
      </w:r>
      <w:r w:rsidR="00242BF4" w:rsidRPr="00EE0E58">
        <w:rPr>
          <w:rFonts w:ascii="Arial" w:hAnsi="Arial" w:cs="Arial"/>
        </w:rPr>
        <w:noBreakHyphen/>
      </w:r>
      <w:r w:rsidR="00242BF4" w:rsidRPr="00EE0E58">
        <w:rPr>
          <w:rFonts w:ascii="Arial" w:hAnsi="Arial" w:cs="Arial"/>
          <w:noProof/>
        </w:rPr>
        <w:t>4</w:t>
      </w:r>
      <w:r w:rsidR="00242BF4" w:rsidRPr="00EE0E58">
        <w:rPr>
          <w:rFonts w:ascii="Arial" w:hAnsi="Arial" w:cs="Arial"/>
        </w:rPr>
        <w:fldChar w:fldCharType="end"/>
      </w:r>
      <w:r w:rsidR="00242BF4" w:rsidRPr="00EE0E58">
        <w:rPr>
          <w:rFonts w:ascii="Arial" w:hAnsi="Arial" w:cs="Arial"/>
        </w:rPr>
        <w:t xml:space="preserve"> </w:t>
      </w:r>
      <w:r w:rsidRPr="00EE0E58">
        <w:rPr>
          <w:rFonts w:ascii="Arial" w:hAnsi="Arial" w:cs="Arial"/>
        </w:rPr>
        <w:t>for ease with 1 being</w:t>
      </w:r>
      <w:r w:rsidRPr="0092670C">
        <w:rPr>
          <w:rFonts w:ascii="Arial" w:hAnsi="Arial" w:cs="Arial"/>
        </w:rPr>
        <w:t xml:space="preserve"> the first peak in the anodic direction and 3 the last. The FEC pre-lithiated cell also has a slightly smaller difference between E</w:t>
      </w:r>
      <w:r w:rsidRPr="0092670C">
        <w:rPr>
          <w:rFonts w:ascii="Arial" w:hAnsi="Arial" w:cs="Arial"/>
          <w:vertAlign w:val="subscript"/>
        </w:rPr>
        <w:t>pa</w:t>
      </w:r>
      <w:r w:rsidRPr="0092670C">
        <w:rPr>
          <w:rFonts w:ascii="Arial" w:hAnsi="Arial" w:cs="Arial"/>
        </w:rPr>
        <w:t xml:space="preserve"> &amp; E</w:t>
      </w:r>
      <w:r w:rsidRPr="0092670C">
        <w:rPr>
          <w:rFonts w:ascii="Arial" w:hAnsi="Arial" w:cs="Arial"/>
          <w:vertAlign w:val="subscript"/>
        </w:rPr>
        <w:t>pc</w:t>
      </w:r>
      <w:r w:rsidRPr="0092670C">
        <w:rPr>
          <w:rFonts w:ascii="Arial" w:hAnsi="Arial" w:cs="Arial"/>
        </w:rPr>
        <w:t xml:space="preserve"> suggesting that the cell is cycling almost ideally reversibly (83.8mV).  </w:t>
      </w:r>
      <w:r w:rsidR="0042429E" w:rsidRPr="0092670C">
        <w:rPr>
          <w:rFonts w:ascii="Arial" w:hAnsi="Arial" w:cs="Arial"/>
        </w:rPr>
        <w:t>Overall,</w:t>
      </w:r>
      <w:r w:rsidRPr="0092670C">
        <w:rPr>
          <w:rFonts w:ascii="Arial" w:hAnsi="Arial" w:cs="Arial"/>
        </w:rPr>
        <w:t xml:space="preserve"> the better the SEI is before cycling the smaller ΔE</w:t>
      </w:r>
      <w:r w:rsidRPr="0092670C">
        <w:rPr>
          <w:rFonts w:ascii="Arial" w:hAnsi="Arial" w:cs="Arial"/>
          <w:vertAlign w:val="subscript"/>
        </w:rPr>
        <w:t>p</w:t>
      </w:r>
      <w:r w:rsidRPr="0092670C">
        <w:rPr>
          <w:rFonts w:ascii="Arial" w:hAnsi="Arial" w:cs="Arial"/>
        </w:rPr>
        <w:t xml:space="preserve"> </w:t>
      </w:r>
      <w:r w:rsidR="00892A5A" w:rsidRPr="0092670C">
        <w:rPr>
          <w:rFonts w:ascii="Arial" w:hAnsi="Arial" w:cs="Arial"/>
        </w:rPr>
        <w:t>values obtained</w:t>
      </w:r>
      <w:r w:rsidR="00A204A5" w:rsidRPr="0092670C">
        <w:rPr>
          <w:rFonts w:ascii="Arial" w:hAnsi="Arial" w:cs="Arial"/>
        </w:rPr>
        <w:t>.</w:t>
      </w:r>
    </w:p>
    <w:p w14:paraId="122A1B76" w14:textId="77BA5CCD" w:rsidR="004F6B49" w:rsidRPr="004F6B49" w:rsidRDefault="004F6B49" w:rsidP="004F6B49">
      <w:pPr>
        <w:pStyle w:val="Caption"/>
        <w:keepNext/>
        <w:rPr>
          <w:rFonts w:ascii="Arial" w:hAnsi="Arial" w:cs="Arial"/>
          <w:sz w:val="20"/>
          <w:szCs w:val="20"/>
        </w:rPr>
      </w:pPr>
      <w:r w:rsidRPr="004F6B49">
        <w:rPr>
          <w:rFonts w:ascii="Arial" w:hAnsi="Arial" w:cs="Arial"/>
          <w:sz w:val="20"/>
          <w:szCs w:val="20"/>
        </w:rPr>
        <w:t xml:space="preserve">Table </w:t>
      </w:r>
      <w:r w:rsidRPr="004F6B49">
        <w:rPr>
          <w:rFonts w:ascii="Arial" w:hAnsi="Arial" w:cs="Arial"/>
          <w:sz w:val="20"/>
          <w:szCs w:val="20"/>
        </w:rPr>
        <w:fldChar w:fldCharType="begin"/>
      </w:r>
      <w:r w:rsidRPr="004F6B49">
        <w:rPr>
          <w:rFonts w:ascii="Arial" w:hAnsi="Arial" w:cs="Arial"/>
          <w:sz w:val="20"/>
          <w:szCs w:val="20"/>
        </w:rPr>
        <w:instrText xml:space="preserve"> STYLEREF 1 \s </w:instrText>
      </w:r>
      <w:r w:rsidRPr="004F6B49">
        <w:rPr>
          <w:rFonts w:ascii="Arial" w:hAnsi="Arial" w:cs="Arial"/>
          <w:sz w:val="20"/>
          <w:szCs w:val="20"/>
        </w:rPr>
        <w:fldChar w:fldCharType="separate"/>
      </w:r>
      <w:r w:rsidR="007342C8">
        <w:rPr>
          <w:rFonts w:ascii="Arial" w:hAnsi="Arial" w:cs="Arial"/>
          <w:noProof/>
          <w:sz w:val="20"/>
          <w:szCs w:val="20"/>
        </w:rPr>
        <w:t>3</w:t>
      </w:r>
      <w:r w:rsidRPr="004F6B49">
        <w:rPr>
          <w:rFonts w:ascii="Arial" w:hAnsi="Arial" w:cs="Arial"/>
          <w:sz w:val="20"/>
          <w:szCs w:val="20"/>
        </w:rPr>
        <w:fldChar w:fldCharType="end"/>
      </w:r>
      <w:r w:rsidRPr="004F6B49">
        <w:rPr>
          <w:rFonts w:ascii="Arial" w:hAnsi="Arial" w:cs="Arial"/>
          <w:sz w:val="20"/>
          <w:szCs w:val="20"/>
        </w:rPr>
        <w:noBreakHyphen/>
      </w:r>
      <w:r w:rsidRPr="004F6B49">
        <w:rPr>
          <w:rFonts w:ascii="Arial" w:hAnsi="Arial" w:cs="Arial"/>
          <w:sz w:val="20"/>
          <w:szCs w:val="20"/>
        </w:rPr>
        <w:fldChar w:fldCharType="begin"/>
      </w:r>
      <w:r w:rsidRPr="004F6B49">
        <w:rPr>
          <w:rFonts w:ascii="Arial" w:hAnsi="Arial" w:cs="Arial"/>
          <w:sz w:val="20"/>
          <w:szCs w:val="20"/>
        </w:rPr>
        <w:instrText xml:space="preserve"> SEQ Table \* ARABIC \s 1 </w:instrText>
      </w:r>
      <w:r w:rsidRPr="004F6B49">
        <w:rPr>
          <w:rFonts w:ascii="Arial" w:hAnsi="Arial" w:cs="Arial"/>
          <w:sz w:val="20"/>
          <w:szCs w:val="20"/>
        </w:rPr>
        <w:fldChar w:fldCharType="separate"/>
      </w:r>
      <w:r w:rsidR="007342C8">
        <w:rPr>
          <w:rFonts w:ascii="Arial" w:hAnsi="Arial" w:cs="Arial"/>
          <w:noProof/>
          <w:sz w:val="20"/>
          <w:szCs w:val="20"/>
        </w:rPr>
        <w:t>1</w:t>
      </w:r>
      <w:r w:rsidRPr="004F6B49">
        <w:rPr>
          <w:rFonts w:ascii="Arial" w:hAnsi="Arial" w:cs="Arial"/>
          <w:sz w:val="20"/>
          <w:szCs w:val="20"/>
        </w:rPr>
        <w:fldChar w:fldCharType="end"/>
      </w:r>
      <w:r w:rsidRPr="004F6B49">
        <w:rPr>
          <w:rFonts w:ascii="Arial" w:hAnsi="Arial" w:cs="Arial"/>
          <w:sz w:val="20"/>
          <w:szCs w:val="20"/>
        </w:rPr>
        <w:t>: Values derived from differential capacity plots for the 1st cycle.</w:t>
      </w:r>
    </w:p>
    <w:tbl>
      <w:tblPr>
        <w:tblStyle w:val="TableGrid4"/>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1950"/>
        <w:gridCol w:w="2267"/>
        <w:gridCol w:w="2061"/>
      </w:tblGrid>
      <w:tr w:rsidR="00E73FA4" w:rsidRPr="0092670C" w14:paraId="6A8F3DD9" w14:textId="77777777" w:rsidTr="00E73FA4">
        <w:trPr>
          <w:trHeight w:val="372"/>
        </w:trPr>
        <w:tc>
          <w:tcPr>
            <w:tcW w:w="2852" w:type="dxa"/>
            <w:tcBorders>
              <w:top w:val="single" w:sz="4" w:space="0" w:color="auto"/>
              <w:bottom w:val="single" w:sz="4" w:space="0" w:color="auto"/>
            </w:tcBorders>
          </w:tcPr>
          <w:p w14:paraId="1EB94A83" w14:textId="77777777" w:rsidR="00E73FA4" w:rsidRPr="0092670C" w:rsidRDefault="00E73FA4" w:rsidP="00E336EA">
            <w:pPr>
              <w:spacing w:line="360" w:lineRule="auto"/>
              <w:jc w:val="both"/>
              <w:rPr>
                <w:rFonts w:ascii="Arial" w:hAnsi="Arial" w:cs="Arial"/>
              </w:rPr>
            </w:pPr>
            <w:bookmarkStart w:id="143" w:name="_Hlk1137969"/>
            <w:bookmarkStart w:id="144" w:name="_Hlk1386861"/>
            <w:r w:rsidRPr="0092670C">
              <w:rPr>
                <w:rFonts w:ascii="Arial" w:hAnsi="Arial" w:cs="Arial"/>
              </w:rPr>
              <w:t>Cell</w:t>
            </w:r>
          </w:p>
        </w:tc>
        <w:tc>
          <w:tcPr>
            <w:tcW w:w="1950" w:type="dxa"/>
            <w:tcBorders>
              <w:top w:val="single" w:sz="4" w:space="0" w:color="auto"/>
              <w:bottom w:val="single" w:sz="4" w:space="0" w:color="auto"/>
            </w:tcBorders>
          </w:tcPr>
          <w:p w14:paraId="456C3977" w14:textId="23E64916" w:rsidR="00E73FA4" w:rsidRPr="0092670C" w:rsidRDefault="00E73FA4"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1</w:t>
            </w:r>
            <w:r w:rsidR="0024196D">
              <w:rPr>
                <w:rFonts w:ascii="Arial" w:hAnsi="Arial" w:cs="Arial"/>
              </w:rPr>
              <w:t xml:space="preserve"> </w:t>
            </w:r>
            <w:r w:rsidRPr="0092670C">
              <w:rPr>
                <w:rFonts w:ascii="Arial" w:hAnsi="Arial" w:cs="Arial"/>
              </w:rPr>
              <w:t>(mV)</w:t>
            </w:r>
          </w:p>
        </w:tc>
        <w:tc>
          <w:tcPr>
            <w:tcW w:w="2267" w:type="dxa"/>
            <w:tcBorders>
              <w:top w:val="single" w:sz="4" w:space="0" w:color="auto"/>
              <w:bottom w:val="single" w:sz="4" w:space="0" w:color="auto"/>
            </w:tcBorders>
          </w:tcPr>
          <w:p w14:paraId="6FEF92B8" w14:textId="2B268069" w:rsidR="00E73FA4" w:rsidRPr="0092670C" w:rsidRDefault="00E73FA4"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2</w:t>
            </w:r>
            <w:r w:rsidR="0024196D">
              <w:rPr>
                <w:rFonts w:ascii="Arial" w:hAnsi="Arial" w:cs="Arial"/>
              </w:rPr>
              <w:t xml:space="preserve"> </w:t>
            </w:r>
            <w:r w:rsidRPr="0092670C">
              <w:rPr>
                <w:rFonts w:ascii="Arial" w:hAnsi="Arial" w:cs="Arial"/>
              </w:rPr>
              <w:t>(mV)</w:t>
            </w:r>
          </w:p>
        </w:tc>
        <w:tc>
          <w:tcPr>
            <w:tcW w:w="2061" w:type="dxa"/>
            <w:tcBorders>
              <w:top w:val="single" w:sz="4" w:space="0" w:color="auto"/>
              <w:bottom w:val="single" w:sz="4" w:space="0" w:color="auto"/>
            </w:tcBorders>
          </w:tcPr>
          <w:p w14:paraId="2E900663" w14:textId="7386A62E" w:rsidR="00E73FA4" w:rsidRPr="0092670C" w:rsidRDefault="00E73FA4" w:rsidP="00E336EA">
            <w:pPr>
              <w:spacing w:line="360" w:lineRule="auto"/>
              <w:jc w:val="both"/>
              <w:rPr>
                <w:rFonts w:ascii="Arial" w:hAnsi="Arial" w:cs="Arial"/>
                <w:i/>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3</w:t>
            </w:r>
            <w:r w:rsidR="0024196D">
              <w:rPr>
                <w:rFonts w:ascii="Arial" w:hAnsi="Arial" w:cs="Arial"/>
              </w:rPr>
              <w:t xml:space="preserve"> </w:t>
            </w:r>
            <w:r w:rsidRPr="0092670C">
              <w:rPr>
                <w:rFonts w:ascii="Arial" w:hAnsi="Arial" w:cs="Arial"/>
              </w:rPr>
              <w:t>(mV)</w:t>
            </w:r>
          </w:p>
        </w:tc>
      </w:tr>
      <w:bookmarkEnd w:id="143"/>
      <w:tr w:rsidR="00E73FA4" w:rsidRPr="0092670C" w14:paraId="23E3608C" w14:textId="77777777" w:rsidTr="00E73FA4">
        <w:trPr>
          <w:trHeight w:val="383"/>
        </w:trPr>
        <w:tc>
          <w:tcPr>
            <w:tcW w:w="2852" w:type="dxa"/>
            <w:tcBorders>
              <w:top w:val="single" w:sz="4" w:space="0" w:color="auto"/>
            </w:tcBorders>
          </w:tcPr>
          <w:p w14:paraId="14448E58" w14:textId="77777777" w:rsidR="00E73FA4" w:rsidRPr="0092670C" w:rsidRDefault="00E73FA4" w:rsidP="00E336EA">
            <w:pPr>
              <w:spacing w:line="360" w:lineRule="auto"/>
              <w:jc w:val="both"/>
              <w:rPr>
                <w:rFonts w:ascii="Arial" w:hAnsi="Arial" w:cs="Arial"/>
              </w:rPr>
            </w:pPr>
            <w:r w:rsidRPr="0092670C">
              <w:rPr>
                <w:rFonts w:ascii="Arial" w:hAnsi="Arial" w:cs="Arial"/>
              </w:rPr>
              <w:t>Reference</w:t>
            </w:r>
          </w:p>
        </w:tc>
        <w:tc>
          <w:tcPr>
            <w:tcW w:w="1950" w:type="dxa"/>
            <w:tcBorders>
              <w:top w:val="single" w:sz="4" w:space="0" w:color="auto"/>
            </w:tcBorders>
          </w:tcPr>
          <w:p w14:paraId="251577A6" w14:textId="77777777" w:rsidR="00E73FA4" w:rsidRPr="0092670C" w:rsidRDefault="00E73FA4" w:rsidP="00E336EA">
            <w:pPr>
              <w:spacing w:line="360" w:lineRule="auto"/>
              <w:jc w:val="both"/>
              <w:rPr>
                <w:rFonts w:ascii="Arial" w:hAnsi="Arial" w:cs="Arial"/>
              </w:rPr>
            </w:pPr>
            <w:r w:rsidRPr="0092670C">
              <w:rPr>
                <w:rFonts w:ascii="Arial" w:hAnsi="Arial" w:cs="Arial"/>
              </w:rPr>
              <w:t>120.8</w:t>
            </w:r>
          </w:p>
        </w:tc>
        <w:tc>
          <w:tcPr>
            <w:tcW w:w="2267" w:type="dxa"/>
            <w:tcBorders>
              <w:top w:val="single" w:sz="4" w:space="0" w:color="auto"/>
            </w:tcBorders>
          </w:tcPr>
          <w:p w14:paraId="4DCE2401" w14:textId="77777777" w:rsidR="00E73FA4" w:rsidRPr="0092670C" w:rsidRDefault="00E73FA4" w:rsidP="00E336EA">
            <w:pPr>
              <w:spacing w:line="360" w:lineRule="auto"/>
              <w:jc w:val="both"/>
              <w:rPr>
                <w:rFonts w:ascii="Arial" w:hAnsi="Arial" w:cs="Arial"/>
              </w:rPr>
            </w:pPr>
            <w:r w:rsidRPr="0092670C">
              <w:rPr>
                <w:rFonts w:ascii="Arial" w:hAnsi="Arial" w:cs="Arial"/>
              </w:rPr>
              <w:t>-</w:t>
            </w:r>
          </w:p>
        </w:tc>
        <w:tc>
          <w:tcPr>
            <w:tcW w:w="2061" w:type="dxa"/>
            <w:tcBorders>
              <w:top w:val="single" w:sz="4" w:space="0" w:color="auto"/>
            </w:tcBorders>
          </w:tcPr>
          <w:p w14:paraId="02E521EB" w14:textId="77777777" w:rsidR="00E73FA4" w:rsidRPr="0092670C" w:rsidRDefault="00E73FA4" w:rsidP="00E336EA">
            <w:pPr>
              <w:spacing w:line="360" w:lineRule="auto"/>
              <w:jc w:val="both"/>
              <w:rPr>
                <w:rFonts w:ascii="Arial" w:hAnsi="Arial" w:cs="Arial"/>
              </w:rPr>
            </w:pPr>
            <w:r w:rsidRPr="0092670C">
              <w:rPr>
                <w:rFonts w:ascii="Arial" w:hAnsi="Arial" w:cs="Arial"/>
              </w:rPr>
              <w:t>95.2</w:t>
            </w:r>
          </w:p>
        </w:tc>
      </w:tr>
      <w:tr w:rsidR="00E73FA4" w:rsidRPr="0092670C" w14:paraId="1F120EEE" w14:textId="77777777" w:rsidTr="00E73FA4">
        <w:trPr>
          <w:trHeight w:val="372"/>
        </w:trPr>
        <w:tc>
          <w:tcPr>
            <w:tcW w:w="2852" w:type="dxa"/>
          </w:tcPr>
          <w:p w14:paraId="64FB9C7F" w14:textId="77777777" w:rsidR="00E73FA4" w:rsidRPr="0092670C" w:rsidRDefault="00E73FA4" w:rsidP="00E336EA">
            <w:pPr>
              <w:spacing w:line="360" w:lineRule="auto"/>
              <w:jc w:val="both"/>
              <w:rPr>
                <w:rFonts w:ascii="Arial" w:hAnsi="Arial" w:cs="Arial"/>
              </w:rPr>
            </w:pPr>
            <w:r w:rsidRPr="0092670C">
              <w:rPr>
                <w:rFonts w:ascii="Arial" w:hAnsi="Arial" w:cs="Arial"/>
              </w:rPr>
              <w:t>LP30</w:t>
            </w:r>
          </w:p>
        </w:tc>
        <w:tc>
          <w:tcPr>
            <w:tcW w:w="1950" w:type="dxa"/>
          </w:tcPr>
          <w:p w14:paraId="23AF9279" w14:textId="77777777" w:rsidR="00E73FA4" w:rsidRPr="0092670C" w:rsidRDefault="00E73FA4" w:rsidP="00E336EA">
            <w:pPr>
              <w:spacing w:line="360" w:lineRule="auto"/>
              <w:jc w:val="both"/>
              <w:rPr>
                <w:rFonts w:ascii="Arial" w:hAnsi="Arial" w:cs="Arial"/>
              </w:rPr>
            </w:pPr>
            <w:r w:rsidRPr="0092670C">
              <w:rPr>
                <w:rFonts w:ascii="Arial" w:hAnsi="Arial" w:cs="Arial"/>
              </w:rPr>
              <w:t>100.1</w:t>
            </w:r>
          </w:p>
        </w:tc>
        <w:tc>
          <w:tcPr>
            <w:tcW w:w="2267" w:type="dxa"/>
          </w:tcPr>
          <w:p w14:paraId="1E83699B" w14:textId="77777777" w:rsidR="00E73FA4" w:rsidRPr="0092670C" w:rsidRDefault="00E73FA4" w:rsidP="00E336EA">
            <w:pPr>
              <w:spacing w:line="360" w:lineRule="auto"/>
              <w:jc w:val="both"/>
              <w:rPr>
                <w:rFonts w:ascii="Arial" w:hAnsi="Arial" w:cs="Arial"/>
              </w:rPr>
            </w:pPr>
            <w:r w:rsidRPr="0092670C">
              <w:rPr>
                <w:rFonts w:ascii="Arial" w:hAnsi="Arial" w:cs="Arial"/>
              </w:rPr>
              <w:t>94.3</w:t>
            </w:r>
          </w:p>
        </w:tc>
        <w:tc>
          <w:tcPr>
            <w:tcW w:w="2061" w:type="dxa"/>
          </w:tcPr>
          <w:p w14:paraId="1EB947F1" w14:textId="77777777" w:rsidR="00E73FA4" w:rsidRPr="0092670C" w:rsidRDefault="00E73FA4" w:rsidP="00E336EA">
            <w:pPr>
              <w:spacing w:line="360" w:lineRule="auto"/>
              <w:jc w:val="both"/>
              <w:rPr>
                <w:rFonts w:ascii="Arial" w:hAnsi="Arial" w:cs="Arial"/>
              </w:rPr>
            </w:pPr>
            <w:r w:rsidRPr="0092670C">
              <w:rPr>
                <w:rFonts w:ascii="Arial" w:hAnsi="Arial" w:cs="Arial"/>
              </w:rPr>
              <w:t>94.3</w:t>
            </w:r>
          </w:p>
        </w:tc>
      </w:tr>
      <w:tr w:rsidR="00E73FA4" w:rsidRPr="0092670C" w14:paraId="727684AE" w14:textId="77777777" w:rsidTr="00E73FA4">
        <w:trPr>
          <w:trHeight w:val="383"/>
        </w:trPr>
        <w:tc>
          <w:tcPr>
            <w:tcW w:w="2852" w:type="dxa"/>
            <w:tcBorders>
              <w:bottom w:val="single" w:sz="4" w:space="0" w:color="auto"/>
            </w:tcBorders>
          </w:tcPr>
          <w:p w14:paraId="12D3804E" w14:textId="77777777" w:rsidR="00E73FA4" w:rsidRPr="0092670C" w:rsidRDefault="00E73FA4" w:rsidP="00E336EA">
            <w:pPr>
              <w:spacing w:line="360" w:lineRule="auto"/>
              <w:jc w:val="both"/>
              <w:rPr>
                <w:rFonts w:ascii="Arial" w:hAnsi="Arial" w:cs="Arial"/>
              </w:rPr>
            </w:pPr>
            <w:r w:rsidRPr="0092670C">
              <w:rPr>
                <w:rFonts w:ascii="Arial" w:hAnsi="Arial" w:cs="Arial"/>
              </w:rPr>
              <w:t>FEC</w:t>
            </w:r>
          </w:p>
        </w:tc>
        <w:tc>
          <w:tcPr>
            <w:tcW w:w="1950" w:type="dxa"/>
            <w:tcBorders>
              <w:bottom w:val="single" w:sz="4" w:space="0" w:color="auto"/>
            </w:tcBorders>
          </w:tcPr>
          <w:p w14:paraId="56EDDA85" w14:textId="77777777" w:rsidR="00E73FA4" w:rsidRPr="0092670C" w:rsidRDefault="00E73FA4" w:rsidP="00E336EA">
            <w:pPr>
              <w:spacing w:line="360" w:lineRule="auto"/>
              <w:jc w:val="both"/>
              <w:rPr>
                <w:rFonts w:ascii="Arial" w:hAnsi="Arial" w:cs="Arial"/>
              </w:rPr>
            </w:pPr>
            <w:r w:rsidRPr="0092670C">
              <w:rPr>
                <w:rFonts w:ascii="Arial" w:hAnsi="Arial" w:cs="Arial"/>
              </w:rPr>
              <w:t>84.7</w:t>
            </w:r>
          </w:p>
        </w:tc>
        <w:tc>
          <w:tcPr>
            <w:tcW w:w="2267" w:type="dxa"/>
            <w:tcBorders>
              <w:bottom w:val="single" w:sz="4" w:space="0" w:color="auto"/>
            </w:tcBorders>
          </w:tcPr>
          <w:p w14:paraId="55E1B0BE" w14:textId="77777777" w:rsidR="00E73FA4" w:rsidRPr="0092670C" w:rsidRDefault="00E73FA4" w:rsidP="00E336EA">
            <w:pPr>
              <w:spacing w:line="360" w:lineRule="auto"/>
              <w:jc w:val="both"/>
              <w:rPr>
                <w:rFonts w:ascii="Arial" w:hAnsi="Arial" w:cs="Arial"/>
              </w:rPr>
            </w:pPr>
            <w:r w:rsidRPr="0092670C">
              <w:rPr>
                <w:rFonts w:ascii="Arial" w:hAnsi="Arial" w:cs="Arial"/>
              </w:rPr>
              <w:t>83.8</w:t>
            </w:r>
          </w:p>
        </w:tc>
        <w:tc>
          <w:tcPr>
            <w:tcW w:w="2061" w:type="dxa"/>
            <w:tcBorders>
              <w:bottom w:val="single" w:sz="4" w:space="0" w:color="auto"/>
            </w:tcBorders>
          </w:tcPr>
          <w:p w14:paraId="7B4E899F" w14:textId="77777777" w:rsidR="00E73FA4" w:rsidRPr="0092670C" w:rsidRDefault="00E73FA4" w:rsidP="00E336EA">
            <w:pPr>
              <w:spacing w:line="360" w:lineRule="auto"/>
              <w:jc w:val="both"/>
              <w:rPr>
                <w:rFonts w:ascii="Arial" w:hAnsi="Arial" w:cs="Arial"/>
              </w:rPr>
            </w:pPr>
            <w:r w:rsidRPr="0092670C">
              <w:rPr>
                <w:rFonts w:ascii="Arial" w:hAnsi="Arial" w:cs="Arial"/>
              </w:rPr>
              <w:t>88.5</w:t>
            </w:r>
          </w:p>
        </w:tc>
      </w:tr>
    </w:tbl>
    <w:bookmarkEnd w:id="144"/>
    <w:p w14:paraId="1EDBE841" w14:textId="7777777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2" w:dyaOrig="4722" w14:anchorId="06B270D4">
          <v:shape id="_x0000_i1071" type="#_x0000_t75" style="width:330.1pt;height:252pt" o:ole="">
            <v:imagedata r:id="rId142" o:title=""/>
          </v:shape>
          <o:OLEObject Type="Embed" ProgID="Origin95.Graph" ShapeID="_x0000_i1071" DrawAspect="Content" ObjectID="_1700733960" r:id="rId143"/>
        </w:object>
      </w:r>
    </w:p>
    <w:p w14:paraId="7569D662" w14:textId="7D9E0D13" w:rsidR="00E336EA" w:rsidRPr="0092670C" w:rsidRDefault="00E336EA" w:rsidP="00E336EA">
      <w:pPr>
        <w:spacing w:after="200" w:line="360" w:lineRule="auto"/>
        <w:jc w:val="center"/>
        <w:rPr>
          <w:rFonts w:ascii="Arial" w:hAnsi="Arial" w:cs="Arial"/>
          <w:i/>
          <w:iCs/>
          <w:color w:val="44546A" w:themeColor="text2"/>
          <w:sz w:val="20"/>
          <w:szCs w:val="20"/>
        </w:rPr>
      </w:pPr>
      <w:bookmarkStart w:id="145" w:name="_Ref31485988"/>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5</w:t>
      </w:r>
      <w:r w:rsidR="00356A26">
        <w:rPr>
          <w:rFonts w:ascii="Arial" w:hAnsi="Arial" w:cs="Arial"/>
          <w:i/>
          <w:iCs/>
          <w:color w:val="44546A" w:themeColor="text2"/>
          <w:sz w:val="20"/>
          <w:szCs w:val="20"/>
        </w:rPr>
        <w:fldChar w:fldCharType="end"/>
      </w:r>
      <w:bookmarkEnd w:id="145"/>
      <w:r w:rsidRPr="0092670C">
        <w:rPr>
          <w:rFonts w:ascii="Arial" w:hAnsi="Arial" w:cs="Arial"/>
          <w:i/>
          <w:iCs/>
          <w:color w:val="44546A" w:themeColor="text2"/>
          <w:sz w:val="20"/>
          <w:szCs w:val="20"/>
        </w:rPr>
        <w:t xml:space="preserve">: </w:t>
      </w:r>
      <w:r w:rsidR="006A6AB2" w:rsidRPr="0092670C">
        <w:rPr>
          <w:rFonts w:ascii="Arial" w:hAnsi="Arial" w:cs="Arial"/>
          <w:i/>
          <w:iCs/>
          <w:color w:val="44546A" w:themeColor="text2"/>
          <w:sz w:val="20"/>
          <w:szCs w:val="20"/>
        </w:rPr>
        <w:t>D</w:t>
      </w:r>
      <w:r w:rsidRPr="0092670C">
        <w:rPr>
          <w:rFonts w:ascii="Arial" w:hAnsi="Arial" w:cs="Arial"/>
          <w:i/>
          <w:iCs/>
          <w:color w:val="44546A" w:themeColor="text2"/>
          <w:sz w:val="20"/>
          <w:szCs w:val="20"/>
        </w:rPr>
        <w:t>ifferential capacity plot of the cells 30</w:t>
      </w:r>
      <w:r w:rsidRPr="0092670C">
        <w:rPr>
          <w:rFonts w:ascii="Arial" w:hAnsi="Arial" w:cs="Arial"/>
          <w:i/>
          <w:iCs/>
          <w:color w:val="44546A" w:themeColor="text2"/>
          <w:sz w:val="20"/>
          <w:szCs w:val="20"/>
          <w:vertAlign w:val="superscript"/>
        </w:rPr>
        <w:t>th</w:t>
      </w:r>
      <w:r w:rsidRPr="0092670C">
        <w:rPr>
          <w:rFonts w:ascii="Arial" w:hAnsi="Arial" w:cs="Arial"/>
          <w:i/>
          <w:iCs/>
          <w:color w:val="44546A" w:themeColor="text2"/>
          <w:sz w:val="20"/>
          <w:szCs w:val="20"/>
        </w:rPr>
        <w:t xml:space="preserve"> cycle</w:t>
      </w:r>
      <w:r w:rsidR="006A6AB2" w:rsidRPr="0092670C">
        <w:rPr>
          <w:rFonts w:ascii="Arial" w:hAnsi="Arial" w:cs="Arial"/>
          <w:i/>
          <w:iCs/>
          <w:color w:val="44546A" w:themeColor="text2"/>
          <w:sz w:val="20"/>
          <w:szCs w:val="20"/>
        </w:rPr>
        <w:t>.</w:t>
      </w:r>
    </w:p>
    <w:p w14:paraId="2FE2FE00" w14:textId="6576327B" w:rsidR="00BB033D" w:rsidRPr="000644C2" w:rsidRDefault="00E336EA" w:rsidP="000644C2">
      <w:pPr>
        <w:spacing w:line="360" w:lineRule="auto"/>
        <w:jc w:val="both"/>
        <w:rPr>
          <w:rFonts w:ascii="Arial" w:hAnsi="Arial" w:cs="Arial"/>
        </w:rPr>
      </w:pPr>
      <w:r w:rsidRPr="0092670C">
        <w:rPr>
          <w:rFonts w:ascii="Arial" w:hAnsi="Arial" w:cs="Arial"/>
        </w:rPr>
        <w:t xml:space="preserve">After 30 cycles </w:t>
      </w:r>
      <w:r w:rsidR="00A83E6A">
        <w:rPr>
          <w:rFonts w:ascii="Arial" w:hAnsi="Arial" w:cs="Arial"/>
        </w:rPr>
        <w:t xml:space="preserve">all </w:t>
      </w:r>
      <w:r w:rsidRPr="0092670C">
        <w:rPr>
          <w:rFonts w:ascii="Arial" w:hAnsi="Arial" w:cs="Arial"/>
        </w:rPr>
        <w:t xml:space="preserve">3 </w:t>
      </w:r>
      <w:r w:rsidR="00325BDC">
        <w:rPr>
          <w:rFonts w:ascii="Arial" w:hAnsi="Arial" w:cs="Arial"/>
        </w:rPr>
        <w:t xml:space="preserve">cell types </w:t>
      </w:r>
      <w:r w:rsidRPr="0092670C">
        <w:rPr>
          <w:rFonts w:ascii="Arial" w:hAnsi="Arial" w:cs="Arial"/>
        </w:rPr>
        <w:t>have much smaller ΔE</w:t>
      </w:r>
      <w:r w:rsidRPr="0092670C">
        <w:rPr>
          <w:rFonts w:ascii="Arial" w:hAnsi="Arial" w:cs="Arial"/>
          <w:vertAlign w:val="subscript"/>
        </w:rPr>
        <w:t>p</w:t>
      </w:r>
      <w:r w:rsidRPr="0092670C">
        <w:rPr>
          <w:rFonts w:ascii="Arial" w:hAnsi="Arial" w:cs="Arial"/>
        </w:rPr>
        <w:t xml:space="preserve"> suggesting that all of the cells are cycling </w:t>
      </w:r>
      <w:r w:rsidR="009D0C90">
        <w:rPr>
          <w:rFonts w:ascii="Arial" w:hAnsi="Arial" w:cs="Arial"/>
        </w:rPr>
        <w:t>with limited current leakage</w:t>
      </w:r>
      <w:r w:rsidRPr="0092670C">
        <w:rPr>
          <w:rFonts w:ascii="Arial" w:hAnsi="Arial" w:cs="Arial"/>
        </w:rPr>
        <w:t xml:space="preserve">. The coulombic efficiencies for all of these cells are greater than 99% </w:t>
      </w:r>
      <w:r w:rsidR="007F0E69">
        <w:rPr>
          <w:rFonts w:ascii="Arial" w:hAnsi="Arial" w:cs="Arial"/>
        </w:rPr>
        <w:t>after the 10</w:t>
      </w:r>
      <w:r w:rsidR="007F0E69" w:rsidRPr="007F0E69">
        <w:rPr>
          <w:rFonts w:ascii="Arial" w:hAnsi="Arial" w:cs="Arial"/>
          <w:vertAlign w:val="superscript"/>
        </w:rPr>
        <w:t>th</w:t>
      </w:r>
      <w:r w:rsidR="007F0E69">
        <w:rPr>
          <w:rFonts w:ascii="Arial" w:hAnsi="Arial" w:cs="Arial"/>
        </w:rPr>
        <w:t xml:space="preserve"> cycle </w:t>
      </w:r>
      <w:r w:rsidR="00EC42B7">
        <w:rPr>
          <w:rFonts w:ascii="Arial" w:hAnsi="Arial" w:cs="Arial"/>
        </w:rPr>
        <w:t xml:space="preserve">due to effective SEI coverage limiting </w:t>
      </w:r>
      <w:r w:rsidR="001737E9">
        <w:rPr>
          <w:rFonts w:ascii="Arial" w:hAnsi="Arial" w:cs="Arial"/>
        </w:rPr>
        <w:t>parasitic reactions between the electrolyte and L</w:t>
      </w:r>
      <w:r w:rsidR="009D0C90">
        <w:rPr>
          <w:rFonts w:ascii="Arial" w:hAnsi="Arial" w:cs="Arial"/>
        </w:rPr>
        <w:t>i</w:t>
      </w:r>
      <w:r w:rsidR="001737E9">
        <w:rPr>
          <w:rFonts w:ascii="Arial" w:hAnsi="Arial" w:cs="Arial"/>
        </w:rPr>
        <w:t>.</w:t>
      </w:r>
    </w:p>
    <w:p w14:paraId="598C041F" w14:textId="195368AA" w:rsidR="00141081" w:rsidRPr="0092670C" w:rsidRDefault="00141081" w:rsidP="00141081">
      <w:pPr>
        <w:pStyle w:val="Caption"/>
        <w:keepNext/>
        <w:rPr>
          <w:rFonts w:ascii="Arial" w:hAnsi="Arial" w:cs="Arial"/>
          <w:sz w:val="20"/>
          <w:szCs w:val="20"/>
        </w:rPr>
      </w:pPr>
      <w:r w:rsidRPr="0092670C">
        <w:rPr>
          <w:rFonts w:ascii="Arial" w:hAnsi="Arial" w:cs="Arial"/>
          <w:sz w:val="20"/>
          <w:szCs w:val="20"/>
        </w:rPr>
        <w:t xml:space="preserve">Table </w:t>
      </w:r>
      <w:r w:rsidR="004F6B49">
        <w:rPr>
          <w:rFonts w:ascii="Arial" w:hAnsi="Arial" w:cs="Arial"/>
          <w:sz w:val="20"/>
          <w:szCs w:val="20"/>
        </w:rPr>
        <w:fldChar w:fldCharType="begin"/>
      </w:r>
      <w:r w:rsidR="004F6B49">
        <w:rPr>
          <w:rFonts w:ascii="Arial" w:hAnsi="Arial" w:cs="Arial"/>
          <w:sz w:val="20"/>
          <w:szCs w:val="20"/>
        </w:rPr>
        <w:instrText xml:space="preserve"> STYLEREF 1 \s </w:instrText>
      </w:r>
      <w:r w:rsidR="004F6B49">
        <w:rPr>
          <w:rFonts w:ascii="Arial" w:hAnsi="Arial" w:cs="Arial"/>
          <w:sz w:val="20"/>
          <w:szCs w:val="20"/>
        </w:rPr>
        <w:fldChar w:fldCharType="separate"/>
      </w:r>
      <w:r w:rsidR="007342C8">
        <w:rPr>
          <w:rFonts w:ascii="Arial" w:hAnsi="Arial" w:cs="Arial"/>
          <w:noProof/>
          <w:sz w:val="20"/>
          <w:szCs w:val="20"/>
        </w:rPr>
        <w:t>3</w:t>
      </w:r>
      <w:r w:rsidR="004F6B49">
        <w:rPr>
          <w:rFonts w:ascii="Arial" w:hAnsi="Arial" w:cs="Arial"/>
          <w:sz w:val="20"/>
          <w:szCs w:val="20"/>
        </w:rPr>
        <w:fldChar w:fldCharType="end"/>
      </w:r>
      <w:r w:rsidR="004F6B49">
        <w:rPr>
          <w:rFonts w:ascii="Arial" w:hAnsi="Arial" w:cs="Arial"/>
          <w:sz w:val="20"/>
          <w:szCs w:val="20"/>
        </w:rPr>
        <w:noBreakHyphen/>
      </w:r>
      <w:r w:rsidR="004F6B49">
        <w:rPr>
          <w:rFonts w:ascii="Arial" w:hAnsi="Arial" w:cs="Arial"/>
          <w:sz w:val="20"/>
          <w:szCs w:val="20"/>
        </w:rPr>
        <w:fldChar w:fldCharType="begin"/>
      </w:r>
      <w:r w:rsidR="004F6B49">
        <w:rPr>
          <w:rFonts w:ascii="Arial" w:hAnsi="Arial" w:cs="Arial"/>
          <w:sz w:val="20"/>
          <w:szCs w:val="20"/>
        </w:rPr>
        <w:instrText xml:space="preserve"> SEQ Table \* ARABIC \s 1 </w:instrText>
      </w:r>
      <w:r w:rsidR="004F6B49">
        <w:rPr>
          <w:rFonts w:ascii="Arial" w:hAnsi="Arial" w:cs="Arial"/>
          <w:sz w:val="20"/>
          <w:szCs w:val="20"/>
        </w:rPr>
        <w:fldChar w:fldCharType="separate"/>
      </w:r>
      <w:r w:rsidR="007342C8">
        <w:rPr>
          <w:rFonts w:ascii="Arial" w:hAnsi="Arial" w:cs="Arial"/>
          <w:noProof/>
          <w:sz w:val="20"/>
          <w:szCs w:val="20"/>
        </w:rPr>
        <w:t>2</w:t>
      </w:r>
      <w:r w:rsidR="004F6B49">
        <w:rPr>
          <w:rFonts w:ascii="Arial" w:hAnsi="Arial" w:cs="Arial"/>
          <w:sz w:val="20"/>
          <w:szCs w:val="20"/>
        </w:rPr>
        <w:fldChar w:fldCharType="end"/>
      </w:r>
      <w:r w:rsidRPr="0092670C">
        <w:rPr>
          <w:rFonts w:ascii="Arial" w:hAnsi="Arial" w:cs="Arial"/>
          <w:sz w:val="20"/>
          <w:szCs w:val="20"/>
        </w:rPr>
        <w:t>: Values derived from differential capacity plots for the 30th cycle.</w:t>
      </w:r>
    </w:p>
    <w:tbl>
      <w:tblPr>
        <w:tblStyle w:val="TableGrid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1606"/>
        <w:gridCol w:w="1868"/>
        <w:gridCol w:w="1698"/>
      </w:tblGrid>
      <w:tr w:rsidR="004759A4" w:rsidRPr="0092670C" w14:paraId="37BA17DF" w14:textId="77777777" w:rsidTr="00712BF2">
        <w:trPr>
          <w:trHeight w:val="419"/>
          <w:jc w:val="center"/>
        </w:trPr>
        <w:tc>
          <w:tcPr>
            <w:tcW w:w="2349" w:type="dxa"/>
            <w:tcBorders>
              <w:top w:val="single" w:sz="4" w:space="0" w:color="auto"/>
              <w:bottom w:val="single" w:sz="4" w:space="0" w:color="auto"/>
            </w:tcBorders>
          </w:tcPr>
          <w:p w14:paraId="0C319643" w14:textId="77777777" w:rsidR="004759A4" w:rsidRPr="0092670C" w:rsidRDefault="004759A4" w:rsidP="00E336EA">
            <w:pPr>
              <w:spacing w:line="360" w:lineRule="auto"/>
              <w:jc w:val="both"/>
              <w:rPr>
                <w:rFonts w:ascii="Arial" w:hAnsi="Arial" w:cs="Arial"/>
              </w:rPr>
            </w:pPr>
            <w:r w:rsidRPr="0092670C">
              <w:rPr>
                <w:rFonts w:ascii="Arial" w:hAnsi="Arial" w:cs="Arial"/>
              </w:rPr>
              <w:t>Cell</w:t>
            </w:r>
          </w:p>
        </w:tc>
        <w:tc>
          <w:tcPr>
            <w:tcW w:w="1606" w:type="dxa"/>
            <w:tcBorders>
              <w:top w:val="single" w:sz="4" w:space="0" w:color="auto"/>
              <w:bottom w:val="single" w:sz="4" w:space="0" w:color="auto"/>
            </w:tcBorders>
          </w:tcPr>
          <w:p w14:paraId="655E3046" w14:textId="5ECAC302" w:rsidR="004759A4" w:rsidRPr="0092670C" w:rsidRDefault="004759A4"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1</w:t>
            </w:r>
            <w:r w:rsidR="0024196D">
              <w:rPr>
                <w:rFonts w:ascii="Arial" w:hAnsi="Arial" w:cs="Arial"/>
              </w:rPr>
              <w:t xml:space="preserve"> </w:t>
            </w:r>
            <w:r w:rsidRPr="0092670C">
              <w:rPr>
                <w:rFonts w:ascii="Arial" w:hAnsi="Arial" w:cs="Arial"/>
              </w:rPr>
              <w:t>(mV)</w:t>
            </w:r>
          </w:p>
        </w:tc>
        <w:tc>
          <w:tcPr>
            <w:tcW w:w="1868" w:type="dxa"/>
            <w:tcBorders>
              <w:top w:val="single" w:sz="4" w:space="0" w:color="auto"/>
              <w:bottom w:val="single" w:sz="4" w:space="0" w:color="auto"/>
            </w:tcBorders>
          </w:tcPr>
          <w:p w14:paraId="5E8E1DCF" w14:textId="225AFA47" w:rsidR="004759A4" w:rsidRPr="0092670C" w:rsidRDefault="004759A4"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2</w:t>
            </w:r>
            <w:r w:rsidR="0024196D">
              <w:rPr>
                <w:rFonts w:ascii="Arial" w:hAnsi="Arial" w:cs="Arial"/>
              </w:rPr>
              <w:t xml:space="preserve"> </w:t>
            </w:r>
            <w:r w:rsidRPr="0092670C">
              <w:rPr>
                <w:rFonts w:ascii="Arial" w:hAnsi="Arial" w:cs="Arial"/>
              </w:rPr>
              <w:t>(mV)</w:t>
            </w:r>
          </w:p>
        </w:tc>
        <w:tc>
          <w:tcPr>
            <w:tcW w:w="1698" w:type="dxa"/>
            <w:tcBorders>
              <w:top w:val="single" w:sz="4" w:space="0" w:color="auto"/>
              <w:bottom w:val="single" w:sz="4" w:space="0" w:color="auto"/>
            </w:tcBorders>
          </w:tcPr>
          <w:p w14:paraId="4A32AC80" w14:textId="7054575F" w:rsidR="004759A4" w:rsidRPr="0092670C" w:rsidRDefault="004759A4" w:rsidP="00E336EA">
            <w:pPr>
              <w:spacing w:line="360" w:lineRule="auto"/>
              <w:jc w:val="both"/>
              <w:rPr>
                <w:rFonts w:ascii="Arial" w:hAnsi="Arial" w:cs="Arial"/>
                <w:i/>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3</w:t>
            </w:r>
            <w:r w:rsidR="0024196D">
              <w:rPr>
                <w:rFonts w:ascii="Arial" w:hAnsi="Arial" w:cs="Arial"/>
              </w:rPr>
              <w:t xml:space="preserve"> </w:t>
            </w:r>
            <w:r w:rsidRPr="0092670C">
              <w:rPr>
                <w:rFonts w:ascii="Arial" w:hAnsi="Arial" w:cs="Arial"/>
              </w:rPr>
              <w:t>(mV)</w:t>
            </w:r>
          </w:p>
        </w:tc>
      </w:tr>
      <w:tr w:rsidR="004759A4" w:rsidRPr="0092670C" w14:paraId="388D701D" w14:textId="77777777" w:rsidTr="00712BF2">
        <w:trPr>
          <w:trHeight w:val="419"/>
          <w:jc w:val="center"/>
        </w:trPr>
        <w:tc>
          <w:tcPr>
            <w:tcW w:w="2349" w:type="dxa"/>
            <w:tcBorders>
              <w:top w:val="single" w:sz="4" w:space="0" w:color="auto"/>
            </w:tcBorders>
          </w:tcPr>
          <w:p w14:paraId="79328E64" w14:textId="77777777" w:rsidR="004759A4" w:rsidRPr="0092670C" w:rsidRDefault="004759A4" w:rsidP="00E336EA">
            <w:pPr>
              <w:spacing w:line="360" w:lineRule="auto"/>
              <w:jc w:val="both"/>
              <w:rPr>
                <w:rFonts w:ascii="Arial" w:hAnsi="Arial" w:cs="Arial"/>
              </w:rPr>
            </w:pPr>
            <w:bookmarkStart w:id="146" w:name="_Hlk1386940"/>
            <w:r w:rsidRPr="0092670C">
              <w:rPr>
                <w:rFonts w:ascii="Arial" w:hAnsi="Arial" w:cs="Arial"/>
              </w:rPr>
              <w:t>Reference</w:t>
            </w:r>
          </w:p>
        </w:tc>
        <w:tc>
          <w:tcPr>
            <w:tcW w:w="1606" w:type="dxa"/>
            <w:tcBorders>
              <w:top w:val="single" w:sz="4" w:space="0" w:color="auto"/>
            </w:tcBorders>
          </w:tcPr>
          <w:p w14:paraId="238D7E01" w14:textId="77777777" w:rsidR="004759A4" w:rsidRPr="0092670C" w:rsidRDefault="004759A4" w:rsidP="00E336EA">
            <w:pPr>
              <w:spacing w:line="360" w:lineRule="auto"/>
              <w:jc w:val="both"/>
              <w:rPr>
                <w:rFonts w:ascii="Arial" w:hAnsi="Arial" w:cs="Arial"/>
              </w:rPr>
            </w:pPr>
            <w:r w:rsidRPr="0092670C">
              <w:rPr>
                <w:rFonts w:ascii="Arial" w:hAnsi="Arial" w:cs="Arial"/>
              </w:rPr>
              <w:t>65.9</w:t>
            </w:r>
          </w:p>
        </w:tc>
        <w:tc>
          <w:tcPr>
            <w:tcW w:w="1868" w:type="dxa"/>
            <w:tcBorders>
              <w:top w:val="single" w:sz="4" w:space="0" w:color="auto"/>
            </w:tcBorders>
          </w:tcPr>
          <w:p w14:paraId="39488B7C" w14:textId="77777777" w:rsidR="004759A4" w:rsidRPr="0092670C" w:rsidRDefault="004759A4" w:rsidP="00E336EA">
            <w:pPr>
              <w:spacing w:line="360" w:lineRule="auto"/>
              <w:jc w:val="both"/>
              <w:rPr>
                <w:rFonts w:ascii="Arial" w:hAnsi="Arial" w:cs="Arial"/>
              </w:rPr>
            </w:pPr>
            <w:r w:rsidRPr="0092670C">
              <w:rPr>
                <w:rFonts w:ascii="Arial" w:hAnsi="Arial" w:cs="Arial"/>
              </w:rPr>
              <w:t>80.4</w:t>
            </w:r>
          </w:p>
        </w:tc>
        <w:tc>
          <w:tcPr>
            <w:tcW w:w="1698" w:type="dxa"/>
            <w:tcBorders>
              <w:top w:val="single" w:sz="4" w:space="0" w:color="auto"/>
            </w:tcBorders>
          </w:tcPr>
          <w:p w14:paraId="5D0374D3" w14:textId="77777777" w:rsidR="004759A4" w:rsidRPr="0092670C" w:rsidRDefault="004759A4" w:rsidP="00E336EA">
            <w:pPr>
              <w:spacing w:line="360" w:lineRule="auto"/>
              <w:jc w:val="both"/>
              <w:rPr>
                <w:rFonts w:ascii="Arial" w:hAnsi="Arial" w:cs="Arial"/>
              </w:rPr>
            </w:pPr>
            <w:r w:rsidRPr="0092670C">
              <w:rPr>
                <w:rFonts w:ascii="Arial" w:hAnsi="Arial" w:cs="Arial"/>
              </w:rPr>
              <w:t>85.3</w:t>
            </w:r>
          </w:p>
        </w:tc>
      </w:tr>
      <w:bookmarkEnd w:id="146"/>
      <w:tr w:rsidR="004759A4" w:rsidRPr="0092670C" w14:paraId="060EE434" w14:textId="77777777" w:rsidTr="00712BF2">
        <w:trPr>
          <w:trHeight w:val="419"/>
          <w:jc w:val="center"/>
        </w:trPr>
        <w:tc>
          <w:tcPr>
            <w:tcW w:w="2349" w:type="dxa"/>
          </w:tcPr>
          <w:p w14:paraId="2512D5CA" w14:textId="77777777" w:rsidR="004759A4" w:rsidRPr="0092670C" w:rsidRDefault="004759A4" w:rsidP="00E336EA">
            <w:pPr>
              <w:spacing w:line="360" w:lineRule="auto"/>
              <w:jc w:val="both"/>
              <w:rPr>
                <w:rFonts w:ascii="Arial" w:hAnsi="Arial" w:cs="Arial"/>
              </w:rPr>
            </w:pPr>
            <w:r w:rsidRPr="0092670C">
              <w:rPr>
                <w:rFonts w:ascii="Arial" w:hAnsi="Arial" w:cs="Arial"/>
              </w:rPr>
              <w:t>LP30</w:t>
            </w:r>
          </w:p>
        </w:tc>
        <w:tc>
          <w:tcPr>
            <w:tcW w:w="1606" w:type="dxa"/>
          </w:tcPr>
          <w:p w14:paraId="5EA06446" w14:textId="77777777" w:rsidR="004759A4" w:rsidRPr="0092670C" w:rsidRDefault="004759A4" w:rsidP="00E336EA">
            <w:pPr>
              <w:spacing w:line="360" w:lineRule="auto"/>
              <w:jc w:val="both"/>
              <w:rPr>
                <w:rFonts w:ascii="Arial" w:hAnsi="Arial" w:cs="Arial"/>
              </w:rPr>
            </w:pPr>
            <w:r w:rsidRPr="0092670C">
              <w:rPr>
                <w:rFonts w:ascii="Arial" w:hAnsi="Arial" w:cs="Arial"/>
              </w:rPr>
              <w:t>71.6</w:t>
            </w:r>
          </w:p>
        </w:tc>
        <w:tc>
          <w:tcPr>
            <w:tcW w:w="1868" w:type="dxa"/>
          </w:tcPr>
          <w:p w14:paraId="3B720569" w14:textId="77777777" w:rsidR="004759A4" w:rsidRPr="0092670C" w:rsidRDefault="004759A4" w:rsidP="00E336EA">
            <w:pPr>
              <w:spacing w:line="360" w:lineRule="auto"/>
              <w:jc w:val="both"/>
              <w:rPr>
                <w:rFonts w:ascii="Arial" w:hAnsi="Arial" w:cs="Arial"/>
              </w:rPr>
            </w:pPr>
            <w:r w:rsidRPr="0092670C">
              <w:rPr>
                <w:rFonts w:ascii="Arial" w:hAnsi="Arial" w:cs="Arial"/>
              </w:rPr>
              <w:t>75.1</w:t>
            </w:r>
          </w:p>
        </w:tc>
        <w:tc>
          <w:tcPr>
            <w:tcW w:w="1698" w:type="dxa"/>
          </w:tcPr>
          <w:p w14:paraId="483A1F99" w14:textId="77777777" w:rsidR="004759A4" w:rsidRPr="0092670C" w:rsidRDefault="004759A4" w:rsidP="00E336EA">
            <w:pPr>
              <w:spacing w:line="360" w:lineRule="auto"/>
              <w:jc w:val="both"/>
              <w:rPr>
                <w:rFonts w:ascii="Arial" w:hAnsi="Arial" w:cs="Arial"/>
              </w:rPr>
            </w:pPr>
            <w:r w:rsidRPr="0092670C">
              <w:rPr>
                <w:rFonts w:ascii="Arial" w:hAnsi="Arial" w:cs="Arial"/>
              </w:rPr>
              <w:t>80.0</w:t>
            </w:r>
          </w:p>
        </w:tc>
      </w:tr>
      <w:tr w:rsidR="004759A4" w:rsidRPr="0092670C" w14:paraId="28508EBC" w14:textId="77777777" w:rsidTr="00712BF2">
        <w:trPr>
          <w:trHeight w:val="419"/>
          <w:jc w:val="center"/>
        </w:trPr>
        <w:tc>
          <w:tcPr>
            <w:tcW w:w="2349" w:type="dxa"/>
          </w:tcPr>
          <w:p w14:paraId="045554C5" w14:textId="77777777" w:rsidR="004759A4" w:rsidRPr="0092670C" w:rsidRDefault="004759A4" w:rsidP="00E336EA">
            <w:pPr>
              <w:spacing w:line="360" w:lineRule="auto"/>
              <w:jc w:val="both"/>
              <w:rPr>
                <w:rFonts w:ascii="Arial" w:hAnsi="Arial" w:cs="Arial"/>
              </w:rPr>
            </w:pPr>
            <w:r w:rsidRPr="0092670C">
              <w:rPr>
                <w:rFonts w:ascii="Arial" w:hAnsi="Arial" w:cs="Arial"/>
              </w:rPr>
              <w:t>FEC</w:t>
            </w:r>
          </w:p>
        </w:tc>
        <w:tc>
          <w:tcPr>
            <w:tcW w:w="1606" w:type="dxa"/>
          </w:tcPr>
          <w:p w14:paraId="58A1ADAE" w14:textId="77777777" w:rsidR="004759A4" w:rsidRPr="0092670C" w:rsidRDefault="004759A4" w:rsidP="00E336EA">
            <w:pPr>
              <w:spacing w:line="360" w:lineRule="auto"/>
              <w:jc w:val="both"/>
              <w:rPr>
                <w:rFonts w:ascii="Arial" w:hAnsi="Arial" w:cs="Arial"/>
              </w:rPr>
            </w:pPr>
            <w:r w:rsidRPr="0092670C">
              <w:rPr>
                <w:rFonts w:ascii="Arial" w:hAnsi="Arial" w:cs="Arial"/>
              </w:rPr>
              <w:t>68.0</w:t>
            </w:r>
          </w:p>
        </w:tc>
        <w:tc>
          <w:tcPr>
            <w:tcW w:w="1868" w:type="dxa"/>
          </w:tcPr>
          <w:p w14:paraId="49354DED" w14:textId="77777777" w:rsidR="004759A4" w:rsidRPr="0092670C" w:rsidRDefault="004759A4" w:rsidP="00E336EA">
            <w:pPr>
              <w:spacing w:line="360" w:lineRule="auto"/>
              <w:jc w:val="both"/>
              <w:rPr>
                <w:rFonts w:ascii="Arial" w:hAnsi="Arial" w:cs="Arial"/>
              </w:rPr>
            </w:pPr>
            <w:r w:rsidRPr="0092670C">
              <w:rPr>
                <w:rFonts w:ascii="Arial" w:hAnsi="Arial" w:cs="Arial"/>
              </w:rPr>
              <w:t>77.1</w:t>
            </w:r>
          </w:p>
        </w:tc>
        <w:tc>
          <w:tcPr>
            <w:tcW w:w="1698" w:type="dxa"/>
          </w:tcPr>
          <w:p w14:paraId="6F829B08" w14:textId="77777777" w:rsidR="004759A4" w:rsidRPr="0092670C" w:rsidRDefault="004759A4" w:rsidP="00E336EA">
            <w:pPr>
              <w:spacing w:line="360" w:lineRule="auto"/>
              <w:jc w:val="both"/>
              <w:rPr>
                <w:rFonts w:ascii="Arial" w:hAnsi="Arial" w:cs="Arial"/>
              </w:rPr>
            </w:pPr>
            <w:r w:rsidRPr="0092670C">
              <w:rPr>
                <w:rFonts w:ascii="Arial" w:hAnsi="Arial" w:cs="Arial"/>
              </w:rPr>
              <w:t>76.9</w:t>
            </w:r>
          </w:p>
        </w:tc>
      </w:tr>
    </w:tbl>
    <w:p w14:paraId="1CF9612F" w14:textId="6E827418" w:rsidR="00E336EA" w:rsidRPr="0092670C" w:rsidRDefault="0067644A" w:rsidP="00141081">
      <w:pPr>
        <w:spacing w:after="200" w:line="360" w:lineRule="auto"/>
        <w:jc w:val="center"/>
        <w:rPr>
          <w:rFonts w:ascii="Arial" w:hAnsi="Arial" w:cs="Arial"/>
          <w:i/>
          <w:iCs/>
          <w:color w:val="44546A" w:themeColor="text2"/>
          <w:sz w:val="20"/>
          <w:szCs w:val="20"/>
        </w:rPr>
      </w:pPr>
      <w:r w:rsidRPr="0092670C">
        <w:rPr>
          <w:rFonts w:ascii="Arial" w:hAnsi="Arial" w:cs="Arial"/>
          <w:noProof/>
        </w:rPr>
      </w:r>
      <w:r w:rsidR="0067644A" w:rsidRPr="0092670C">
        <w:rPr>
          <w:rFonts w:ascii="Arial" w:hAnsi="Arial" w:cs="Arial"/>
          <w:noProof/>
        </w:rPr>
        <w:object w:dxaOrig="6162" w:dyaOrig="4722" w14:anchorId="069F37A1">
          <v:shape id="_x0000_i1072" type="#_x0000_t75" style="width:312.1pt;height:240.1pt" o:ole="">
            <v:imagedata r:id="rId144" o:title=""/>
          </v:shape>
          <o:OLEObject Type="Embed" ProgID="Origin95.Graph" ShapeID="_x0000_i1072" DrawAspect="Content" ObjectID="_1700733961" r:id="rId145"/>
        </w:object>
      </w:r>
    </w:p>
    <w:p w14:paraId="2611F9FA" w14:textId="2B149E7F" w:rsidR="00E336EA" w:rsidRDefault="00E336EA" w:rsidP="00E336EA">
      <w:pPr>
        <w:spacing w:after="200" w:line="360" w:lineRule="auto"/>
        <w:jc w:val="center"/>
        <w:rPr>
          <w:rFonts w:ascii="Arial" w:hAnsi="Arial" w:cs="Arial"/>
          <w:i/>
          <w:iCs/>
          <w:color w:val="44546A" w:themeColor="text2"/>
          <w:sz w:val="20"/>
          <w:szCs w:val="20"/>
        </w:rPr>
      </w:pPr>
      <w:bookmarkStart w:id="147" w:name="_Ref31537744"/>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bookmarkEnd w:id="147"/>
      <w:r w:rsidRPr="0092670C">
        <w:rPr>
          <w:rFonts w:ascii="Arial" w:hAnsi="Arial" w:cs="Arial"/>
          <w:i/>
          <w:iCs/>
          <w:color w:val="44546A" w:themeColor="text2"/>
          <w:sz w:val="20"/>
          <w:szCs w:val="20"/>
        </w:rPr>
        <w:t>: Differential capacity plot of the reference cell at different cycle numbers</w:t>
      </w:r>
      <w:r w:rsidR="00B03C79" w:rsidRPr="0092670C">
        <w:rPr>
          <w:rFonts w:ascii="Arial" w:hAnsi="Arial" w:cs="Arial"/>
          <w:i/>
          <w:iCs/>
          <w:color w:val="44546A" w:themeColor="text2"/>
          <w:sz w:val="20"/>
          <w:szCs w:val="20"/>
        </w:rPr>
        <w:t>.</w:t>
      </w:r>
    </w:p>
    <w:p w14:paraId="3CDB06B6" w14:textId="77777777" w:rsidR="009B3AD9" w:rsidRPr="0092670C" w:rsidRDefault="0067644A" w:rsidP="009B3AD9">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2" w:dyaOrig="4722" w14:anchorId="494A2785">
          <v:shape id="_x0000_i1073" type="#_x0000_t75" style="width:312.1pt;height:240.1pt" o:ole="">
            <v:imagedata r:id="rId146" o:title=""/>
          </v:shape>
          <o:OLEObject Type="Embed" ProgID="Origin95.Graph" ShapeID="_x0000_i1073" DrawAspect="Content" ObjectID="_1700733962" r:id="rId147"/>
        </w:object>
      </w:r>
    </w:p>
    <w:p w14:paraId="399D5573" w14:textId="79B2F76E" w:rsidR="009B3AD9" w:rsidRPr="0092670C" w:rsidRDefault="009B3AD9" w:rsidP="009B3AD9">
      <w:pPr>
        <w:spacing w:after="200" w:line="360" w:lineRule="auto"/>
        <w:jc w:val="center"/>
        <w:rPr>
          <w:rFonts w:ascii="Arial" w:hAnsi="Arial" w:cs="Arial"/>
          <w:i/>
          <w:iCs/>
          <w:color w:val="44546A" w:themeColor="text2"/>
          <w:sz w:val="20"/>
          <w:szCs w:val="20"/>
        </w:rPr>
      </w:pPr>
      <w:bookmarkStart w:id="148" w:name="_Ref31402256"/>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7</w:t>
      </w:r>
      <w:r w:rsidR="00356A26">
        <w:rPr>
          <w:rFonts w:ascii="Arial" w:hAnsi="Arial" w:cs="Arial"/>
          <w:i/>
          <w:iCs/>
          <w:color w:val="44546A" w:themeColor="text2"/>
          <w:sz w:val="20"/>
          <w:szCs w:val="20"/>
        </w:rPr>
        <w:fldChar w:fldCharType="end"/>
      </w:r>
      <w:bookmarkEnd w:id="148"/>
      <w:r w:rsidRPr="0092670C">
        <w:rPr>
          <w:rFonts w:ascii="Arial" w:hAnsi="Arial" w:cs="Arial"/>
          <w:i/>
          <w:iCs/>
          <w:color w:val="44546A" w:themeColor="text2"/>
          <w:sz w:val="20"/>
          <w:szCs w:val="20"/>
        </w:rPr>
        <w:t>: Differential capacity plot of the FEC pre-lithiated cell at different cycle numbers.</w:t>
      </w:r>
    </w:p>
    <w:p w14:paraId="1071CA26" w14:textId="77777777" w:rsidR="009B3AD9" w:rsidRPr="0092670C" w:rsidRDefault="009B3AD9" w:rsidP="00E336EA">
      <w:pPr>
        <w:spacing w:after="200" w:line="360" w:lineRule="auto"/>
        <w:jc w:val="center"/>
        <w:rPr>
          <w:rFonts w:ascii="Arial" w:hAnsi="Arial" w:cs="Arial"/>
          <w:i/>
          <w:iCs/>
          <w:color w:val="44546A" w:themeColor="text2"/>
          <w:sz w:val="20"/>
          <w:szCs w:val="20"/>
        </w:rPr>
      </w:pPr>
    </w:p>
    <w:p w14:paraId="79B3369B" w14:textId="39DC8852" w:rsidR="0013220D" w:rsidRPr="00BB033D" w:rsidRDefault="00CB1586" w:rsidP="00BB033D">
      <w:pPr>
        <w:keepNext/>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p</w:t>
      </w:r>
      <w:r w:rsidRPr="0092670C">
        <w:rPr>
          <w:rFonts w:ascii="Arial" w:hAnsi="Arial" w:cs="Arial"/>
        </w:rPr>
        <w:t xml:space="preserve"> </w:t>
      </w:r>
      <w:r w:rsidR="0093602F">
        <w:rPr>
          <w:rFonts w:ascii="Arial" w:hAnsi="Arial" w:cs="Arial"/>
        </w:rPr>
        <w:t xml:space="preserve">vs cycle number for the untreated and FEC cell </w:t>
      </w:r>
      <w:r w:rsidR="008C7C53" w:rsidRPr="0092670C">
        <w:rPr>
          <w:rFonts w:ascii="Arial" w:hAnsi="Arial" w:cs="Arial"/>
        </w:rPr>
        <w:t xml:space="preserve">are displayed in </w:t>
      </w:r>
      <w:r w:rsidR="008C7C53" w:rsidRPr="0092670C">
        <w:rPr>
          <w:rFonts w:ascii="Arial" w:hAnsi="Arial" w:cs="Arial"/>
        </w:rPr>
        <w:fldChar w:fldCharType="begin"/>
      </w:r>
      <w:r w:rsidR="008C7C53" w:rsidRPr="0092670C">
        <w:rPr>
          <w:rFonts w:ascii="Arial" w:hAnsi="Arial" w:cs="Arial"/>
        </w:rPr>
        <w:instrText xml:space="preserve"> REF _Ref31538673 \h  \* MERGEFORMAT </w:instrText>
      </w:r>
      <w:r w:rsidR="008C7C53" w:rsidRPr="0092670C">
        <w:rPr>
          <w:rFonts w:ascii="Arial" w:hAnsi="Arial" w:cs="Arial"/>
        </w:rPr>
      </w:r>
      <w:r w:rsidR="008C7C53" w:rsidRPr="0092670C">
        <w:rPr>
          <w:rFonts w:ascii="Arial" w:hAnsi="Arial" w:cs="Arial"/>
        </w:rPr>
        <w:fldChar w:fldCharType="separate"/>
      </w:r>
      <w:r w:rsidR="00916B88" w:rsidRPr="00916B88">
        <w:rPr>
          <w:rFonts w:ascii="Arial" w:hAnsi="Arial" w:cs="Arial"/>
        </w:rPr>
        <w:t xml:space="preserve">Figure </w:t>
      </w:r>
      <w:r w:rsidR="00916B88" w:rsidRPr="00916B88">
        <w:rPr>
          <w:rFonts w:ascii="Arial" w:hAnsi="Arial" w:cs="Arial"/>
          <w:noProof/>
        </w:rPr>
        <w:t>3</w:t>
      </w:r>
      <w:r w:rsidR="00916B88" w:rsidRPr="00916B88">
        <w:rPr>
          <w:rFonts w:ascii="Arial" w:hAnsi="Arial" w:cs="Arial"/>
          <w:noProof/>
        </w:rPr>
        <w:noBreakHyphen/>
        <w:t>8</w:t>
      </w:r>
      <w:r w:rsidR="008C7C53" w:rsidRPr="0092670C">
        <w:rPr>
          <w:rFonts w:ascii="Arial" w:hAnsi="Arial" w:cs="Arial"/>
        </w:rPr>
        <w:fldChar w:fldCharType="end"/>
      </w:r>
      <w:r w:rsidR="008C7C53" w:rsidRPr="0092670C">
        <w:rPr>
          <w:rFonts w:ascii="Arial" w:hAnsi="Arial" w:cs="Arial"/>
          <w:sz w:val="28"/>
          <w:szCs w:val="28"/>
        </w:rPr>
        <w:t xml:space="preserve"> </w:t>
      </w:r>
      <w:r w:rsidR="008C7C53" w:rsidRPr="0092670C">
        <w:rPr>
          <w:rFonts w:ascii="Arial" w:hAnsi="Arial" w:cs="Arial"/>
        </w:rPr>
        <w:t xml:space="preserve">and </w:t>
      </w:r>
      <w:r w:rsidR="008C7C53" w:rsidRPr="0092670C">
        <w:rPr>
          <w:rFonts w:ascii="Arial" w:hAnsi="Arial" w:cs="Arial"/>
        </w:rPr>
        <w:fldChar w:fldCharType="begin"/>
      </w:r>
      <w:r w:rsidR="008C7C53" w:rsidRPr="0092670C">
        <w:rPr>
          <w:rFonts w:ascii="Arial" w:hAnsi="Arial" w:cs="Arial"/>
        </w:rPr>
        <w:instrText xml:space="preserve"> REF _Ref31486943 \h  \* MERGEFORMAT </w:instrText>
      </w:r>
      <w:r w:rsidR="008C7C53" w:rsidRPr="0092670C">
        <w:rPr>
          <w:rFonts w:ascii="Arial" w:hAnsi="Arial" w:cs="Arial"/>
        </w:rPr>
      </w:r>
      <w:r w:rsidR="008C7C53" w:rsidRPr="0092670C">
        <w:rPr>
          <w:rFonts w:ascii="Arial" w:hAnsi="Arial" w:cs="Arial"/>
        </w:rPr>
        <w:fldChar w:fldCharType="separate"/>
      </w:r>
      <w:r w:rsidR="00916B88" w:rsidRPr="00916B88">
        <w:rPr>
          <w:rFonts w:ascii="Arial" w:hAnsi="Arial" w:cs="Arial"/>
        </w:rPr>
        <w:t xml:space="preserve">Figure </w:t>
      </w:r>
      <w:r w:rsidR="00916B88" w:rsidRPr="00916B88">
        <w:rPr>
          <w:rFonts w:ascii="Arial" w:hAnsi="Arial" w:cs="Arial"/>
          <w:noProof/>
        </w:rPr>
        <w:t>3</w:t>
      </w:r>
      <w:r w:rsidR="00916B88" w:rsidRPr="00916B88">
        <w:rPr>
          <w:rFonts w:ascii="Arial" w:hAnsi="Arial" w:cs="Arial"/>
          <w:noProof/>
        </w:rPr>
        <w:noBreakHyphen/>
        <w:t>9</w:t>
      </w:r>
      <w:r w:rsidR="008C7C53" w:rsidRPr="0092670C">
        <w:rPr>
          <w:rFonts w:ascii="Arial" w:hAnsi="Arial" w:cs="Arial"/>
        </w:rPr>
        <w:fldChar w:fldCharType="end"/>
      </w:r>
      <w:r w:rsidR="008C7C53" w:rsidRPr="0092670C">
        <w:rPr>
          <w:rFonts w:ascii="Arial" w:hAnsi="Arial" w:cs="Arial"/>
        </w:rPr>
        <w:t xml:space="preserve"> respectively.</w:t>
      </w:r>
      <w:r w:rsidR="001E4EA3" w:rsidRPr="0092670C">
        <w:rPr>
          <w:rFonts w:ascii="Arial" w:hAnsi="Arial" w:cs="Arial"/>
        </w:rPr>
        <w:t xml:space="preserve"> </w:t>
      </w:r>
      <w:r w:rsidR="0013220D" w:rsidRPr="0092670C">
        <w:rPr>
          <w:rFonts w:ascii="Arial" w:hAnsi="Arial" w:cs="Arial"/>
        </w:rPr>
        <w:t>With th</w:t>
      </w:r>
      <w:r w:rsidR="008C7C53" w:rsidRPr="0092670C">
        <w:rPr>
          <w:rFonts w:ascii="Arial" w:hAnsi="Arial" w:cs="Arial"/>
        </w:rPr>
        <w:t>is</w:t>
      </w:r>
      <w:r w:rsidR="0013220D" w:rsidRPr="0092670C">
        <w:rPr>
          <w:rFonts w:ascii="Arial" w:hAnsi="Arial" w:cs="Arial"/>
        </w:rPr>
        <w:t xml:space="preserve"> data there are two distinct phases with both cells. Until the 10</w:t>
      </w:r>
      <w:r w:rsidR="0013220D" w:rsidRPr="0092670C">
        <w:rPr>
          <w:rFonts w:ascii="Arial" w:hAnsi="Arial" w:cs="Arial"/>
          <w:vertAlign w:val="superscript"/>
        </w:rPr>
        <w:t>th</w:t>
      </w:r>
      <w:r w:rsidR="0013220D" w:rsidRPr="0092670C">
        <w:rPr>
          <w:rFonts w:ascii="Arial" w:hAnsi="Arial" w:cs="Arial"/>
        </w:rPr>
        <w:t xml:space="preserve"> cycle ΔE</w:t>
      </w:r>
      <w:r w:rsidR="0013220D" w:rsidRPr="0092670C">
        <w:rPr>
          <w:rFonts w:ascii="Arial" w:hAnsi="Arial" w:cs="Arial"/>
          <w:vertAlign w:val="subscript"/>
        </w:rPr>
        <w:t>p</w:t>
      </w:r>
      <w:r w:rsidR="0013220D" w:rsidRPr="0092670C">
        <w:rPr>
          <w:rFonts w:ascii="Arial" w:hAnsi="Arial" w:cs="Arial"/>
        </w:rPr>
        <w:t xml:space="preserve"> decreases. This is due to t</w:t>
      </w:r>
      <w:r w:rsidR="00350160">
        <w:rPr>
          <w:rFonts w:ascii="Arial" w:hAnsi="Arial" w:cs="Arial"/>
        </w:rPr>
        <w:t>he formation of the SEI l</w:t>
      </w:r>
      <w:r w:rsidR="00983F38">
        <w:rPr>
          <w:rFonts w:ascii="Arial" w:hAnsi="Arial" w:cs="Arial"/>
        </w:rPr>
        <w:t>ayer</w:t>
      </w:r>
      <w:r w:rsidR="00CF0E3F">
        <w:rPr>
          <w:rFonts w:ascii="Arial" w:hAnsi="Arial" w:cs="Arial"/>
        </w:rPr>
        <w:t>, loweri</w:t>
      </w:r>
      <w:r w:rsidR="00FA6FCB">
        <w:rPr>
          <w:rFonts w:ascii="Arial" w:hAnsi="Arial" w:cs="Arial"/>
        </w:rPr>
        <w:t>ng parasitic currents</w:t>
      </w:r>
      <w:r w:rsidR="0013220D" w:rsidRPr="0092670C">
        <w:rPr>
          <w:rFonts w:ascii="Arial" w:hAnsi="Arial" w:cs="Arial"/>
        </w:rPr>
        <w:t>. After 10 cycles ΔE</w:t>
      </w:r>
      <w:r w:rsidR="0013220D" w:rsidRPr="0092670C">
        <w:rPr>
          <w:rFonts w:ascii="Arial" w:hAnsi="Arial" w:cs="Arial"/>
          <w:vertAlign w:val="subscript"/>
        </w:rPr>
        <w:t>p</w:t>
      </w:r>
      <w:r w:rsidR="0013220D" w:rsidRPr="0092670C">
        <w:rPr>
          <w:rFonts w:ascii="Arial" w:hAnsi="Arial" w:cs="Arial"/>
        </w:rPr>
        <w:t xml:space="preserve"> increases as the SEI </w:t>
      </w:r>
      <w:r w:rsidR="00983F38">
        <w:rPr>
          <w:rFonts w:ascii="Arial" w:hAnsi="Arial" w:cs="Arial"/>
        </w:rPr>
        <w:t>keeps growing</w:t>
      </w:r>
      <w:r w:rsidR="0013220D" w:rsidRPr="0092670C">
        <w:rPr>
          <w:rFonts w:ascii="Arial" w:hAnsi="Arial" w:cs="Arial"/>
        </w:rPr>
        <w:t>. The gradient is far shallower in the FEC pre-lithiated cell. This is because the SEI is already formed on the pre-lithiated cell. The ΔE</w:t>
      </w:r>
      <w:r w:rsidR="0013220D" w:rsidRPr="0092670C">
        <w:rPr>
          <w:rFonts w:ascii="Arial" w:hAnsi="Arial" w:cs="Arial"/>
          <w:vertAlign w:val="subscript"/>
        </w:rPr>
        <w:t>p</w:t>
      </w:r>
      <w:r w:rsidR="0013220D" w:rsidRPr="0092670C">
        <w:rPr>
          <w:rFonts w:ascii="Arial" w:hAnsi="Arial" w:cs="Arial"/>
        </w:rPr>
        <w:t xml:space="preserve"> growth in the later stages is also much reduced as the more stable SEI grows more slowly. </w:t>
      </w:r>
    </w:p>
    <w:p w14:paraId="641677E0" w14:textId="528C8DEB"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525E153">
          <v:shape id="_x0000_i1074" type="#_x0000_t75" style="width:365.8pt;height:282.2pt" o:ole="">
            <v:imagedata r:id="rId148" o:title=""/>
          </v:shape>
          <o:OLEObject Type="Embed" ProgID="Origin95.Graph" ShapeID="_x0000_i1074" DrawAspect="Content" ObjectID="_1700733963" r:id="rId149"/>
        </w:object>
      </w:r>
    </w:p>
    <w:p w14:paraId="5626BD10" w14:textId="0E8380F1" w:rsidR="00E336EA" w:rsidRPr="0073517D" w:rsidRDefault="00E336EA" w:rsidP="0073517D">
      <w:pPr>
        <w:spacing w:after="200" w:line="360" w:lineRule="auto"/>
        <w:jc w:val="center"/>
        <w:rPr>
          <w:rFonts w:ascii="Arial" w:hAnsi="Arial" w:cs="Arial"/>
          <w:i/>
          <w:iCs/>
          <w:color w:val="44546A" w:themeColor="text2"/>
          <w:sz w:val="20"/>
          <w:szCs w:val="20"/>
        </w:rPr>
      </w:pPr>
      <w:bookmarkStart w:id="149" w:name="_Ref31538673"/>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8</w:t>
      </w:r>
      <w:r w:rsidR="00356A26">
        <w:rPr>
          <w:rFonts w:ascii="Arial" w:hAnsi="Arial" w:cs="Arial"/>
          <w:i/>
          <w:iCs/>
          <w:color w:val="44546A" w:themeColor="text2"/>
          <w:sz w:val="20"/>
          <w:szCs w:val="20"/>
        </w:rPr>
        <w:fldChar w:fldCharType="end"/>
      </w:r>
      <w:bookmarkEnd w:id="149"/>
      <w:r w:rsidRPr="0092670C">
        <w:rPr>
          <w:rFonts w:ascii="Arial" w:hAnsi="Arial" w:cs="Arial"/>
          <w:i/>
          <w:iCs/>
          <w:color w:val="44546A" w:themeColor="text2"/>
          <w:sz w:val="20"/>
          <w:szCs w:val="20"/>
        </w:rPr>
        <w:t>: Graph showing the increase in</w:t>
      </w:r>
      <w:r w:rsidRPr="0092670C">
        <w:rPr>
          <w:rFonts w:ascii="Arial" w:hAnsi="Arial" w:cs="Arial"/>
          <w:sz w:val="24"/>
          <w:szCs w:val="24"/>
        </w:rPr>
        <w:t xml:space="preserve"> </w:t>
      </w:r>
      <w:r w:rsidRPr="0092670C">
        <w:rPr>
          <w:rFonts w:ascii="Arial" w:hAnsi="Arial" w:cs="Arial"/>
          <w:i/>
          <w:iCs/>
          <w:color w:val="44546A" w:themeColor="text2"/>
          <w:sz w:val="20"/>
          <w:szCs w:val="20"/>
        </w:rPr>
        <w:t>ΔE</w:t>
      </w:r>
      <w:r w:rsidRPr="0092670C">
        <w:rPr>
          <w:rFonts w:ascii="Arial" w:hAnsi="Arial" w:cs="Arial"/>
          <w:i/>
          <w:iCs/>
          <w:color w:val="44546A" w:themeColor="text2"/>
          <w:sz w:val="20"/>
          <w:szCs w:val="20"/>
          <w:vertAlign w:val="subscript"/>
        </w:rPr>
        <w:t>p</w:t>
      </w:r>
      <w:r w:rsidRPr="0092670C">
        <w:rPr>
          <w:rFonts w:ascii="Arial" w:hAnsi="Arial" w:cs="Arial"/>
          <w:i/>
          <w:iCs/>
          <w:color w:val="44546A" w:themeColor="text2"/>
          <w:sz w:val="20"/>
          <w:szCs w:val="20"/>
        </w:rPr>
        <w:t xml:space="preserve"> of the untreated cell with increasing cycle number</w:t>
      </w:r>
      <w:r w:rsidR="002E60F7" w:rsidRPr="0092670C">
        <w:rPr>
          <w:rFonts w:ascii="Arial" w:hAnsi="Arial" w:cs="Arial"/>
          <w:i/>
          <w:iCs/>
          <w:color w:val="44546A" w:themeColor="text2"/>
          <w:sz w:val="20"/>
          <w:szCs w:val="20"/>
        </w:rPr>
        <w:t>.</w:t>
      </w:r>
    </w:p>
    <w:p w14:paraId="529D37CC" w14:textId="7B6035D5" w:rsidR="00CF5F94" w:rsidRPr="0092670C" w:rsidRDefault="00CF5F94" w:rsidP="00CF5F94">
      <w:pPr>
        <w:pStyle w:val="Caption"/>
        <w:keepNext/>
        <w:rPr>
          <w:rFonts w:ascii="Arial" w:hAnsi="Arial" w:cs="Arial"/>
          <w:sz w:val="20"/>
          <w:szCs w:val="20"/>
        </w:rPr>
      </w:pPr>
      <w:bookmarkStart w:id="150" w:name="_Ref44867032"/>
      <w:r w:rsidRPr="0092670C">
        <w:rPr>
          <w:rFonts w:ascii="Arial" w:hAnsi="Arial" w:cs="Arial"/>
          <w:sz w:val="20"/>
          <w:szCs w:val="20"/>
        </w:rPr>
        <w:t xml:space="preserve">Table </w:t>
      </w:r>
      <w:r w:rsidR="004F6B49">
        <w:rPr>
          <w:rFonts w:ascii="Arial" w:hAnsi="Arial" w:cs="Arial"/>
          <w:sz w:val="20"/>
          <w:szCs w:val="20"/>
        </w:rPr>
        <w:fldChar w:fldCharType="begin"/>
      </w:r>
      <w:r w:rsidR="004F6B49">
        <w:rPr>
          <w:rFonts w:ascii="Arial" w:hAnsi="Arial" w:cs="Arial"/>
          <w:sz w:val="20"/>
          <w:szCs w:val="20"/>
        </w:rPr>
        <w:instrText xml:space="preserve"> STYLEREF 1 \s </w:instrText>
      </w:r>
      <w:r w:rsidR="004F6B49">
        <w:rPr>
          <w:rFonts w:ascii="Arial" w:hAnsi="Arial" w:cs="Arial"/>
          <w:sz w:val="20"/>
          <w:szCs w:val="20"/>
        </w:rPr>
        <w:fldChar w:fldCharType="separate"/>
      </w:r>
      <w:r w:rsidR="007342C8">
        <w:rPr>
          <w:rFonts w:ascii="Arial" w:hAnsi="Arial" w:cs="Arial"/>
          <w:noProof/>
          <w:sz w:val="20"/>
          <w:szCs w:val="20"/>
        </w:rPr>
        <w:t>3</w:t>
      </w:r>
      <w:r w:rsidR="004F6B49">
        <w:rPr>
          <w:rFonts w:ascii="Arial" w:hAnsi="Arial" w:cs="Arial"/>
          <w:sz w:val="20"/>
          <w:szCs w:val="20"/>
        </w:rPr>
        <w:fldChar w:fldCharType="end"/>
      </w:r>
      <w:r w:rsidR="004F6B49">
        <w:rPr>
          <w:rFonts w:ascii="Arial" w:hAnsi="Arial" w:cs="Arial"/>
          <w:sz w:val="20"/>
          <w:szCs w:val="20"/>
        </w:rPr>
        <w:noBreakHyphen/>
      </w:r>
      <w:r w:rsidR="004F6B49">
        <w:rPr>
          <w:rFonts w:ascii="Arial" w:hAnsi="Arial" w:cs="Arial"/>
          <w:sz w:val="20"/>
          <w:szCs w:val="20"/>
        </w:rPr>
        <w:fldChar w:fldCharType="begin"/>
      </w:r>
      <w:r w:rsidR="004F6B49">
        <w:rPr>
          <w:rFonts w:ascii="Arial" w:hAnsi="Arial" w:cs="Arial"/>
          <w:sz w:val="20"/>
          <w:szCs w:val="20"/>
        </w:rPr>
        <w:instrText xml:space="preserve"> SEQ Table \* ARABIC \s 1 </w:instrText>
      </w:r>
      <w:r w:rsidR="004F6B49">
        <w:rPr>
          <w:rFonts w:ascii="Arial" w:hAnsi="Arial" w:cs="Arial"/>
          <w:sz w:val="20"/>
          <w:szCs w:val="20"/>
        </w:rPr>
        <w:fldChar w:fldCharType="separate"/>
      </w:r>
      <w:r w:rsidR="007342C8">
        <w:rPr>
          <w:rFonts w:ascii="Arial" w:hAnsi="Arial" w:cs="Arial"/>
          <w:noProof/>
          <w:sz w:val="20"/>
          <w:szCs w:val="20"/>
        </w:rPr>
        <w:t>3</w:t>
      </w:r>
      <w:r w:rsidR="004F6B49">
        <w:rPr>
          <w:rFonts w:ascii="Arial" w:hAnsi="Arial" w:cs="Arial"/>
          <w:sz w:val="20"/>
          <w:szCs w:val="20"/>
        </w:rPr>
        <w:fldChar w:fldCharType="end"/>
      </w:r>
      <w:bookmarkEnd w:id="150"/>
      <w:r w:rsidRPr="0092670C">
        <w:rPr>
          <w:rFonts w:ascii="Arial" w:hAnsi="Arial" w:cs="Arial"/>
          <w:sz w:val="20"/>
          <w:szCs w:val="20"/>
        </w:rPr>
        <w:t>: Change to differential capacity properties of the reference cell with increasing cycle number.</w:t>
      </w:r>
    </w:p>
    <w:tbl>
      <w:tblPr>
        <w:tblStyle w:val="TableGrid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1398"/>
        <w:gridCol w:w="1626"/>
        <w:gridCol w:w="1478"/>
      </w:tblGrid>
      <w:tr w:rsidR="005E76BF" w:rsidRPr="0092670C" w14:paraId="223844B5" w14:textId="77777777" w:rsidTr="005E76BF">
        <w:trPr>
          <w:trHeight w:val="375"/>
          <w:jc w:val="center"/>
        </w:trPr>
        <w:tc>
          <w:tcPr>
            <w:tcW w:w="2045" w:type="dxa"/>
          </w:tcPr>
          <w:p w14:paraId="272FE582" w14:textId="77777777" w:rsidR="005E76BF" w:rsidRPr="0092670C" w:rsidRDefault="005E76BF" w:rsidP="00E336EA">
            <w:pPr>
              <w:spacing w:line="360" w:lineRule="auto"/>
              <w:jc w:val="both"/>
              <w:rPr>
                <w:rFonts w:ascii="Arial" w:hAnsi="Arial" w:cs="Arial"/>
              </w:rPr>
            </w:pPr>
            <w:bookmarkStart w:id="151" w:name="_Hlk1389430"/>
            <w:r w:rsidRPr="0092670C">
              <w:rPr>
                <w:rFonts w:ascii="Arial" w:hAnsi="Arial" w:cs="Arial"/>
              </w:rPr>
              <w:t>Cycle</w:t>
            </w:r>
          </w:p>
        </w:tc>
        <w:tc>
          <w:tcPr>
            <w:tcW w:w="1398" w:type="dxa"/>
          </w:tcPr>
          <w:p w14:paraId="738465C5" w14:textId="77777777" w:rsidR="005E76BF" w:rsidRPr="0092670C" w:rsidRDefault="005E76BF"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1(mV)</w:t>
            </w:r>
          </w:p>
        </w:tc>
        <w:tc>
          <w:tcPr>
            <w:tcW w:w="1626" w:type="dxa"/>
          </w:tcPr>
          <w:p w14:paraId="12FF166C" w14:textId="77777777" w:rsidR="005E76BF" w:rsidRPr="0092670C" w:rsidRDefault="005E76BF"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2(mV)</w:t>
            </w:r>
          </w:p>
        </w:tc>
        <w:tc>
          <w:tcPr>
            <w:tcW w:w="1478" w:type="dxa"/>
          </w:tcPr>
          <w:p w14:paraId="69926B6E" w14:textId="77777777" w:rsidR="005E76BF" w:rsidRPr="0092670C" w:rsidRDefault="005E76BF" w:rsidP="00E336EA">
            <w:pPr>
              <w:spacing w:line="360" w:lineRule="auto"/>
              <w:jc w:val="both"/>
              <w:rPr>
                <w:rFonts w:ascii="Arial" w:hAnsi="Arial" w:cs="Arial"/>
                <w:i/>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3(mV)</w:t>
            </w:r>
          </w:p>
        </w:tc>
      </w:tr>
      <w:tr w:rsidR="005E76BF" w:rsidRPr="0092670C" w14:paraId="0F3E237B" w14:textId="77777777" w:rsidTr="005E76BF">
        <w:trPr>
          <w:trHeight w:val="387"/>
          <w:jc w:val="center"/>
        </w:trPr>
        <w:tc>
          <w:tcPr>
            <w:tcW w:w="2045" w:type="dxa"/>
          </w:tcPr>
          <w:p w14:paraId="63B08CD9" w14:textId="77777777" w:rsidR="005E76BF" w:rsidRPr="0092670C" w:rsidRDefault="005E76BF" w:rsidP="00E336EA">
            <w:pPr>
              <w:spacing w:line="360" w:lineRule="auto"/>
              <w:jc w:val="both"/>
              <w:rPr>
                <w:rFonts w:ascii="Arial" w:hAnsi="Arial" w:cs="Arial"/>
              </w:rPr>
            </w:pPr>
            <w:r w:rsidRPr="0092670C">
              <w:rPr>
                <w:rFonts w:ascii="Arial" w:hAnsi="Arial" w:cs="Arial"/>
              </w:rPr>
              <w:t>1</w:t>
            </w:r>
          </w:p>
        </w:tc>
        <w:tc>
          <w:tcPr>
            <w:tcW w:w="1398" w:type="dxa"/>
          </w:tcPr>
          <w:p w14:paraId="07184A69" w14:textId="77777777" w:rsidR="005E76BF" w:rsidRPr="0092670C" w:rsidRDefault="005E76BF" w:rsidP="00E336EA">
            <w:pPr>
              <w:spacing w:line="360" w:lineRule="auto"/>
              <w:jc w:val="both"/>
              <w:rPr>
                <w:rFonts w:ascii="Arial" w:hAnsi="Arial" w:cs="Arial"/>
              </w:rPr>
            </w:pPr>
            <w:r w:rsidRPr="0092670C">
              <w:rPr>
                <w:rFonts w:ascii="Arial" w:hAnsi="Arial" w:cs="Arial"/>
              </w:rPr>
              <w:t>120.8</w:t>
            </w:r>
          </w:p>
        </w:tc>
        <w:tc>
          <w:tcPr>
            <w:tcW w:w="1626" w:type="dxa"/>
          </w:tcPr>
          <w:p w14:paraId="634276F5" w14:textId="77777777" w:rsidR="005E76BF" w:rsidRPr="0092670C" w:rsidRDefault="005E76BF" w:rsidP="00E336EA">
            <w:pPr>
              <w:spacing w:line="360" w:lineRule="auto"/>
              <w:jc w:val="both"/>
              <w:rPr>
                <w:rFonts w:ascii="Arial" w:hAnsi="Arial" w:cs="Arial"/>
              </w:rPr>
            </w:pPr>
            <w:r w:rsidRPr="0092670C">
              <w:rPr>
                <w:rFonts w:ascii="Arial" w:hAnsi="Arial" w:cs="Arial"/>
              </w:rPr>
              <w:t>-</w:t>
            </w:r>
          </w:p>
        </w:tc>
        <w:tc>
          <w:tcPr>
            <w:tcW w:w="1478" w:type="dxa"/>
          </w:tcPr>
          <w:p w14:paraId="6628149B" w14:textId="77777777" w:rsidR="005E76BF" w:rsidRPr="0092670C" w:rsidRDefault="005E76BF" w:rsidP="00E336EA">
            <w:pPr>
              <w:spacing w:line="360" w:lineRule="auto"/>
              <w:jc w:val="both"/>
              <w:rPr>
                <w:rFonts w:ascii="Arial" w:hAnsi="Arial" w:cs="Arial"/>
              </w:rPr>
            </w:pPr>
            <w:r w:rsidRPr="0092670C">
              <w:rPr>
                <w:rFonts w:ascii="Arial" w:hAnsi="Arial" w:cs="Arial"/>
              </w:rPr>
              <w:t>95.2</w:t>
            </w:r>
          </w:p>
        </w:tc>
      </w:tr>
      <w:tr w:rsidR="005E76BF" w:rsidRPr="0092670C" w14:paraId="4305C915" w14:textId="77777777" w:rsidTr="005E76BF">
        <w:trPr>
          <w:trHeight w:val="387"/>
          <w:jc w:val="center"/>
        </w:trPr>
        <w:tc>
          <w:tcPr>
            <w:tcW w:w="2045" w:type="dxa"/>
          </w:tcPr>
          <w:p w14:paraId="5DE3EB5E" w14:textId="77777777" w:rsidR="005E76BF" w:rsidRPr="0092670C" w:rsidRDefault="005E76BF" w:rsidP="00E336EA">
            <w:pPr>
              <w:spacing w:line="360" w:lineRule="auto"/>
              <w:jc w:val="both"/>
              <w:rPr>
                <w:rFonts w:ascii="Arial" w:hAnsi="Arial" w:cs="Arial"/>
              </w:rPr>
            </w:pPr>
            <w:r w:rsidRPr="0092670C">
              <w:rPr>
                <w:rFonts w:ascii="Arial" w:hAnsi="Arial" w:cs="Arial"/>
              </w:rPr>
              <w:t>5</w:t>
            </w:r>
          </w:p>
        </w:tc>
        <w:tc>
          <w:tcPr>
            <w:tcW w:w="1398" w:type="dxa"/>
          </w:tcPr>
          <w:p w14:paraId="0BC94C25" w14:textId="77777777" w:rsidR="005E76BF" w:rsidRPr="0092670C" w:rsidRDefault="005E76BF" w:rsidP="00E336EA">
            <w:pPr>
              <w:spacing w:line="360" w:lineRule="auto"/>
              <w:jc w:val="both"/>
              <w:rPr>
                <w:rFonts w:ascii="Arial" w:hAnsi="Arial" w:cs="Arial"/>
              </w:rPr>
            </w:pPr>
            <w:r w:rsidRPr="0092670C">
              <w:rPr>
                <w:rFonts w:ascii="Arial" w:hAnsi="Arial" w:cs="Arial"/>
              </w:rPr>
              <w:t>62.3</w:t>
            </w:r>
          </w:p>
        </w:tc>
        <w:tc>
          <w:tcPr>
            <w:tcW w:w="1626" w:type="dxa"/>
          </w:tcPr>
          <w:p w14:paraId="3783A2AD" w14:textId="77777777" w:rsidR="005E76BF" w:rsidRPr="0092670C" w:rsidRDefault="005E76BF" w:rsidP="00E336EA">
            <w:pPr>
              <w:spacing w:line="360" w:lineRule="auto"/>
              <w:jc w:val="both"/>
              <w:rPr>
                <w:rFonts w:ascii="Arial" w:hAnsi="Arial" w:cs="Arial"/>
              </w:rPr>
            </w:pPr>
            <w:r w:rsidRPr="0092670C">
              <w:rPr>
                <w:rFonts w:ascii="Arial" w:hAnsi="Arial" w:cs="Arial"/>
              </w:rPr>
              <w:t>71.9</w:t>
            </w:r>
          </w:p>
        </w:tc>
        <w:tc>
          <w:tcPr>
            <w:tcW w:w="1478" w:type="dxa"/>
          </w:tcPr>
          <w:p w14:paraId="58B59E3A" w14:textId="77777777" w:rsidR="005E76BF" w:rsidRPr="0092670C" w:rsidRDefault="005E76BF" w:rsidP="00E336EA">
            <w:pPr>
              <w:spacing w:line="360" w:lineRule="auto"/>
              <w:jc w:val="both"/>
              <w:rPr>
                <w:rFonts w:ascii="Arial" w:hAnsi="Arial" w:cs="Arial"/>
              </w:rPr>
            </w:pPr>
            <w:r w:rsidRPr="0092670C">
              <w:rPr>
                <w:rFonts w:ascii="Arial" w:hAnsi="Arial" w:cs="Arial"/>
              </w:rPr>
              <w:t>61.8</w:t>
            </w:r>
          </w:p>
        </w:tc>
      </w:tr>
      <w:tr w:rsidR="005E76BF" w:rsidRPr="0092670C" w14:paraId="51CF51CB" w14:textId="77777777" w:rsidTr="005E76BF">
        <w:trPr>
          <w:trHeight w:val="375"/>
          <w:jc w:val="center"/>
        </w:trPr>
        <w:tc>
          <w:tcPr>
            <w:tcW w:w="2045" w:type="dxa"/>
          </w:tcPr>
          <w:p w14:paraId="50001015" w14:textId="77777777" w:rsidR="005E76BF" w:rsidRPr="0092670C" w:rsidRDefault="005E76BF" w:rsidP="00E336EA">
            <w:pPr>
              <w:spacing w:line="360" w:lineRule="auto"/>
              <w:jc w:val="both"/>
              <w:rPr>
                <w:rFonts w:ascii="Arial" w:hAnsi="Arial" w:cs="Arial"/>
              </w:rPr>
            </w:pPr>
            <w:r w:rsidRPr="0092670C">
              <w:rPr>
                <w:rFonts w:ascii="Arial" w:hAnsi="Arial" w:cs="Arial"/>
              </w:rPr>
              <w:t>10</w:t>
            </w:r>
          </w:p>
        </w:tc>
        <w:tc>
          <w:tcPr>
            <w:tcW w:w="1398" w:type="dxa"/>
          </w:tcPr>
          <w:p w14:paraId="2D75CD39" w14:textId="77777777" w:rsidR="005E76BF" w:rsidRPr="0092670C" w:rsidRDefault="005E76BF" w:rsidP="00E336EA">
            <w:pPr>
              <w:spacing w:line="360" w:lineRule="auto"/>
              <w:jc w:val="both"/>
              <w:rPr>
                <w:rFonts w:ascii="Arial" w:hAnsi="Arial" w:cs="Arial"/>
              </w:rPr>
            </w:pPr>
            <w:r w:rsidRPr="0092670C">
              <w:rPr>
                <w:rFonts w:ascii="Arial" w:hAnsi="Arial" w:cs="Arial"/>
              </w:rPr>
              <w:t>60.9</w:t>
            </w:r>
          </w:p>
        </w:tc>
        <w:tc>
          <w:tcPr>
            <w:tcW w:w="1626" w:type="dxa"/>
          </w:tcPr>
          <w:p w14:paraId="37C7A160" w14:textId="77777777" w:rsidR="005E76BF" w:rsidRPr="0092670C" w:rsidRDefault="005E76BF" w:rsidP="00E336EA">
            <w:pPr>
              <w:spacing w:line="360" w:lineRule="auto"/>
              <w:jc w:val="both"/>
              <w:rPr>
                <w:rFonts w:ascii="Arial" w:hAnsi="Arial" w:cs="Arial"/>
              </w:rPr>
            </w:pPr>
            <w:r w:rsidRPr="0092670C">
              <w:rPr>
                <w:rFonts w:ascii="Arial" w:hAnsi="Arial" w:cs="Arial"/>
              </w:rPr>
              <w:t>70.0</w:t>
            </w:r>
          </w:p>
        </w:tc>
        <w:tc>
          <w:tcPr>
            <w:tcW w:w="1478" w:type="dxa"/>
          </w:tcPr>
          <w:p w14:paraId="4822BA99" w14:textId="77777777" w:rsidR="005E76BF" w:rsidRPr="0092670C" w:rsidRDefault="005E76BF" w:rsidP="00E336EA">
            <w:pPr>
              <w:spacing w:line="360" w:lineRule="auto"/>
              <w:jc w:val="both"/>
              <w:rPr>
                <w:rFonts w:ascii="Arial" w:hAnsi="Arial" w:cs="Arial"/>
              </w:rPr>
            </w:pPr>
            <w:r w:rsidRPr="0092670C">
              <w:rPr>
                <w:rFonts w:ascii="Arial" w:hAnsi="Arial" w:cs="Arial"/>
              </w:rPr>
              <w:t>74.9</w:t>
            </w:r>
          </w:p>
        </w:tc>
      </w:tr>
      <w:tr w:rsidR="005E76BF" w:rsidRPr="0092670C" w14:paraId="1DEA051A" w14:textId="77777777" w:rsidTr="005E76BF">
        <w:trPr>
          <w:trHeight w:val="387"/>
          <w:jc w:val="center"/>
        </w:trPr>
        <w:tc>
          <w:tcPr>
            <w:tcW w:w="2045" w:type="dxa"/>
          </w:tcPr>
          <w:p w14:paraId="1981C2C6" w14:textId="77777777" w:rsidR="005E76BF" w:rsidRPr="0092670C" w:rsidRDefault="005E76BF" w:rsidP="00E336EA">
            <w:pPr>
              <w:spacing w:line="360" w:lineRule="auto"/>
              <w:jc w:val="both"/>
              <w:rPr>
                <w:rFonts w:ascii="Arial" w:hAnsi="Arial" w:cs="Arial"/>
              </w:rPr>
            </w:pPr>
            <w:r w:rsidRPr="0092670C">
              <w:rPr>
                <w:rFonts w:ascii="Arial" w:hAnsi="Arial" w:cs="Arial"/>
              </w:rPr>
              <w:t>20</w:t>
            </w:r>
          </w:p>
        </w:tc>
        <w:tc>
          <w:tcPr>
            <w:tcW w:w="1398" w:type="dxa"/>
          </w:tcPr>
          <w:p w14:paraId="2219DA3B" w14:textId="77777777" w:rsidR="005E76BF" w:rsidRPr="0092670C" w:rsidRDefault="005E76BF" w:rsidP="00E336EA">
            <w:pPr>
              <w:spacing w:line="360" w:lineRule="auto"/>
              <w:jc w:val="both"/>
              <w:rPr>
                <w:rFonts w:ascii="Arial" w:hAnsi="Arial" w:cs="Arial"/>
              </w:rPr>
            </w:pPr>
            <w:r w:rsidRPr="0092670C">
              <w:rPr>
                <w:rFonts w:ascii="Arial" w:hAnsi="Arial" w:cs="Arial"/>
              </w:rPr>
              <w:t>60.3</w:t>
            </w:r>
          </w:p>
        </w:tc>
        <w:tc>
          <w:tcPr>
            <w:tcW w:w="1626" w:type="dxa"/>
          </w:tcPr>
          <w:p w14:paraId="2B409454" w14:textId="77777777" w:rsidR="005E76BF" w:rsidRPr="0092670C" w:rsidRDefault="005E76BF" w:rsidP="00E336EA">
            <w:pPr>
              <w:spacing w:line="360" w:lineRule="auto"/>
              <w:jc w:val="both"/>
              <w:rPr>
                <w:rFonts w:ascii="Arial" w:hAnsi="Arial" w:cs="Arial"/>
              </w:rPr>
            </w:pPr>
            <w:r w:rsidRPr="0092670C">
              <w:rPr>
                <w:rFonts w:ascii="Arial" w:hAnsi="Arial" w:cs="Arial"/>
              </w:rPr>
              <w:t>74.2</w:t>
            </w:r>
          </w:p>
        </w:tc>
        <w:tc>
          <w:tcPr>
            <w:tcW w:w="1478" w:type="dxa"/>
          </w:tcPr>
          <w:p w14:paraId="47D0E5AA" w14:textId="77777777" w:rsidR="005E76BF" w:rsidRPr="0092670C" w:rsidRDefault="005E76BF" w:rsidP="00E336EA">
            <w:pPr>
              <w:spacing w:line="360" w:lineRule="auto"/>
              <w:jc w:val="both"/>
              <w:rPr>
                <w:rFonts w:ascii="Arial" w:hAnsi="Arial" w:cs="Arial"/>
              </w:rPr>
            </w:pPr>
            <w:r w:rsidRPr="0092670C">
              <w:rPr>
                <w:rFonts w:ascii="Arial" w:hAnsi="Arial" w:cs="Arial"/>
              </w:rPr>
              <w:t>84.4</w:t>
            </w:r>
          </w:p>
        </w:tc>
      </w:tr>
      <w:tr w:rsidR="005E76BF" w:rsidRPr="0092670C" w14:paraId="5CA21BAA" w14:textId="77777777" w:rsidTr="005E76BF">
        <w:trPr>
          <w:trHeight w:val="375"/>
          <w:jc w:val="center"/>
        </w:trPr>
        <w:tc>
          <w:tcPr>
            <w:tcW w:w="2045" w:type="dxa"/>
          </w:tcPr>
          <w:p w14:paraId="35D28918" w14:textId="77777777" w:rsidR="005E76BF" w:rsidRPr="0092670C" w:rsidRDefault="005E76BF" w:rsidP="00E336EA">
            <w:pPr>
              <w:spacing w:line="360" w:lineRule="auto"/>
              <w:jc w:val="both"/>
              <w:rPr>
                <w:rFonts w:ascii="Arial" w:hAnsi="Arial" w:cs="Arial"/>
              </w:rPr>
            </w:pPr>
            <w:r w:rsidRPr="0092670C">
              <w:rPr>
                <w:rFonts w:ascii="Arial" w:hAnsi="Arial" w:cs="Arial"/>
              </w:rPr>
              <w:t>30</w:t>
            </w:r>
          </w:p>
        </w:tc>
        <w:tc>
          <w:tcPr>
            <w:tcW w:w="1398" w:type="dxa"/>
          </w:tcPr>
          <w:p w14:paraId="68E21E9B" w14:textId="77777777" w:rsidR="005E76BF" w:rsidRPr="0092670C" w:rsidRDefault="005E76BF" w:rsidP="00E336EA">
            <w:pPr>
              <w:spacing w:line="360" w:lineRule="auto"/>
              <w:jc w:val="both"/>
              <w:rPr>
                <w:rFonts w:ascii="Arial" w:hAnsi="Arial" w:cs="Arial"/>
              </w:rPr>
            </w:pPr>
            <w:r w:rsidRPr="0092670C">
              <w:rPr>
                <w:rFonts w:ascii="Arial" w:hAnsi="Arial" w:cs="Arial"/>
              </w:rPr>
              <w:t>65.9</w:t>
            </w:r>
          </w:p>
        </w:tc>
        <w:tc>
          <w:tcPr>
            <w:tcW w:w="1626" w:type="dxa"/>
          </w:tcPr>
          <w:p w14:paraId="7F90018F" w14:textId="77777777" w:rsidR="005E76BF" w:rsidRPr="0092670C" w:rsidRDefault="005E76BF" w:rsidP="00E336EA">
            <w:pPr>
              <w:spacing w:line="360" w:lineRule="auto"/>
              <w:jc w:val="both"/>
              <w:rPr>
                <w:rFonts w:ascii="Arial" w:hAnsi="Arial" w:cs="Arial"/>
              </w:rPr>
            </w:pPr>
            <w:r w:rsidRPr="0092670C">
              <w:rPr>
                <w:rFonts w:ascii="Arial" w:hAnsi="Arial" w:cs="Arial"/>
              </w:rPr>
              <w:t>80.4</w:t>
            </w:r>
          </w:p>
        </w:tc>
        <w:tc>
          <w:tcPr>
            <w:tcW w:w="1478" w:type="dxa"/>
          </w:tcPr>
          <w:p w14:paraId="47860DA5" w14:textId="77777777" w:rsidR="005E76BF" w:rsidRPr="0092670C" w:rsidRDefault="005E76BF" w:rsidP="00E336EA">
            <w:pPr>
              <w:spacing w:line="360" w:lineRule="auto"/>
              <w:jc w:val="both"/>
              <w:rPr>
                <w:rFonts w:ascii="Arial" w:hAnsi="Arial" w:cs="Arial"/>
              </w:rPr>
            </w:pPr>
            <w:r w:rsidRPr="0092670C">
              <w:rPr>
                <w:rFonts w:ascii="Arial" w:hAnsi="Arial" w:cs="Arial"/>
              </w:rPr>
              <w:t>85.3</w:t>
            </w:r>
          </w:p>
        </w:tc>
      </w:tr>
      <w:tr w:rsidR="005E76BF" w:rsidRPr="0092670C" w14:paraId="718574CF" w14:textId="77777777" w:rsidTr="005E76BF">
        <w:trPr>
          <w:trHeight w:val="387"/>
          <w:jc w:val="center"/>
        </w:trPr>
        <w:tc>
          <w:tcPr>
            <w:tcW w:w="2045" w:type="dxa"/>
          </w:tcPr>
          <w:p w14:paraId="520C3E05" w14:textId="77777777" w:rsidR="005E76BF" w:rsidRPr="0092670C" w:rsidRDefault="005E76BF" w:rsidP="00E336EA">
            <w:pPr>
              <w:spacing w:line="360" w:lineRule="auto"/>
              <w:jc w:val="both"/>
              <w:rPr>
                <w:rFonts w:ascii="Arial" w:hAnsi="Arial" w:cs="Arial"/>
              </w:rPr>
            </w:pPr>
            <w:r w:rsidRPr="0092670C">
              <w:rPr>
                <w:rFonts w:ascii="Arial" w:hAnsi="Arial" w:cs="Arial"/>
              </w:rPr>
              <w:t>50</w:t>
            </w:r>
          </w:p>
        </w:tc>
        <w:tc>
          <w:tcPr>
            <w:tcW w:w="1398" w:type="dxa"/>
          </w:tcPr>
          <w:p w14:paraId="3AB429EC" w14:textId="77777777" w:rsidR="005E76BF" w:rsidRPr="0092670C" w:rsidRDefault="005E76BF" w:rsidP="00E336EA">
            <w:pPr>
              <w:spacing w:line="360" w:lineRule="auto"/>
              <w:jc w:val="both"/>
              <w:rPr>
                <w:rFonts w:ascii="Arial" w:hAnsi="Arial" w:cs="Arial"/>
              </w:rPr>
            </w:pPr>
            <w:r w:rsidRPr="0092670C">
              <w:rPr>
                <w:rFonts w:ascii="Arial" w:hAnsi="Arial" w:cs="Arial"/>
              </w:rPr>
              <w:t>79.8</w:t>
            </w:r>
          </w:p>
        </w:tc>
        <w:tc>
          <w:tcPr>
            <w:tcW w:w="1626" w:type="dxa"/>
          </w:tcPr>
          <w:p w14:paraId="52A71ACD" w14:textId="77777777" w:rsidR="005E76BF" w:rsidRPr="0092670C" w:rsidRDefault="005E76BF" w:rsidP="00E336EA">
            <w:pPr>
              <w:spacing w:line="360" w:lineRule="auto"/>
              <w:jc w:val="both"/>
              <w:rPr>
                <w:rFonts w:ascii="Arial" w:hAnsi="Arial" w:cs="Arial"/>
              </w:rPr>
            </w:pPr>
            <w:r w:rsidRPr="0092670C">
              <w:rPr>
                <w:rFonts w:ascii="Arial" w:hAnsi="Arial" w:cs="Arial"/>
              </w:rPr>
              <w:t>99.0</w:t>
            </w:r>
          </w:p>
        </w:tc>
        <w:tc>
          <w:tcPr>
            <w:tcW w:w="1478" w:type="dxa"/>
          </w:tcPr>
          <w:p w14:paraId="1B320069" w14:textId="77777777" w:rsidR="005E76BF" w:rsidRPr="0092670C" w:rsidRDefault="005E76BF" w:rsidP="00E336EA">
            <w:pPr>
              <w:spacing w:line="360" w:lineRule="auto"/>
              <w:jc w:val="both"/>
              <w:rPr>
                <w:rFonts w:ascii="Arial" w:hAnsi="Arial" w:cs="Arial"/>
              </w:rPr>
            </w:pPr>
            <w:r w:rsidRPr="0092670C">
              <w:rPr>
                <w:rFonts w:ascii="Arial" w:hAnsi="Arial" w:cs="Arial"/>
              </w:rPr>
              <w:t>104.0</w:t>
            </w:r>
          </w:p>
        </w:tc>
      </w:tr>
      <w:bookmarkEnd w:id="151"/>
    </w:tbl>
    <w:p w14:paraId="0954A930" w14:textId="77777777" w:rsidR="00CF5F94" w:rsidRPr="0092670C" w:rsidRDefault="00CF5F94" w:rsidP="00E336EA">
      <w:pPr>
        <w:spacing w:line="360" w:lineRule="auto"/>
        <w:jc w:val="both"/>
        <w:rPr>
          <w:rFonts w:ascii="Arial" w:hAnsi="Arial" w:cs="Arial"/>
          <w:sz w:val="18"/>
          <w:szCs w:val="18"/>
        </w:rPr>
      </w:pPr>
    </w:p>
    <w:p w14:paraId="37276775" w14:textId="4D4705E5" w:rsidR="00E336EA" w:rsidRPr="0092670C" w:rsidRDefault="005759FE" w:rsidP="00E336EA">
      <w:pPr>
        <w:spacing w:line="360" w:lineRule="auto"/>
        <w:jc w:val="both"/>
        <w:rPr>
          <w:rFonts w:ascii="Arial" w:hAnsi="Arial" w:cs="Arial"/>
        </w:rPr>
      </w:pPr>
      <w:r w:rsidRPr="0092670C">
        <w:rPr>
          <w:rFonts w:ascii="Arial" w:hAnsi="Arial" w:cs="Arial"/>
        </w:rPr>
        <w:fldChar w:fldCharType="begin"/>
      </w:r>
      <w:r w:rsidRPr="0092670C">
        <w:rPr>
          <w:rFonts w:ascii="Arial" w:hAnsi="Arial" w:cs="Arial"/>
        </w:rPr>
        <w:instrText xml:space="preserve"> REF _Ref31486943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9</w:t>
      </w:r>
      <w:r w:rsidRPr="0092670C">
        <w:rPr>
          <w:rFonts w:ascii="Arial" w:hAnsi="Arial" w:cs="Arial"/>
        </w:rPr>
        <w:fldChar w:fldCharType="end"/>
      </w:r>
      <w:r w:rsidRPr="0092670C">
        <w:rPr>
          <w:rFonts w:ascii="Arial" w:hAnsi="Arial" w:cs="Arial"/>
        </w:rPr>
        <w:t xml:space="preserve"> </w:t>
      </w:r>
      <w:r w:rsidR="00E336EA" w:rsidRPr="0092670C">
        <w:rPr>
          <w:rFonts w:ascii="Arial" w:hAnsi="Arial" w:cs="Arial"/>
        </w:rPr>
        <w:t>also reveals that as the transition number increases so too does ΔE</w:t>
      </w:r>
      <w:r w:rsidR="00E336EA" w:rsidRPr="0092670C">
        <w:rPr>
          <w:rFonts w:ascii="Arial" w:hAnsi="Arial" w:cs="Arial"/>
          <w:vertAlign w:val="subscript"/>
        </w:rPr>
        <w:t>p</w:t>
      </w:r>
      <w:r w:rsidR="00E336EA" w:rsidRPr="0092670C">
        <w:rPr>
          <w:rFonts w:ascii="Arial" w:hAnsi="Arial" w:cs="Arial"/>
        </w:rPr>
        <w:t xml:space="preserve">. This is due to the different types of transitions that are occurring within the cell. As transition 3 </w:t>
      </w:r>
      <w:r w:rsidR="003452DE">
        <w:rPr>
          <w:rFonts w:ascii="Arial" w:hAnsi="Arial" w:cs="Arial"/>
        </w:rPr>
        <w:t>corresponds with the chemical reaction</w:t>
      </w:r>
      <w:r w:rsidR="00E336EA" w:rsidRPr="0092670C">
        <w:rPr>
          <w:rFonts w:ascii="Arial" w:hAnsi="Arial" w:cs="Arial"/>
        </w:rPr>
        <w:t xml:space="preserve"> </w:t>
      </w:r>
      <m:oMath>
        <m:r>
          <w:rPr>
            <w:rFonts w:ascii="Cambria Math" w:hAnsi="Cambria Math" w:cs="Arial"/>
          </w:rPr>
          <m:t>2Li</m:t>
        </m:r>
        <m:sSub>
          <m:sSubPr>
            <m:ctrlPr>
              <w:rPr>
                <w:rFonts w:ascii="Cambria Math" w:hAnsi="Cambria Math" w:cs="Arial"/>
                <w:i/>
              </w:rPr>
            </m:ctrlPr>
          </m:sSubPr>
          <m:e>
            <m:r>
              <w:rPr>
                <w:rFonts w:ascii="Cambria Math" w:hAnsi="Cambria Math" w:cs="Arial"/>
              </w:rPr>
              <m:t>C</m:t>
            </m:r>
          </m:e>
          <m:sub>
            <m:r>
              <w:rPr>
                <w:rFonts w:ascii="Cambria Math" w:hAnsi="Cambria Math" w:cs="Arial"/>
              </w:rPr>
              <m:t>6</m:t>
            </m:r>
          </m:sub>
        </m:sSub>
        <m:r>
          <w:rPr>
            <w:rFonts w:ascii="Cambria Math" w:hAnsi="Cambria Math" w:cs="Arial"/>
          </w:rPr>
          <m:t>⇌Li</m:t>
        </m:r>
        <m:sSub>
          <m:sSubPr>
            <m:ctrlPr>
              <w:rPr>
                <w:rFonts w:ascii="Cambria Math" w:hAnsi="Cambria Math" w:cs="Arial"/>
                <w:i/>
              </w:rPr>
            </m:ctrlPr>
          </m:sSubPr>
          <m:e>
            <m:r>
              <w:rPr>
                <w:rFonts w:ascii="Cambria Math" w:hAnsi="Cambria Math" w:cs="Arial"/>
              </w:rPr>
              <m:t>C</m:t>
            </m:r>
          </m:e>
          <m:sub>
            <m:r>
              <w:rPr>
                <w:rFonts w:ascii="Cambria Math" w:hAnsi="Cambria Math" w:cs="Arial"/>
              </w:rPr>
              <m:t>12</m:t>
            </m:r>
          </m:sub>
        </m:sSub>
        <m:r>
          <w:rPr>
            <w:rFonts w:ascii="Cambria Math" w:hAnsi="Cambria Math" w:cs="Arial"/>
          </w:rPr>
          <m:t>+Li</m:t>
        </m:r>
      </m:oMath>
      <w:r w:rsidR="00E336EA" w:rsidRPr="0092670C">
        <w:rPr>
          <w:rFonts w:ascii="Arial" w:eastAsiaTheme="minorEastAsia" w:hAnsi="Arial" w:cs="Arial"/>
        </w:rPr>
        <w:t xml:space="preserve"> it is the final transition and either starts or ends with (depending on the direction of the reaction) LiC</w:t>
      </w:r>
      <w:r w:rsidR="00E336EA" w:rsidRPr="0092670C">
        <w:rPr>
          <w:rFonts w:ascii="Arial" w:eastAsiaTheme="minorEastAsia" w:hAnsi="Arial" w:cs="Arial"/>
          <w:vertAlign w:val="subscript"/>
        </w:rPr>
        <w:t>6</w:t>
      </w:r>
      <w:r w:rsidR="00E336EA" w:rsidRPr="0092670C">
        <w:rPr>
          <w:rFonts w:ascii="Arial" w:eastAsiaTheme="minorEastAsia" w:hAnsi="Arial" w:cs="Arial"/>
        </w:rPr>
        <w:t>. This is the lowest energy state for the lithium and the principle of microscopic reversibility means that this state has the highest activation energy, meaning that the extra voltage is to traverse the activation energy barrier. Similar results have been seen in traditional SSCV scans of the lithium-graphite couple suggesting that these results are accurate</w:t>
      </w:r>
      <w:r w:rsidR="002C78C5" w:rsidRPr="0092670C">
        <w:rPr>
          <w:rFonts w:ascii="Arial" w:eastAsiaTheme="minorEastAsia" w:hAnsi="Arial" w:cs="Arial"/>
        </w:rPr>
        <w:t xml:space="preserve"> </w:t>
      </w:r>
      <w:r w:rsidR="00E336EA" w:rsidRPr="0092670C">
        <w:rPr>
          <w:rFonts w:ascii="Arial" w:eastAsiaTheme="minorEastAsia" w:hAnsi="Arial" w:cs="Arial"/>
        </w:rPr>
        <w:fldChar w:fldCharType="begin"/>
      </w:r>
      <w:r w:rsidR="0034337D">
        <w:rPr>
          <w:rFonts w:ascii="Arial" w:eastAsiaTheme="minorEastAsia" w:hAnsi="Arial" w:cs="Arial"/>
        </w:rPr>
        <w:instrText xml:space="preserve"> ADDIN EN.CITE &lt;EndNote&gt;&lt;Cite&gt;&lt;Author&gt;Aurbach&lt;/Author&gt;&lt;Year&gt;1998&lt;/Year&gt;&lt;RecNum&gt;56&lt;/RecNum&gt;&lt;DisplayText&gt;[181]&lt;/DisplayText&gt;&lt;record&gt;&lt;rec-number&gt;56&lt;/rec-number&gt;&lt;foreign-keys&gt;&lt;key app="EN" db-id="5sa9s0e0r0d9fnexra7pr5xdwd5ztevx95s2" timestamp="1513781973"&gt;56&lt;/key&gt;&lt;/foreign-keys&gt;&lt;ref-type name="Journal Article"&gt;17&lt;/ref-type&gt;&lt;contributors&gt;&lt;authors&gt;&lt;author&gt;Aurbach, Doron&lt;/author&gt;&lt;author&gt;Levi, Mikhail D.&lt;/author&gt;&lt;author&gt;Levi, Elena&lt;/author&gt;&lt;author&gt;Teller, Hanan&lt;/author&gt;&lt;author&gt;Markovsky, Boris&lt;/author&gt;&lt;author&gt;Salitra, Gregory&lt;/author&gt;&lt;author&gt;Heider, Udo&lt;/author&gt;&lt;author&gt;Heider, Lilia&lt;/author&gt;&lt;/authors&gt;&lt;/contributors&gt;&lt;titles&gt;&lt;title&gt;Common Electroanalytical Behavior of Li Intercalation Processes into Graphite and Transition Metal Oxides&lt;/title&gt;&lt;secondary-title&gt;Journal of The Electrochemical Society&lt;/secondary-title&gt;&lt;/titles&gt;&lt;periodical&gt;&lt;full-title&gt;Journal of the Electrochemical Society&lt;/full-title&gt;&lt;abbr-1&gt;J. Electrochem. Soc.&lt;/abbr-1&gt;&lt;/periodical&gt;&lt;pages&gt;3024-3034&lt;/pages&gt;&lt;volume&gt;145&lt;/volume&gt;&lt;number&gt;9&lt;/number&gt;&lt;dates&gt;&lt;year&gt;1998&lt;/year&gt;&lt;pub-dates&gt;&lt;date&gt;September 1, 1998&lt;/date&gt;&lt;/pub-dates&gt;&lt;/dates&gt;&lt;urls&gt;&lt;related-urls&gt;&lt;url&gt;http://jes.ecsdl.org/content/145/9/3024.abstract&lt;/url&gt;&lt;/related-urls&gt;&lt;/urls&gt;&lt;electronic-resource-num&gt;10.1149/1.1838758&lt;/electronic-resource-num&gt;&lt;/record&gt;&lt;/Cite&gt;&lt;/EndNote&gt;</w:instrText>
      </w:r>
      <w:r w:rsidR="00E336EA" w:rsidRPr="0092670C">
        <w:rPr>
          <w:rFonts w:ascii="Arial" w:eastAsiaTheme="minorEastAsia" w:hAnsi="Arial" w:cs="Arial"/>
        </w:rPr>
        <w:fldChar w:fldCharType="separate"/>
      </w:r>
      <w:r w:rsidR="0034337D">
        <w:rPr>
          <w:rFonts w:ascii="Arial" w:eastAsiaTheme="minorEastAsia" w:hAnsi="Arial" w:cs="Arial"/>
          <w:noProof/>
        </w:rPr>
        <w:t>[181]</w:t>
      </w:r>
      <w:r w:rsidR="00E336EA" w:rsidRPr="0092670C">
        <w:rPr>
          <w:rFonts w:ascii="Arial" w:eastAsiaTheme="minorEastAsia" w:hAnsi="Arial" w:cs="Arial"/>
        </w:rPr>
        <w:fldChar w:fldCharType="end"/>
      </w:r>
      <w:r w:rsidR="00E336EA" w:rsidRPr="0092670C">
        <w:rPr>
          <w:rFonts w:ascii="Arial" w:eastAsiaTheme="minorEastAsia" w:hAnsi="Arial" w:cs="Arial"/>
        </w:rPr>
        <w:t xml:space="preserve">. </w:t>
      </w:r>
    </w:p>
    <w:p w14:paraId="66CDE3B6" w14:textId="5F82E046" w:rsidR="00286682" w:rsidRPr="0092670C" w:rsidRDefault="00286682" w:rsidP="00286682">
      <w:pPr>
        <w:pStyle w:val="Caption"/>
        <w:keepNext/>
        <w:rPr>
          <w:rFonts w:ascii="Arial" w:hAnsi="Arial" w:cs="Arial"/>
          <w:sz w:val="20"/>
          <w:szCs w:val="20"/>
        </w:rPr>
      </w:pPr>
      <w:bookmarkStart w:id="152" w:name="_Ref44867055"/>
      <w:r w:rsidRPr="0092670C">
        <w:rPr>
          <w:rFonts w:ascii="Arial" w:hAnsi="Arial" w:cs="Arial"/>
          <w:sz w:val="20"/>
          <w:szCs w:val="20"/>
        </w:rPr>
        <w:t xml:space="preserve">Table </w:t>
      </w:r>
      <w:r w:rsidR="004F6B49">
        <w:rPr>
          <w:rFonts w:ascii="Arial" w:hAnsi="Arial" w:cs="Arial"/>
          <w:sz w:val="20"/>
          <w:szCs w:val="20"/>
        </w:rPr>
        <w:fldChar w:fldCharType="begin"/>
      </w:r>
      <w:r w:rsidR="004F6B49">
        <w:rPr>
          <w:rFonts w:ascii="Arial" w:hAnsi="Arial" w:cs="Arial"/>
          <w:sz w:val="20"/>
          <w:szCs w:val="20"/>
        </w:rPr>
        <w:instrText xml:space="preserve"> STYLEREF 1 \s </w:instrText>
      </w:r>
      <w:r w:rsidR="004F6B49">
        <w:rPr>
          <w:rFonts w:ascii="Arial" w:hAnsi="Arial" w:cs="Arial"/>
          <w:sz w:val="20"/>
          <w:szCs w:val="20"/>
        </w:rPr>
        <w:fldChar w:fldCharType="separate"/>
      </w:r>
      <w:r w:rsidR="007342C8">
        <w:rPr>
          <w:rFonts w:ascii="Arial" w:hAnsi="Arial" w:cs="Arial"/>
          <w:noProof/>
          <w:sz w:val="20"/>
          <w:szCs w:val="20"/>
        </w:rPr>
        <w:t>3</w:t>
      </w:r>
      <w:r w:rsidR="004F6B49">
        <w:rPr>
          <w:rFonts w:ascii="Arial" w:hAnsi="Arial" w:cs="Arial"/>
          <w:sz w:val="20"/>
          <w:szCs w:val="20"/>
        </w:rPr>
        <w:fldChar w:fldCharType="end"/>
      </w:r>
      <w:r w:rsidR="004F6B49">
        <w:rPr>
          <w:rFonts w:ascii="Arial" w:hAnsi="Arial" w:cs="Arial"/>
          <w:sz w:val="20"/>
          <w:szCs w:val="20"/>
        </w:rPr>
        <w:noBreakHyphen/>
      </w:r>
      <w:r w:rsidR="004F6B49">
        <w:rPr>
          <w:rFonts w:ascii="Arial" w:hAnsi="Arial" w:cs="Arial"/>
          <w:sz w:val="20"/>
          <w:szCs w:val="20"/>
        </w:rPr>
        <w:fldChar w:fldCharType="begin"/>
      </w:r>
      <w:r w:rsidR="004F6B49">
        <w:rPr>
          <w:rFonts w:ascii="Arial" w:hAnsi="Arial" w:cs="Arial"/>
          <w:sz w:val="20"/>
          <w:szCs w:val="20"/>
        </w:rPr>
        <w:instrText xml:space="preserve"> SEQ Table \* ARABIC \s 1 </w:instrText>
      </w:r>
      <w:r w:rsidR="004F6B49">
        <w:rPr>
          <w:rFonts w:ascii="Arial" w:hAnsi="Arial" w:cs="Arial"/>
          <w:sz w:val="20"/>
          <w:szCs w:val="20"/>
        </w:rPr>
        <w:fldChar w:fldCharType="separate"/>
      </w:r>
      <w:r w:rsidR="007342C8">
        <w:rPr>
          <w:rFonts w:ascii="Arial" w:hAnsi="Arial" w:cs="Arial"/>
          <w:noProof/>
          <w:sz w:val="20"/>
          <w:szCs w:val="20"/>
        </w:rPr>
        <w:t>4</w:t>
      </w:r>
      <w:r w:rsidR="004F6B49">
        <w:rPr>
          <w:rFonts w:ascii="Arial" w:hAnsi="Arial" w:cs="Arial"/>
          <w:sz w:val="20"/>
          <w:szCs w:val="20"/>
        </w:rPr>
        <w:fldChar w:fldCharType="end"/>
      </w:r>
      <w:bookmarkEnd w:id="152"/>
      <w:r w:rsidRPr="0092670C">
        <w:rPr>
          <w:rFonts w:ascii="Arial" w:hAnsi="Arial" w:cs="Arial"/>
          <w:sz w:val="20"/>
          <w:szCs w:val="20"/>
        </w:rPr>
        <w:t>: Change to differential capacity properties of the FEC pre-lithiated cell with increasing cycle number.</w:t>
      </w:r>
    </w:p>
    <w:tbl>
      <w:tblPr>
        <w:tblStyle w:val="TableGrid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1382"/>
        <w:gridCol w:w="1608"/>
        <w:gridCol w:w="1462"/>
      </w:tblGrid>
      <w:tr w:rsidR="005E76BF" w:rsidRPr="0092670C" w14:paraId="05715CFF" w14:textId="77777777" w:rsidTr="005E76BF">
        <w:trPr>
          <w:trHeight w:val="363"/>
          <w:jc w:val="center"/>
        </w:trPr>
        <w:tc>
          <w:tcPr>
            <w:tcW w:w="2022" w:type="dxa"/>
            <w:tcBorders>
              <w:top w:val="single" w:sz="4" w:space="0" w:color="auto"/>
              <w:bottom w:val="single" w:sz="4" w:space="0" w:color="auto"/>
            </w:tcBorders>
          </w:tcPr>
          <w:p w14:paraId="40917360" w14:textId="77777777" w:rsidR="005E76BF" w:rsidRPr="0092670C" w:rsidRDefault="005E76BF" w:rsidP="00E336EA">
            <w:pPr>
              <w:spacing w:line="360" w:lineRule="auto"/>
              <w:jc w:val="both"/>
              <w:rPr>
                <w:rFonts w:ascii="Arial" w:hAnsi="Arial" w:cs="Arial"/>
              </w:rPr>
            </w:pPr>
            <w:r w:rsidRPr="0092670C">
              <w:rPr>
                <w:rFonts w:ascii="Arial" w:hAnsi="Arial" w:cs="Arial"/>
              </w:rPr>
              <w:t>Cycle</w:t>
            </w:r>
          </w:p>
        </w:tc>
        <w:tc>
          <w:tcPr>
            <w:tcW w:w="1382" w:type="dxa"/>
            <w:tcBorders>
              <w:top w:val="single" w:sz="4" w:space="0" w:color="auto"/>
              <w:bottom w:val="single" w:sz="4" w:space="0" w:color="auto"/>
            </w:tcBorders>
          </w:tcPr>
          <w:p w14:paraId="2704078A" w14:textId="77777777" w:rsidR="005E76BF" w:rsidRPr="0092670C" w:rsidRDefault="005E76BF"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1(mV)</w:t>
            </w:r>
          </w:p>
        </w:tc>
        <w:tc>
          <w:tcPr>
            <w:tcW w:w="1608" w:type="dxa"/>
            <w:tcBorders>
              <w:top w:val="single" w:sz="4" w:space="0" w:color="auto"/>
              <w:bottom w:val="single" w:sz="4" w:space="0" w:color="auto"/>
            </w:tcBorders>
          </w:tcPr>
          <w:p w14:paraId="3F49AAFB" w14:textId="77777777" w:rsidR="005E76BF" w:rsidRPr="0092670C" w:rsidRDefault="005E76BF" w:rsidP="00E336EA">
            <w:pPr>
              <w:spacing w:line="360" w:lineRule="auto"/>
              <w:jc w:val="both"/>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2(mV)</w:t>
            </w:r>
          </w:p>
        </w:tc>
        <w:tc>
          <w:tcPr>
            <w:tcW w:w="1462" w:type="dxa"/>
            <w:tcBorders>
              <w:top w:val="single" w:sz="4" w:space="0" w:color="auto"/>
              <w:bottom w:val="single" w:sz="4" w:space="0" w:color="auto"/>
            </w:tcBorders>
          </w:tcPr>
          <w:p w14:paraId="6484DFEB" w14:textId="77777777" w:rsidR="005E76BF" w:rsidRPr="0092670C" w:rsidRDefault="005E76BF" w:rsidP="00E336EA">
            <w:pPr>
              <w:spacing w:line="360" w:lineRule="auto"/>
              <w:jc w:val="both"/>
              <w:rPr>
                <w:rFonts w:ascii="Arial" w:hAnsi="Arial" w:cs="Arial"/>
                <w:i/>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3(mV)</w:t>
            </w:r>
          </w:p>
        </w:tc>
      </w:tr>
      <w:tr w:rsidR="005E76BF" w:rsidRPr="0092670C" w14:paraId="166E5F3F" w14:textId="77777777" w:rsidTr="005E76BF">
        <w:trPr>
          <w:trHeight w:val="375"/>
          <w:jc w:val="center"/>
        </w:trPr>
        <w:tc>
          <w:tcPr>
            <w:tcW w:w="2022" w:type="dxa"/>
            <w:tcBorders>
              <w:top w:val="single" w:sz="4" w:space="0" w:color="auto"/>
            </w:tcBorders>
          </w:tcPr>
          <w:p w14:paraId="6909677E" w14:textId="77777777" w:rsidR="005E76BF" w:rsidRPr="0092670C" w:rsidRDefault="005E76BF" w:rsidP="00E336EA">
            <w:pPr>
              <w:spacing w:line="360" w:lineRule="auto"/>
              <w:jc w:val="both"/>
              <w:rPr>
                <w:rFonts w:ascii="Arial" w:hAnsi="Arial" w:cs="Arial"/>
              </w:rPr>
            </w:pPr>
            <w:r w:rsidRPr="0092670C">
              <w:rPr>
                <w:rFonts w:ascii="Arial" w:hAnsi="Arial" w:cs="Arial"/>
              </w:rPr>
              <w:t>1</w:t>
            </w:r>
          </w:p>
        </w:tc>
        <w:tc>
          <w:tcPr>
            <w:tcW w:w="1382" w:type="dxa"/>
            <w:tcBorders>
              <w:top w:val="single" w:sz="4" w:space="0" w:color="auto"/>
            </w:tcBorders>
          </w:tcPr>
          <w:p w14:paraId="28D44A35" w14:textId="77777777" w:rsidR="005E76BF" w:rsidRPr="0092670C" w:rsidRDefault="005E76BF" w:rsidP="00E336EA">
            <w:pPr>
              <w:spacing w:line="360" w:lineRule="auto"/>
              <w:jc w:val="both"/>
              <w:rPr>
                <w:rFonts w:ascii="Arial" w:hAnsi="Arial" w:cs="Arial"/>
              </w:rPr>
            </w:pPr>
            <w:r w:rsidRPr="0092670C">
              <w:rPr>
                <w:rFonts w:ascii="Arial" w:hAnsi="Arial" w:cs="Arial"/>
              </w:rPr>
              <w:t>84.7</w:t>
            </w:r>
          </w:p>
        </w:tc>
        <w:tc>
          <w:tcPr>
            <w:tcW w:w="1608" w:type="dxa"/>
            <w:tcBorders>
              <w:top w:val="single" w:sz="4" w:space="0" w:color="auto"/>
            </w:tcBorders>
          </w:tcPr>
          <w:p w14:paraId="01B24136" w14:textId="77777777" w:rsidR="005E76BF" w:rsidRPr="0092670C" w:rsidRDefault="005E76BF" w:rsidP="00E336EA">
            <w:pPr>
              <w:spacing w:line="360" w:lineRule="auto"/>
              <w:jc w:val="both"/>
              <w:rPr>
                <w:rFonts w:ascii="Arial" w:hAnsi="Arial" w:cs="Arial"/>
              </w:rPr>
            </w:pPr>
            <w:r w:rsidRPr="0092670C">
              <w:rPr>
                <w:rFonts w:ascii="Arial" w:hAnsi="Arial" w:cs="Arial"/>
              </w:rPr>
              <w:t>83.8</w:t>
            </w:r>
          </w:p>
        </w:tc>
        <w:tc>
          <w:tcPr>
            <w:tcW w:w="1462" w:type="dxa"/>
            <w:tcBorders>
              <w:top w:val="single" w:sz="4" w:space="0" w:color="auto"/>
            </w:tcBorders>
          </w:tcPr>
          <w:p w14:paraId="77A09C25" w14:textId="77777777" w:rsidR="005E76BF" w:rsidRPr="0092670C" w:rsidRDefault="005E76BF" w:rsidP="00E336EA">
            <w:pPr>
              <w:spacing w:line="360" w:lineRule="auto"/>
              <w:jc w:val="both"/>
              <w:rPr>
                <w:rFonts w:ascii="Arial" w:hAnsi="Arial" w:cs="Arial"/>
              </w:rPr>
            </w:pPr>
            <w:r w:rsidRPr="0092670C">
              <w:rPr>
                <w:rFonts w:ascii="Arial" w:hAnsi="Arial" w:cs="Arial"/>
              </w:rPr>
              <w:t>88.5</w:t>
            </w:r>
          </w:p>
        </w:tc>
      </w:tr>
      <w:tr w:rsidR="005E76BF" w:rsidRPr="0092670C" w14:paraId="02D1FF58" w14:textId="77777777" w:rsidTr="005E76BF">
        <w:trPr>
          <w:trHeight w:val="363"/>
          <w:jc w:val="center"/>
        </w:trPr>
        <w:tc>
          <w:tcPr>
            <w:tcW w:w="2022" w:type="dxa"/>
          </w:tcPr>
          <w:p w14:paraId="2348A232" w14:textId="77777777" w:rsidR="005E76BF" w:rsidRPr="0092670C" w:rsidRDefault="005E76BF" w:rsidP="00E336EA">
            <w:pPr>
              <w:spacing w:line="360" w:lineRule="auto"/>
              <w:jc w:val="both"/>
              <w:rPr>
                <w:rFonts w:ascii="Arial" w:hAnsi="Arial" w:cs="Arial"/>
              </w:rPr>
            </w:pPr>
            <w:r w:rsidRPr="0092670C">
              <w:rPr>
                <w:rFonts w:ascii="Arial" w:hAnsi="Arial" w:cs="Arial"/>
              </w:rPr>
              <w:t>5</w:t>
            </w:r>
          </w:p>
        </w:tc>
        <w:tc>
          <w:tcPr>
            <w:tcW w:w="1382" w:type="dxa"/>
          </w:tcPr>
          <w:p w14:paraId="34831562" w14:textId="77777777" w:rsidR="005E76BF" w:rsidRPr="0092670C" w:rsidRDefault="005E76BF" w:rsidP="00E336EA">
            <w:pPr>
              <w:spacing w:line="360" w:lineRule="auto"/>
              <w:jc w:val="both"/>
              <w:rPr>
                <w:rFonts w:ascii="Arial" w:hAnsi="Arial" w:cs="Arial"/>
              </w:rPr>
            </w:pPr>
            <w:r w:rsidRPr="0092670C">
              <w:rPr>
                <w:rFonts w:ascii="Arial" w:hAnsi="Arial" w:cs="Arial"/>
              </w:rPr>
              <w:t>57.9</w:t>
            </w:r>
          </w:p>
        </w:tc>
        <w:tc>
          <w:tcPr>
            <w:tcW w:w="1608" w:type="dxa"/>
          </w:tcPr>
          <w:p w14:paraId="336E8A6D" w14:textId="77777777" w:rsidR="005E76BF" w:rsidRPr="0092670C" w:rsidRDefault="005E76BF" w:rsidP="00E336EA">
            <w:pPr>
              <w:spacing w:line="360" w:lineRule="auto"/>
              <w:jc w:val="both"/>
              <w:rPr>
                <w:rFonts w:ascii="Arial" w:hAnsi="Arial" w:cs="Arial"/>
              </w:rPr>
            </w:pPr>
            <w:r w:rsidRPr="0092670C">
              <w:rPr>
                <w:rFonts w:ascii="Arial" w:hAnsi="Arial" w:cs="Arial"/>
              </w:rPr>
              <w:t>60.7</w:t>
            </w:r>
          </w:p>
        </w:tc>
        <w:tc>
          <w:tcPr>
            <w:tcW w:w="1462" w:type="dxa"/>
          </w:tcPr>
          <w:p w14:paraId="3D2D298F" w14:textId="77777777" w:rsidR="005E76BF" w:rsidRPr="0092670C" w:rsidRDefault="005E76BF" w:rsidP="00E336EA">
            <w:pPr>
              <w:spacing w:line="360" w:lineRule="auto"/>
              <w:jc w:val="both"/>
              <w:rPr>
                <w:rFonts w:ascii="Arial" w:hAnsi="Arial" w:cs="Arial"/>
              </w:rPr>
            </w:pPr>
            <w:r w:rsidRPr="0092670C">
              <w:rPr>
                <w:rFonts w:ascii="Arial" w:hAnsi="Arial" w:cs="Arial"/>
              </w:rPr>
              <w:t>70.7</w:t>
            </w:r>
          </w:p>
        </w:tc>
      </w:tr>
      <w:tr w:rsidR="005E76BF" w:rsidRPr="0092670C" w14:paraId="012B7E6D" w14:textId="77777777" w:rsidTr="005E76BF">
        <w:trPr>
          <w:trHeight w:val="375"/>
          <w:jc w:val="center"/>
        </w:trPr>
        <w:tc>
          <w:tcPr>
            <w:tcW w:w="2022" w:type="dxa"/>
          </w:tcPr>
          <w:p w14:paraId="4D3D8DDD" w14:textId="77777777" w:rsidR="005E76BF" w:rsidRPr="0092670C" w:rsidRDefault="005E76BF" w:rsidP="00E336EA">
            <w:pPr>
              <w:spacing w:line="360" w:lineRule="auto"/>
              <w:jc w:val="both"/>
              <w:rPr>
                <w:rFonts w:ascii="Arial" w:hAnsi="Arial" w:cs="Arial"/>
              </w:rPr>
            </w:pPr>
            <w:r w:rsidRPr="0092670C">
              <w:rPr>
                <w:rFonts w:ascii="Arial" w:hAnsi="Arial" w:cs="Arial"/>
              </w:rPr>
              <w:t>10</w:t>
            </w:r>
          </w:p>
        </w:tc>
        <w:tc>
          <w:tcPr>
            <w:tcW w:w="1382" w:type="dxa"/>
          </w:tcPr>
          <w:p w14:paraId="4D782849" w14:textId="77777777" w:rsidR="005E76BF" w:rsidRPr="0092670C" w:rsidRDefault="005E76BF" w:rsidP="00E336EA">
            <w:pPr>
              <w:spacing w:line="360" w:lineRule="auto"/>
              <w:jc w:val="both"/>
              <w:rPr>
                <w:rFonts w:ascii="Arial" w:hAnsi="Arial" w:cs="Arial"/>
              </w:rPr>
            </w:pPr>
            <w:r w:rsidRPr="0092670C">
              <w:rPr>
                <w:rFonts w:ascii="Arial" w:hAnsi="Arial" w:cs="Arial"/>
              </w:rPr>
              <w:t>58.6</w:t>
            </w:r>
          </w:p>
        </w:tc>
        <w:tc>
          <w:tcPr>
            <w:tcW w:w="1608" w:type="dxa"/>
          </w:tcPr>
          <w:p w14:paraId="5B556832" w14:textId="77777777" w:rsidR="005E76BF" w:rsidRPr="0092670C" w:rsidRDefault="005E76BF" w:rsidP="00E336EA">
            <w:pPr>
              <w:spacing w:line="360" w:lineRule="auto"/>
              <w:jc w:val="both"/>
              <w:rPr>
                <w:rFonts w:ascii="Arial" w:hAnsi="Arial" w:cs="Arial"/>
              </w:rPr>
            </w:pPr>
            <w:r w:rsidRPr="0092670C">
              <w:rPr>
                <w:rFonts w:ascii="Arial" w:hAnsi="Arial" w:cs="Arial"/>
              </w:rPr>
              <w:t>67.7</w:t>
            </w:r>
          </w:p>
        </w:tc>
        <w:tc>
          <w:tcPr>
            <w:tcW w:w="1462" w:type="dxa"/>
          </w:tcPr>
          <w:p w14:paraId="55993288" w14:textId="77777777" w:rsidR="005E76BF" w:rsidRPr="0092670C" w:rsidRDefault="005E76BF" w:rsidP="00E336EA">
            <w:pPr>
              <w:spacing w:line="360" w:lineRule="auto"/>
              <w:jc w:val="both"/>
              <w:rPr>
                <w:rFonts w:ascii="Arial" w:hAnsi="Arial" w:cs="Arial"/>
              </w:rPr>
            </w:pPr>
            <w:r w:rsidRPr="0092670C">
              <w:rPr>
                <w:rFonts w:ascii="Arial" w:hAnsi="Arial" w:cs="Arial"/>
              </w:rPr>
              <w:t>72.5</w:t>
            </w:r>
          </w:p>
        </w:tc>
      </w:tr>
      <w:tr w:rsidR="005E76BF" w:rsidRPr="0092670C" w14:paraId="46E34E6C" w14:textId="77777777" w:rsidTr="005E76BF">
        <w:trPr>
          <w:trHeight w:val="375"/>
          <w:jc w:val="center"/>
        </w:trPr>
        <w:tc>
          <w:tcPr>
            <w:tcW w:w="2022" w:type="dxa"/>
          </w:tcPr>
          <w:p w14:paraId="7C9DCFAB" w14:textId="77777777" w:rsidR="005E76BF" w:rsidRPr="0092670C" w:rsidRDefault="005E76BF" w:rsidP="00E336EA">
            <w:pPr>
              <w:spacing w:line="360" w:lineRule="auto"/>
              <w:jc w:val="both"/>
              <w:rPr>
                <w:rFonts w:ascii="Arial" w:hAnsi="Arial" w:cs="Arial"/>
              </w:rPr>
            </w:pPr>
            <w:r w:rsidRPr="0092670C">
              <w:rPr>
                <w:rFonts w:ascii="Arial" w:hAnsi="Arial" w:cs="Arial"/>
              </w:rPr>
              <w:t>20</w:t>
            </w:r>
          </w:p>
        </w:tc>
        <w:tc>
          <w:tcPr>
            <w:tcW w:w="1382" w:type="dxa"/>
          </w:tcPr>
          <w:p w14:paraId="4D34DC8A" w14:textId="77777777" w:rsidR="005E76BF" w:rsidRPr="0092670C" w:rsidRDefault="005E76BF" w:rsidP="00E336EA">
            <w:pPr>
              <w:spacing w:line="360" w:lineRule="auto"/>
              <w:jc w:val="both"/>
              <w:rPr>
                <w:rFonts w:ascii="Arial" w:hAnsi="Arial" w:cs="Arial"/>
              </w:rPr>
            </w:pPr>
            <w:r w:rsidRPr="0092670C">
              <w:rPr>
                <w:rFonts w:ascii="Arial" w:hAnsi="Arial" w:cs="Arial"/>
              </w:rPr>
              <w:t>61.1</w:t>
            </w:r>
          </w:p>
        </w:tc>
        <w:tc>
          <w:tcPr>
            <w:tcW w:w="1608" w:type="dxa"/>
          </w:tcPr>
          <w:p w14:paraId="3BCF4CAE" w14:textId="77777777" w:rsidR="005E76BF" w:rsidRPr="0092670C" w:rsidRDefault="005E76BF" w:rsidP="00E336EA">
            <w:pPr>
              <w:spacing w:line="360" w:lineRule="auto"/>
              <w:jc w:val="both"/>
              <w:rPr>
                <w:rFonts w:ascii="Arial" w:hAnsi="Arial" w:cs="Arial"/>
              </w:rPr>
            </w:pPr>
            <w:r w:rsidRPr="0092670C">
              <w:rPr>
                <w:rFonts w:ascii="Arial" w:hAnsi="Arial" w:cs="Arial"/>
              </w:rPr>
              <w:t>69.9</w:t>
            </w:r>
          </w:p>
        </w:tc>
        <w:tc>
          <w:tcPr>
            <w:tcW w:w="1462" w:type="dxa"/>
          </w:tcPr>
          <w:p w14:paraId="7090B3D0" w14:textId="77777777" w:rsidR="005E76BF" w:rsidRPr="0092670C" w:rsidRDefault="005E76BF" w:rsidP="00E336EA">
            <w:pPr>
              <w:spacing w:line="360" w:lineRule="auto"/>
              <w:jc w:val="both"/>
              <w:rPr>
                <w:rFonts w:ascii="Arial" w:hAnsi="Arial" w:cs="Arial"/>
              </w:rPr>
            </w:pPr>
            <w:r w:rsidRPr="0092670C">
              <w:rPr>
                <w:rFonts w:ascii="Arial" w:hAnsi="Arial" w:cs="Arial"/>
              </w:rPr>
              <w:t>74.6</w:t>
            </w:r>
          </w:p>
        </w:tc>
      </w:tr>
      <w:tr w:rsidR="005E76BF" w:rsidRPr="0092670C" w14:paraId="00227B8F" w14:textId="77777777" w:rsidTr="005E76BF">
        <w:trPr>
          <w:trHeight w:val="363"/>
          <w:jc w:val="center"/>
        </w:trPr>
        <w:tc>
          <w:tcPr>
            <w:tcW w:w="2022" w:type="dxa"/>
          </w:tcPr>
          <w:p w14:paraId="19445C3B" w14:textId="77777777" w:rsidR="005E76BF" w:rsidRPr="0092670C" w:rsidRDefault="005E76BF" w:rsidP="00E336EA">
            <w:pPr>
              <w:spacing w:line="360" w:lineRule="auto"/>
              <w:jc w:val="both"/>
              <w:rPr>
                <w:rFonts w:ascii="Arial" w:hAnsi="Arial" w:cs="Arial"/>
              </w:rPr>
            </w:pPr>
            <w:r w:rsidRPr="0092670C">
              <w:rPr>
                <w:rFonts w:ascii="Arial" w:hAnsi="Arial" w:cs="Arial"/>
              </w:rPr>
              <w:t>30</w:t>
            </w:r>
          </w:p>
        </w:tc>
        <w:tc>
          <w:tcPr>
            <w:tcW w:w="1382" w:type="dxa"/>
          </w:tcPr>
          <w:p w14:paraId="6E92F27C" w14:textId="77777777" w:rsidR="005E76BF" w:rsidRPr="0092670C" w:rsidRDefault="005E76BF" w:rsidP="00E336EA">
            <w:pPr>
              <w:spacing w:line="360" w:lineRule="auto"/>
              <w:jc w:val="both"/>
              <w:rPr>
                <w:rFonts w:ascii="Arial" w:hAnsi="Arial" w:cs="Arial"/>
              </w:rPr>
            </w:pPr>
            <w:r w:rsidRPr="0092670C">
              <w:rPr>
                <w:rFonts w:ascii="Arial" w:hAnsi="Arial" w:cs="Arial"/>
              </w:rPr>
              <w:t>68.0</w:t>
            </w:r>
          </w:p>
        </w:tc>
        <w:tc>
          <w:tcPr>
            <w:tcW w:w="1608" w:type="dxa"/>
          </w:tcPr>
          <w:p w14:paraId="021F0758" w14:textId="77777777" w:rsidR="005E76BF" w:rsidRPr="0092670C" w:rsidRDefault="005E76BF" w:rsidP="00E336EA">
            <w:pPr>
              <w:spacing w:line="360" w:lineRule="auto"/>
              <w:jc w:val="both"/>
              <w:rPr>
                <w:rFonts w:ascii="Arial" w:hAnsi="Arial" w:cs="Arial"/>
              </w:rPr>
            </w:pPr>
            <w:r w:rsidRPr="0092670C">
              <w:rPr>
                <w:rFonts w:ascii="Arial" w:hAnsi="Arial" w:cs="Arial"/>
              </w:rPr>
              <w:t>77.1</w:t>
            </w:r>
          </w:p>
        </w:tc>
        <w:tc>
          <w:tcPr>
            <w:tcW w:w="1462" w:type="dxa"/>
          </w:tcPr>
          <w:p w14:paraId="187C690C" w14:textId="77777777" w:rsidR="005E76BF" w:rsidRPr="0092670C" w:rsidRDefault="005E76BF" w:rsidP="00E336EA">
            <w:pPr>
              <w:spacing w:line="360" w:lineRule="auto"/>
              <w:jc w:val="both"/>
              <w:rPr>
                <w:rFonts w:ascii="Arial" w:hAnsi="Arial" w:cs="Arial"/>
              </w:rPr>
            </w:pPr>
            <w:r w:rsidRPr="0092670C">
              <w:rPr>
                <w:rFonts w:ascii="Arial" w:hAnsi="Arial" w:cs="Arial"/>
              </w:rPr>
              <w:t>76.9</w:t>
            </w:r>
          </w:p>
        </w:tc>
      </w:tr>
      <w:tr w:rsidR="005E76BF" w:rsidRPr="0092670C" w14:paraId="66D5D9D6" w14:textId="77777777" w:rsidTr="005E76BF">
        <w:trPr>
          <w:trHeight w:val="363"/>
          <w:jc w:val="center"/>
        </w:trPr>
        <w:tc>
          <w:tcPr>
            <w:tcW w:w="2022" w:type="dxa"/>
          </w:tcPr>
          <w:p w14:paraId="45EABA8C" w14:textId="77777777" w:rsidR="005E76BF" w:rsidRPr="0092670C" w:rsidRDefault="005E76BF" w:rsidP="00E336EA">
            <w:pPr>
              <w:spacing w:line="360" w:lineRule="auto"/>
              <w:jc w:val="both"/>
              <w:rPr>
                <w:rFonts w:ascii="Arial" w:hAnsi="Arial" w:cs="Arial"/>
              </w:rPr>
            </w:pPr>
            <w:r w:rsidRPr="0092670C">
              <w:rPr>
                <w:rFonts w:ascii="Arial" w:hAnsi="Arial" w:cs="Arial"/>
              </w:rPr>
              <w:t>50</w:t>
            </w:r>
          </w:p>
        </w:tc>
        <w:tc>
          <w:tcPr>
            <w:tcW w:w="1382" w:type="dxa"/>
          </w:tcPr>
          <w:p w14:paraId="59035D08" w14:textId="77777777" w:rsidR="005E76BF" w:rsidRPr="0092670C" w:rsidRDefault="005E76BF" w:rsidP="00E336EA">
            <w:pPr>
              <w:spacing w:line="360" w:lineRule="auto"/>
              <w:jc w:val="both"/>
              <w:rPr>
                <w:rFonts w:ascii="Arial" w:hAnsi="Arial" w:cs="Arial"/>
              </w:rPr>
            </w:pPr>
            <w:r w:rsidRPr="0092670C">
              <w:rPr>
                <w:rFonts w:ascii="Arial" w:hAnsi="Arial" w:cs="Arial"/>
              </w:rPr>
              <w:t>69.1</w:t>
            </w:r>
          </w:p>
        </w:tc>
        <w:tc>
          <w:tcPr>
            <w:tcW w:w="1608" w:type="dxa"/>
          </w:tcPr>
          <w:p w14:paraId="4B8BE1B1" w14:textId="77777777" w:rsidR="005E76BF" w:rsidRPr="0092670C" w:rsidRDefault="005E76BF" w:rsidP="00E336EA">
            <w:pPr>
              <w:spacing w:line="360" w:lineRule="auto"/>
              <w:jc w:val="both"/>
              <w:rPr>
                <w:rFonts w:ascii="Arial" w:hAnsi="Arial" w:cs="Arial"/>
              </w:rPr>
            </w:pPr>
            <w:r w:rsidRPr="0092670C">
              <w:rPr>
                <w:rFonts w:ascii="Arial" w:hAnsi="Arial" w:cs="Arial"/>
              </w:rPr>
              <w:t>77.6</w:t>
            </w:r>
          </w:p>
        </w:tc>
        <w:tc>
          <w:tcPr>
            <w:tcW w:w="1462" w:type="dxa"/>
          </w:tcPr>
          <w:p w14:paraId="447CCC2A" w14:textId="77777777" w:rsidR="005E76BF" w:rsidRPr="0092670C" w:rsidRDefault="005E76BF" w:rsidP="00E336EA">
            <w:pPr>
              <w:spacing w:line="360" w:lineRule="auto"/>
              <w:jc w:val="both"/>
              <w:rPr>
                <w:rFonts w:ascii="Arial" w:hAnsi="Arial" w:cs="Arial"/>
              </w:rPr>
            </w:pPr>
            <w:r w:rsidRPr="0092670C">
              <w:rPr>
                <w:rFonts w:ascii="Arial" w:hAnsi="Arial" w:cs="Arial"/>
              </w:rPr>
              <w:t>82.7</w:t>
            </w:r>
          </w:p>
        </w:tc>
      </w:tr>
    </w:tbl>
    <w:p w14:paraId="3512D1AB" w14:textId="1F64C510" w:rsidR="00E336EA" w:rsidRPr="0092670C" w:rsidRDefault="00E336EA" w:rsidP="00286682">
      <w:pPr>
        <w:spacing w:after="200" w:line="360" w:lineRule="auto"/>
        <w:rPr>
          <w:rFonts w:ascii="Arial" w:hAnsi="Arial" w:cs="Arial"/>
          <w:i/>
          <w:iCs/>
          <w:color w:val="44546A" w:themeColor="text2"/>
          <w:sz w:val="20"/>
          <w:szCs w:val="20"/>
        </w:rPr>
      </w:pPr>
    </w:p>
    <w:p w14:paraId="2E025F52" w14:textId="70FD61C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30FCBF05">
          <v:shape id="_x0000_i1075" type="#_x0000_t75" style="width:365.8pt;height:282.2pt" o:ole="">
            <v:imagedata r:id="rId150" o:title=""/>
          </v:shape>
          <o:OLEObject Type="Embed" ProgID="Origin95.Graph" ShapeID="_x0000_i1075" DrawAspect="Content" ObjectID="_1700733964" r:id="rId151"/>
        </w:object>
      </w:r>
    </w:p>
    <w:p w14:paraId="2C0F8A3B" w14:textId="6B222ED5" w:rsidR="00E336EA" w:rsidRPr="0092670C" w:rsidRDefault="00E336EA" w:rsidP="00E336EA">
      <w:pPr>
        <w:spacing w:after="200" w:line="360" w:lineRule="auto"/>
        <w:jc w:val="center"/>
        <w:rPr>
          <w:rFonts w:ascii="Arial" w:hAnsi="Arial" w:cs="Arial"/>
          <w:i/>
          <w:iCs/>
          <w:color w:val="44546A" w:themeColor="text2"/>
          <w:sz w:val="20"/>
          <w:szCs w:val="20"/>
        </w:rPr>
      </w:pPr>
      <w:bookmarkStart w:id="153" w:name="_Ref31486943"/>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9</w:t>
      </w:r>
      <w:r w:rsidR="00356A26">
        <w:rPr>
          <w:rFonts w:ascii="Arial" w:hAnsi="Arial" w:cs="Arial"/>
          <w:i/>
          <w:iCs/>
          <w:color w:val="44546A" w:themeColor="text2"/>
          <w:sz w:val="20"/>
          <w:szCs w:val="20"/>
        </w:rPr>
        <w:fldChar w:fldCharType="end"/>
      </w:r>
      <w:bookmarkEnd w:id="153"/>
      <w:r w:rsidRPr="0092670C">
        <w:rPr>
          <w:rFonts w:ascii="Arial" w:hAnsi="Arial" w:cs="Arial"/>
          <w:i/>
          <w:iCs/>
          <w:color w:val="44546A" w:themeColor="text2"/>
          <w:sz w:val="20"/>
          <w:szCs w:val="20"/>
        </w:rPr>
        <w:t xml:space="preserve">: </w:t>
      </w:r>
      <w:r w:rsidR="002E60F7" w:rsidRPr="0092670C">
        <w:rPr>
          <w:rFonts w:ascii="Arial" w:hAnsi="Arial" w:cs="Arial"/>
          <w:i/>
          <w:iCs/>
          <w:color w:val="44546A" w:themeColor="text2"/>
          <w:sz w:val="20"/>
          <w:szCs w:val="20"/>
        </w:rPr>
        <w:t>T</w:t>
      </w:r>
      <w:r w:rsidRPr="0092670C">
        <w:rPr>
          <w:rFonts w:ascii="Arial" w:hAnsi="Arial" w:cs="Arial"/>
          <w:i/>
          <w:iCs/>
          <w:color w:val="44546A" w:themeColor="text2"/>
          <w:sz w:val="20"/>
          <w:szCs w:val="20"/>
        </w:rPr>
        <w:t>he ΔE</w:t>
      </w:r>
      <w:r w:rsidRPr="0092670C">
        <w:rPr>
          <w:rFonts w:ascii="Arial" w:hAnsi="Arial" w:cs="Arial"/>
          <w:i/>
          <w:iCs/>
          <w:color w:val="44546A" w:themeColor="text2"/>
          <w:sz w:val="20"/>
          <w:szCs w:val="20"/>
          <w:vertAlign w:val="subscript"/>
        </w:rPr>
        <w:t>p</w:t>
      </w:r>
      <w:r w:rsidRPr="0092670C">
        <w:rPr>
          <w:rFonts w:ascii="Arial" w:hAnsi="Arial" w:cs="Arial"/>
          <w:i/>
          <w:iCs/>
          <w:color w:val="44546A" w:themeColor="text2"/>
          <w:sz w:val="20"/>
          <w:szCs w:val="20"/>
        </w:rPr>
        <w:t xml:space="preserve"> of the FEC pre-lithiated cell as a function of cycle number</w:t>
      </w:r>
      <w:r w:rsidR="002E60F7" w:rsidRPr="0092670C">
        <w:rPr>
          <w:rFonts w:ascii="Arial" w:hAnsi="Arial" w:cs="Arial"/>
          <w:i/>
          <w:iCs/>
          <w:color w:val="44546A" w:themeColor="text2"/>
          <w:sz w:val="20"/>
          <w:szCs w:val="20"/>
        </w:rPr>
        <w:t>.</w:t>
      </w:r>
    </w:p>
    <w:p w14:paraId="6B36D12C" w14:textId="3D408C94" w:rsidR="00E336EA" w:rsidRPr="0092670C" w:rsidRDefault="00E336EA" w:rsidP="00E336EA">
      <w:pPr>
        <w:spacing w:line="360" w:lineRule="auto"/>
        <w:jc w:val="both"/>
        <w:rPr>
          <w:rFonts w:ascii="Arial" w:hAnsi="Arial" w:cs="Arial"/>
        </w:rPr>
      </w:pPr>
      <w:r w:rsidRPr="0092670C">
        <w:rPr>
          <w:rFonts w:ascii="Arial" w:hAnsi="Arial" w:cs="Arial"/>
        </w:rPr>
        <w:t>The galvanostatic intermittent titration technique (GITT) was used to affirm the accuracy of the differential capacity plots</w:t>
      </w:r>
      <w:r w:rsidR="00213908" w:rsidRPr="0092670C">
        <w:rPr>
          <w:rFonts w:ascii="Arial" w:hAnsi="Arial" w:cs="Arial"/>
        </w:rPr>
        <w:t xml:space="preserve"> with an overlay of the two in </w:t>
      </w:r>
      <w:r w:rsidR="00213908" w:rsidRPr="0092670C">
        <w:rPr>
          <w:rFonts w:ascii="Arial" w:hAnsi="Arial" w:cs="Arial"/>
        </w:rPr>
        <w:fldChar w:fldCharType="begin"/>
      </w:r>
      <w:r w:rsidR="00213908" w:rsidRPr="0092670C">
        <w:rPr>
          <w:rFonts w:ascii="Arial" w:hAnsi="Arial" w:cs="Arial"/>
        </w:rPr>
        <w:instrText xml:space="preserve"> REF _Ref31486668 \h  \* MERGEFORMAT </w:instrText>
      </w:r>
      <w:r w:rsidR="00213908" w:rsidRPr="0092670C">
        <w:rPr>
          <w:rFonts w:ascii="Arial" w:hAnsi="Arial" w:cs="Arial"/>
        </w:rPr>
      </w:r>
      <w:r w:rsidR="00213908"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10</w:t>
      </w:r>
      <w:r w:rsidR="00213908" w:rsidRPr="0092670C">
        <w:rPr>
          <w:rFonts w:ascii="Arial" w:hAnsi="Arial" w:cs="Arial"/>
        </w:rPr>
        <w:fldChar w:fldCharType="end"/>
      </w:r>
      <w:r w:rsidRPr="0092670C">
        <w:rPr>
          <w:rFonts w:ascii="Arial" w:hAnsi="Arial" w:cs="Arial"/>
        </w:rPr>
        <w:t xml:space="preserve">. </w:t>
      </w:r>
      <w:r w:rsidR="00630B4C">
        <w:rPr>
          <w:rFonts w:ascii="Arial" w:hAnsi="Arial" w:cs="Arial"/>
        </w:rPr>
        <w:t xml:space="preserve">The </w:t>
      </w:r>
      <w:r w:rsidR="00A75F8D">
        <w:rPr>
          <w:rFonts w:ascii="Arial" w:hAnsi="Arial" w:cs="Arial"/>
        </w:rPr>
        <w:t>1</w:t>
      </w:r>
      <w:r w:rsidR="00A75F8D" w:rsidRPr="00A75F8D">
        <w:rPr>
          <w:rFonts w:ascii="Arial" w:hAnsi="Arial" w:cs="Arial"/>
          <w:vertAlign w:val="superscript"/>
        </w:rPr>
        <w:t>st</w:t>
      </w:r>
      <w:r w:rsidR="00A75F8D">
        <w:rPr>
          <w:rFonts w:ascii="Arial" w:hAnsi="Arial" w:cs="Arial"/>
        </w:rPr>
        <w:t xml:space="preserve"> peak </w:t>
      </w:r>
      <w:r w:rsidR="009644DE">
        <w:rPr>
          <w:rFonts w:ascii="Arial" w:hAnsi="Arial" w:cs="Arial"/>
        </w:rPr>
        <w:t xml:space="preserve">has the largest </w:t>
      </w:r>
      <w:r w:rsidR="008E237B">
        <w:rPr>
          <w:rFonts w:ascii="Arial" w:hAnsi="Arial" w:cs="Arial"/>
        </w:rPr>
        <w:t>g</w:t>
      </w:r>
      <w:r w:rsidR="00896313">
        <w:rPr>
          <w:rFonts w:ascii="Arial" w:hAnsi="Arial" w:cs="Arial"/>
        </w:rPr>
        <w:t xml:space="preserve">ap between the </w:t>
      </w:r>
      <w:r w:rsidR="006D7B05">
        <w:rPr>
          <w:rFonts w:ascii="Arial" w:hAnsi="Arial" w:cs="Arial"/>
        </w:rPr>
        <w:t xml:space="preserve">diffusion coefficient </w:t>
      </w:r>
      <w:r w:rsidR="00B2559B">
        <w:rPr>
          <w:rFonts w:ascii="Arial" w:hAnsi="Arial" w:cs="Arial"/>
        </w:rPr>
        <w:t xml:space="preserve">and the </w:t>
      </w:r>
      <w:r w:rsidR="008B75C0">
        <w:rPr>
          <w:rFonts w:ascii="Arial" w:hAnsi="Arial" w:cs="Arial"/>
        </w:rPr>
        <w:t xml:space="preserve">differential capacity maxima. </w:t>
      </w:r>
      <w:r w:rsidR="004901CF">
        <w:rPr>
          <w:rFonts w:ascii="Arial" w:hAnsi="Arial" w:cs="Arial"/>
        </w:rPr>
        <w:t>This is due to SEI formation</w:t>
      </w:r>
      <w:r w:rsidR="0054226B">
        <w:rPr>
          <w:rFonts w:ascii="Arial" w:hAnsi="Arial" w:cs="Arial"/>
        </w:rPr>
        <w:t xml:space="preserve"> causing the capacity increase without </w:t>
      </w:r>
      <w:r w:rsidR="009E631E">
        <w:rPr>
          <w:rFonts w:ascii="Arial" w:hAnsi="Arial" w:cs="Arial"/>
        </w:rPr>
        <w:t xml:space="preserve">any lithium diffusing </w:t>
      </w:r>
      <w:r w:rsidR="001B072F">
        <w:rPr>
          <w:rFonts w:ascii="Arial" w:hAnsi="Arial" w:cs="Arial"/>
        </w:rPr>
        <w:t>into</w:t>
      </w:r>
      <w:r w:rsidR="009E631E">
        <w:rPr>
          <w:rFonts w:ascii="Arial" w:hAnsi="Arial" w:cs="Arial"/>
        </w:rPr>
        <w:t xml:space="preserve"> the graphite</w:t>
      </w:r>
      <w:r w:rsidR="001B072F">
        <w:rPr>
          <w:rFonts w:ascii="Arial" w:hAnsi="Arial" w:cs="Arial"/>
        </w:rPr>
        <w:t xml:space="preserve">, causing the </w:t>
      </w:r>
      <w:r w:rsidR="00925B3D">
        <w:rPr>
          <w:rFonts w:ascii="Arial" w:hAnsi="Arial" w:cs="Arial"/>
        </w:rPr>
        <w:t>divergence between the peaks</w:t>
      </w:r>
      <w:r w:rsidR="009E631E">
        <w:rPr>
          <w:rFonts w:ascii="Arial" w:hAnsi="Arial" w:cs="Arial"/>
        </w:rPr>
        <w:t xml:space="preserve">. </w:t>
      </w:r>
      <w:r w:rsidR="00925B3D">
        <w:rPr>
          <w:rFonts w:ascii="Arial" w:hAnsi="Arial" w:cs="Arial"/>
        </w:rPr>
        <w:t xml:space="preserve">The gap narrows for the second peak and disappears by </w:t>
      </w:r>
      <w:r w:rsidR="00BE3276">
        <w:rPr>
          <w:rFonts w:ascii="Arial" w:hAnsi="Arial" w:cs="Arial"/>
        </w:rPr>
        <w:t xml:space="preserve">the third peak as the amount of current diverted to SEI formation is severely reduced at lower voltages. </w:t>
      </w:r>
      <w:r w:rsidRPr="0092670C">
        <w:rPr>
          <w:rFonts w:ascii="Arial" w:hAnsi="Arial" w:cs="Arial"/>
        </w:rPr>
        <w:t xml:space="preserve">The values are also in good agreement with those seen in the literature using CV and GITT’s sister technique PITT </w:t>
      </w:r>
      <w:r w:rsidRPr="0092670C">
        <w:rPr>
          <w:rFonts w:ascii="Arial" w:hAnsi="Arial" w:cs="Arial"/>
        </w:rPr>
        <w:fldChar w:fldCharType="begin"/>
      </w:r>
      <w:r w:rsidR="0034337D">
        <w:rPr>
          <w:rFonts w:ascii="Arial" w:hAnsi="Arial" w:cs="Arial"/>
        </w:rPr>
        <w:instrText xml:space="preserve"> ADDIN EN.CITE &lt;EndNote&gt;&lt;Cite&gt;&lt;Author&gt;Levi&lt;/Author&gt;&lt;Year&gt;1999&lt;/Year&gt;&lt;RecNum&gt;58&lt;/RecNum&gt;&lt;DisplayText&gt;[220]&lt;/DisplayText&gt;&lt;record&gt;&lt;rec-number&gt;58&lt;/rec-number&gt;&lt;foreign-keys&gt;&lt;key app="EN" db-id="5sa9s0e0r0d9fnexra7pr5xdwd5ztevx95s2" timestamp="1514887182"&gt;58&lt;/key&gt;&lt;/foreign-keys&gt;&lt;ref-type name="Journal Article"&gt;17&lt;/ref-type&gt;&lt;contributors&gt;&lt;authors&gt;&lt;author&gt;Levi, M. D.&lt;/author&gt;&lt;author&gt;Salitra, G.&lt;/author&gt;&lt;author&gt;Markovsky, B.&lt;/author&gt;&lt;author&gt;Teller, H.&lt;/author&gt;&lt;author&gt;Aurbach, D.&lt;/author&gt;&lt;author&gt;Heider, Udo&lt;/author&gt;&lt;author&gt;Heider, Lilia&lt;/author&gt;&lt;/authors&gt;&lt;/contributors&gt;&lt;titles&gt;&lt;title&gt;Solid</w:instrText>
      </w:r>
      <w:r w:rsidR="0034337D">
        <w:rPr>
          <w:rFonts w:ascii="Cambria Math" w:hAnsi="Cambria Math" w:cs="Cambria Math"/>
        </w:rPr>
        <w:instrText>‐</w:instrText>
      </w:r>
      <w:r w:rsidR="0034337D">
        <w:rPr>
          <w:rFonts w:ascii="Arial" w:hAnsi="Arial" w:cs="Arial"/>
        </w:rPr>
        <w:instrText>State Electrochemical Kinetics of Li</w:instrText>
      </w:r>
      <w:r w:rsidR="0034337D">
        <w:rPr>
          <w:rFonts w:ascii="Cambria Math" w:hAnsi="Cambria Math" w:cs="Cambria Math"/>
        </w:rPr>
        <w:instrText>‐</w:instrText>
      </w:r>
      <w:r w:rsidR="0034337D">
        <w:rPr>
          <w:rFonts w:ascii="Arial" w:hAnsi="Arial" w:cs="Arial"/>
        </w:rPr>
        <w:instrText>Ion Intercalation into Li1 − x CoO2: Simultaneous Application of Electroanalytical Techniques SSCV, PITT, and EIS&lt;/title&gt;&lt;secondary-title&gt;Journal of The Electrochemical Society&lt;/secondary-title&gt;&lt;/titles&gt;&lt;periodical&gt;&lt;full-title&gt;Journal of the Electrochemical Society&lt;/full-title&gt;&lt;abbr-1&gt;J. Electrochem. Soc.&lt;/abbr-1&gt;&lt;/periodical&gt;&lt;pages&gt;1279-1289&lt;/pages&gt;&lt;volume&gt;146&lt;/volume&gt;&lt;number&gt;4&lt;/number&gt;&lt;dates&gt;&lt;year&gt;1999&lt;/year&gt;&lt;pub-dates&gt;&lt;date&gt;April 1, 1999&lt;/date&gt;&lt;/pub-dates&gt;&lt;/dates&gt;&lt;urls&gt;&lt;related-urls&gt;&lt;url&gt;http://jes.ecsdl.org/content/146/4/1279.abstract&lt;/url&gt;&lt;/related-urls&gt;&lt;/urls&gt;&lt;electronic-resource-num&gt;10.1149/1.1391759&lt;/electronic-resource-num&gt;&lt;/record&gt;&lt;/Cite&gt;&lt;/EndNote&gt;</w:instrText>
      </w:r>
      <w:r w:rsidRPr="0092670C">
        <w:rPr>
          <w:rFonts w:ascii="Arial" w:hAnsi="Arial" w:cs="Arial"/>
        </w:rPr>
        <w:fldChar w:fldCharType="separate"/>
      </w:r>
      <w:r w:rsidR="0034337D">
        <w:rPr>
          <w:rFonts w:ascii="Arial" w:hAnsi="Arial" w:cs="Arial"/>
          <w:noProof/>
        </w:rPr>
        <w:t>[220]</w:t>
      </w:r>
      <w:r w:rsidRPr="0092670C">
        <w:rPr>
          <w:rFonts w:ascii="Arial" w:hAnsi="Arial" w:cs="Arial"/>
        </w:rPr>
        <w:fldChar w:fldCharType="end"/>
      </w:r>
      <w:r w:rsidRPr="0092670C">
        <w:rPr>
          <w:rFonts w:ascii="Arial" w:hAnsi="Arial" w:cs="Arial"/>
        </w:rPr>
        <w:t>. Part of the small difference between the due can be attributed to the small rest time use</w:t>
      </w:r>
      <w:r w:rsidR="00931841">
        <w:rPr>
          <w:rFonts w:ascii="Arial" w:hAnsi="Arial" w:cs="Arial"/>
        </w:rPr>
        <w:t>d</w:t>
      </w:r>
      <w:r w:rsidRPr="0092670C">
        <w:rPr>
          <w:rFonts w:ascii="Arial" w:hAnsi="Arial" w:cs="Arial"/>
        </w:rPr>
        <w:t xml:space="preserve"> (10 minutes). </w:t>
      </w:r>
    </w:p>
    <w:p w14:paraId="310379B9" w14:textId="600A6EDE"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B39001A">
          <v:shape id="_x0000_i1076" type="#_x0000_t75" style="width:365.8pt;height:282.2pt" o:ole="">
            <v:imagedata r:id="rId152" o:title=""/>
          </v:shape>
          <o:OLEObject Type="Embed" ProgID="Origin95.Graph" ShapeID="_x0000_i1076" DrawAspect="Content" ObjectID="_1700733965" r:id="rId153"/>
        </w:object>
      </w:r>
    </w:p>
    <w:p w14:paraId="6D61880B" w14:textId="5E253C9B" w:rsidR="00E336EA" w:rsidRPr="0092670C" w:rsidRDefault="00E336EA" w:rsidP="00E336EA">
      <w:pPr>
        <w:spacing w:after="200" w:line="360" w:lineRule="auto"/>
        <w:jc w:val="center"/>
        <w:rPr>
          <w:rFonts w:ascii="Arial" w:hAnsi="Arial" w:cs="Arial"/>
          <w:i/>
          <w:iCs/>
          <w:color w:val="44546A" w:themeColor="text2"/>
          <w:sz w:val="20"/>
          <w:szCs w:val="20"/>
        </w:rPr>
      </w:pPr>
      <w:bookmarkStart w:id="154" w:name="_Ref31486668"/>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10</w:t>
      </w:r>
      <w:r w:rsidR="00356A26">
        <w:rPr>
          <w:rFonts w:ascii="Arial" w:hAnsi="Arial" w:cs="Arial"/>
          <w:i/>
          <w:iCs/>
          <w:color w:val="44546A" w:themeColor="text2"/>
          <w:sz w:val="20"/>
          <w:szCs w:val="20"/>
        </w:rPr>
        <w:fldChar w:fldCharType="end"/>
      </w:r>
      <w:bookmarkEnd w:id="154"/>
      <w:r w:rsidRPr="0092670C">
        <w:rPr>
          <w:rFonts w:ascii="Arial" w:hAnsi="Arial" w:cs="Arial"/>
          <w:i/>
          <w:iCs/>
          <w:color w:val="44546A" w:themeColor="text2"/>
          <w:sz w:val="20"/>
          <w:szCs w:val="20"/>
        </w:rPr>
        <w:t xml:space="preserve">: </w:t>
      </w:r>
      <w:r w:rsidR="002E60F7" w:rsidRPr="0092670C">
        <w:rPr>
          <w:rFonts w:ascii="Arial" w:hAnsi="Arial" w:cs="Arial"/>
          <w:i/>
          <w:iCs/>
          <w:color w:val="44546A" w:themeColor="text2"/>
          <w:sz w:val="20"/>
          <w:szCs w:val="20"/>
        </w:rPr>
        <w:t>R</w:t>
      </w:r>
      <w:r w:rsidRPr="0092670C">
        <w:rPr>
          <w:rFonts w:ascii="Arial" w:hAnsi="Arial" w:cs="Arial"/>
          <w:i/>
          <w:iCs/>
          <w:color w:val="44546A" w:themeColor="text2"/>
          <w:sz w:val="20"/>
          <w:szCs w:val="20"/>
        </w:rPr>
        <w:t>elationship between the differential capacity and the diffusion coefficient of the cell pre-lithiated in LP30</w:t>
      </w:r>
      <w:r w:rsidR="002E60F7" w:rsidRPr="0092670C">
        <w:rPr>
          <w:rFonts w:ascii="Arial" w:hAnsi="Arial" w:cs="Arial"/>
          <w:i/>
          <w:iCs/>
          <w:color w:val="44546A" w:themeColor="text2"/>
          <w:sz w:val="20"/>
          <w:szCs w:val="20"/>
        </w:rPr>
        <w:t>.</w:t>
      </w:r>
      <w:r w:rsidR="00836F6F">
        <w:rPr>
          <w:rFonts w:ascii="Arial" w:hAnsi="Arial" w:cs="Arial"/>
          <w:i/>
          <w:iCs/>
          <w:color w:val="44546A" w:themeColor="text2"/>
          <w:sz w:val="20"/>
          <w:szCs w:val="20"/>
        </w:rPr>
        <w:t xml:space="preserve"> The arrows </w:t>
      </w:r>
      <w:r w:rsidR="008A4FE2">
        <w:rPr>
          <w:rFonts w:ascii="Arial" w:hAnsi="Arial" w:cs="Arial"/>
          <w:i/>
          <w:iCs/>
          <w:color w:val="44546A" w:themeColor="text2"/>
          <w:sz w:val="20"/>
          <w:szCs w:val="20"/>
        </w:rPr>
        <w:t xml:space="preserve">show the slight shifts between the maxima in </w:t>
      </w:r>
      <w:r w:rsidR="007913FD">
        <w:rPr>
          <w:rFonts w:ascii="Arial" w:hAnsi="Arial" w:cs="Arial"/>
          <w:i/>
          <w:iCs/>
          <w:color w:val="44546A" w:themeColor="text2"/>
          <w:sz w:val="20"/>
          <w:szCs w:val="20"/>
        </w:rPr>
        <w:t xml:space="preserve">capacity and </w:t>
      </w:r>
      <w:r w:rsidR="0062780E">
        <w:rPr>
          <w:rFonts w:ascii="Arial" w:hAnsi="Arial" w:cs="Arial"/>
          <w:i/>
          <w:iCs/>
          <w:color w:val="44546A" w:themeColor="text2"/>
          <w:sz w:val="20"/>
          <w:szCs w:val="20"/>
        </w:rPr>
        <w:t>diffusion coefficient.</w:t>
      </w:r>
    </w:p>
    <w:p w14:paraId="2EBE086D" w14:textId="38295640" w:rsidR="00E336EA" w:rsidRPr="0092670C" w:rsidRDefault="004A2CC2" w:rsidP="00BB4499">
      <w:pPr>
        <w:keepNext/>
        <w:spacing w:line="360" w:lineRule="auto"/>
        <w:rPr>
          <w:rFonts w:ascii="Arial" w:hAnsi="Arial" w:cs="Arial"/>
        </w:rPr>
      </w:pPr>
      <w:r w:rsidRPr="0092670C">
        <w:rPr>
          <w:rFonts w:ascii="Arial" w:hAnsi="Arial" w:cs="Arial"/>
          <w:noProof/>
        </w:rPr>
        <mc:AlternateContent>
          <mc:Choice Requires="wps">
            <w:drawing>
              <wp:anchor distT="45720" distB="45720" distL="114300" distR="114300" simplePos="0" relativeHeight="251658269" behindDoc="0" locked="0" layoutInCell="1" allowOverlap="1" wp14:anchorId="6013B942" wp14:editId="4227A574">
                <wp:simplePos x="0" y="0"/>
                <wp:positionH relativeFrom="page">
                  <wp:posOffset>3581400</wp:posOffset>
                </wp:positionH>
                <wp:positionV relativeFrom="paragraph">
                  <wp:posOffset>1573530</wp:posOffset>
                </wp:positionV>
                <wp:extent cx="51816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6700"/>
                        </a:xfrm>
                        <a:prstGeom prst="rect">
                          <a:avLst/>
                        </a:prstGeom>
                        <a:solidFill>
                          <a:srgbClr val="FFFFFF"/>
                        </a:solidFill>
                        <a:ln w="9525">
                          <a:noFill/>
                          <a:miter lim="800000"/>
                          <a:headEnd/>
                          <a:tailEnd/>
                        </a:ln>
                      </wps:spPr>
                      <wps:txbx>
                        <w:txbxContent>
                          <w:p w14:paraId="34B97756" w14:textId="6DAF00C3" w:rsidR="000E4910" w:rsidRPr="000A4791" w:rsidRDefault="000E4910">
                            <w:pPr>
                              <w:rPr>
                                <w:rFonts w:ascii="Arial" w:hAnsi="Arial" w:cs="Arial"/>
                                <w:sz w:val="20"/>
                                <w:szCs w:val="20"/>
                              </w:rPr>
                            </w:pPr>
                            <w:r w:rsidRPr="000A4791">
                              <w:rPr>
                                <w:rFonts w:ascii="Arial" w:hAnsi="Arial" w:cs="Arial"/>
                                <w:sz w:val="20"/>
                                <w:szCs w:val="20"/>
                              </w:rPr>
                              <w:t>0nm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3B942" id="Text Box 2" o:spid="_x0000_s1038" type="#_x0000_t202" style="position:absolute;margin-left:282pt;margin-top:123.9pt;width:40.8pt;height:21pt;z-index:2516582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" stroked="f">
                <v:textbox>
                  <w:txbxContent>
                    <w:p w14:paraId="34B97756" w14:textId="6DAF00C3" w:rsidR="000E4910" w:rsidRPr="000A4791" w:rsidRDefault="000E4910">
                      <w:pPr>
                        <w:rPr>
                          <w:rFonts w:ascii="Arial" w:hAnsi="Arial" w:cs="Arial"/>
                          <w:sz w:val="20"/>
                          <w:szCs w:val="20"/>
                        </w:rPr>
                      </w:pPr>
                      <w:r w:rsidRPr="000A4791">
                        <w:rPr>
                          <w:rFonts w:ascii="Arial" w:hAnsi="Arial" w:cs="Arial"/>
                          <w:sz w:val="20"/>
                          <w:szCs w:val="20"/>
                        </w:rPr>
                        <w:t>0nm</w:t>
                      </w:r>
                    </w:p>
                  </w:txbxContent>
                </v:textbox>
                <w10:wrap anchorx="page"/>
              </v:shape>
            </w:pict>
          </mc:Fallback>
        </mc:AlternateContent>
      </w:r>
      <w:r w:rsidRPr="0092670C">
        <w:rPr>
          <w:rFonts w:ascii="Arial" w:hAnsi="Arial" w:cs="Arial"/>
          <w:noProof/>
        </w:rPr>
        <mc:AlternateContent>
          <mc:Choice Requires="wps">
            <w:drawing>
              <wp:anchor distT="45720" distB="45720" distL="114300" distR="114300" simplePos="0" relativeHeight="251658270" behindDoc="0" locked="0" layoutInCell="1" allowOverlap="1" wp14:anchorId="57DB0C2B" wp14:editId="78688128">
                <wp:simplePos x="0" y="0"/>
                <wp:positionH relativeFrom="page">
                  <wp:posOffset>6248400</wp:posOffset>
                </wp:positionH>
                <wp:positionV relativeFrom="paragraph">
                  <wp:posOffset>1573530</wp:posOffset>
                </wp:positionV>
                <wp:extent cx="518160" cy="25146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1460"/>
                        </a:xfrm>
                        <a:prstGeom prst="rect">
                          <a:avLst/>
                        </a:prstGeom>
                        <a:solidFill>
                          <a:srgbClr val="FFFFFF"/>
                        </a:solidFill>
                        <a:ln w="9525">
                          <a:noFill/>
                          <a:miter lim="800000"/>
                          <a:headEnd/>
                          <a:tailEnd/>
                        </a:ln>
                      </wps:spPr>
                      <wps:txbx>
                        <w:txbxContent>
                          <w:p w14:paraId="6800AD67" w14:textId="77777777" w:rsidR="000E4910" w:rsidRPr="000A4791" w:rsidRDefault="000E4910" w:rsidP="004A2CC2">
                            <w:pPr>
                              <w:rPr>
                                <w:rFonts w:ascii="Arial" w:hAnsi="Arial" w:cs="Arial"/>
                                <w:sz w:val="20"/>
                                <w:szCs w:val="20"/>
                              </w:rPr>
                            </w:pPr>
                            <w:r w:rsidRPr="000A4791">
                              <w:rPr>
                                <w:rFonts w:ascii="Arial" w:hAnsi="Arial" w:cs="Arial"/>
                                <w:sz w:val="20"/>
                                <w:szCs w:val="20"/>
                              </w:rPr>
                              <w:t>0nm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B0C2B" id="_x0000_s1039" type="#_x0000_t202" style="position:absolute;margin-left:492pt;margin-top:123.9pt;width:40.8pt;height:19.8pt;z-index:2516582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" stroked="f">
                <v:textbox>
                  <w:txbxContent>
                    <w:p w14:paraId="6800AD67" w14:textId="77777777" w:rsidR="000E4910" w:rsidRPr="000A4791" w:rsidRDefault="000E4910" w:rsidP="004A2CC2">
                      <w:pPr>
                        <w:rPr>
                          <w:rFonts w:ascii="Arial" w:hAnsi="Arial" w:cs="Arial"/>
                          <w:sz w:val="20"/>
                          <w:szCs w:val="20"/>
                        </w:rPr>
                      </w:pPr>
                      <w:r w:rsidRPr="000A4791">
                        <w:rPr>
                          <w:rFonts w:ascii="Arial" w:hAnsi="Arial" w:cs="Arial"/>
                          <w:sz w:val="20"/>
                          <w:szCs w:val="20"/>
                        </w:rPr>
                        <w:t>0nm</w:t>
                      </w:r>
                    </w:p>
                  </w:txbxContent>
                </v:textbox>
                <w10:wrap anchorx="page"/>
              </v:shape>
            </w:pict>
          </mc:Fallback>
        </mc:AlternateContent>
      </w:r>
      <w:r w:rsidR="00E336EA" w:rsidRPr="0092670C">
        <w:rPr>
          <w:rFonts w:ascii="Arial" w:hAnsi="Arial" w:cs="Arial"/>
          <w:noProof/>
        </w:rPr>
        <w:drawing>
          <wp:inline distT="0" distB="0" distL="0" distR="0" wp14:anchorId="723D8F1E" wp14:editId="61468CA4">
            <wp:extent cx="2626764" cy="220027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183" t="721" r="2343" b="718"/>
                    <a:stretch/>
                  </pic:blipFill>
                  <pic:spPr bwMode="auto">
                    <a:xfrm>
                      <a:off x="0" y="0"/>
                      <a:ext cx="2747078" cy="2301054"/>
                    </a:xfrm>
                    <a:prstGeom prst="rect">
                      <a:avLst/>
                    </a:prstGeom>
                    <a:noFill/>
                    <a:ln>
                      <a:noFill/>
                    </a:ln>
                    <a:extLst>
                      <a:ext uri="{53640926-AAD7-44D8-BBD7-CCE9431645EC}">
                        <a14:shadowObscured xmlns:a14="http://schemas.microsoft.com/office/drawing/2010/main"/>
                      </a:ext>
                    </a:extLst>
                  </pic:spPr>
                </pic:pic>
              </a:graphicData>
            </a:graphic>
          </wp:inline>
        </w:drawing>
      </w:r>
      <w:r w:rsidR="00BB4499" w:rsidRPr="0092670C">
        <w:rPr>
          <w:rFonts w:ascii="Arial" w:hAnsi="Arial" w:cs="Arial"/>
          <w:noProof/>
        </w:rPr>
        <w:t xml:space="preserve"> </w:t>
      </w:r>
      <w:r w:rsidR="00BB4499" w:rsidRPr="0092670C">
        <w:rPr>
          <w:rFonts w:ascii="Arial" w:hAnsi="Arial" w:cs="Arial"/>
          <w:noProof/>
        </w:rPr>
        <w:drawing>
          <wp:inline distT="0" distB="0" distL="0" distR="0" wp14:anchorId="7AF69B35" wp14:editId="10FDEAFD">
            <wp:extent cx="2649460" cy="22164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171" t="714" r="2220" b="714"/>
                    <a:stretch/>
                  </pic:blipFill>
                  <pic:spPr bwMode="auto">
                    <a:xfrm>
                      <a:off x="0" y="0"/>
                      <a:ext cx="2736604" cy="2289333"/>
                    </a:xfrm>
                    <a:prstGeom prst="rect">
                      <a:avLst/>
                    </a:prstGeom>
                    <a:noFill/>
                    <a:ln>
                      <a:noFill/>
                    </a:ln>
                    <a:extLst>
                      <a:ext uri="{53640926-AAD7-44D8-BBD7-CCE9431645EC}">
                        <a14:shadowObscured xmlns:a14="http://schemas.microsoft.com/office/drawing/2010/main"/>
                      </a:ext>
                    </a:extLst>
                  </pic:spPr>
                </pic:pic>
              </a:graphicData>
            </a:graphic>
          </wp:inline>
        </w:drawing>
      </w:r>
    </w:p>
    <w:p w14:paraId="4B561843" w14:textId="6079A448" w:rsidR="00E336EA" w:rsidRPr="0092670C" w:rsidRDefault="00E336EA" w:rsidP="00E336EA">
      <w:pPr>
        <w:spacing w:after="200" w:line="360" w:lineRule="auto"/>
        <w:jc w:val="center"/>
        <w:rPr>
          <w:rFonts w:ascii="Arial" w:hAnsi="Arial" w:cs="Arial"/>
          <w:b/>
          <w:i/>
          <w:iCs/>
          <w:color w:val="44546A" w:themeColor="text2"/>
          <w:sz w:val="20"/>
          <w:szCs w:val="20"/>
        </w:rPr>
      </w:pPr>
      <w:bookmarkStart w:id="155" w:name="_Ref31486102"/>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12</w:t>
      </w:r>
      <w:r w:rsidR="00356A26">
        <w:rPr>
          <w:rFonts w:ascii="Arial" w:hAnsi="Arial" w:cs="Arial"/>
          <w:i/>
          <w:iCs/>
          <w:color w:val="44546A" w:themeColor="text2"/>
          <w:sz w:val="20"/>
          <w:szCs w:val="20"/>
        </w:rPr>
        <w:fldChar w:fldCharType="end"/>
      </w:r>
      <w:bookmarkEnd w:id="155"/>
      <w:r w:rsidRPr="0092670C">
        <w:rPr>
          <w:rFonts w:ascii="Arial" w:hAnsi="Arial" w:cs="Arial"/>
          <w:i/>
          <w:iCs/>
          <w:color w:val="44546A" w:themeColor="text2"/>
          <w:sz w:val="20"/>
          <w:szCs w:val="20"/>
        </w:rPr>
        <w:t>: AFM image</w:t>
      </w:r>
      <w:r w:rsidR="002C64F7" w:rsidRPr="0092670C">
        <w:rPr>
          <w:rFonts w:ascii="Arial" w:hAnsi="Arial" w:cs="Arial"/>
          <w:i/>
          <w:iCs/>
          <w:color w:val="44546A" w:themeColor="text2"/>
          <w:sz w:val="20"/>
          <w:szCs w:val="20"/>
        </w:rPr>
        <w:t>s</w:t>
      </w:r>
      <w:r w:rsidRPr="0092670C">
        <w:rPr>
          <w:rFonts w:ascii="Arial" w:hAnsi="Arial" w:cs="Arial"/>
          <w:i/>
          <w:iCs/>
          <w:color w:val="44546A" w:themeColor="text2"/>
          <w:sz w:val="20"/>
          <w:szCs w:val="20"/>
        </w:rPr>
        <w:t xml:space="preserve"> of uncycled graphite anode</w:t>
      </w:r>
      <w:r w:rsidR="00AF38CD" w:rsidRPr="0092670C">
        <w:rPr>
          <w:rFonts w:ascii="Arial" w:hAnsi="Arial" w:cs="Arial"/>
          <w:i/>
          <w:iCs/>
          <w:color w:val="44546A" w:themeColor="text2"/>
          <w:sz w:val="20"/>
          <w:szCs w:val="20"/>
        </w:rPr>
        <w:t xml:space="preserve"> (left)</w:t>
      </w:r>
      <w:r w:rsidR="002C64F7" w:rsidRPr="0092670C">
        <w:rPr>
          <w:rFonts w:ascii="Arial" w:hAnsi="Arial" w:cs="Arial"/>
          <w:i/>
          <w:iCs/>
          <w:color w:val="44546A" w:themeColor="text2"/>
          <w:sz w:val="20"/>
          <w:szCs w:val="20"/>
        </w:rPr>
        <w:t xml:space="preserve"> and an anode after pre-l</w:t>
      </w:r>
      <w:r w:rsidR="00AF38CD" w:rsidRPr="0092670C">
        <w:rPr>
          <w:rFonts w:ascii="Arial" w:hAnsi="Arial" w:cs="Arial"/>
          <w:i/>
          <w:iCs/>
          <w:color w:val="44546A" w:themeColor="text2"/>
          <w:sz w:val="20"/>
          <w:szCs w:val="20"/>
        </w:rPr>
        <w:t>ithiation in the presence of FEC (right).</w:t>
      </w:r>
    </w:p>
    <w:p w14:paraId="46C2A305" w14:textId="34B1F349" w:rsidR="00E336EA" w:rsidRPr="0092670C" w:rsidRDefault="00E336EA" w:rsidP="003565E4">
      <w:pPr>
        <w:spacing w:line="360" w:lineRule="auto"/>
        <w:jc w:val="both"/>
        <w:rPr>
          <w:rFonts w:ascii="Arial" w:hAnsi="Arial" w:cs="Arial"/>
        </w:rPr>
      </w:pPr>
      <w:r w:rsidRPr="0092670C">
        <w:rPr>
          <w:rFonts w:ascii="Arial" w:hAnsi="Arial" w:cs="Arial"/>
        </w:rPr>
        <w:t>Atomic force microscopy (AFM) was performed using a Bruker dimension icon in ScanAsyst mode. The pre-lithiated cells were washed gently using DMC to remove LiPF</w:t>
      </w:r>
      <w:r w:rsidRPr="0092670C">
        <w:rPr>
          <w:rFonts w:ascii="Arial" w:hAnsi="Arial" w:cs="Arial"/>
          <w:vertAlign w:val="subscript"/>
        </w:rPr>
        <w:t>6</w:t>
      </w:r>
      <w:r w:rsidRPr="0092670C">
        <w:rPr>
          <w:rFonts w:ascii="Arial" w:hAnsi="Arial" w:cs="Arial"/>
        </w:rPr>
        <w:t xml:space="preserve"> from the sample. The electrodes were then dried under vacuum overnight. AFM images were concentrated on areas containing graphite steps. Graphite steps are known to affect the catalytic activity of the electrode surface </w:t>
      </w:r>
      <w:r w:rsidRPr="0092670C">
        <w:rPr>
          <w:rFonts w:ascii="Arial" w:hAnsi="Arial" w:cs="Arial"/>
        </w:rPr>
        <w:fldChar w:fldCharType="begin"/>
      </w:r>
      <w:r w:rsidR="0034337D">
        <w:rPr>
          <w:rFonts w:ascii="Arial" w:hAnsi="Arial" w:cs="Arial"/>
        </w:rPr>
        <w:instrText xml:space="preserve"> ADDIN EN.CITE &lt;EndNote&gt;&lt;Cite&gt;&lt;Author&gt;Lee&lt;/Author&gt;&lt;Year&gt;2015&lt;/Year&gt;&lt;RecNum&gt;191&lt;/RecNum&gt;&lt;DisplayText&gt;[221]&lt;/DisplayText&gt;&lt;record&gt;&lt;rec-number&gt;191&lt;/rec-number&gt;&lt;foreign-keys&gt;&lt;key app="EN" db-id="5sa9s0e0r0d9fnexra7pr5xdwd5ztevx95s2" timestamp="1551895442"&gt;191&lt;/key&gt;&lt;/foreign-keys&gt;&lt;ref-type name="Journal Article"&gt;17&lt;/ref-type&gt;&lt;contributors&gt;&lt;authors&gt;&lt;author&gt;Lee, Hyunsoo&lt;/author&gt;&lt;author&gt;Lee, Han-Bo-Ram&lt;/author&gt;&lt;author&gt;Kwon, Sangku&lt;/author&gt;&lt;author&gt;Salmeron, Miquel&lt;/author&gt;&lt;author&gt;Park, Jeong Young&lt;/author&gt;&lt;/authors&gt;&lt;/contributors&gt;&lt;titles&gt;&lt;title&gt;Internal and External Atomic Steps in Graphite Exhibit Dramatically Different Physical and Chemical Properties&lt;/title&gt;&lt;secondary-title&gt;ACS Nano&lt;/secondary-title&gt;&lt;/titles&gt;&lt;periodical&gt;&lt;full-title&gt;ACS Nano&lt;/full-title&gt;&lt;/periodical&gt;&lt;pages&gt;3814-3819&lt;/pages&gt;&lt;volume&gt;9&lt;/volume&gt;&lt;number&gt;4&lt;/number&gt;&lt;dates&gt;&lt;year&gt;2015&lt;/year&gt;&lt;pub-dates&gt;&lt;date&gt;2015/04/28&lt;/date&gt;&lt;/pub-dates&gt;&lt;/dates&gt;&lt;publisher&gt;American Chemical Society&lt;/publisher&gt;&lt;isbn&gt;1936-0851&lt;/isbn&gt;&lt;urls&gt;&lt;related-urls&gt;&lt;url&gt;https://doi.org/10.1021/nn506755p&lt;/url&gt;&lt;/related-urls&gt;&lt;/urls&gt;&lt;electronic-resource-num&gt;10.1021/nn506755p&lt;/electronic-resource-num&gt;&lt;/record&gt;&lt;/Cite&gt;&lt;/EndNote&gt;</w:instrText>
      </w:r>
      <w:r w:rsidRPr="0092670C">
        <w:rPr>
          <w:rFonts w:ascii="Arial" w:hAnsi="Arial" w:cs="Arial"/>
        </w:rPr>
        <w:fldChar w:fldCharType="separate"/>
      </w:r>
      <w:r w:rsidR="0034337D">
        <w:rPr>
          <w:rFonts w:ascii="Arial" w:hAnsi="Arial" w:cs="Arial"/>
          <w:noProof/>
        </w:rPr>
        <w:t>[221]</w:t>
      </w:r>
      <w:r w:rsidRPr="0092670C">
        <w:rPr>
          <w:rFonts w:ascii="Arial" w:hAnsi="Arial" w:cs="Arial"/>
        </w:rPr>
        <w:fldChar w:fldCharType="end"/>
      </w:r>
      <w:r w:rsidRPr="0092670C">
        <w:rPr>
          <w:rFonts w:ascii="Arial" w:hAnsi="Arial" w:cs="Arial"/>
        </w:rPr>
        <w:t xml:space="preserve">. This is important as the SEI formation is highly dependent on the steps due to their higher work function </w:t>
      </w:r>
      <w:r w:rsidRPr="0092670C">
        <w:rPr>
          <w:rFonts w:ascii="Arial" w:hAnsi="Arial" w:cs="Arial"/>
        </w:rPr>
        <w:fldChar w:fldCharType="begin"/>
      </w:r>
      <w:r w:rsidR="0034337D">
        <w:rPr>
          <w:rFonts w:ascii="Arial" w:hAnsi="Arial" w:cs="Arial"/>
        </w:rPr>
        <w:instrText xml:space="preserve"> ADDIN EN.CITE &lt;EndNote&gt;&lt;Cite&gt;&lt;Author&gt;Tran&lt;/Author&gt;&lt;Year&gt;1995&lt;/Year&gt;&lt;RecNum&gt;169&lt;/RecNum&gt;&lt;DisplayText&gt;[222]&lt;/DisplayText&gt;&lt;record&gt;&lt;rec-number&gt;169&lt;/rec-number&gt;&lt;foreign-keys&gt;&lt;key app="EN" db-id="5sa9s0e0r0d9fnexra7pr5xdwd5ztevx95s2" timestamp="1550576261"&gt;169&lt;/key&gt;&lt;/foreign-keys&gt;&lt;ref-type name="Journal Article"&gt;17&lt;/ref-type&gt;&lt;contributors&gt;&lt;authors&gt;&lt;author&gt;Tran, Tri&lt;/author&gt;&lt;author&gt;Kinoshita, Kim&lt;/author&gt;&lt;/authors&gt;&lt;/contributors&gt;&lt;titles&gt;&lt;title&gt;Lithium intercalation/deintercalation behavior of basal and edge planes of highly oriented pyrolytic graphite and graphite powder&lt;/title&gt;&lt;secondary-title&gt;Journal of Electroanalytical Chemistry&lt;/secondary-title&gt;&lt;/titles&gt;&lt;periodical&gt;&lt;full-title&gt;Journal of Electroanalytical Chemistry&lt;/full-title&gt;&lt;/periodical&gt;&lt;pages&gt;221-224&lt;/pages&gt;&lt;volume&gt;386&lt;/volume&gt;&lt;number&gt;1&lt;/number&gt;&lt;keywords&gt;&lt;keyword&gt;Intercalation&lt;/keyword&gt;&lt;keyword&gt;Deintercalation&lt;/keyword&gt;&lt;keyword&gt;Basal-plane surface&lt;/keyword&gt;&lt;/keywords&gt;&lt;dates&gt;&lt;year&gt;1995&lt;/year&gt;&lt;pub-dates&gt;&lt;date&gt;1995/04/18/&lt;/date&gt;&lt;/pub-dates&gt;&lt;/dates&gt;&lt;isbn&gt;1572-6657&lt;/isbn&gt;&lt;urls&gt;&lt;related-urls&gt;&lt;url&gt;http://www.sciencedirect.com/science/article/pii/002207289503907X&lt;/url&gt;&lt;/related-urls&gt;&lt;/urls&gt;&lt;electronic-resource-num&gt;https://doi.org/10.1016/0022-0728(95)03907-X&lt;/electronic-resource-num&gt;&lt;/record&gt;&lt;/Cite&gt;&lt;/EndNote&gt;</w:instrText>
      </w:r>
      <w:r w:rsidRPr="0092670C">
        <w:rPr>
          <w:rFonts w:ascii="Arial" w:hAnsi="Arial" w:cs="Arial"/>
        </w:rPr>
        <w:fldChar w:fldCharType="separate"/>
      </w:r>
      <w:r w:rsidR="0034337D">
        <w:rPr>
          <w:rFonts w:ascii="Arial" w:hAnsi="Arial" w:cs="Arial"/>
          <w:noProof/>
        </w:rPr>
        <w:t>[222]</w:t>
      </w:r>
      <w:r w:rsidRPr="0092670C">
        <w:rPr>
          <w:rFonts w:ascii="Arial" w:hAnsi="Arial" w:cs="Arial"/>
        </w:rPr>
        <w:fldChar w:fldCharType="end"/>
      </w:r>
      <w:r w:rsidRPr="0092670C">
        <w:rPr>
          <w:rFonts w:ascii="Arial" w:hAnsi="Arial" w:cs="Arial"/>
        </w:rPr>
        <w:t xml:space="preserve">. The graphite anodes have a large number of steps </w:t>
      </w:r>
      <w:r w:rsidR="003C41CA">
        <w:rPr>
          <w:rFonts w:ascii="Arial" w:hAnsi="Arial" w:cs="Arial"/>
        </w:rPr>
        <w:t>at the edges of individual particles.</w:t>
      </w:r>
    </w:p>
    <w:p w14:paraId="33F4C245" w14:textId="0F0C1DD4" w:rsidR="00E336EA" w:rsidRPr="0092670C" w:rsidRDefault="00E336EA" w:rsidP="00E336EA">
      <w:pPr>
        <w:spacing w:line="360" w:lineRule="auto"/>
        <w:jc w:val="both"/>
        <w:rPr>
          <w:rFonts w:ascii="Arial" w:hAnsi="Arial" w:cs="Arial"/>
        </w:rPr>
      </w:pPr>
      <w:r w:rsidRPr="0092670C">
        <w:rPr>
          <w:rFonts w:ascii="Arial" w:hAnsi="Arial" w:cs="Arial"/>
        </w:rPr>
        <w:t>AFM images show the presence of the SEI visibly on the surface of the pre-lithiated electrodes. The uncycled electrode</w:t>
      </w:r>
      <w:r w:rsidR="00C63FF1" w:rsidRPr="0092670C">
        <w:rPr>
          <w:rFonts w:ascii="Arial" w:hAnsi="Arial" w:cs="Arial"/>
        </w:rPr>
        <w:t xml:space="preserve"> in </w:t>
      </w:r>
      <w:r w:rsidR="00C63FF1" w:rsidRPr="0092670C">
        <w:rPr>
          <w:rFonts w:ascii="Arial" w:hAnsi="Arial" w:cs="Arial"/>
        </w:rPr>
        <w:fldChar w:fldCharType="begin"/>
      </w:r>
      <w:r w:rsidR="00C63FF1" w:rsidRPr="0092670C">
        <w:rPr>
          <w:rFonts w:ascii="Arial" w:hAnsi="Arial" w:cs="Arial"/>
        </w:rPr>
        <w:instrText xml:space="preserve"> REF _Ref31486102 \h  \* MERGEFORMAT </w:instrText>
      </w:r>
      <w:r w:rsidR="00C63FF1" w:rsidRPr="0092670C">
        <w:rPr>
          <w:rFonts w:ascii="Arial" w:hAnsi="Arial" w:cs="Arial"/>
        </w:rPr>
      </w:r>
      <w:r w:rsidR="00C63FF1"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12</w:t>
      </w:r>
      <w:r w:rsidR="00C63FF1" w:rsidRPr="0092670C">
        <w:rPr>
          <w:rFonts w:ascii="Arial" w:hAnsi="Arial" w:cs="Arial"/>
        </w:rPr>
        <w:fldChar w:fldCharType="end"/>
      </w:r>
      <w:r w:rsidRPr="0092670C">
        <w:rPr>
          <w:rFonts w:ascii="Arial" w:hAnsi="Arial" w:cs="Arial"/>
        </w:rPr>
        <w:t xml:space="preserve"> showed no noticeable surface film. The step sites appear to be extremely rough on the untreated electrode and then they appear to be much smoother in the pre-lithiated electrodes</w:t>
      </w:r>
      <w:r w:rsidR="00DF4057" w:rsidRPr="0092670C">
        <w:rPr>
          <w:rFonts w:ascii="Arial" w:hAnsi="Arial" w:cs="Arial"/>
        </w:rPr>
        <w:t xml:space="preserve"> </w:t>
      </w:r>
      <w:r w:rsidR="009D45ED" w:rsidRPr="0092670C">
        <w:rPr>
          <w:rFonts w:ascii="Arial" w:hAnsi="Arial" w:cs="Arial"/>
        </w:rPr>
        <w:t xml:space="preserve">also seen in </w:t>
      </w:r>
      <w:r w:rsidR="009D45ED" w:rsidRPr="0092670C">
        <w:rPr>
          <w:rFonts w:ascii="Arial" w:hAnsi="Arial" w:cs="Arial"/>
        </w:rPr>
        <w:fldChar w:fldCharType="begin"/>
      </w:r>
      <w:r w:rsidR="009D45ED" w:rsidRPr="0092670C">
        <w:rPr>
          <w:rFonts w:ascii="Arial" w:hAnsi="Arial" w:cs="Arial"/>
        </w:rPr>
        <w:instrText xml:space="preserve"> REF _Ref31486102 \h  \* MERGEFORMAT </w:instrText>
      </w:r>
      <w:r w:rsidR="009D45ED" w:rsidRPr="0092670C">
        <w:rPr>
          <w:rFonts w:ascii="Arial" w:hAnsi="Arial" w:cs="Arial"/>
        </w:rPr>
      </w:r>
      <w:r w:rsidR="009D45ED"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12</w:t>
      </w:r>
      <w:r w:rsidR="009D45ED" w:rsidRPr="0092670C">
        <w:rPr>
          <w:rFonts w:ascii="Arial" w:hAnsi="Arial" w:cs="Arial"/>
        </w:rPr>
        <w:fldChar w:fldCharType="end"/>
      </w:r>
      <w:r w:rsidRPr="0092670C">
        <w:rPr>
          <w:rFonts w:ascii="Arial" w:hAnsi="Arial" w:cs="Arial"/>
        </w:rPr>
        <w:t>. This is due to the higher work function of the edge sites which leads to enhanced SEI formation, which subsequently fills those edge sites smoothening the resulting AFM image. This effect is also confirmed with the height distributions of the AFM images</w:t>
      </w:r>
      <w:r w:rsidR="00561B73" w:rsidRPr="0092670C">
        <w:rPr>
          <w:rFonts w:ascii="Arial" w:hAnsi="Arial" w:cs="Arial"/>
        </w:rPr>
        <w:t xml:space="preserve"> recorded in </w:t>
      </w:r>
      <w:r w:rsidR="000354FB" w:rsidRPr="0092670C">
        <w:rPr>
          <w:rFonts w:ascii="Arial" w:hAnsi="Arial" w:cs="Arial"/>
        </w:rPr>
        <w:fldChar w:fldCharType="begin"/>
      </w:r>
      <w:r w:rsidR="000354FB" w:rsidRPr="0092670C">
        <w:rPr>
          <w:rFonts w:ascii="Arial" w:hAnsi="Arial" w:cs="Arial"/>
        </w:rPr>
        <w:instrText xml:space="preserve"> REF _Ref31484674 \h  \* MERGEFORMAT </w:instrText>
      </w:r>
      <w:r w:rsidR="000354FB" w:rsidRPr="0092670C">
        <w:rPr>
          <w:rFonts w:ascii="Arial" w:hAnsi="Arial" w:cs="Arial"/>
        </w:rPr>
      </w:r>
      <w:r w:rsidR="000354FB"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13</w:t>
      </w:r>
      <w:r w:rsidR="000354FB" w:rsidRPr="0092670C">
        <w:rPr>
          <w:rFonts w:ascii="Arial" w:hAnsi="Arial" w:cs="Arial"/>
        </w:rPr>
        <w:fldChar w:fldCharType="end"/>
      </w:r>
      <w:r w:rsidRPr="0092670C">
        <w:rPr>
          <w:rFonts w:ascii="Arial" w:hAnsi="Arial" w:cs="Arial"/>
        </w:rPr>
        <w:t xml:space="preserve">. The Untreated cell has a histogram </w:t>
      </w:r>
      <w:r w:rsidR="001F16CF">
        <w:rPr>
          <w:rFonts w:ascii="Arial" w:hAnsi="Arial" w:cs="Arial"/>
        </w:rPr>
        <w:t xml:space="preserve">with </w:t>
      </w:r>
      <w:r w:rsidR="00B15EB2">
        <w:rPr>
          <w:rFonts w:ascii="Arial" w:hAnsi="Arial" w:cs="Arial"/>
        </w:rPr>
        <w:t xml:space="preserve">distinct peaks </w:t>
      </w:r>
      <w:r w:rsidRPr="0092670C">
        <w:rPr>
          <w:rFonts w:ascii="Arial" w:hAnsi="Arial" w:cs="Arial"/>
        </w:rPr>
        <w:t xml:space="preserve">due to the differing heights of the step sites. As the step sites are filled with SEI then they become flatter increasing their frequency within the height distribution. </w:t>
      </w:r>
    </w:p>
    <w:p w14:paraId="4FCDA788" w14:textId="256ECE2A"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3219FBC0">
          <v:shape id="_x0000_i1077" type="#_x0000_t75" style="width:384.1pt;height:299.9pt" o:ole="">
            <v:imagedata r:id="rId156" o:title=""/>
          </v:shape>
          <o:OLEObject Type="Embed" ProgID="Origin95.Graph" ShapeID="_x0000_i1077" DrawAspect="Content" ObjectID="_1700733966" r:id="rId157"/>
        </w:object>
      </w:r>
    </w:p>
    <w:p w14:paraId="7E3467F2" w14:textId="2AEC84B2" w:rsidR="00E336EA" w:rsidRPr="0092670C" w:rsidRDefault="00E336EA" w:rsidP="00682F0F">
      <w:pPr>
        <w:spacing w:after="200" w:line="360" w:lineRule="auto"/>
        <w:jc w:val="center"/>
        <w:rPr>
          <w:rFonts w:ascii="Arial" w:hAnsi="Arial" w:cs="Arial"/>
          <w:i/>
          <w:iCs/>
          <w:color w:val="44546A" w:themeColor="text2"/>
          <w:sz w:val="20"/>
          <w:szCs w:val="20"/>
        </w:rPr>
      </w:pPr>
      <w:bookmarkStart w:id="156" w:name="_Ref31484674"/>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13</w:t>
      </w:r>
      <w:r w:rsidR="00356A26">
        <w:rPr>
          <w:rFonts w:ascii="Arial" w:hAnsi="Arial" w:cs="Arial"/>
          <w:i/>
          <w:iCs/>
          <w:color w:val="44546A" w:themeColor="text2"/>
          <w:sz w:val="20"/>
          <w:szCs w:val="20"/>
        </w:rPr>
        <w:fldChar w:fldCharType="end"/>
      </w:r>
      <w:bookmarkEnd w:id="156"/>
      <w:r w:rsidRPr="0092670C">
        <w:rPr>
          <w:rFonts w:ascii="Arial" w:hAnsi="Arial" w:cs="Arial"/>
          <w:i/>
          <w:iCs/>
          <w:color w:val="44546A" w:themeColor="text2"/>
          <w:sz w:val="20"/>
          <w:szCs w:val="20"/>
        </w:rPr>
        <w:t>: Height distribution of AFM images</w:t>
      </w:r>
      <w:r w:rsidR="00ED2956" w:rsidRPr="0092670C">
        <w:rPr>
          <w:rFonts w:ascii="Arial" w:hAnsi="Arial" w:cs="Arial"/>
          <w:i/>
          <w:iCs/>
          <w:color w:val="44546A" w:themeColor="text2"/>
          <w:sz w:val="20"/>
          <w:szCs w:val="20"/>
        </w:rPr>
        <w:t>.</w:t>
      </w:r>
    </w:p>
    <w:p w14:paraId="3B84B902" w14:textId="77777777" w:rsidR="00E336EA" w:rsidRPr="0092670C" w:rsidRDefault="00E336EA" w:rsidP="00224FE9">
      <w:pPr>
        <w:pStyle w:val="Heading2"/>
        <w:rPr>
          <w:rFonts w:ascii="Arial" w:hAnsi="Arial" w:cs="Arial"/>
          <w:sz w:val="32"/>
          <w:szCs w:val="32"/>
        </w:rPr>
      </w:pPr>
      <w:bookmarkStart w:id="157" w:name="_Toc8747367"/>
      <w:bookmarkStart w:id="158" w:name="_Toc82538758"/>
      <w:r w:rsidRPr="0092670C">
        <w:rPr>
          <w:rFonts w:ascii="Arial" w:hAnsi="Arial" w:cs="Arial"/>
          <w:sz w:val="32"/>
          <w:szCs w:val="32"/>
        </w:rPr>
        <w:t>The importance of fluorine in FEC for the pre-lithiation process</w:t>
      </w:r>
      <w:bookmarkEnd w:id="157"/>
      <w:bookmarkEnd w:id="158"/>
    </w:p>
    <w:p w14:paraId="6DBA5292" w14:textId="568944F7" w:rsidR="00E336EA" w:rsidRPr="0092670C" w:rsidRDefault="00E336EA" w:rsidP="00E336EA">
      <w:pPr>
        <w:spacing w:line="360" w:lineRule="auto"/>
        <w:jc w:val="both"/>
        <w:rPr>
          <w:rFonts w:ascii="Arial" w:hAnsi="Arial" w:cs="Arial"/>
        </w:rPr>
      </w:pPr>
      <w:r w:rsidRPr="0092670C">
        <w:rPr>
          <w:rFonts w:ascii="Arial" w:hAnsi="Arial" w:cs="Arial"/>
        </w:rPr>
        <w:t>As seen above</w:t>
      </w:r>
      <w:r w:rsidR="00703650" w:rsidRPr="0092670C">
        <w:rPr>
          <w:rFonts w:ascii="Arial" w:hAnsi="Arial" w:cs="Arial"/>
        </w:rPr>
        <w:t>,</w:t>
      </w:r>
      <w:r w:rsidRPr="0092670C">
        <w:rPr>
          <w:rFonts w:ascii="Arial" w:hAnsi="Arial" w:cs="Arial"/>
        </w:rPr>
        <w:t xml:space="preserve"> FEC has been shown to increase the capacity and capacity retention of the cell. This has been attributed to the C-F bond and the resultant fluorine based chemistry</w:t>
      </w:r>
      <w:r w:rsidR="00285DEA" w:rsidRPr="0092670C">
        <w:rPr>
          <w:rFonts w:ascii="Arial" w:hAnsi="Arial" w:cs="Arial"/>
        </w:rPr>
        <w:t xml:space="preserve"> </w:t>
      </w:r>
      <w:r w:rsidRPr="0092670C">
        <w:rPr>
          <w:rFonts w:ascii="Arial" w:hAnsi="Arial" w:cs="Arial"/>
        </w:rPr>
        <w:fldChar w:fldCharType="begin">
          <w:fldData xml:space="preserve">PEVuZE5vdGU+PENpdGU+PEF1dGhvcj5NYXJrZXZpY2g8L0F1dGhvcj48WWVhcj4yMDE3PC9ZZWFy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PEVuZE5vdGU+PENpdGU+PEF1dGhvcj5NYXJrZXZpY2g8L0F1dGhvcj48WWVhcj4yMDE3PC9ZZWFy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[80]</w:t>
      </w:r>
      <w:r w:rsidRPr="0092670C">
        <w:rPr>
          <w:rFonts w:ascii="Arial" w:hAnsi="Arial" w:cs="Arial"/>
        </w:rPr>
        <w:fldChar w:fldCharType="end"/>
      </w:r>
      <w:r w:rsidRPr="0092670C">
        <w:rPr>
          <w:rFonts w:ascii="Arial" w:hAnsi="Arial" w:cs="Arial"/>
        </w:rPr>
        <w:t xml:space="preserve">. To test the role of fluorine we created an SEI with ethylene carbonate to compare against FEC. This should show us how the C-F bond affects the pre-lithiation process and subsequently the electrochemical performance of the cell. DMC was also tested for completeness. </w:t>
      </w:r>
    </w:p>
    <w:p w14:paraId="1FFEAADE" w14:textId="77777777" w:rsidR="00E336EA" w:rsidRPr="0092670C" w:rsidRDefault="00E336EA" w:rsidP="00224FE9">
      <w:pPr>
        <w:pStyle w:val="Heading3"/>
        <w:rPr>
          <w:rFonts w:ascii="Arial" w:hAnsi="Arial" w:cs="Arial"/>
          <w:color w:val="2F5496" w:themeColor="accent1" w:themeShade="BF"/>
          <w:sz w:val="26"/>
          <w:szCs w:val="26"/>
        </w:rPr>
      </w:pPr>
      <w:bookmarkStart w:id="159" w:name="_Toc8747368"/>
      <w:bookmarkStart w:id="160" w:name="_Toc82538759"/>
      <w:r w:rsidRPr="0092670C">
        <w:rPr>
          <w:rFonts w:ascii="Arial" w:hAnsi="Arial" w:cs="Arial"/>
          <w:color w:val="2F5496" w:themeColor="accent1" w:themeShade="BF"/>
          <w:sz w:val="26"/>
          <w:szCs w:val="26"/>
        </w:rPr>
        <w:t>Experimental</w:t>
      </w:r>
      <w:bookmarkEnd w:id="159"/>
      <w:bookmarkEnd w:id="160"/>
    </w:p>
    <w:p w14:paraId="358470DF" w14:textId="66505644" w:rsidR="00C44EF9" w:rsidRPr="00C44EF9" w:rsidRDefault="00C44EF9" w:rsidP="00C44EF9">
      <w:pPr>
        <w:spacing w:line="360" w:lineRule="auto"/>
        <w:jc w:val="both"/>
        <w:rPr>
          <w:rFonts w:ascii="Arial" w:hAnsi="Arial" w:cs="Arial"/>
        </w:rPr>
      </w:pPr>
      <w:bookmarkStart w:id="161" w:name="_Toc8747369"/>
      <w:bookmarkStart w:id="162" w:name="_Ref31402978"/>
      <w:r w:rsidRPr="00C44EF9">
        <w:rPr>
          <w:rFonts w:ascii="Arial" w:hAnsi="Arial" w:cs="Arial"/>
        </w:rPr>
        <w:t>Graphite electrodes were made as described in 2.2.1. The electrodes were then pre-lithiated for 24 hours with either EC (99%, Sigma Aldrich), DMC (99%, Sigma Aldrich) or FEC (98%, Alfa Aesar) as outlined in 2.3.1.</w:t>
      </w:r>
      <w:r w:rsidR="00CC230A">
        <w:rPr>
          <w:rFonts w:ascii="Arial" w:hAnsi="Arial" w:cs="Arial"/>
        </w:rPr>
        <w:t xml:space="preserve"> This was done at </w:t>
      </w:r>
      <w:r w:rsidR="00EC3760">
        <w:rPr>
          <w:rFonts w:ascii="Arial" w:hAnsi="Arial" w:cs="Arial"/>
        </w:rPr>
        <w:t xml:space="preserve">room temperature for FEC and DMC but had to be done at </w:t>
      </w:r>
      <w:r w:rsidR="00780ADB">
        <w:rPr>
          <w:rFonts w:ascii="Arial" w:hAnsi="Arial" w:cs="Arial"/>
        </w:rPr>
        <w:t>40</w:t>
      </w:r>
      <w:r w:rsidR="00EC3760">
        <w:rPr>
          <w:rFonts w:ascii="Arial" w:hAnsi="Arial" w:cs="Arial"/>
        </w:rPr>
        <w:t xml:space="preserve">°C </w:t>
      </w:r>
      <w:r w:rsidR="00DA565D">
        <w:rPr>
          <w:rFonts w:ascii="Arial" w:hAnsi="Arial" w:cs="Arial"/>
        </w:rPr>
        <w:t>due to the high melting point of EC</w:t>
      </w:r>
      <w:r w:rsidR="00780ADB">
        <w:rPr>
          <w:rFonts w:ascii="Arial" w:hAnsi="Arial" w:cs="Arial"/>
        </w:rPr>
        <w:t xml:space="preserve"> (</w:t>
      </w:r>
      <w:r w:rsidR="00E51368">
        <w:rPr>
          <w:rFonts w:ascii="Arial" w:hAnsi="Arial" w:cs="Arial"/>
        </w:rPr>
        <w:t>M</w:t>
      </w:r>
      <w:r w:rsidR="00C006F7">
        <w:rPr>
          <w:rFonts w:ascii="Arial" w:hAnsi="Arial" w:cs="Arial"/>
        </w:rPr>
        <w:t xml:space="preserve">.P. </w:t>
      </w:r>
      <w:r w:rsidR="00780ADB">
        <w:rPr>
          <w:rFonts w:ascii="Arial" w:hAnsi="Arial" w:cs="Arial"/>
        </w:rPr>
        <w:t>34</w:t>
      </w:r>
      <w:r w:rsidR="009F5261">
        <w:rPr>
          <w:rFonts w:ascii="Arial" w:hAnsi="Arial" w:cs="Arial"/>
        </w:rPr>
        <w:t xml:space="preserve">°C) </w:t>
      </w:r>
      <w:r w:rsidR="000355FC">
        <w:rPr>
          <w:rFonts w:ascii="Arial" w:hAnsi="Arial" w:cs="Arial"/>
        </w:rPr>
        <w:t xml:space="preserve">when compared to DMC and FEC that are liquid </w:t>
      </w:r>
      <w:r w:rsidR="005E60C9">
        <w:rPr>
          <w:rFonts w:ascii="Arial" w:hAnsi="Arial" w:cs="Arial"/>
        </w:rPr>
        <w:t>at room temperature (</w:t>
      </w:r>
      <w:r w:rsidR="00E51368">
        <w:rPr>
          <w:rFonts w:ascii="Arial" w:hAnsi="Arial" w:cs="Arial"/>
        </w:rPr>
        <w:t>M</w:t>
      </w:r>
      <w:r w:rsidR="005E60C9">
        <w:rPr>
          <w:rFonts w:ascii="Arial" w:hAnsi="Arial" w:cs="Arial"/>
        </w:rPr>
        <w:t>.P.</w:t>
      </w:r>
      <w:r w:rsidR="00266760">
        <w:rPr>
          <w:rFonts w:ascii="Arial" w:hAnsi="Arial" w:cs="Arial"/>
        </w:rPr>
        <w:t xml:space="preserve"> 2 and</w:t>
      </w:r>
      <w:r w:rsidR="00E51368">
        <w:rPr>
          <w:rFonts w:ascii="Arial" w:hAnsi="Arial" w:cs="Arial"/>
        </w:rPr>
        <w:t xml:space="preserve"> 18</w:t>
      </w:r>
      <w:r w:rsidR="00266760">
        <w:rPr>
          <w:rFonts w:ascii="Arial" w:hAnsi="Arial" w:cs="Arial"/>
        </w:rPr>
        <w:t>°C</w:t>
      </w:r>
      <w:r w:rsidR="00E51368">
        <w:rPr>
          <w:rFonts w:ascii="Arial" w:hAnsi="Arial" w:cs="Arial"/>
        </w:rPr>
        <w:t xml:space="preserve"> respectively</w:t>
      </w:r>
      <w:r w:rsidR="004831BB">
        <w:rPr>
          <w:rFonts w:ascii="Arial" w:hAnsi="Arial" w:cs="Arial"/>
        </w:rPr>
        <w:t>)</w:t>
      </w:r>
      <w:r w:rsidR="00212E23">
        <w:rPr>
          <w:rFonts w:ascii="Arial" w:hAnsi="Arial" w:cs="Arial"/>
        </w:rPr>
        <w:t>.</w:t>
      </w:r>
      <w:r w:rsidRPr="00C44EF9">
        <w:rPr>
          <w:rFonts w:ascii="Arial" w:hAnsi="Arial" w:cs="Arial"/>
        </w:rPr>
        <w:t xml:space="preserve"> These electrodes were then assembled into coin cells and cycled at C/10 for 100 cycles using CC/CV cycling for the charge on a Maccor series 4000M at 25°C. An electrode the hadn’t been pre-lithiated was also cycled as a reference. </w:t>
      </w:r>
    </w:p>
    <w:p w14:paraId="44184694" w14:textId="77777777" w:rsidR="00E336EA" w:rsidRPr="0092670C" w:rsidRDefault="00E336EA" w:rsidP="00224FE9">
      <w:pPr>
        <w:pStyle w:val="Heading3"/>
        <w:rPr>
          <w:rFonts w:ascii="Arial" w:hAnsi="Arial" w:cs="Arial"/>
          <w:color w:val="2F5496" w:themeColor="accent1" w:themeShade="BF"/>
          <w:sz w:val="26"/>
          <w:szCs w:val="26"/>
        </w:rPr>
      </w:pPr>
      <w:bookmarkStart w:id="163" w:name="_Toc82538760"/>
      <w:r w:rsidRPr="0092670C">
        <w:rPr>
          <w:rFonts w:ascii="Arial" w:hAnsi="Arial" w:cs="Arial"/>
          <w:color w:val="2F5496" w:themeColor="accent1" w:themeShade="BF"/>
          <w:sz w:val="26"/>
          <w:szCs w:val="26"/>
        </w:rPr>
        <w:t>Results</w:t>
      </w:r>
      <w:bookmarkEnd w:id="161"/>
      <w:bookmarkEnd w:id="162"/>
      <w:bookmarkEnd w:id="163"/>
      <w:r w:rsidRPr="0092670C">
        <w:rPr>
          <w:rFonts w:ascii="Arial" w:hAnsi="Arial" w:cs="Arial"/>
          <w:color w:val="2F5496" w:themeColor="accent1" w:themeShade="BF"/>
          <w:sz w:val="26"/>
          <w:szCs w:val="26"/>
        </w:rPr>
        <w:t xml:space="preserve"> </w:t>
      </w:r>
    </w:p>
    <w:p w14:paraId="725879DF" w14:textId="1CC1648B" w:rsidR="00E336EA" w:rsidRPr="0092670C" w:rsidRDefault="00E336EA" w:rsidP="00E336EA">
      <w:pPr>
        <w:spacing w:line="360" w:lineRule="auto"/>
        <w:jc w:val="both"/>
        <w:rPr>
          <w:rFonts w:ascii="Arial" w:hAnsi="Arial" w:cs="Arial"/>
        </w:rPr>
      </w:pPr>
      <w:r w:rsidRPr="0092670C">
        <w:rPr>
          <w:rFonts w:ascii="Arial" w:hAnsi="Arial" w:cs="Arial"/>
        </w:rPr>
        <w:t>Differential capacity plots of the first cycle of the cells</w:t>
      </w:r>
      <w:r w:rsidR="00D44454" w:rsidRPr="0092670C">
        <w:rPr>
          <w:rFonts w:ascii="Arial" w:hAnsi="Arial" w:cs="Arial"/>
        </w:rPr>
        <w:t xml:space="preserve"> in </w:t>
      </w:r>
      <w:r w:rsidR="00682F0F" w:rsidRPr="0092670C">
        <w:rPr>
          <w:rFonts w:ascii="Arial" w:hAnsi="Arial" w:cs="Arial"/>
        </w:rPr>
        <w:fldChar w:fldCharType="begin"/>
      </w:r>
      <w:r w:rsidR="00682F0F" w:rsidRPr="0092670C">
        <w:rPr>
          <w:rFonts w:ascii="Arial" w:hAnsi="Arial" w:cs="Arial"/>
        </w:rPr>
        <w:instrText xml:space="preserve"> REF _Ref31484421 \h  \* MERGEFORMAT </w:instrText>
      </w:r>
      <w:r w:rsidR="00682F0F" w:rsidRPr="0092670C">
        <w:rPr>
          <w:rFonts w:ascii="Arial" w:hAnsi="Arial" w:cs="Arial"/>
        </w:rPr>
      </w:r>
      <w:r w:rsidR="00682F0F"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14</w:t>
      </w:r>
      <w:r w:rsidR="00682F0F" w:rsidRPr="0092670C">
        <w:rPr>
          <w:rFonts w:ascii="Arial" w:hAnsi="Arial" w:cs="Arial"/>
        </w:rPr>
        <w:fldChar w:fldCharType="end"/>
      </w:r>
      <w:r w:rsidR="00682F0F" w:rsidRPr="0092670C">
        <w:rPr>
          <w:rFonts w:ascii="Arial" w:hAnsi="Arial" w:cs="Arial"/>
        </w:rPr>
        <w:t xml:space="preserve"> </w:t>
      </w:r>
      <w:r w:rsidRPr="0092670C">
        <w:rPr>
          <w:rFonts w:ascii="Arial" w:hAnsi="Arial" w:cs="Arial"/>
        </w:rPr>
        <w:t xml:space="preserve">show that the </w:t>
      </w:r>
      <w:r w:rsidR="00675545">
        <w:rPr>
          <w:rFonts w:ascii="Arial" w:hAnsi="Arial" w:cs="Arial"/>
        </w:rPr>
        <w:t>material choice</w:t>
      </w:r>
      <w:r w:rsidR="00142324">
        <w:rPr>
          <w:rFonts w:ascii="Arial" w:hAnsi="Arial" w:cs="Arial"/>
        </w:rPr>
        <w:t xml:space="preserve"> is</w:t>
      </w:r>
      <w:r w:rsidRPr="0092670C">
        <w:rPr>
          <w:rFonts w:ascii="Arial" w:hAnsi="Arial" w:cs="Arial"/>
        </w:rPr>
        <w:t xml:space="preserve"> important when pre-lithiating </w:t>
      </w:r>
      <w:r w:rsidR="00581707" w:rsidRPr="0092670C">
        <w:rPr>
          <w:rFonts w:ascii="Arial" w:hAnsi="Arial" w:cs="Arial"/>
        </w:rPr>
        <w:t>graphite</w:t>
      </w:r>
      <w:r w:rsidRPr="0092670C">
        <w:rPr>
          <w:rFonts w:ascii="Arial" w:hAnsi="Arial" w:cs="Arial"/>
        </w:rPr>
        <w:t>. The cell pre-lithiated in EC suffered from a large overpotential on the cathodic sweep. This</w:t>
      </w:r>
      <w:r w:rsidR="0085418B" w:rsidRPr="0092670C">
        <w:rPr>
          <w:rFonts w:ascii="Arial" w:hAnsi="Arial" w:cs="Arial"/>
        </w:rPr>
        <w:t xml:space="preserve"> </w:t>
      </w:r>
      <w:r w:rsidR="00926C51" w:rsidRPr="0092670C">
        <w:rPr>
          <w:rFonts w:ascii="Arial" w:hAnsi="Arial" w:cs="Arial"/>
        </w:rPr>
        <w:t>overpotential</w:t>
      </w:r>
      <w:r w:rsidR="0085418B" w:rsidRPr="0092670C">
        <w:rPr>
          <w:rFonts w:ascii="Arial" w:hAnsi="Arial" w:cs="Arial"/>
        </w:rPr>
        <w:t xml:space="preserve"> demonstrates</w:t>
      </w:r>
      <w:r w:rsidRPr="0092670C">
        <w:rPr>
          <w:rFonts w:ascii="Arial" w:hAnsi="Arial" w:cs="Arial"/>
        </w:rPr>
        <w:t xml:space="preserve"> that the EC-based SEI is </w:t>
      </w:r>
      <w:r w:rsidR="00FD4DA9" w:rsidRPr="0092670C">
        <w:rPr>
          <w:rFonts w:ascii="Arial" w:hAnsi="Arial" w:cs="Arial"/>
        </w:rPr>
        <w:t xml:space="preserve">inadequate </w:t>
      </w:r>
      <w:r w:rsidR="002D0BE1" w:rsidRPr="0092670C">
        <w:rPr>
          <w:rFonts w:ascii="Arial" w:hAnsi="Arial" w:cs="Arial"/>
        </w:rPr>
        <w:t xml:space="preserve">and the resulting </w:t>
      </w:r>
      <w:r w:rsidR="00BA3B72" w:rsidRPr="0092670C">
        <w:rPr>
          <w:rFonts w:ascii="Arial" w:hAnsi="Arial" w:cs="Arial"/>
        </w:rPr>
        <w:t>interphase impedes</w:t>
      </w:r>
      <w:r w:rsidRPr="0092670C">
        <w:rPr>
          <w:rFonts w:ascii="Arial" w:hAnsi="Arial" w:cs="Arial"/>
        </w:rPr>
        <w:t xml:space="preserve"> Li</w:t>
      </w:r>
      <w:r w:rsidR="00960E4E" w:rsidRPr="0092670C">
        <w:rPr>
          <w:rFonts w:ascii="Arial" w:hAnsi="Arial" w:cs="Arial"/>
          <w:vertAlign w:val="superscript"/>
        </w:rPr>
        <w:t xml:space="preserve">+ </w:t>
      </w:r>
      <w:r w:rsidR="00960E4E" w:rsidRPr="0092670C">
        <w:rPr>
          <w:rFonts w:ascii="Arial" w:hAnsi="Arial" w:cs="Arial"/>
        </w:rPr>
        <w:t>from leaving</w:t>
      </w:r>
      <w:r w:rsidRPr="0092670C">
        <w:rPr>
          <w:rFonts w:ascii="Arial" w:hAnsi="Arial" w:cs="Arial"/>
        </w:rPr>
        <w:t xml:space="preserve"> the </w:t>
      </w:r>
      <w:r w:rsidR="006A37F6" w:rsidRPr="0092670C">
        <w:rPr>
          <w:rFonts w:ascii="Arial" w:hAnsi="Arial" w:cs="Arial"/>
        </w:rPr>
        <w:t>graphite</w:t>
      </w:r>
      <w:r w:rsidRPr="0092670C">
        <w:rPr>
          <w:rFonts w:ascii="Arial" w:hAnsi="Arial" w:cs="Arial"/>
        </w:rPr>
        <w:t xml:space="preserve">. In the anodic sweep the peaks were either severely depressed or non-existent suggesting that the EC coating is not enough to inhibit electron migration and further SEI formation is taking place. </w:t>
      </w:r>
    </w:p>
    <w:p w14:paraId="4748659C" w14:textId="77777777" w:rsidR="00E336EA" w:rsidRPr="0092670C" w:rsidRDefault="00E336EA" w:rsidP="00E336EA">
      <w:pPr>
        <w:spacing w:line="360" w:lineRule="auto"/>
        <w:jc w:val="both"/>
        <w:rPr>
          <w:rFonts w:ascii="Arial" w:hAnsi="Arial" w:cs="Arial"/>
        </w:rPr>
      </w:pPr>
      <w:r w:rsidRPr="0092670C">
        <w:rPr>
          <w:rFonts w:ascii="Arial" w:hAnsi="Arial" w:cs="Arial"/>
        </w:rPr>
        <w:t xml:space="preserve">The cell that was pre-lithiated in DMC cycled reasonably well with only a slight overpotential in the anodic direction. This is most likely due to a small amount of SEI formation in thinner areas of the SEI. The cell with the smallest overpotential was the one pre-lithiated in FEC as seen earlier. This is due to it forming an SEI that facilitated Li-ion flow whilst still being a good electronic insulator. </w:t>
      </w:r>
    </w:p>
    <w:p w14:paraId="3F6EE66B" w14:textId="1D0B1CFE"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2" w:dyaOrig="4722" w14:anchorId="29DBD436">
          <v:shape id="_x0000_i1078" type="#_x0000_t75" style="width:312.1pt;height:240.1pt" o:ole="">
            <v:imagedata r:id="rId158" o:title=""/>
          </v:shape>
          <o:OLEObject Type="Embed" ProgID="Origin95.Graph" ShapeID="_x0000_i1078" DrawAspect="Content" ObjectID="_1700733967" r:id="rId159"/>
        </w:object>
      </w:r>
    </w:p>
    <w:p w14:paraId="1C8A5B0F" w14:textId="20225608" w:rsidR="00E336EA" w:rsidRPr="0092670C" w:rsidRDefault="00E336EA" w:rsidP="00E336EA">
      <w:pPr>
        <w:spacing w:after="200" w:line="360" w:lineRule="auto"/>
        <w:jc w:val="center"/>
        <w:rPr>
          <w:rFonts w:ascii="Arial" w:hAnsi="Arial" w:cs="Arial"/>
          <w:i/>
          <w:iCs/>
          <w:color w:val="44546A" w:themeColor="text2"/>
          <w:sz w:val="20"/>
          <w:szCs w:val="20"/>
        </w:rPr>
      </w:pPr>
      <w:bookmarkStart w:id="164" w:name="_Ref3148442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14</w:t>
      </w:r>
      <w:r w:rsidR="00356A26">
        <w:rPr>
          <w:rFonts w:ascii="Arial" w:hAnsi="Arial" w:cs="Arial"/>
          <w:i/>
          <w:iCs/>
          <w:color w:val="44546A" w:themeColor="text2"/>
          <w:sz w:val="20"/>
          <w:szCs w:val="20"/>
        </w:rPr>
        <w:fldChar w:fldCharType="end"/>
      </w:r>
      <w:bookmarkEnd w:id="164"/>
      <w:r w:rsidRPr="0092670C">
        <w:rPr>
          <w:rFonts w:ascii="Arial" w:hAnsi="Arial" w:cs="Arial"/>
          <w:i/>
          <w:iCs/>
          <w:color w:val="44546A" w:themeColor="text2"/>
          <w:sz w:val="20"/>
          <w:szCs w:val="20"/>
        </w:rPr>
        <w:t>: Differential capacity plots of cells after pre-lithiation in different solut</w:t>
      </w:r>
      <w:r w:rsidR="007B6E39">
        <w:rPr>
          <w:rFonts w:ascii="Arial" w:hAnsi="Arial" w:cs="Arial"/>
          <w:i/>
          <w:iCs/>
          <w:color w:val="44546A" w:themeColor="text2"/>
          <w:sz w:val="20"/>
          <w:szCs w:val="20"/>
        </w:rPr>
        <w:t>ions</w:t>
      </w:r>
      <w:r w:rsidR="00ED2956" w:rsidRPr="0092670C">
        <w:rPr>
          <w:rFonts w:ascii="Arial" w:hAnsi="Arial" w:cs="Arial"/>
          <w:i/>
          <w:iCs/>
          <w:color w:val="44546A" w:themeColor="text2"/>
          <w:sz w:val="20"/>
          <w:szCs w:val="20"/>
        </w:rPr>
        <w:t>.</w:t>
      </w:r>
    </w:p>
    <w:p w14:paraId="32DA566D" w14:textId="0A644545" w:rsidR="007A4D83" w:rsidRPr="0092670C" w:rsidRDefault="0067644A" w:rsidP="007A4D83">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3B588CE">
          <v:shape id="_x0000_i1079" type="#_x0000_t75" style="width:365.8pt;height:282.2pt" o:ole="">
            <v:imagedata r:id="rId160" o:title=""/>
          </v:shape>
          <o:OLEObject Type="Embed" ProgID="Origin95.Graph" ShapeID="_x0000_i1079" DrawAspect="Content" ObjectID="_1700733968" r:id="rId161"/>
        </w:object>
      </w:r>
    </w:p>
    <w:p w14:paraId="12767665" w14:textId="6A405F65" w:rsidR="003A4949" w:rsidRPr="0092670C" w:rsidRDefault="007A4D83" w:rsidP="007A4D83">
      <w:pPr>
        <w:pStyle w:val="Caption"/>
        <w:jc w:val="center"/>
        <w:rPr>
          <w:rFonts w:ascii="Arial" w:hAnsi="Arial" w:cs="Arial"/>
          <w:sz w:val="20"/>
          <w:szCs w:val="20"/>
        </w:rPr>
      </w:pPr>
      <w:bookmarkStart w:id="165" w:name="_Ref31483644"/>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3</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15</w:t>
      </w:r>
      <w:r w:rsidR="00356A26">
        <w:rPr>
          <w:rFonts w:ascii="Arial" w:hAnsi="Arial" w:cs="Arial"/>
          <w:sz w:val="20"/>
          <w:szCs w:val="20"/>
        </w:rPr>
        <w:fldChar w:fldCharType="end"/>
      </w:r>
      <w:bookmarkEnd w:id="165"/>
      <w:r w:rsidRPr="0092670C">
        <w:rPr>
          <w:rFonts w:ascii="Arial" w:hAnsi="Arial" w:cs="Arial"/>
          <w:sz w:val="20"/>
          <w:szCs w:val="20"/>
        </w:rPr>
        <w:t xml:space="preserve">: </w:t>
      </w:r>
      <w:r w:rsidR="00ED2956" w:rsidRPr="0092670C">
        <w:rPr>
          <w:rFonts w:ascii="Arial" w:hAnsi="Arial" w:cs="Arial"/>
          <w:sz w:val="20"/>
          <w:szCs w:val="20"/>
        </w:rPr>
        <w:t>E</w:t>
      </w:r>
      <w:r w:rsidRPr="0092670C">
        <w:rPr>
          <w:rFonts w:ascii="Arial" w:hAnsi="Arial" w:cs="Arial"/>
          <w:sz w:val="20"/>
          <w:szCs w:val="20"/>
        </w:rPr>
        <w:t xml:space="preserve">ffect of pre-lithiation </w:t>
      </w:r>
      <w:r w:rsidR="007B6E39">
        <w:rPr>
          <w:rFonts w:ascii="Arial" w:hAnsi="Arial" w:cs="Arial"/>
          <w:sz w:val="20"/>
          <w:szCs w:val="20"/>
        </w:rPr>
        <w:t>solution</w:t>
      </w:r>
      <w:r w:rsidRPr="0092670C">
        <w:rPr>
          <w:rFonts w:ascii="Arial" w:hAnsi="Arial" w:cs="Arial"/>
          <w:sz w:val="20"/>
          <w:szCs w:val="20"/>
        </w:rPr>
        <w:t xml:space="preserve"> on charge capacity and retention</w:t>
      </w:r>
      <w:r w:rsidR="00ED2956" w:rsidRPr="0092670C">
        <w:rPr>
          <w:rFonts w:ascii="Arial" w:hAnsi="Arial" w:cs="Arial"/>
          <w:sz w:val="20"/>
          <w:szCs w:val="20"/>
        </w:rPr>
        <w:t>.</w:t>
      </w:r>
    </w:p>
    <w:p w14:paraId="41CB148F" w14:textId="6BD32773" w:rsidR="00E336EA" w:rsidRPr="0092670C" w:rsidRDefault="00595C14" w:rsidP="0051260A">
      <w:pPr>
        <w:spacing w:line="360" w:lineRule="auto"/>
        <w:jc w:val="both"/>
        <w:rPr>
          <w:rFonts w:ascii="Arial" w:hAnsi="Arial" w:cs="Arial"/>
        </w:rPr>
      </w:pPr>
      <w:r w:rsidRPr="0092670C">
        <w:rPr>
          <w:rFonts w:ascii="Arial" w:hAnsi="Arial" w:cs="Arial"/>
        </w:rPr>
        <w:t xml:space="preserve">The charge capacity data </w:t>
      </w:r>
      <w:r w:rsidR="006E3BD6" w:rsidRPr="0092670C">
        <w:rPr>
          <w:rFonts w:ascii="Arial" w:hAnsi="Arial" w:cs="Arial"/>
        </w:rPr>
        <w:t xml:space="preserve">in </w:t>
      </w:r>
      <w:r w:rsidR="006E3BD6" w:rsidRPr="0092670C">
        <w:rPr>
          <w:rFonts w:ascii="Arial" w:hAnsi="Arial" w:cs="Arial"/>
        </w:rPr>
        <w:fldChar w:fldCharType="begin"/>
      </w:r>
      <w:r w:rsidR="006E3BD6" w:rsidRPr="0092670C">
        <w:rPr>
          <w:rFonts w:ascii="Arial" w:hAnsi="Arial" w:cs="Arial"/>
        </w:rPr>
        <w:instrText xml:space="preserve"> REF _Ref31483644 \h  \* MERGEFORMAT </w:instrText>
      </w:r>
      <w:r w:rsidR="006E3BD6" w:rsidRPr="0092670C">
        <w:rPr>
          <w:rFonts w:ascii="Arial" w:hAnsi="Arial" w:cs="Arial"/>
        </w:rPr>
      </w:r>
      <w:r w:rsidR="006E3BD6"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15</w:t>
      </w:r>
      <w:r w:rsidR="006E3BD6" w:rsidRPr="0092670C">
        <w:rPr>
          <w:rFonts w:ascii="Arial" w:hAnsi="Arial" w:cs="Arial"/>
        </w:rPr>
        <w:fldChar w:fldCharType="end"/>
      </w:r>
      <w:r w:rsidR="006E3BD6" w:rsidRPr="0092670C">
        <w:rPr>
          <w:rFonts w:ascii="Arial" w:hAnsi="Arial" w:cs="Arial"/>
        </w:rPr>
        <w:t xml:space="preserve"> </w:t>
      </w:r>
      <w:r w:rsidRPr="0092670C">
        <w:rPr>
          <w:rFonts w:ascii="Arial" w:hAnsi="Arial" w:cs="Arial"/>
        </w:rPr>
        <w:t xml:space="preserve">shows us that the </w:t>
      </w:r>
      <w:r w:rsidR="003C0212" w:rsidRPr="0092670C">
        <w:rPr>
          <w:rFonts w:ascii="Arial" w:hAnsi="Arial" w:cs="Arial"/>
        </w:rPr>
        <w:t xml:space="preserve">pre-lithiated cells </w:t>
      </w:r>
      <w:r w:rsidR="000722B8" w:rsidRPr="0092670C">
        <w:rPr>
          <w:rFonts w:ascii="Arial" w:hAnsi="Arial" w:cs="Arial"/>
        </w:rPr>
        <w:t xml:space="preserve">all show better capacity retention than the reference, regardless of the electrolyte used. </w:t>
      </w:r>
      <w:r w:rsidR="00DF344E" w:rsidRPr="0092670C">
        <w:rPr>
          <w:rFonts w:ascii="Arial" w:hAnsi="Arial" w:cs="Arial"/>
        </w:rPr>
        <w:t xml:space="preserve">This once again demonstrates </w:t>
      </w:r>
      <w:r w:rsidR="00451431" w:rsidRPr="0092670C">
        <w:rPr>
          <w:rFonts w:ascii="Arial" w:hAnsi="Arial" w:cs="Arial"/>
        </w:rPr>
        <w:t xml:space="preserve">the </w:t>
      </w:r>
      <w:r w:rsidR="00D256A8" w:rsidRPr="0092670C">
        <w:rPr>
          <w:rFonts w:ascii="Arial" w:hAnsi="Arial" w:cs="Arial"/>
        </w:rPr>
        <w:t xml:space="preserve">importance of a stable initial </w:t>
      </w:r>
      <w:r w:rsidR="000E46F3" w:rsidRPr="0092670C">
        <w:rPr>
          <w:rFonts w:ascii="Arial" w:hAnsi="Arial" w:cs="Arial"/>
        </w:rPr>
        <w:t xml:space="preserve">SEI has on </w:t>
      </w:r>
      <w:r w:rsidR="00347B29" w:rsidRPr="0092670C">
        <w:rPr>
          <w:rFonts w:ascii="Arial" w:hAnsi="Arial" w:cs="Arial"/>
        </w:rPr>
        <w:t xml:space="preserve">the capacity retention even </w:t>
      </w:r>
      <w:r w:rsidR="00A810E4" w:rsidRPr="0092670C">
        <w:rPr>
          <w:rFonts w:ascii="Arial" w:hAnsi="Arial" w:cs="Arial"/>
        </w:rPr>
        <w:t xml:space="preserve">the initial </w:t>
      </w:r>
      <w:r w:rsidR="00B457EE" w:rsidRPr="0092670C">
        <w:rPr>
          <w:rFonts w:ascii="Arial" w:hAnsi="Arial" w:cs="Arial"/>
        </w:rPr>
        <w:t xml:space="preserve">capacity of the cell seems comparable to the pre-lithiated cells. </w:t>
      </w:r>
      <w:r w:rsidR="00843AC3" w:rsidRPr="0092670C">
        <w:rPr>
          <w:rFonts w:ascii="Arial" w:hAnsi="Arial" w:cs="Arial"/>
        </w:rPr>
        <w:t xml:space="preserve">Both the reference cell and the </w:t>
      </w:r>
      <w:r w:rsidR="00877343" w:rsidRPr="0092670C">
        <w:rPr>
          <w:rFonts w:ascii="Arial" w:hAnsi="Arial" w:cs="Arial"/>
        </w:rPr>
        <w:t xml:space="preserve">cell pre-lithiated in EC suffer from </w:t>
      </w:r>
      <w:r w:rsidR="0051260A" w:rsidRPr="0092670C">
        <w:rPr>
          <w:rFonts w:ascii="Arial" w:hAnsi="Arial" w:cs="Arial"/>
        </w:rPr>
        <w:t xml:space="preserve">a </w:t>
      </w:r>
      <w:r w:rsidR="00877343" w:rsidRPr="0092670C">
        <w:rPr>
          <w:rFonts w:ascii="Arial" w:hAnsi="Arial" w:cs="Arial"/>
        </w:rPr>
        <w:t>l</w:t>
      </w:r>
      <w:r w:rsidR="00AC326E" w:rsidRPr="0092670C">
        <w:rPr>
          <w:rFonts w:ascii="Arial" w:hAnsi="Arial" w:cs="Arial"/>
        </w:rPr>
        <w:t xml:space="preserve">ow initial </w:t>
      </w:r>
      <w:r w:rsidR="00AE6258" w:rsidRPr="0092670C">
        <w:rPr>
          <w:rFonts w:ascii="Arial" w:hAnsi="Arial" w:cs="Arial"/>
        </w:rPr>
        <w:t xml:space="preserve">charge </w:t>
      </w:r>
      <w:r w:rsidR="00AC326E" w:rsidRPr="0092670C">
        <w:rPr>
          <w:rFonts w:ascii="Arial" w:hAnsi="Arial" w:cs="Arial"/>
        </w:rPr>
        <w:t xml:space="preserve">capacity </w:t>
      </w:r>
      <w:r w:rsidR="00AE6258" w:rsidRPr="0092670C">
        <w:rPr>
          <w:rFonts w:ascii="Arial" w:hAnsi="Arial" w:cs="Arial"/>
        </w:rPr>
        <w:t xml:space="preserve">and this </w:t>
      </w:r>
      <w:r w:rsidR="00DE788F" w:rsidRPr="0092670C">
        <w:rPr>
          <w:rFonts w:ascii="Arial" w:hAnsi="Arial" w:cs="Arial"/>
        </w:rPr>
        <w:t xml:space="preserve">is a result </w:t>
      </w:r>
      <w:r w:rsidR="00EF3198" w:rsidRPr="0092670C">
        <w:rPr>
          <w:rFonts w:ascii="Arial" w:hAnsi="Arial" w:cs="Arial"/>
        </w:rPr>
        <w:t>of SEI formation</w:t>
      </w:r>
      <w:r w:rsidR="005E6C11">
        <w:rPr>
          <w:rFonts w:ascii="Arial" w:hAnsi="Arial" w:cs="Arial"/>
        </w:rPr>
        <w:t xml:space="preserve">, </w:t>
      </w:r>
      <w:r w:rsidR="00D660F0">
        <w:rPr>
          <w:rFonts w:ascii="Arial" w:hAnsi="Arial" w:cs="Arial"/>
        </w:rPr>
        <w:t>cau</w:t>
      </w:r>
      <w:r w:rsidR="005C5A73">
        <w:rPr>
          <w:rFonts w:ascii="Arial" w:hAnsi="Arial" w:cs="Arial"/>
        </w:rPr>
        <w:t>sing a large overpotential in the cell.</w:t>
      </w:r>
      <w:r w:rsidR="00EF3198" w:rsidRPr="0092670C">
        <w:rPr>
          <w:rFonts w:ascii="Arial" w:hAnsi="Arial" w:cs="Arial"/>
        </w:rPr>
        <w:t xml:space="preserve"> </w:t>
      </w:r>
      <w:r w:rsidR="009F5DA9" w:rsidRPr="0092670C">
        <w:rPr>
          <w:rFonts w:ascii="Arial" w:hAnsi="Arial" w:cs="Arial"/>
        </w:rPr>
        <w:t xml:space="preserve">The poor </w:t>
      </w:r>
      <w:r w:rsidR="008F759A" w:rsidRPr="0092670C">
        <w:rPr>
          <w:rFonts w:ascii="Arial" w:hAnsi="Arial" w:cs="Arial"/>
        </w:rPr>
        <w:t>capacity retention of the reference cell shows that the</w:t>
      </w:r>
      <w:r w:rsidR="002775AC" w:rsidRPr="0092670C">
        <w:rPr>
          <w:rFonts w:ascii="Arial" w:hAnsi="Arial" w:cs="Arial"/>
        </w:rPr>
        <w:t xml:space="preserve"> SEI formed was inadequate</w:t>
      </w:r>
      <w:r w:rsidR="007B6C08" w:rsidRPr="0092670C">
        <w:rPr>
          <w:rFonts w:ascii="Arial" w:hAnsi="Arial" w:cs="Arial"/>
        </w:rPr>
        <w:t>.</w:t>
      </w:r>
    </w:p>
    <w:p w14:paraId="2C05066D" w14:textId="377EABA1" w:rsidR="007B6C08" w:rsidRPr="0092670C" w:rsidRDefault="007B6C08" w:rsidP="0051260A">
      <w:pPr>
        <w:spacing w:line="360" w:lineRule="auto"/>
        <w:jc w:val="both"/>
        <w:rPr>
          <w:rFonts w:ascii="Arial" w:hAnsi="Arial" w:cs="Arial"/>
        </w:rPr>
      </w:pPr>
      <w:r w:rsidRPr="0092670C">
        <w:rPr>
          <w:rFonts w:ascii="Arial" w:hAnsi="Arial" w:cs="Arial"/>
        </w:rPr>
        <w:t xml:space="preserve">The good capacity retention </w:t>
      </w:r>
      <w:r w:rsidR="003E7D85" w:rsidRPr="0092670C">
        <w:rPr>
          <w:rFonts w:ascii="Arial" w:hAnsi="Arial" w:cs="Arial"/>
        </w:rPr>
        <w:t xml:space="preserve">of the cell pre-lithiated in EC comes despite the </w:t>
      </w:r>
      <w:r w:rsidR="008B5731" w:rsidRPr="0092670C">
        <w:rPr>
          <w:rFonts w:ascii="Arial" w:hAnsi="Arial" w:cs="Arial"/>
        </w:rPr>
        <w:t xml:space="preserve">low </w:t>
      </w:r>
      <w:r w:rsidR="00DA42AD" w:rsidRPr="0092670C">
        <w:rPr>
          <w:rFonts w:ascii="Arial" w:hAnsi="Arial" w:cs="Arial"/>
        </w:rPr>
        <w:t xml:space="preserve">initial capacity of the cell. This suggest that whilst the EC based-SEI was </w:t>
      </w:r>
      <w:r w:rsidR="00BC0683">
        <w:rPr>
          <w:rFonts w:ascii="Arial" w:hAnsi="Arial" w:cs="Arial"/>
        </w:rPr>
        <w:t>present in the cell</w:t>
      </w:r>
      <w:r w:rsidR="007539B7">
        <w:rPr>
          <w:rFonts w:ascii="Arial" w:hAnsi="Arial" w:cs="Arial"/>
        </w:rPr>
        <w:t xml:space="preserve">, it was </w:t>
      </w:r>
      <w:r w:rsidR="00BA3AA9">
        <w:rPr>
          <w:rFonts w:ascii="Arial" w:hAnsi="Arial" w:cs="Arial"/>
        </w:rPr>
        <w:t>too resistive</w:t>
      </w:r>
      <w:r w:rsidR="00C2743A">
        <w:rPr>
          <w:rFonts w:ascii="Arial" w:hAnsi="Arial" w:cs="Arial"/>
        </w:rPr>
        <w:t xml:space="preserve"> and this corresponds well with the differential capacity plot</w:t>
      </w:r>
      <w:r w:rsidR="00FE1E27">
        <w:rPr>
          <w:rFonts w:ascii="Arial" w:hAnsi="Arial" w:cs="Arial"/>
        </w:rPr>
        <w:t xml:space="preserve"> seen. </w:t>
      </w:r>
      <w:r w:rsidR="009B129B" w:rsidRPr="0092670C">
        <w:rPr>
          <w:rFonts w:ascii="Arial" w:hAnsi="Arial" w:cs="Arial"/>
        </w:rPr>
        <w:t xml:space="preserve">The EC </w:t>
      </w:r>
      <w:r w:rsidR="00302576" w:rsidRPr="0092670C">
        <w:rPr>
          <w:rFonts w:ascii="Arial" w:hAnsi="Arial" w:cs="Arial"/>
        </w:rPr>
        <w:t>based cell</w:t>
      </w:r>
      <w:r w:rsidR="009E0A17">
        <w:rPr>
          <w:rFonts w:ascii="Arial" w:hAnsi="Arial" w:cs="Arial"/>
        </w:rPr>
        <w:t>’s capacity increases r</w:t>
      </w:r>
      <w:r w:rsidR="00F221D5">
        <w:rPr>
          <w:rFonts w:ascii="Arial" w:hAnsi="Arial" w:cs="Arial"/>
        </w:rPr>
        <w:t>apidly after the 1</w:t>
      </w:r>
      <w:r w:rsidR="00F221D5" w:rsidRPr="00F221D5">
        <w:rPr>
          <w:rFonts w:ascii="Arial" w:hAnsi="Arial" w:cs="Arial"/>
          <w:vertAlign w:val="superscript"/>
        </w:rPr>
        <w:t>st</w:t>
      </w:r>
      <w:r w:rsidR="00F221D5">
        <w:rPr>
          <w:rFonts w:ascii="Arial" w:hAnsi="Arial" w:cs="Arial"/>
        </w:rPr>
        <w:t xml:space="preserve"> cycle</w:t>
      </w:r>
      <w:r w:rsidR="00DC5C83">
        <w:rPr>
          <w:rFonts w:ascii="Arial" w:hAnsi="Arial" w:cs="Arial"/>
        </w:rPr>
        <w:t>, reaching a steady capacity by the 4</w:t>
      </w:r>
      <w:r w:rsidR="00DC5C83" w:rsidRPr="00DC5C83">
        <w:rPr>
          <w:rFonts w:ascii="Arial" w:hAnsi="Arial" w:cs="Arial"/>
          <w:vertAlign w:val="superscript"/>
        </w:rPr>
        <w:t>th</w:t>
      </w:r>
      <w:r w:rsidR="00DC5C83">
        <w:rPr>
          <w:rFonts w:ascii="Arial" w:hAnsi="Arial" w:cs="Arial"/>
        </w:rPr>
        <w:t xml:space="preserve"> cycle </w:t>
      </w:r>
      <w:r w:rsidR="00F221D5">
        <w:rPr>
          <w:rFonts w:ascii="Arial" w:hAnsi="Arial" w:cs="Arial"/>
        </w:rPr>
        <w:t>but it is still lower</w:t>
      </w:r>
      <w:r w:rsidR="00302576" w:rsidRPr="0092670C">
        <w:rPr>
          <w:rFonts w:ascii="Arial" w:hAnsi="Arial" w:cs="Arial"/>
        </w:rPr>
        <w:t xml:space="preserve"> than the </w:t>
      </w:r>
      <w:r w:rsidR="00155756" w:rsidRPr="0092670C">
        <w:rPr>
          <w:rFonts w:ascii="Arial" w:hAnsi="Arial" w:cs="Arial"/>
        </w:rPr>
        <w:t xml:space="preserve">other pre-lithiated cells and </w:t>
      </w:r>
      <w:r w:rsidR="00542ACC" w:rsidRPr="0092670C">
        <w:rPr>
          <w:rFonts w:ascii="Arial" w:hAnsi="Arial" w:cs="Arial"/>
        </w:rPr>
        <w:t xml:space="preserve">this is due to </w:t>
      </w:r>
      <w:r w:rsidR="000E6C94" w:rsidRPr="0092670C">
        <w:rPr>
          <w:rFonts w:ascii="Arial" w:hAnsi="Arial" w:cs="Arial"/>
        </w:rPr>
        <w:t xml:space="preserve">the </w:t>
      </w:r>
      <w:r w:rsidR="00622D0C" w:rsidRPr="0092670C">
        <w:rPr>
          <w:rFonts w:ascii="Arial" w:hAnsi="Arial" w:cs="Arial"/>
        </w:rPr>
        <w:t>high SEI resistance</w:t>
      </w:r>
      <w:r w:rsidR="00205991" w:rsidRPr="0092670C">
        <w:rPr>
          <w:rFonts w:ascii="Arial" w:hAnsi="Arial" w:cs="Arial"/>
        </w:rPr>
        <w:t xml:space="preserve"> limiting the amount of Li that can enter the </w:t>
      </w:r>
      <w:r w:rsidR="007F5228" w:rsidRPr="0092670C">
        <w:rPr>
          <w:rFonts w:ascii="Arial" w:hAnsi="Arial" w:cs="Arial"/>
        </w:rPr>
        <w:t xml:space="preserve">anode. </w:t>
      </w:r>
      <w:r w:rsidR="00171DB0" w:rsidRPr="0092670C">
        <w:rPr>
          <w:rFonts w:ascii="Arial" w:hAnsi="Arial" w:cs="Arial"/>
        </w:rPr>
        <w:t>The capacity of t</w:t>
      </w:r>
      <w:r w:rsidR="0091617E" w:rsidRPr="0092670C">
        <w:rPr>
          <w:rFonts w:ascii="Arial" w:hAnsi="Arial" w:cs="Arial"/>
        </w:rPr>
        <w:t xml:space="preserve">he other pre-lithiated cells is much higher and this suggests that the </w:t>
      </w:r>
      <w:r w:rsidR="003A11A5" w:rsidRPr="0092670C">
        <w:rPr>
          <w:rFonts w:ascii="Arial" w:hAnsi="Arial" w:cs="Arial"/>
        </w:rPr>
        <w:t xml:space="preserve">SEI is </w:t>
      </w:r>
      <w:r w:rsidR="004F1C11">
        <w:rPr>
          <w:rFonts w:ascii="Arial" w:hAnsi="Arial" w:cs="Arial"/>
        </w:rPr>
        <w:t>less resistive</w:t>
      </w:r>
      <w:r w:rsidR="00EA0CFE" w:rsidRPr="0092670C">
        <w:rPr>
          <w:rFonts w:ascii="Arial" w:hAnsi="Arial" w:cs="Arial"/>
        </w:rPr>
        <w:t xml:space="preserve"> than the EC based one</w:t>
      </w:r>
      <w:r w:rsidR="002C64E1">
        <w:rPr>
          <w:rFonts w:ascii="Arial" w:hAnsi="Arial" w:cs="Arial"/>
        </w:rPr>
        <w:t xml:space="preserve"> although they fade more rapidly the EC treated cell</w:t>
      </w:r>
      <w:r w:rsidR="00EA0CFE" w:rsidRPr="0092670C">
        <w:rPr>
          <w:rFonts w:ascii="Arial" w:hAnsi="Arial" w:cs="Arial"/>
        </w:rPr>
        <w:t xml:space="preserve">. </w:t>
      </w:r>
    </w:p>
    <w:p w14:paraId="7052B424" w14:textId="3D7B83E1" w:rsidR="007A4D83" w:rsidRPr="0092670C" w:rsidRDefault="0067644A" w:rsidP="007A4D83">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5D7688F">
          <v:shape id="_x0000_i1080" type="#_x0000_t75" style="width:365.8pt;height:282.2pt" o:ole="">
            <v:imagedata r:id="rId162" o:title=""/>
          </v:shape>
          <o:OLEObject Type="Embed" ProgID="Origin95.Graph" ShapeID="_x0000_i1080" DrawAspect="Content" ObjectID="_1700733969" r:id="rId163"/>
        </w:object>
      </w:r>
    </w:p>
    <w:p w14:paraId="71925871" w14:textId="16DCB71D" w:rsidR="00A3515D" w:rsidRPr="0092670C" w:rsidRDefault="007A4D83" w:rsidP="007A4D83">
      <w:pPr>
        <w:pStyle w:val="Caption"/>
        <w:jc w:val="center"/>
        <w:rPr>
          <w:rFonts w:ascii="Arial" w:hAnsi="Arial" w:cs="Arial"/>
          <w:sz w:val="20"/>
          <w:szCs w:val="20"/>
        </w:rPr>
      </w:pPr>
      <w:bookmarkStart w:id="166" w:name="_Ref31483594"/>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3</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16</w:t>
      </w:r>
      <w:r w:rsidR="00356A26">
        <w:rPr>
          <w:rFonts w:ascii="Arial" w:hAnsi="Arial" w:cs="Arial"/>
          <w:sz w:val="20"/>
          <w:szCs w:val="20"/>
        </w:rPr>
        <w:fldChar w:fldCharType="end"/>
      </w:r>
      <w:bookmarkEnd w:id="166"/>
      <w:r w:rsidRPr="0092670C">
        <w:rPr>
          <w:rFonts w:ascii="Arial" w:hAnsi="Arial" w:cs="Arial"/>
          <w:sz w:val="20"/>
          <w:szCs w:val="20"/>
        </w:rPr>
        <w:t xml:space="preserve">: </w:t>
      </w:r>
      <w:r w:rsidR="00ED2956" w:rsidRPr="0092670C">
        <w:rPr>
          <w:rFonts w:ascii="Arial" w:hAnsi="Arial" w:cs="Arial"/>
          <w:sz w:val="20"/>
          <w:szCs w:val="20"/>
        </w:rPr>
        <w:t>E</w:t>
      </w:r>
      <w:r w:rsidRPr="0092670C">
        <w:rPr>
          <w:rFonts w:ascii="Arial" w:hAnsi="Arial" w:cs="Arial"/>
          <w:sz w:val="20"/>
          <w:szCs w:val="20"/>
        </w:rPr>
        <w:t>ffect of pre-lithiation electrolyte on the coulombic efficiency</w:t>
      </w:r>
      <w:r w:rsidR="00ED2956" w:rsidRPr="0092670C">
        <w:rPr>
          <w:rFonts w:ascii="Arial" w:hAnsi="Arial" w:cs="Arial"/>
          <w:sz w:val="20"/>
          <w:szCs w:val="20"/>
        </w:rPr>
        <w:t>.</w:t>
      </w:r>
    </w:p>
    <w:p w14:paraId="014C3EAE" w14:textId="650D572D" w:rsidR="007A4D83" w:rsidRPr="0092670C" w:rsidRDefault="007A4D83" w:rsidP="007A4D83">
      <w:pPr>
        <w:rPr>
          <w:rFonts w:ascii="Arial" w:hAnsi="Arial" w:cs="Arial"/>
          <w:i/>
          <w:iCs/>
          <w:color w:val="44546A" w:themeColor="text2"/>
          <w:sz w:val="18"/>
          <w:szCs w:val="18"/>
        </w:rPr>
      </w:pPr>
    </w:p>
    <w:p w14:paraId="4BD63B81" w14:textId="192FA325" w:rsidR="007A4D83" w:rsidRPr="0092670C" w:rsidRDefault="007A4D83" w:rsidP="00A91A59">
      <w:pPr>
        <w:spacing w:line="360" w:lineRule="auto"/>
        <w:jc w:val="both"/>
        <w:rPr>
          <w:rFonts w:ascii="Arial" w:hAnsi="Arial" w:cs="Arial"/>
        </w:rPr>
      </w:pPr>
      <w:r w:rsidRPr="0092670C">
        <w:rPr>
          <w:rFonts w:ascii="Arial" w:hAnsi="Arial" w:cs="Arial"/>
        </w:rPr>
        <w:t xml:space="preserve">The </w:t>
      </w:r>
      <w:r w:rsidR="00EA0CFE" w:rsidRPr="0092670C">
        <w:rPr>
          <w:rFonts w:ascii="Arial" w:hAnsi="Arial" w:cs="Arial"/>
        </w:rPr>
        <w:t>ICE val</w:t>
      </w:r>
      <w:r w:rsidR="00DA51E5" w:rsidRPr="0092670C">
        <w:rPr>
          <w:rFonts w:ascii="Arial" w:hAnsi="Arial" w:cs="Arial"/>
        </w:rPr>
        <w:t>ues</w:t>
      </w:r>
      <w:r w:rsidR="00083A25" w:rsidRPr="0092670C">
        <w:rPr>
          <w:rFonts w:ascii="Arial" w:hAnsi="Arial" w:cs="Arial"/>
        </w:rPr>
        <w:t xml:space="preserve"> in </w:t>
      </w:r>
      <w:r w:rsidR="00083A25" w:rsidRPr="0092670C">
        <w:rPr>
          <w:rFonts w:ascii="Arial" w:hAnsi="Arial" w:cs="Arial"/>
        </w:rPr>
        <w:fldChar w:fldCharType="begin"/>
      </w:r>
      <w:r w:rsidR="00083A25" w:rsidRPr="0092670C">
        <w:rPr>
          <w:rFonts w:ascii="Arial" w:hAnsi="Arial" w:cs="Arial"/>
        </w:rPr>
        <w:instrText xml:space="preserve"> REF _Ref31483594 \h  \* MERGEFORMAT </w:instrText>
      </w:r>
      <w:r w:rsidR="00083A25" w:rsidRPr="0092670C">
        <w:rPr>
          <w:rFonts w:ascii="Arial" w:hAnsi="Arial" w:cs="Arial"/>
        </w:rPr>
      </w:r>
      <w:r w:rsidR="00083A25"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16</w:t>
      </w:r>
      <w:r w:rsidR="00083A25" w:rsidRPr="0092670C">
        <w:rPr>
          <w:rFonts w:ascii="Arial" w:hAnsi="Arial" w:cs="Arial"/>
        </w:rPr>
        <w:fldChar w:fldCharType="end"/>
      </w:r>
      <w:r w:rsidR="00DA51E5" w:rsidRPr="0092670C">
        <w:rPr>
          <w:rFonts w:ascii="Arial" w:hAnsi="Arial" w:cs="Arial"/>
        </w:rPr>
        <w:t xml:space="preserve"> </w:t>
      </w:r>
      <w:r w:rsidR="00086DA8" w:rsidRPr="0092670C">
        <w:rPr>
          <w:rFonts w:ascii="Arial" w:hAnsi="Arial" w:cs="Arial"/>
        </w:rPr>
        <w:t xml:space="preserve">highlight the poor quality of the EC based </w:t>
      </w:r>
      <w:r w:rsidR="006C2476" w:rsidRPr="0092670C">
        <w:rPr>
          <w:rFonts w:ascii="Arial" w:hAnsi="Arial" w:cs="Arial"/>
        </w:rPr>
        <w:t xml:space="preserve">SEI with </w:t>
      </w:r>
      <w:r w:rsidR="00051C33" w:rsidRPr="0092670C">
        <w:rPr>
          <w:rFonts w:ascii="Arial" w:hAnsi="Arial" w:cs="Arial"/>
        </w:rPr>
        <w:t xml:space="preserve">its </w:t>
      </w:r>
      <w:r w:rsidR="008C5B85" w:rsidRPr="0092670C">
        <w:rPr>
          <w:rFonts w:ascii="Arial" w:hAnsi="Arial" w:cs="Arial"/>
        </w:rPr>
        <w:t xml:space="preserve">ICE value being significantly lower </w:t>
      </w:r>
      <w:r w:rsidR="006D4938" w:rsidRPr="0092670C">
        <w:rPr>
          <w:rFonts w:ascii="Arial" w:hAnsi="Arial" w:cs="Arial"/>
        </w:rPr>
        <w:t>than</w:t>
      </w:r>
      <w:r w:rsidR="008C5B85" w:rsidRPr="0092670C">
        <w:rPr>
          <w:rFonts w:ascii="Arial" w:hAnsi="Arial" w:cs="Arial"/>
        </w:rPr>
        <w:t xml:space="preserve"> the others showing that a significant amount of </w:t>
      </w:r>
      <w:r w:rsidR="00405AFB" w:rsidRPr="0092670C">
        <w:rPr>
          <w:rFonts w:ascii="Arial" w:hAnsi="Arial" w:cs="Arial"/>
        </w:rPr>
        <w:t xml:space="preserve">energy was wasted on extra </w:t>
      </w:r>
      <w:r w:rsidR="00595B76" w:rsidRPr="0092670C">
        <w:rPr>
          <w:rFonts w:ascii="Arial" w:hAnsi="Arial" w:cs="Arial"/>
        </w:rPr>
        <w:t xml:space="preserve">SEI formation. </w:t>
      </w:r>
      <w:r w:rsidR="00316C38" w:rsidRPr="0092670C">
        <w:rPr>
          <w:rFonts w:ascii="Arial" w:hAnsi="Arial" w:cs="Arial"/>
        </w:rPr>
        <w:t xml:space="preserve">It </w:t>
      </w:r>
      <w:r w:rsidR="007375AF" w:rsidRPr="0092670C">
        <w:rPr>
          <w:rFonts w:ascii="Arial" w:hAnsi="Arial" w:cs="Arial"/>
        </w:rPr>
        <w:t xml:space="preserve">also </w:t>
      </w:r>
      <w:r w:rsidR="007C31AC" w:rsidRPr="0092670C">
        <w:rPr>
          <w:rFonts w:ascii="Arial" w:hAnsi="Arial" w:cs="Arial"/>
        </w:rPr>
        <w:t>takes</w:t>
      </w:r>
      <w:r w:rsidR="007375AF" w:rsidRPr="0092670C">
        <w:rPr>
          <w:rFonts w:ascii="Arial" w:hAnsi="Arial" w:cs="Arial"/>
        </w:rPr>
        <w:t xml:space="preserve"> longer to reach </w:t>
      </w:r>
      <w:r w:rsidR="00205128" w:rsidRPr="0092670C">
        <w:rPr>
          <w:rFonts w:ascii="Arial" w:hAnsi="Arial" w:cs="Arial"/>
        </w:rPr>
        <w:t xml:space="preserve">99.9% than the other cells suggesting that the </w:t>
      </w:r>
      <w:r w:rsidR="00A91A59" w:rsidRPr="0092670C">
        <w:rPr>
          <w:rFonts w:ascii="Arial" w:hAnsi="Arial" w:cs="Arial"/>
        </w:rPr>
        <w:t xml:space="preserve">SEI formation process is more prolonged </w:t>
      </w:r>
      <w:r w:rsidR="004E1411" w:rsidRPr="0092670C">
        <w:rPr>
          <w:rFonts w:ascii="Arial" w:hAnsi="Arial" w:cs="Arial"/>
        </w:rPr>
        <w:t xml:space="preserve">with this cell. </w:t>
      </w:r>
      <w:r w:rsidR="003451DB" w:rsidRPr="0092670C">
        <w:rPr>
          <w:rFonts w:ascii="Arial" w:hAnsi="Arial" w:cs="Arial"/>
        </w:rPr>
        <w:t xml:space="preserve">The cell pre-lithiated in DMC also </w:t>
      </w:r>
      <w:r w:rsidR="00EA6079" w:rsidRPr="0092670C">
        <w:rPr>
          <w:rFonts w:ascii="Arial" w:hAnsi="Arial" w:cs="Arial"/>
        </w:rPr>
        <w:t xml:space="preserve">suffered from a low ICE </w:t>
      </w:r>
      <w:r w:rsidR="00B44386" w:rsidRPr="0092670C">
        <w:rPr>
          <w:rFonts w:ascii="Arial" w:hAnsi="Arial" w:cs="Arial"/>
        </w:rPr>
        <w:t>value</w:t>
      </w:r>
      <w:r w:rsidR="00EA6079" w:rsidRPr="0092670C">
        <w:rPr>
          <w:rFonts w:ascii="Arial" w:hAnsi="Arial" w:cs="Arial"/>
        </w:rPr>
        <w:t xml:space="preserve"> but quickly increased suggesting that its </w:t>
      </w:r>
      <w:r w:rsidR="009828B4" w:rsidRPr="0092670C">
        <w:rPr>
          <w:rFonts w:ascii="Arial" w:hAnsi="Arial" w:cs="Arial"/>
        </w:rPr>
        <w:t>S</w:t>
      </w:r>
      <w:r w:rsidR="00EA6079" w:rsidRPr="0092670C">
        <w:rPr>
          <w:rFonts w:ascii="Arial" w:hAnsi="Arial" w:cs="Arial"/>
        </w:rPr>
        <w:t xml:space="preserve">EI was </w:t>
      </w:r>
      <w:r w:rsidR="00B44386" w:rsidRPr="0092670C">
        <w:rPr>
          <w:rFonts w:ascii="Arial" w:hAnsi="Arial" w:cs="Arial"/>
        </w:rPr>
        <w:t xml:space="preserve">more robust. </w:t>
      </w:r>
      <w:r w:rsidR="009F3747" w:rsidRPr="0092670C">
        <w:rPr>
          <w:rFonts w:ascii="Arial" w:hAnsi="Arial" w:cs="Arial"/>
        </w:rPr>
        <w:t xml:space="preserve">The reference cell </w:t>
      </w:r>
      <w:r w:rsidR="006D2015" w:rsidRPr="0092670C">
        <w:rPr>
          <w:rFonts w:ascii="Arial" w:hAnsi="Arial" w:cs="Arial"/>
        </w:rPr>
        <w:t xml:space="preserve">has a surprisingly high </w:t>
      </w:r>
      <w:r w:rsidR="0075311B" w:rsidRPr="0092670C">
        <w:rPr>
          <w:rFonts w:ascii="Arial" w:hAnsi="Arial" w:cs="Arial"/>
        </w:rPr>
        <w:t xml:space="preserve">and this demonstrates that although </w:t>
      </w:r>
      <w:r w:rsidR="00162AB3" w:rsidRPr="0092670C">
        <w:rPr>
          <w:rFonts w:ascii="Arial" w:hAnsi="Arial" w:cs="Arial"/>
        </w:rPr>
        <w:t xml:space="preserve">the coulombic efficiency can inform you of the amount of energy being diverted to form the SEI it doesn’t say anything about the </w:t>
      </w:r>
      <w:r w:rsidR="00342C02" w:rsidRPr="0092670C">
        <w:rPr>
          <w:rFonts w:ascii="Arial" w:hAnsi="Arial" w:cs="Arial"/>
        </w:rPr>
        <w:t xml:space="preserve">nature of the SEI formed. </w:t>
      </w:r>
    </w:p>
    <w:p w14:paraId="21FC0670" w14:textId="53A6578D" w:rsidR="00127CB3" w:rsidRPr="0092670C" w:rsidRDefault="00127CB3" w:rsidP="00127CB3">
      <w:pPr>
        <w:spacing w:line="360" w:lineRule="auto"/>
        <w:jc w:val="both"/>
        <w:rPr>
          <w:rFonts w:ascii="Arial" w:hAnsi="Arial" w:cs="Arial"/>
        </w:rPr>
      </w:pPr>
      <w:r w:rsidRPr="0092670C">
        <w:rPr>
          <w:rFonts w:ascii="Arial" w:hAnsi="Arial" w:cs="Arial"/>
        </w:rPr>
        <w:t>Electrochemical impedance spectroscopy (EIS) also gives us information about the SEI. EIS was recorded between 100</w:t>
      </w:r>
      <w:r w:rsidR="004C27F5">
        <w:rPr>
          <w:rFonts w:ascii="Arial" w:hAnsi="Arial" w:cs="Arial"/>
        </w:rPr>
        <w:t xml:space="preserve"> </w:t>
      </w:r>
      <w:r w:rsidRPr="0092670C">
        <w:rPr>
          <w:rFonts w:ascii="Arial" w:hAnsi="Arial" w:cs="Arial"/>
        </w:rPr>
        <w:t>kHz and 0.01</w:t>
      </w:r>
      <w:r w:rsidR="00E12A99">
        <w:rPr>
          <w:rFonts w:ascii="Arial" w:hAnsi="Arial" w:cs="Arial"/>
        </w:rPr>
        <w:t xml:space="preserve"> </w:t>
      </w:r>
      <w:r w:rsidRPr="0092670C">
        <w:rPr>
          <w:rFonts w:ascii="Arial" w:hAnsi="Arial" w:cs="Arial"/>
        </w:rPr>
        <w:t>Hz using a Solartron Modulab 2010A before cycling began at open circuit voltage (OCV). The cell pre-lithiated in FEC has the lowest</w:t>
      </w:r>
      <w:r w:rsidR="005E368F" w:rsidRPr="0092670C">
        <w:rPr>
          <w:rFonts w:ascii="Arial" w:hAnsi="Arial" w:cs="Arial"/>
        </w:rPr>
        <w:t xml:space="preserve"> SEI</w:t>
      </w:r>
      <w:r w:rsidRPr="0092670C">
        <w:rPr>
          <w:rFonts w:ascii="Arial" w:hAnsi="Arial" w:cs="Arial"/>
        </w:rPr>
        <w:t xml:space="preserve"> resistance of any of the cells</w:t>
      </w:r>
      <w:r w:rsidR="00C60274" w:rsidRPr="0092670C">
        <w:rPr>
          <w:rFonts w:ascii="Arial" w:hAnsi="Arial" w:cs="Arial"/>
        </w:rPr>
        <w:t xml:space="preserve"> as noted in </w:t>
      </w:r>
      <w:r w:rsidR="00C0025A" w:rsidRPr="00C0025A">
        <w:rPr>
          <w:rFonts w:ascii="Arial" w:hAnsi="Arial" w:cs="Arial"/>
        </w:rPr>
        <w:fldChar w:fldCharType="begin"/>
      </w:r>
      <w:r w:rsidR="00C0025A" w:rsidRPr="00C0025A">
        <w:rPr>
          <w:rFonts w:ascii="Arial" w:hAnsi="Arial" w:cs="Arial"/>
        </w:rPr>
        <w:instrText xml:space="preserve"> REF _Ref44867930 \h </w:instrText>
      </w:r>
      <w:r w:rsidR="00C0025A">
        <w:rPr>
          <w:rFonts w:ascii="Arial" w:hAnsi="Arial" w:cs="Arial"/>
        </w:rPr>
        <w:instrText xml:space="preserve"> \* MERGEFORMAT </w:instrText>
      </w:r>
      <w:r w:rsidR="00C0025A" w:rsidRPr="00C0025A">
        <w:rPr>
          <w:rFonts w:ascii="Arial" w:hAnsi="Arial" w:cs="Arial"/>
        </w:rPr>
      </w:r>
      <w:r w:rsidR="00C0025A" w:rsidRPr="00C0025A">
        <w:rPr>
          <w:rFonts w:ascii="Arial" w:hAnsi="Arial" w:cs="Arial"/>
        </w:rPr>
        <w:fldChar w:fldCharType="separate"/>
      </w:r>
      <w:r w:rsidR="007342C8" w:rsidRPr="007342C8">
        <w:rPr>
          <w:rFonts w:ascii="Arial" w:hAnsi="Arial" w:cs="Arial"/>
        </w:rPr>
        <w:t xml:space="preserve">Table </w:t>
      </w:r>
      <w:r w:rsidR="007342C8" w:rsidRPr="007342C8">
        <w:rPr>
          <w:rFonts w:ascii="Arial" w:hAnsi="Arial" w:cs="Arial"/>
          <w:noProof/>
        </w:rPr>
        <w:t>3</w:t>
      </w:r>
      <w:r w:rsidR="007342C8" w:rsidRPr="007342C8">
        <w:rPr>
          <w:rFonts w:ascii="Arial" w:hAnsi="Arial" w:cs="Arial"/>
          <w:noProof/>
        </w:rPr>
        <w:noBreakHyphen/>
        <w:t>5</w:t>
      </w:r>
      <w:r w:rsidR="00C0025A" w:rsidRPr="00C0025A">
        <w:rPr>
          <w:rFonts w:ascii="Arial" w:hAnsi="Arial" w:cs="Arial"/>
        </w:rPr>
        <w:fldChar w:fldCharType="end"/>
      </w:r>
      <w:r w:rsidR="00C0025A" w:rsidRPr="00C0025A">
        <w:rPr>
          <w:rFonts w:ascii="Arial" w:hAnsi="Arial" w:cs="Arial"/>
        </w:rPr>
        <w:t>.</w:t>
      </w:r>
      <w:r w:rsidR="00C0025A">
        <w:rPr>
          <w:rFonts w:ascii="Arial" w:hAnsi="Arial" w:cs="Arial"/>
        </w:rPr>
        <w:t xml:space="preserve"> </w:t>
      </w:r>
      <w:r w:rsidRPr="0092670C">
        <w:rPr>
          <w:rFonts w:ascii="Arial" w:hAnsi="Arial" w:cs="Arial"/>
        </w:rPr>
        <w:t xml:space="preserve">This shows that ionic conductivity is higher through the FEC-based SEI. This can be attributed to the formation of LiF which </w:t>
      </w:r>
      <w:r w:rsidR="00C911A1">
        <w:rPr>
          <w:rFonts w:ascii="Arial" w:hAnsi="Arial" w:cs="Arial"/>
        </w:rPr>
        <w:t>facilitates Li diffusion</w:t>
      </w:r>
      <w:r w:rsidR="00B418EA"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&lt;EndNote&gt;&lt;Cite&gt;&lt;Author&gt;Zhu&lt;/Author&gt;&lt;Year&gt;2018&lt;/Year&gt;&lt;RecNum&gt;204&lt;/RecNum&gt;&lt;DisplayText&gt;[223]&lt;/DisplayText&gt;&lt;record&gt;&lt;rec-number&gt;204&lt;/rec-number&gt;&lt;foreign-keys&gt;&lt;key app="EN" db-id="5sa9s0e0r0d9fnexra7pr5xdwd5ztevx95s2" timestamp="1553529724"&gt;204&lt;/key&gt;&lt;/foreign-keys&gt;&lt;ref-type name="Journal Article"&gt;17&lt;/ref-type&gt;&lt;contributors&gt;&lt;authors&gt;&lt;author&gt;Zhu, Zhiqiang&lt;/author&gt;&lt;author&gt;Tang, Yuxin&lt;/author&gt;&lt;author&gt;Lv, Zhisheng&lt;/author&gt;&lt;author&gt;Wei, Jiaqi&lt;/author&gt;&lt;author&gt;Zhang, Yanyan&lt;/author&gt;&lt;author&gt;Wang, Renheng&lt;/author&gt;&lt;author&gt;Zhang, Wei&lt;/author&gt;&lt;author&gt;Xia, Huarong&lt;/author&gt;&lt;author&gt;Ge, Mingzheng&lt;/author&gt;&lt;author&gt;Chen, Xiaodong&lt;/author&gt;&lt;/authors&gt;&lt;/contributors&gt;&lt;titles&gt;&lt;title&gt;Fluoroethylene Carbonate Enabling a Robust LiF-rich Solid Electrolyte Interphase to Enhance the Stability of the MoS2 Anode for Lithium-Ion Storage&lt;/title&gt;&lt;secondary-title&gt;Angewandte Chemie International Edition&lt;/secondary-title&gt;&lt;/titles&gt;&lt;periodical&gt;&lt;full-title&gt;Angewandte Chemie International Edition&lt;/full-title&gt;&lt;/periodical&gt;&lt;pages&gt;3656-3660&lt;/pages&gt;&lt;volume&gt;57&lt;/volume&gt;&lt;number&gt;14&lt;/number&gt;&lt;dates&gt;&lt;year&gt;2018&lt;/year&gt;&lt;/dates&gt;&lt;isbn&gt;1433-7851&lt;/isbn&gt;&lt;urls&gt;&lt;related-urls&gt;&lt;url&gt;https://onlinelibrary.wiley.com/doi/abs/10.1002/anie.201712907&lt;/url&gt;&lt;/related-urls&gt;&lt;/urls&gt;&lt;electronic-resource-num&gt;10.1002/anie.201712907&lt;/electronic-resource-num&gt;&lt;/record&gt;&lt;/Cite&gt;&lt;/EndNote&gt;</w:instrText>
      </w:r>
      <w:r w:rsidRPr="0092670C">
        <w:rPr>
          <w:rFonts w:ascii="Arial" w:hAnsi="Arial" w:cs="Arial"/>
        </w:rPr>
        <w:fldChar w:fldCharType="separate"/>
      </w:r>
      <w:r w:rsidR="0034337D">
        <w:rPr>
          <w:rFonts w:ascii="Arial" w:hAnsi="Arial" w:cs="Arial"/>
          <w:noProof/>
        </w:rPr>
        <w:t>[223]</w:t>
      </w:r>
      <w:r w:rsidRPr="0092670C">
        <w:rPr>
          <w:rFonts w:ascii="Arial" w:hAnsi="Arial" w:cs="Arial"/>
        </w:rPr>
        <w:fldChar w:fldCharType="end"/>
      </w:r>
      <w:r w:rsidRPr="0092670C">
        <w:rPr>
          <w:rFonts w:ascii="Arial" w:hAnsi="Arial" w:cs="Arial"/>
        </w:rPr>
        <w:t>.</w:t>
      </w:r>
      <w:r w:rsidR="006652FC">
        <w:rPr>
          <w:rFonts w:ascii="Arial" w:hAnsi="Arial" w:cs="Arial"/>
        </w:rPr>
        <w:t xml:space="preserve"> </w:t>
      </w:r>
      <w:r w:rsidR="00AE0614">
        <w:rPr>
          <w:rFonts w:ascii="Arial" w:hAnsi="Arial" w:cs="Arial"/>
        </w:rPr>
        <w:t xml:space="preserve">Once the F is eliminated from FEC </w:t>
      </w:r>
      <w:r w:rsidR="00BB1FDC">
        <w:rPr>
          <w:rFonts w:ascii="Arial" w:hAnsi="Arial" w:cs="Arial"/>
        </w:rPr>
        <w:t xml:space="preserve">leaving vinylene carbonate that then </w:t>
      </w:r>
      <w:r w:rsidR="005F08D7">
        <w:rPr>
          <w:rFonts w:ascii="Arial" w:hAnsi="Arial" w:cs="Arial"/>
        </w:rPr>
        <w:t>polymerises</w:t>
      </w:r>
      <w:r w:rsidR="00BB1FDC">
        <w:rPr>
          <w:rFonts w:ascii="Arial" w:hAnsi="Arial" w:cs="Arial"/>
        </w:rPr>
        <w:t xml:space="preserve"> leaving a thin</w:t>
      </w:r>
      <w:r w:rsidR="005F08D7">
        <w:rPr>
          <w:rFonts w:ascii="Arial" w:hAnsi="Arial" w:cs="Arial"/>
        </w:rPr>
        <w:t xml:space="preserve"> film </w:t>
      </w:r>
      <w:r w:rsidR="005F08D7">
        <w:rPr>
          <w:rFonts w:ascii="Arial" w:hAnsi="Arial" w:cs="Arial"/>
        </w:rPr>
        <w:fldChar w:fldCharType="begin"/>
      </w:r>
      <w:r w:rsidR="0034337D">
        <w:rPr>
          <w:rFonts w:ascii="Arial" w:hAnsi="Arial" w:cs="Arial"/>
        </w:rPr>
        <w:instrText xml:space="preserve"> ADDIN EN.CITE &lt;EndNote&gt;&lt;Cite&gt;&lt;Author&gt;Okuno&lt;/Author&gt;&lt;Year&gt;2016&lt;/Year&gt;&lt;RecNum&gt;233&lt;/RecNum&gt;&lt;DisplayText&gt;[224]&lt;/DisplayText&gt;&lt;record&gt;&lt;rec-number&gt;233&lt;/rec-number&gt;&lt;foreign-keys&gt;&lt;key app="EN" db-id="5sa9s0e0r0d9fnexra7pr5xdwd5ztevx95s2" timestamp="1556182252"&gt;233&lt;/key&gt;&lt;/foreign-keys&gt;&lt;ref-type name="Journal Article"&gt;17&lt;/ref-type&gt;&lt;contributors&gt;&lt;authors&gt;&lt;author&gt;Okuno, Yukihiro&lt;/author&gt;&lt;author&gt;Ushirogata, Keisuke&lt;/author&gt;&lt;author&gt;Sodeyama, Keitaro&lt;/author&gt;&lt;author&gt;Tateyama, Yoshitaka&lt;/author&gt;&lt;/authors&gt;&lt;/contributors&gt;&lt;titles&gt;&lt;title&gt;Decomposition of the fluoroethylene carbonate additive and the glue effect of lithium fluoride products for the solid electrolyte interphase: an ab initio study&lt;/title&gt;&lt;secondary-title&gt;Physical Chemistry Chemical Physics&lt;/secondary-title&gt;&lt;/titles&gt;&lt;periodical&gt;&lt;full-title&gt;Physical Chemistry Chemical Physics&lt;/full-title&gt;&lt;abbr-1&gt;Phys. Chem. Chem. Phys.&lt;/abbr-1&gt;&lt;/periodical&gt;&lt;pages&gt;8643-8653&lt;/pages&gt;&lt;volume&gt;18&lt;/volume&gt;&lt;number&gt;12&lt;/number&gt;&lt;dates&gt;&lt;year&gt;2016&lt;/year&gt;&lt;/dates&gt;&lt;publisher&gt;The Royal Society of Chemistry&lt;/publisher&gt;&lt;isbn&gt;1463-9076&lt;/isbn&gt;&lt;work-type&gt;10.1039/C5CP07583A&lt;/work-type&gt;&lt;urls&gt;&lt;related-urls&gt;&lt;url&gt;http://dx.doi.org/10.1039/C5CP07583A&lt;/url&gt;&lt;/related-urls&gt;&lt;/urls&gt;&lt;electronic-resource-num&gt;10.1039/C5CP07583A&lt;/electronic-resource-num&gt;&lt;/record&gt;&lt;/Cite&gt;&lt;/EndNote&gt;</w:instrText>
      </w:r>
      <w:r w:rsidR="005F08D7">
        <w:rPr>
          <w:rFonts w:ascii="Arial" w:hAnsi="Arial" w:cs="Arial"/>
        </w:rPr>
        <w:fldChar w:fldCharType="separate"/>
      </w:r>
      <w:r w:rsidR="0034337D">
        <w:rPr>
          <w:rFonts w:ascii="Arial" w:hAnsi="Arial" w:cs="Arial"/>
          <w:noProof/>
        </w:rPr>
        <w:t>[224]</w:t>
      </w:r>
      <w:r w:rsidR="005F08D7">
        <w:rPr>
          <w:rFonts w:ascii="Arial" w:hAnsi="Arial" w:cs="Arial"/>
        </w:rPr>
        <w:fldChar w:fldCharType="end"/>
      </w:r>
      <w:r w:rsidR="005F08D7">
        <w:rPr>
          <w:rFonts w:ascii="Arial" w:hAnsi="Arial" w:cs="Arial"/>
        </w:rPr>
        <w:t>.</w:t>
      </w:r>
      <w:r w:rsidRPr="0092670C">
        <w:rPr>
          <w:rFonts w:ascii="Arial" w:hAnsi="Arial" w:cs="Arial"/>
        </w:rPr>
        <w:t xml:space="preserve"> Conversely the EC derived SEI has the highest SEI resistance. This high resistance explains the high overpotential seen in the differential capacity plot</w:t>
      </w:r>
      <w:r w:rsidR="00FB6D49" w:rsidRPr="0092670C">
        <w:rPr>
          <w:rFonts w:ascii="Arial" w:hAnsi="Arial" w:cs="Arial"/>
        </w:rPr>
        <w:t xml:space="preserve"> </w:t>
      </w:r>
      <w:r w:rsidR="00C812CD" w:rsidRPr="0092670C">
        <w:rPr>
          <w:rFonts w:ascii="Arial" w:hAnsi="Arial" w:cs="Arial"/>
        </w:rPr>
        <w:t>(</w:t>
      </w:r>
      <w:r w:rsidR="00C812CD" w:rsidRPr="0092670C">
        <w:rPr>
          <w:rFonts w:ascii="Arial" w:hAnsi="Arial" w:cs="Arial"/>
        </w:rPr>
        <w:fldChar w:fldCharType="begin"/>
      </w:r>
      <w:r w:rsidR="00C812CD" w:rsidRPr="0092670C">
        <w:rPr>
          <w:rFonts w:ascii="Arial" w:hAnsi="Arial" w:cs="Arial"/>
        </w:rPr>
        <w:instrText xml:space="preserve"> REF _Ref31484421 \h  \* MERGEFORMAT </w:instrText>
      </w:r>
      <w:r w:rsidR="00C812CD" w:rsidRPr="0092670C">
        <w:rPr>
          <w:rFonts w:ascii="Arial" w:hAnsi="Arial" w:cs="Arial"/>
        </w:rPr>
      </w:r>
      <w:r w:rsidR="00C812CD"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14</w:t>
      </w:r>
      <w:r w:rsidR="00C812CD" w:rsidRPr="0092670C">
        <w:rPr>
          <w:rFonts w:ascii="Arial" w:hAnsi="Arial" w:cs="Arial"/>
        </w:rPr>
        <w:fldChar w:fldCharType="end"/>
      </w:r>
      <w:r w:rsidR="00C812CD" w:rsidRPr="0092670C">
        <w:rPr>
          <w:rFonts w:ascii="Arial" w:hAnsi="Arial" w:cs="Arial"/>
        </w:rPr>
        <w:t>)</w:t>
      </w:r>
      <w:r w:rsidRPr="0092670C">
        <w:rPr>
          <w:rFonts w:ascii="Arial" w:hAnsi="Arial" w:cs="Arial"/>
        </w:rPr>
        <w:t>.  The high resistance is due to the SEI reactions that EC undergoes and the differing reaction pathways to FEC. EC typically undergoes a ring opening reaction to form (CH</w:t>
      </w:r>
      <w:r w:rsidRPr="0092670C">
        <w:rPr>
          <w:rFonts w:ascii="Arial" w:hAnsi="Arial" w:cs="Arial"/>
          <w:vertAlign w:val="subscript"/>
        </w:rPr>
        <w:t>2</w:t>
      </w:r>
      <w:r w:rsidRPr="0092670C">
        <w:rPr>
          <w:rFonts w:ascii="Arial" w:hAnsi="Arial" w:cs="Arial"/>
        </w:rPr>
        <w:t>OCO</w:t>
      </w:r>
      <w:r w:rsidRPr="0092670C">
        <w:rPr>
          <w:rFonts w:ascii="Arial" w:hAnsi="Arial" w:cs="Arial"/>
          <w:vertAlign w:val="subscript"/>
        </w:rPr>
        <w:t>2</w:t>
      </w:r>
      <w:r w:rsidRPr="0092670C">
        <w:rPr>
          <w:rFonts w:ascii="Arial" w:hAnsi="Arial" w:cs="Arial"/>
        </w:rPr>
        <w:t>Li)</w:t>
      </w:r>
      <w:r w:rsidRPr="0092670C">
        <w:rPr>
          <w:rFonts w:ascii="Arial" w:hAnsi="Arial" w:cs="Arial"/>
          <w:vertAlign w:val="subscript"/>
        </w:rPr>
        <w:t>2</w:t>
      </w:r>
      <w:r w:rsidR="00B418EA" w:rsidRPr="0092670C">
        <w:rPr>
          <w:rFonts w:ascii="Arial" w:hAnsi="Arial" w:cs="Arial"/>
          <w:vertAlign w:val="subscript"/>
        </w:rPr>
        <w:t xml:space="preserve"> </w:t>
      </w:r>
      <w:r w:rsidRPr="0092670C">
        <w:rPr>
          <w:rFonts w:ascii="Arial" w:hAnsi="Arial" w:cs="Arial"/>
        </w:rPr>
        <w:fldChar w:fldCharType="begin">
          <w:fldData xml:space="preserve">PEVuZE5vdGU+PENpdGU+PEF1dGhvcj5BbjwvQXV0aG9yPjxZZWFyPjIwMTY8L1llYXI+PFJlY051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==
</w:fldData>
        </w:fldChar>
      </w:r>
      <w:r w:rsidR="004F0EC3">
        <w:rPr>
          <w:rFonts w:ascii="Arial" w:hAnsi="Arial" w:cs="Arial"/>
        </w:rPr>
        <w:instrText xml:space="preserve"> ADDIN EN.CITE </w:instrText>
      </w:r>
      <w:r w:rsidR="004F0EC3">
        <w:rPr>
          <w:rFonts w:ascii="Arial" w:hAnsi="Arial" w:cs="Arial"/>
        </w:rPr>
        <w:fldChar w:fldCharType="begin">
          <w:fldData xml:space="preserve">PEVuZE5vdGU+PENpdGU+PEF1dGhvcj5BbjwvQXV0aG9yPjxZZWFyPjIwMTY8L1llYXI+PFJlY051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==
</w:fldData>
        </w:fldChar>
      </w:r>
      <w:r w:rsidR="004F0EC3">
        <w:rPr>
          <w:rFonts w:ascii="Arial" w:hAnsi="Arial" w:cs="Arial"/>
        </w:rPr>
        <w:instrText xml:space="preserve"> ADDIN EN.CITE.DATA </w:instrText>
      </w:r>
      <w:r w:rsidR="004F0EC3">
        <w:rPr>
          <w:rFonts w:ascii="Arial" w:hAnsi="Arial" w:cs="Arial"/>
        </w:rPr>
      </w:r>
      <w:r w:rsidR="004F0EC3">
        <w:rPr>
          <w:rFonts w:ascii="Arial" w:hAnsi="Arial" w:cs="Arial"/>
        </w:rPr>
        <w:fldChar w:fldCharType="end"/>
      </w:r>
      <w:r w:rsidRPr="0092670C">
        <w:rPr>
          <w:rFonts w:ascii="Arial" w:hAnsi="Arial" w:cs="Arial"/>
        </w:rPr>
      </w:r>
      <w:r w:rsidRPr="0092670C">
        <w:rPr>
          <w:rFonts w:ascii="Arial" w:hAnsi="Arial" w:cs="Arial"/>
        </w:rPr>
        <w:fldChar w:fldCharType="separate"/>
      </w:r>
      <w:r w:rsidR="004F0EC3">
        <w:rPr>
          <w:rFonts w:ascii="Arial" w:hAnsi="Arial" w:cs="Arial"/>
          <w:noProof/>
        </w:rPr>
        <w:t>[21]</w:t>
      </w:r>
      <w:r w:rsidRPr="0092670C">
        <w:rPr>
          <w:rFonts w:ascii="Arial" w:hAnsi="Arial" w:cs="Arial"/>
        </w:rPr>
        <w:fldChar w:fldCharType="end"/>
      </w:r>
      <w:r w:rsidRPr="0092670C">
        <w:rPr>
          <w:rFonts w:ascii="Arial" w:hAnsi="Arial" w:cs="Arial"/>
        </w:rPr>
        <w:t>. This material isn’t as ionically conductive as LiF, meaning that the SEI resistance is higher. The vast differences in the charge transfer semicircles/RC circuits is due to the differences in the cell’s voltages</w:t>
      </w:r>
      <w:r w:rsidR="005038FA">
        <w:rPr>
          <w:rFonts w:ascii="Arial" w:hAnsi="Arial" w:cs="Arial"/>
        </w:rPr>
        <w:t xml:space="preserve"> and </w:t>
      </w:r>
      <w:r w:rsidR="00D33BAA">
        <w:rPr>
          <w:rFonts w:ascii="Arial" w:hAnsi="Arial" w:cs="Arial"/>
        </w:rPr>
        <w:t xml:space="preserve">cell’s </w:t>
      </w:r>
      <w:r w:rsidR="008576DC">
        <w:rPr>
          <w:rFonts w:ascii="Arial" w:hAnsi="Arial" w:cs="Arial"/>
        </w:rPr>
        <w:t>SoC</w:t>
      </w:r>
      <w:r w:rsidRPr="0092670C">
        <w:rPr>
          <w:rFonts w:ascii="Arial" w:hAnsi="Arial" w:cs="Arial"/>
        </w:rPr>
        <w:t>. Their voltages are different at this point due to the different rates of reaction of each electrolyte.</w:t>
      </w:r>
    </w:p>
    <w:p w14:paraId="284447C7" w14:textId="1595243B" w:rsidR="00AB6325" w:rsidRPr="0092670C" w:rsidRDefault="00127CB3" w:rsidP="00A91A59">
      <w:pPr>
        <w:spacing w:line="360" w:lineRule="auto"/>
        <w:jc w:val="both"/>
        <w:rPr>
          <w:rFonts w:ascii="Arial" w:hAnsi="Arial" w:cs="Arial"/>
        </w:rPr>
      </w:pPr>
      <w:r w:rsidRPr="0092670C">
        <w:rPr>
          <w:rFonts w:ascii="Arial" w:hAnsi="Arial" w:cs="Arial"/>
        </w:rPr>
        <w:t xml:space="preserve">The high resistance of the SEI has an impact on the cell with the high resistance of the SEI </w:t>
      </w:r>
      <w:r w:rsidR="00D77163">
        <w:rPr>
          <w:rFonts w:ascii="Arial" w:hAnsi="Arial" w:cs="Arial"/>
        </w:rPr>
        <w:t>Li diffusion</w:t>
      </w:r>
      <w:r w:rsidRPr="0092670C">
        <w:rPr>
          <w:rFonts w:ascii="Arial" w:hAnsi="Arial" w:cs="Arial"/>
        </w:rPr>
        <w:t xml:space="preserve"> to the anode. This slow current flow leads to the anode voltage being higher over the same voltage period, which in turn leads to the larger CT/dl resistance seen</w:t>
      </w:r>
      <w:r w:rsidR="0081106B" w:rsidRPr="0092670C">
        <w:rPr>
          <w:rFonts w:ascii="Arial" w:hAnsi="Arial" w:cs="Arial"/>
        </w:rPr>
        <w:t xml:space="preserve"> in </w:t>
      </w:r>
      <w:r w:rsidR="0081106B" w:rsidRPr="0092670C">
        <w:rPr>
          <w:rFonts w:ascii="Arial" w:hAnsi="Arial" w:cs="Arial"/>
        </w:rPr>
        <w:fldChar w:fldCharType="begin"/>
      </w:r>
      <w:r w:rsidR="0081106B" w:rsidRPr="0092670C">
        <w:rPr>
          <w:rFonts w:ascii="Arial" w:hAnsi="Arial" w:cs="Arial"/>
        </w:rPr>
        <w:instrText xml:space="preserve"> REF _Ref31484523 \h  \* MERGEFORMAT </w:instrText>
      </w:r>
      <w:r w:rsidR="0081106B" w:rsidRPr="0092670C">
        <w:rPr>
          <w:rFonts w:ascii="Arial" w:hAnsi="Arial" w:cs="Arial"/>
        </w:rPr>
      </w:r>
      <w:r w:rsidR="0081106B"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17</w:t>
      </w:r>
      <w:r w:rsidR="0081106B" w:rsidRPr="0092670C">
        <w:rPr>
          <w:rFonts w:ascii="Arial" w:hAnsi="Arial" w:cs="Arial"/>
        </w:rPr>
        <w:fldChar w:fldCharType="end"/>
      </w:r>
      <w:r w:rsidRPr="0092670C">
        <w:rPr>
          <w:rFonts w:ascii="Arial" w:hAnsi="Arial" w:cs="Arial"/>
        </w:rPr>
        <w:t xml:space="preserve">, even though both cells have been pre-lithiated for identical amounts of time. </w:t>
      </w:r>
    </w:p>
    <w:p w14:paraId="26E082A6" w14:textId="06031006" w:rsidR="00E336EA" w:rsidRPr="0092670C" w:rsidRDefault="00063644" w:rsidP="00E336EA">
      <w:pPr>
        <w:keepNext/>
        <w:spacing w:line="360" w:lineRule="auto"/>
        <w:jc w:val="center"/>
        <w:rPr>
          <w:rFonts w:ascii="Arial" w:hAnsi="Arial" w:cs="Arial"/>
        </w:rPr>
      </w:pPr>
      <w:r w:rsidRPr="0092670C">
        <w:rPr>
          <w:rFonts w:ascii="Arial" w:hAnsi="Arial" w:cs="Arial"/>
          <w:noProof/>
        </w:rPr>
        <mc:AlternateContent>
          <mc:Choice Requires="wps">
            <w:drawing>
              <wp:anchor distT="0" distB="0" distL="114300" distR="114300" simplePos="0" relativeHeight="251658251" behindDoc="0" locked="0" layoutInCell="1" allowOverlap="1" wp14:anchorId="41CC3BA6" wp14:editId="1159716B">
                <wp:simplePos x="0" y="0"/>
                <wp:positionH relativeFrom="column">
                  <wp:posOffset>1287780</wp:posOffset>
                </wp:positionH>
                <wp:positionV relativeFrom="paragraph">
                  <wp:posOffset>2247265</wp:posOffset>
                </wp:positionV>
                <wp:extent cx="480060" cy="436245"/>
                <wp:effectExtent l="0" t="0" r="15240" b="20955"/>
                <wp:wrapNone/>
                <wp:docPr id="37" name="Rectangle 37"/>
                <wp:cNvGraphicFramePr/>
                <a:graphic xmlns:a="http://schemas.openxmlformats.org/drawingml/2006/main">
                  <a:graphicData uri="http://schemas.microsoft.com/office/word/2010/wordprocessingShape">
                    <wps:wsp>
                      <wps:cNvSpPr/>
                      <wps:spPr>
                        <a:xfrm>
                          <a:off x="0" y="0"/>
                          <a:ext cx="480060" cy="436245"/>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29D27" id="Rectangle 37" o:spid="_x0000_s1026" style="position:absolute;margin-left:101.4pt;margin-top:176.95pt;width:37.8pt;height:34.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" filled="f" strokecolor="#2f528f" strokeweight="1pt">
                <v:stroke dashstyle="dash"/>
              </v:rect>
            </w:pict>
          </mc:Fallback>
        </mc:AlternateContent>
      </w:r>
      <w:r w:rsidR="00E336EA" w:rsidRPr="0092670C">
        <w:rPr>
          <w:rFonts w:ascii="Arial" w:hAnsi="Arial" w:cs="Arial"/>
          <w:noProof/>
        </w:rPr>
        <mc:AlternateContent>
          <mc:Choice Requires="wps">
            <w:drawing>
              <wp:anchor distT="0" distB="0" distL="114300" distR="114300" simplePos="0" relativeHeight="251658252" behindDoc="0" locked="0" layoutInCell="1" allowOverlap="1" wp14:anchorId="3AE78465" wp14:editId="6AB9E0EA">
                <wp:simplePos x="0" y="0"/>
                <wp:positionH relativeFrom="column">
                  <wp:posOffset>1724025</wp:posOffset>
                </wp:positionH>
                <wp:positionV relativeFrom="paragraph">
                  <wp:posOffset>2705100</wp:posOffset>
                </wp:positionV>
                <wp:extent cx="0" cy="628650"/>
                <wp:effectExtent l="76200" t="0" r="76200" b="57150"/>
                <wp:wrapNone/>
                <wp:docPr id="22" name="Straight Arrow Connector 22"/>
                <wp:cNvGraphicFramePr/>
                <a:graphic xmlns:a="http://schemas.openxmlformats.org/drawingml/2006/main">
                  <a:graphicData uri="http://schemas.microsoft.com/office/word/2010/wordprocessingShape">
                    <wps:wsp>
                      <wps:cNvCnPr/>
                      <wps:spPr>
                        <a:xfrm>
                          <a:off x="0" y="0"/>
                          <a:ext cx="0" cy="628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6D4569" id="Straight Arrow Connector 22" o:spid="_x0000_s1026" type="#_x0000_t32" style="position:absolute;margin-left:135.75pt;margin-top:213pt;width:0;height:49.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" strokecolor="windowText" strokeweight=".5pt">
                <v:stroke endarrow="block" joinstyle="miter"/>
              </v:shape>
            </w:pict>
          </mc:Fallback>
        </mc:AlternateContent>
      </w:r>
      <w:r w:rsidR="0067644A" w:rsidRPr="0092670C">
        <w:rPr>
          <w:rFonts w:ascii="Arial" w:hAnsi="Arial" w:cs="Arial"/>
          <w:noProof/>
        </w:rPr>
      </w:r>
      <w:r w:rsidR="0067644A" w:rsidRPr="0092670C">
        <w:rPr>
          <w:rFonts w:ascii="Arial" w:hAnsi="Arial" w:cs="Arial"/>
          <w:noProof/>
        </w:rPr>
        <w:object w:dxaOrig="6162" w:dyaOrig="4722" w14:anchorId="7168DED3">
          <v:shape id="_x0000_i1081" type="#_x0000_t75" style="width:312.1pt;height:240.1pt" o:ole="">
            <v:imagedata r:id="rId164" o:title=""/>
          </v:shape>
          <o:OLEObject Type="Embed" ProgID="Origin95.Graph" ShapeID="_x0000_i1081" DrawAspect="Content" ObjectID="_1700733970" r:id="rId165"/>
        </w:object>
      </w:r>
      <w:r w:rsidR="0067644A" w:rsidRPr="0092670C">
        <w:rPr>
          <w:rFonts w:ascii="Arial" w:hAnsi="Arial" w:cs="Arial"/>
          <w:noProof/>
        </w:rPr>
      </w:r>
      <w:r w:rsidR="0067644A" w:rsidRPr="0092670C">
        <w:rPr>
          <w:rFonts w:ascii="Arial" w:hAnsi="Arial" w:cs="Arial"/>
          <w:noProof/>
        </w:rPr>
        <w:object w:dxaOrig="6163" w:dyaOrig="4723" w14:anchorId="5F39423B">
          <v:shape id="_x0000_i1082" type="#_x0000_t75" style="width:311.8pt;height:239.8pt" o:ole="">
            <v:imagedata r:id="rId166" o:title=""/>
          </v:shape>
          <o:OLEObject Type="Embed" ProgID="Origin95.Graph" ShapeID="_x0000_i1082" DrawAspect="Content" ObjectID="_1700733971" r:id="rId167"/>
        </w:object>
      </w:r>
    </w:p>
    <w:p w14:paraId="0E00E5D6" w14:textId="06C29919" w:rsidR="00E336EA" w:rsidRPr="0092670C" w:rsidRDefault="00E336EA" w:rsidP="00E336EA">
      <w:pPr>
        <w:spacing w:after="200" w:line="360" w:lineRule="auto"/>
        <w:jc w:val="center"/>
        <w:rPr>
          <w:rFonts w:ascii="Arial" w:hAnsi="Arial" w:cs="Arial"/>
          <w:b/>
          <w:i/>
          <w:iCs/>
          <w:color w:val="44546A" w:themeColor="text2"/>
          <w:sz w:val="20"/>
          <w:szCs w:val="20"/>
        </w:rPr>
      </w:pPr>
      <w:bookmarkStart w:id="167" w:name="_Ref31484523"/>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17</w:t>
      </w:r>
      <w:r w:rsidR="00356A26">
        <w:rPr>
          <w:rFonts w:ascii="Arial" w:hAnsi="Arial" w:cs="Arial"/>
          <w:i/>
          <w:iCs/>
          <w:color w:val="44546A" w:themeColor="text2"/>
          <w:sz w:val="20"/>
          <w:szCs w:val="20"/>
        </w:rPr>
        <w:fldChar w:fldCharType="end"/>
      </w:r>
      <w:bookmarkEnd w:id="167"/>
      <w:r w:rsidRPr="0092670C">
        <w:rPr>
          <w:rFonts w:ascii="Arial" w:hAnsi="Arial" w:cs="Arial"/>
          <w:i/>
          <w:iCs/>
          <w:color w:val="44546A" w:themeColor="text2"/>
          <w:sz w:val="20"/>
          <w:szCs w:val="20"/>
        </w:rPr>
        <w:t>: Nyquist plots of cells pre-lithiated in different electrolytes</w:t>
      </w:r>
      <w:r w:rsidR="00906BC9" w:rsidRPr="0092670C">
        <w:rPr>
          <w:rFonts w:ascii="Arial" w:hAnsi="Arial" w:cs="Arial"/>
          <w:i/>
          <w:iCs/>
          <w:color w:val="44546A" w:themeColor="text2"/>
          <w:sz w:val="20"/>
          <w:szCs w:val="20"/>
        </w:rPr>
        <w:t>.</w:t>
      </w:r>
    </w:p>
    <w:p w14:paraId="79AF872C" w14:textId="2BE5DB70" w:rsidR="00703650" w:rsidRPr="0092670C" w:rsidRDefault="00703650" w:rsidP="00703650">
      <w:pPr>
        <w:pStyle w:val="Caption"/>
        <w:keepNext/>
        <w:rPr>
          <w:rFonts w:ascii="Arial" w:hAnsi="Arial" w:cs="Arial"/>
          <w:sz w:val="20"/>
          <w:szCs w:val="20"/>
        </w:rPr>
      </w:pPr>
      <w:bookmarkStart w:id="168" w:name="_Ref44867930"/>
      <w:r w:rsidRPr="0092670C">
        <w:rPr>
          <w:rFonts w:ascii="Arial" w:hAnsi="Arial" w:cs="Arial"/>
          <w:sz w:val="20"/>
          <w:szCs w:val="20"/>
        </w:rPr>
        <w:t xml:space="preserve">Table </w:t>
      </w:r>
      <w:r w:rsidR="004F6B49">
        <w:rPr>
          <w:rFonts w:ascii="Arial" w:hAnsi="Arial" w:cs="Arial"/>
          <w:sz w:val="20"/>
          <w:szCs w:val="20"/>
        </w:rPr>
        <w:fldChar w:fldCharType="begin"/>
      </w:r>
      <w:r w:rsidR="004F6B49">
        <w:rPr>
          <w:rFonts w:ascii="Arial" w:hAnsi="Arial" w:cs="Arial"/>
          <w:sz w:val="20"/>
          <w:szCs w:val="20"/>
        </w:rPr>
        <w:instrText xml:space="preserve"> STYLEREF 1 \s </w:instrText>
      </w:r>
      <w:r w:rsidR="004F6B49">
        <w:rPr>
          <w:rFonts w:ascii="Arial" w:hAnsi="Arial" w:cs="Arial"/>
          <w:sz w:val="20"/>
          <w:szCs w:val="20"/>
        </w:rPr>
        <w:fldChar w:fldCharType="separate"/>
      </w:r>
      <w:r w:rsidR="007342C8">
        <w:rPr>
          <w:rFonts w:ascii="Arial" w:hAnsi="Arial" w:cs="Arial"/>
          <w:noProof/>
          <w:sz w:val="20"/>
          <w:szCs w:val="20"/>
        </w:rPr>
        <w:t>3</w:t>
      </w:r>
      <w:r w:rsidR="004F6B49">
        <w:rPr>
          <w:rFonts w:ascii="Arial" w:hAnsi="Arial" w:cs="Arial"/>
          <w:sz w:val="20"/>
          <w:szCs w:val="20"/>
        </w:rPr>
        <w:fldChar w:fldCharType="end"/>
      </w:r>
      <w:r w:rsidR="004F6B49">
        <w:rPr>
          <w:rFonts w:ascii="Arial" w:hAnsi="Arial" w:cs="Arial"/>
          <w:sz w:val="20"/>
          <w:szCs w:val="20"/>
        </w:rPr>
        <w:noBreakHyphen/>
      </w:r>
      <w:r w:rsidR="004F6B49">
        <w:rPr>
          <w:rFonts w:ascii="Arial" w:hAnsi="Arial" w:cs="Arial"/>
          <w:sz w:val="20"/>
          <w:szCs w:val="20"/>
        </w:rPr>
        <w:fldChar w:fldCharType="begin"/>
      </w:r>
      <w:r w:rsidR="004F6B49">
        <w:rPr>
          <w:rFonts w:ascii="Arial" w:hAnsi="Arial" w:cs="Arial"/>
          <w:sz w:val="20"/>
          <w:szCs w:val="20"/>
        </w:rPr>
        <w:instrText xml:space="preserve"> SEQ Table \* ARABIC \s 1 </w:instrText>
      </w:r>
      <w:r w:rsidR="004F6B49">
        <w:rPr>
          <w:rFonts w:ascii="Arial" w:hAnsi="Arial" w:cs="Arial"/>
          <w:sz w:val="20"/>
          <w:szCs w:val="20"/>
        </w:rPr>
        <w:fldChar w:fldCharType="separate"/>
      </w:r>
      <w:r w:rsidR="007342C8">
        <w:rPr>
          <w:rFonts w:ascii="Arial" w:hAnsi="Arial" w:cs="Arial"/>
          <w:noProof/>
          <w:sz w:val="20"/>
          <w:szCs w:val="20"/>
        </w:rPr>
        <w:t>5</w:t>
      </w:r>
      <w:r w:rsidR="004F6B49">
        <w:rPr>
          <w:rFonts w:ascii="Arial" w:hAnsi="Arial" w:cs="Arial"/>
          <w:sz w:val="20"/>
          <w:szCs w:val="20"/>
        </w:rPr>
        <w:fldChar w:fldCharType="end"/>
      </w:r>
      <w:bookmarkEnd w:id="168"/>
      <w:r w:rsidRPr="0092670C">
        <w:rPr>
          <w:rFonts w:ascii="Arial" w:hAnsi="Arial" w:cs="Arial"/>
          <w:sz w:val="20"/>
          <w:szCs w:val="20"/>
        </w:rPr>
        <w:t>: R</w:t>
      </w:r>
      <w:r w:rsidRPr="0092670C">
        <w:rPr>
          <w:rFonts w:ascii="Arial" w:hAnsi="Arial" w:cs="Arial"/>
          <w:sz w:val="20"/>
          <w:szCs w:val="20"/>
          <w:vertAlign w:val="subscript"/>
        </w:rPr>
        <w:t>SEI</w:t>
      </w:r>
      <w:r w:rsidRPr="0092670C">
        <w:rPr>
          <w:rFonts w:ascii="Arial" w:hAnsi="Arial" w:cs="Arial"/>
          <w:sz w:val="20"/>
          <w:szCs w:val="20"/>
        </w:rPr>
        <w:t xml:space="preserve"> values derived from EIS data.</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37"/>
      </w:tblGrid>
      <w:tr w:rsidR="00E336EA" w:rsidRPr="0092670C" w14:paraId="5B7E1198" w14:textId="77777777" w:rsidTr="00703650">
        <w:tc>
          <w:tcPr>
            <w:tcW w:w="4267" w:type="dxa"/>
            <w:tcBorders>
              <w:top w:val="single" w:sz="4" w:space="0" w:color="auto"/>
              <w:bottom w:val="single" w:sz="4" w:space="0" w:color="auto"/>
            </w:tcBorders>
          </w:tcPr>
          <w:p w14:paraId="537DF9D0" w14:textId="77777777" w:rsidR="00E336EA" w:rsidRPr="0092670C" w:rsidRDefault="00E336EA" w:rsidP="00872D2A">
            <w:pPr>
              <w:keepNext/>
              <w:spacing w:line="360" w:lineRule="auto"/>
              <w:jc w:val="both"/>
              <w:rPr>
                <w:rFonts w:ascii="Arial" w:hAnsi="Arial" w:cs="Arial"/>
              </w:rPr>
            </w:pPr>
            <w:r w:rsidRPr="0092670C">
              <w:rPr>
                <w:rFonts w:ascii="Arial" w:hAnsi="Arial" w:cs="Arial"/>
              </w:rPr>
              <w:t>Material</w:t>
            </w:r>
          </w:p>
        </w:tc>
        <w:tc>
          <w:tcPr>
            <w:tcW w:w="4237" w:type="dxa"/>
            <w:tcBorders>
              <w:top w:val="single" w:sz="4" w:space="0" w:color="auto"/>
              <w:bottom w:val="single" w:sz="4" w:space="0" w:color="auto"/>
            </w:tcBorders>
          </w:tcPr>
          <w:p w14:paraId="22E58DCF" w14:textId="77777777" w:rsidR="00E336EA" w:rsidRPr="0092670C" w:rsidRDefault="00E336EA" w:rsidP="00872D2A">
            <w:pPr>
              <w:keepNext/>
              <w:spacing w:line="360" w:lineRule="auto"/>
              <w:jc w:val="both"/>
              <w:rPr>
                <w:rFonts w:ascii="Arial" w:hAnsi="Arial" w:cs="Arial"/>
              </w:rPr>
            </w:pPr>
            <w:r w:rsidRPr="0092670C">
              <w:rPr>
                <w:rFonts w:ascii="Arial" w:hAnsi="Arial" w:cs="Arial"/>
              </w:rPr>
              <w:t>R</w:t>
            </w:r>
            <w:r w:rsidRPr="0092670C">
              <w:rPr>
                <w:rFonts w:ascii="Arial" w:hAnsi="Arial" w:cs="Arial"/>
                <w:vertAlign w:val="subscript"/>
              </w:rPr>
              <w:t>SEI</w:t>
            </w:r>
            <w:r w:rsidRPr="0092670C">
              <w:rPr>
                <w:rFonts w:ascii="Arial" w:hAnsi="Arial" w:cs="Arial"/>
              </w:rPr>
              <w:t xml:space="preserve"> (Ω)</w:t>
            </w:r>
          </w:p>
        </w:tc>
      </w:tr>
      <w:tr w:rsidR="00E336EA" w:rsidRPr="0092670C" w14:paraId="4F06925B" w14:textId="77777777" w:rsidTr="00703650">
        <w:tc>
          <w:tcPr>
            <w:tcW w:w="4267" w:type="dxa"/>
            <w:tcBorders>
              <w:top w:val="single" w:sz="4" w:space="0" w:color="auto"/>
            </w:tcBorders>
          </w:tcPr>
          <w:p w14:paraId="0E75D46E" w14:textId="77777777" w:rsidR="00E336EA" w:rsidRPr="0092670C" w:rsidRDefault="00E336EA" w:rsidP="00872D2A">
            <w:pPr>
              <w:keepNext/>
              <w:spacing w:line="360" w:lineRule="auto"/>
              <w:jc w:val="both"/>
              <w:rPr>
                <w:rFonts w:ascii="Arial" w:hAnsi="Arial" w:cs="Arial"/>
              </w:rPr>
            </w:pPr>
            <w:r w:rsidRPr="0092670C">
              <w:rPr>
                <w:rFonts w:ascii="Arial" w:hAnsi="Arial" w:cs="Arial"/>
              </w:rPr>
              <w:t>Reference</w:t>
            </w:r>
          </w:p>
        </w:tc>
        <w:tc>
          <w:tcPr>
            <w:tcW w:w="4237" w:type="dxa"/>
            <w:tcBorders>
              <w:top w:val="single" w:sz="4" w:space="0" w:color="auto"/>
            </w:tcBorders>
          </w:tcPr>
          <w:p w14:paraId="59633C21" w14:textId="77777777" w:rsidR="00E336EA" w:rsidRPr="0092670C" w:rsidRDefault="00E336EA" w:rsidP="00872D2A">
            <w:pPr>
              <w:keepNext/>
              <w:spacing w:line="360" w:lineRule="auto"/>
              <w:jc w:val="both"/>
              <w:rPr>
                <w:rFonts w:ascii="Arial" w:hAnsi="Arial" w:cs="Arial"/>
              </w:rPr>
            </w:pPr>
            <w:r w:rsidRPr="0092670C">
              <w:rPr>
                <w:rFonts w:ascii="Arial" w:hAnsi="Arial" w:cs="Arial"/>
              </w:rPr>
              <w:t>136.1</w:t>
            </w:r>
          </w:p>
        </w:tc>
      </w:tr>
      <w:tr w:rsidR="00E336EA" w:rsidRPr="0092670C" w14:paraId="2AE4F3F1" w14:textId="77777777" w:rsidTr="00703650">
        <w:tc>
          <w:tcPr>
            <w:tcW w:w="4267" w:type="dxa"/>
          </w:tcPr>
          <w:p w14:paraId="4A299B21" w14:textId="77777777" w:rsidR="00E336EA" w:rsidRPr="0092670C" w:rsidRDefault="00E336EA" w:rsidP="00872D2A">
            <w:pPr>
              <w:keepNext/>
              <w:spacing w:line="360" w:lineRule="auto"/>
              <w:jc w:val="both"/>
              <w:rPr>
                <w:rFonts w:ascii="Arial" w:hAnsi="Arial" w:cs="Arial"/>
              </w:rPr>
            </w:pPr>
            <w:r w:rsidRPr="0092670C">
              <w:rPr>
                <w:rFonts w:ascii="Arial" w:hAnsi="Arial" w:cs="Arial"/>
              </w:rPr>
              <w:t>FEC</w:t>
            </w:r>
          </w:p>
        </w:tc>
        <w:tc>
          <w:tcPr>
            <w:tcW w:w="4237" w:type="dxa"/>
          </w:tcPr>
          <w:p w14:paraId="3931144F" w14:textId="77777777" w:rsidR="00E336EA" w:rsidRPr="0092670C" w:rsidRDefault="00E336EA" w:rsidP="00872D2A">
            <w:pPr>
              <w:keepNext/>
              <w:spacing w:line="360" w:lineRule="auto"/>
              <w:jc w:val="both"/>
              <w:rPr>
                <w:rFonts w:ascii="Arial" w:hAnsi="Arial" w:cs="Arial"/>
              </w:rPr>
            </w:pPr>
            <w:r w:rsidRPr="0092670C">
              <w:rPr>
                <w:rFonts w:ascii="Arial" w:hAnsi="Arial" w:cs="Arial"/>
              </w:rPr>
              <w:t>60.7</w:t>
            </w:r>
          </w:p>
        </w:tc>
      </w:tr>
      <w:tr w:rsidR="00E336EA" w:rsidRPr="0092670C" w14:paraId="770D50AC" w14:textId="77777777" w:rsidTr="00703650">
        <w:tc>
          <w:tcPr>
            <w:tcW w:w="4267" w:type="dxa"/>
          </w:tcPr>
          <w:p w14:paraId="2C6F24D7" w14:textId="77777777" w:rsidR="00E336EA" w:rsidRPr="0092670C" w:rsidRDefault="00E336EA" w:rsidP="00872D2A">
            <w:pPr>
              <w:keepNext/>
              <w:spacing w:line="360" w:lineRule="auto"/>
              <w:jc w:val="both"/>
              <w:rPr>
                <w:rFonts w:ascii="Arial" w:hAnsi="Arial" w:cs="Arial"/>
              </w:rPr>
            </w:pPr>
            <w:r w:rsidRPr="0092670C">
              <w:rPr>
                <w:rFonts w:ascii="Arial" w:hAnsi="Arial" w:cs="Arial"/>
              </w:rPr>
              <w:t>EC</w:t>
            </w:r>
          </w:p>
        </w:tc>
        <w:tc>
          <w:tcPr>
            <w:tcW w:w="4237" w:type="dxa"/>
          </w:tcPr>
          <w:p w14:paraId="3EE5201A" w14:textId="77777777" w:rsidR="00E336EA" w:rsidRPr="0092670C" w:rsidRDefault="00E336EA" w:rsidP="00872D2A">
            <w:pPr>
              <w:keepNext/>
              <w:spacing w:line="360" w:lineRule="auto"/>
              <w:jc w:val="both"/>
              <w:rPr>
                <w:rFonts w:ascii="Arial" w:hAnsi="Arial" w:cs="Arial"/>
              </w:rPr>
            </w:pPr>
            <w:r w:rsidRPr="0092670C">
              <w:rPr>
                <w:rFonts w:ascii="Arial" w:hAnsi="Arial" w:cs="Arial"/>
              </w:rPr>
              <w:t>299.5</w:t>
            </w:r>
          </w:p>
        </w:tc>
      </w:tr>
      <w:tr w:rsidR="00E336EA" w:rsidRPr="0092670C" w14:paraId="0DEDE85C" w14:textId="77777777" w:rsidTr="00703650">
        <w:tc>
          <w:tcPr>
            <w:tcW w:w="4267" w:type="dxa"/>
          </w:tcPr>
          <w:p w14:paraId="54DCBE69" w14:textId="77777777" w:rsidR="00E336EA" w:rsidRPr="0092670C" w:rsidRDefault="00E336EA" w:rsidP="00872D2A">
            <w:pPr>
              <w:keepNext/>
              <w:spacing w:line="360" w:lineRule="auto"/>
              <w:jc w:val="both"/>
              <w:rPr>
                <w:rFonts w:ascii="Arial" w:hAnsi="Arial" w:cs="Arial"/>
              </w:rPr>
            </w:pPr>
            <w:r w:rsidRPr="0092670C">
              <w:rPr>
                <w:rFonts w:ascii="Arial" w:hAnsi="Arial" w:cs="Arial"/>
              </w:rPr>
              <w:t>DMC</w:t>
            </w:r>
          </w:p>
        </w:tc>
        <w:tc>
          <w:tcPr>
            <w:tcW w:w="4237" w:type="dxa"/>
          </w:tcPr>
          <w:p w14:paraId="33819996" w14:textId="77777777" w:rsidR="00E336EA" w:rsidRPr="0092670C" w:rsidRDefault="00E336EA" w:rsidP="00872D2A">
            <w:pPr>
              <w:keepNext/>
              <w:spacing w:line="360" w:lineRule="auto"/>
              <w:jc w:val="both"/>
              <w:rPr>
                <w:rFonts w:ascii="Arial" w:hAnsi="Arial" w:cs="Arial"/>
              </w:rPr>
            </w:pPr>
            <w:r w:rsidRPr="0092670C">
              <w:rPr>
                <w:rFonts w:ascii="Arial" w:hAnsi="Arial" w:cs="Arial"/>
              </w:rPr>
              <w:t>72.6</w:t>
            </w:r>
          </w:p>
        </w:tc>
      </w:tr>
    </w:tbl>
    <w:p w14:paraId="7CD1D1B6" w14:textId="77777777" w:rsidR="00703650" w:rsidRPr="0092670C" w:rsidRDefault="00703650" w:rsidP="00E336EA">
      <w:pPr>
        <w:spacing w:line="360" w:lineRule="auto"/>
        <w:jc w:val="both"/>
        <w:rPr>
          <w:rFonts w:ascii="Arial" w:hAnsi="Arial" w:cs="Arial"/>
        </w:rPr>
      </w:pPr>
    </w:p>
    <w:p w14:paraId="10BC2109" w14:textId="389E2AB5" w:rsidR="00E336EA" w:rsidRPr="0092670C" w:rsidRDefault="00E336EA" w:rsidP="00E336EA">
      <w:pPr>
        <w:spacing w:line="360" w:lineRule="auto"/>
        <w:jc w:val="both"/>
        <w:rPr>
          <w:rFonts w:ascii="Arial" w:hAnsi="Arial" w:cs="Arial"/>
        </w:rPr>
      </w:pPr>
      <w:r w:rsidRPr="0092670C">
        <w:rPr>
          <w:rFonts w:ascii="Arial" w:hAnsi="Arial" w:cs="Arial"/>
        </w:rPr>
        <w:t>Ex-situ XPS was performed on the anodes to compare their SEI chemistry. All spectra were recorded on a Thermo Scientific NEXSA with samples loaded using a vacuum transfer module from a glovebox to ensure that the electrodes weren’t exposed to air. The C1s spectra of the electrodes</w:t>
      </w:r>
      <w:r w:rsidR="00C6125B" w:rsidRPr="0092670C">
        <w:rPr>
          <w:rFonts w:ascii="Arial" w:hAnsi="Arial" w:cs="Arial"/>
        </w:rPr>
        <w:t xml:space="preserve"> in </w:t>
      </w:r>
      <w:r w:rsidR="00C6125B" w:rsidRPr="0092670C">
        <w:rPr>
          <w:rFonts w:ascii="Arial" w:hAnsi="Arial" w:cs="Arial"/>
        </w:rPr>
        <w:fldChar w:fldCharType="begin"/>
      </w:r>
      <w:r w:rsidR="00C6125B" w:rsidRPr="0092670C">
        <w:rPr>
          <w:rFonts w:ascii="Arial" w:hAnsi="Arial" w:cs="Arial"/>
        </w:rPr>
        <w:instrText xml:space="preserve"> REF _Ref31483511 \h </w:instrText>
      </w:r>
      <w:r w:rsidR="001976F5" w:rsidRPr="0092670C">
        <w:rPr>
          <w:rFonts w:ascii="Arial" w:hAnsi="Arial" w:cs="Arial"/>
        </w:rPr>
        <w:instrText xml:space="preserve"> \* MERGEFORMAT </w:instrText>
      </w:r>
      <w:r w:rsidR="00C6125B" w:rsidRPr="0092670C">
        <w:rPr>
          <w:rFonts w:ascii="Arial" w:hAnsi="Arial" w:cs="Arial"/>
        </w:rPr>
      </w:r>
      <w:r w:rsidR="00C6125B"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18</w:t>
      </w:r>
      <w:r w:rsidR="00C6125B" w:rsidRPr="0092670C">
        <w:rPr>
          <w:rFonts w:ascii="Arial" w:hAnsi="Arial" w:cs="Arial"/>
        </w:rPr>
        <w:fldChar w:fldCharType="end"/>
      </w:r>
      <w:r w:rsidRPr="0092670C">
        <w:rPr>
          <w:rFonts w:ascii="Arial" w:hAnsi="Arial" w:cs="Arial"/>
        </w:rPr>
        <w:t xml:space="preserve"> show several differences between the two SEIs. The spectrum of the EC based SEI shows a shoulder at 291</w:t>
      </w:r>
      <w:r w:rsidR="005E0DD4" w:rsidRPr="0092670C">
        <w:rPr>
          <w:rFonts w:ascii="Arial" w:hAnsi="Arial" w:cs="Arial"/>
        </w:rPr>
        <w:t xml:space="preserve"> </w:t>
      </w:r>
      <w:r w:rsidRPr="0092670C">
        <w:rPr>
          <w:rFonts w:ascii="Arial" w:hAnsi="Arial" w:cs="Arial"/>
        </w:rPr>
        <w:t>eV this corresponds to the formation of Lithium alkyl carbonates</w:t>
      </w:r>
      <w:r w:rsidR="00B418EA"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 INVALID CITATION !!! {}&lt;/Author&gt;&lt;RecNum&gt;0&lt;/RecNum&gt;&lt;DisplayText&gt;[171]&lt;/DisplayText&gt;&lt;record&gt;&lt;dates&gt;&lt;year&gt;!!! INVALID CITATION !!! {}&lt;/year&gt;&lt;/dates&gt;&lt;/record&gt;&lt;/Cite&gt;&lt;/EndNote&gt;</w:instrText>
      </w:r>
      <w:r w:rsidRPr="0092670C">
        <w:rPr>
          <w:rFonts w:ascii="Arial" w:hAnsi="Arial" w:cs="Arial"/>
        </w:rPr>
        <w:fldChar w:fldCharType="separate"/>
      </w:r>
      <w:r w:rsidR="0034337D">
        <w:rPr>
          <w:rFonts w:ascii="Arial" w:hAnsi="Arial" w:cs="Arial"/>
          <w:noProof/>
        </w:rPr>
        <w:t>[171]</w:t>
      </w:r>
      <w:r w:rsidRPr="0092670C">
        <w:rPr>
          <w:rFonts w:ascii="Arial" w:hAnsi="Arial" w:cs="Arial"/>
        </w:rPr>
        <w:fldChar w:fldCharType="end"/>
      </w:r>
      <w:r w:rsidRPr="0092670C">
        <w:rPr>
          <w:rFonts w:ascii="Arial" w:hAnsi="Arial" w:cs="Arial"/>
        </w:rPr>
        <w:t>. The FEC based SEI has a shoulder at 285</w:t>
      </w:r>
      <w:r w:rsidR="005E0DD4" w:rsidRPr="0092670C">
        <w:rPr>
          <w:rFonts w:ascii="Arial" w:hAnsi="Arial" w:cs="Arial"/>
        </w:rPr>
        <w:t xml:space="preserve"> </w:t>
      </w:r>
      <w:r w:rsidRPr="0092670C">
        <w:rPr>
          <w:rFonts w:ascii="Arial" w:hAnsi="Arial" w:cs="Arial"/>
        </w:rPr>
        <w:t>e</w:t>
      </w:r>
      <w:r w:rsidR="005E0DD4" w:rsidRPr="0092670C">
        <w:rPr>
          <w:rFonts w:ascii="Arial" w:hAnsi="Arial" w:cs="Arial"/>
        </w:rPr>
        <w:t>V</w:t>
      </w:r>
      <w:r w:rsidRPr="0092670C">
        <w:rPr>
          <w:rFonts w:ascii="Arial" w:hAnsi="Arial" w:cs="Arial"/>
        </w:rPr>
        <w:t xml:space="preserve"> and this peak has been linked to long chain polymers</w:t>
      </w:r>
      <w:r w:rsidR="00B418EA" w:rsidRPr="0092670C">
        <w:rPr>
          <w:rFonts w:ascii="Arial" w:hAnsi="Arial" w:cs="Arial"/>
        </w:rPr>
        <w:t xml:space="preserve"> </w:t>
      </w:r>
      <w:r w:rsidRPr="0092670C">
        <w:rPr>
          <w:rFonts w:ascii="Arial" w:hAnsi="Arial" w:cs="Arial"/>
        </w:rPr>
        <w:fldChar w:fldCharType="begin"/>
      </w:r>
      <w:r w:rsidR="00C10A8D">
        <w:rPr>
          <w:rFonts w:ascii="Arial" w:hAnsi="Arial" w:cs="Arial"/>
        </w:rPr>
        <w:instrText xml:space="preserve"> ADDIN EN.CITE &lt;EndNote&gt;&lt;Cite&gt;&lt;Author&gt;Aurbach&lt;/Author&gt;&lt;Year&gt;1996&lt;/Year&gt;&lt;RecNum&gt;209&lt;/RecNum&gt;&lt;DisplayText&gt;[67]&lt;/DisplayText&gt;&lt;record&gt;&lt;rec-number&gt;209&lt;/rec-number&gt;&lt;foreign-keys&gt;&lt;key app="EN" db-id="5sa9s0e0r0d9fnexra7pr5xdwd5ztevx95s2" timestamp="1554475946"&gt;209&lt;/key&gt;&lt;/foreign-keys&gt;&lt;ref-type name="Journal Article"&gt;17&lt;/ref-type&gt;&lt;contributors&gt;&lt;authors&gt;&lt;author&gt;Aurbach, Doron&lt;/author&gt;&lt;author&gt;Weissman, Idit&lt;/author&gt;&lt;author&gt;Schechter, Alexander&lt;/author&gt;&lt;author&gt;Cohen, Hagai&lt;/author&gt;&lt;/authors&gt;&lt;/contributors&gt;&lt;titles&gt;&lt;title&gt;X-ray Photoelectron Spectroscopy Studies of Lithium Surfaces Prepared in Several Important Electrolyte Solutions. A Comparison with Previous Studies by Fourier Transform Infrared Spectroscopy&lt;/title&gt;&lt;secondary-title&gt;Langmuir&lt;/secondary-title&gt;&lt;/titles&gt;&lt;periodical&gt;&lt;full-title&gt;Langmuir&lt;/full-title&gt;&lt;/periodical&gt;&lt;pages&gt;3991-4007&lt;/pages&gt;&lt;volume&gt;12&lt;/volume&gt;&lt;number&gt;16&lt;/number&gt;&lt;dates&gt;&lt;year&gt;1996&lt;/year&gt;&lt;/dates&gt;&lt;publisher&gt;American Chemical Society (ACS)&lt;/publisher&gt;&lt;isbn&gt;0743-7463&lt;/isbn&gt;&lt;urls&gt;&lt;related-urls&gt;&lt;url&gt;https://dx.doi.org/10.1021/la9600762&lt;/url&gt;&lt;/related-urls&gt;&lt;pdf-urls&gt;&lt;url&gt;file://C:\Users\danie\Downloads\kopernio\Aurbach-1996-X-ray-photoelectron-spectroscopy-st.pdf&lt;/url&gt;&lt;/pdf-urls&gt;&lt;/urls&gt;&lt;electronic-resource-num&gt;10.1021/la9600762&lt;/electronic-resource-num&gt;&lt;/record&gt;&lt;/Cite&gt;&lt;/EndNote&gt;</w:instrText>
      </w:r>
      <w:r w:rsidRPr="0092670C">
        <w:rPr>
          <w:rFonts w:ascii="Arial" w:hAnsi="Arial" w:cs="Arial"/>
        </w:rPr>
        <w:fldChar w:fldCharType="separate"/>
      </w:r>
      <w:r w:rsidR="00C10A8D">
        <w:rPr>
          <w:rFonts w:ascii="Arial" w:hAnsi="Arial" w:cs="Arial"/>
          <w:noProof/>
        </w:rPr>
        <w:t>[67]</w:t>
      </w:r>
      <w:r w:rsidRPr="0092670C">
        <w:rPr>
          <w:rFonts w:ascii="Arial" w:hAnsi="Arial" w:cs="Arial"/>
        </w:rPr>
        <w:fldChar w:fldCharType="end"/>
      </w:r>
      <w:r w:rsidRPr="0092670C">
        <w:rPr>
          <w:rFonts w:ascii="Arial" w:hAnsi="Arial" w:cs="Arial"/>
        </w:rPr>
        <w:t xml:space="preserve">. </w:t>
      </w:r>
      <w:r w:rsidR="00966EDE">
        <w:rPr>
          <w:rFonts w:ascii="Arial" w:hAnsi="Arial" w:cs="Arial"/>
        </w:rPr>
        <w:t xml:space="preserve">No C-F peak is visible in the C-1S spectra </w:t>
      </w:r>
      <w:r w:rsidR="00280460">
        <w:rPr>
          <w:rFonts w:ascii="Arial" w:hAnsi="Arial" w:cs="Arial"/>
        </w:rPr>
        <w:t>for the cell pre-lithiated with FEC suggesting that the C-F bonds have been broken down by the pre-lithiatio</w:t>
      </w:r>
      <w:r w:rsidR="00A71F83">
        <w:rPr>
          <w:rFonts w:ascii="Arial" w:hAnsi="Arial" w:cs="Arial"/>
        </w:rPr>
        <w:t xml:space="preserve">n process to </w:t>
      </w:r>
      <w:r w:rsidR="00DD444E">
        <w:rPr>
          <w:rFonts w:ascii="Arial" w:hAnsi="Arial" w:cs="Arial"/>
        </w:rPr>
        <w:t>form LiF.</w:t>
      </w:r>
    </w:p>
    <w:p w14:paraId="1C4C1FA0" w14:textId="102D08E1" w:rsidR="00E336EA" w:rsidRPr="0092670C" w:rsidRDefault="0067644A" w:rsidP="006F537B">
      <w:pPr>
        <w:keepNext/>
        <w:spacing w:line="360" w:lineRule="auto"/>
        <w:rPr>
          <w:rFonts w:ascii="Arial" w:hAnsi="Arial" w:cs="Arial"/>
        </w:rPr>
      </w:pPr>
      <w:r>
        <w:rPr>
          <w:rFonts w:ascii="Arial" w:hAnsi="Arial" w:cs="Arial"/>
          <w:noProof/>
        </w:rPr>
      </w:r>
      <w:r w:rsidR="0067644A">
        <w:rPr>
          <w:rFonts w:ascii="Arial" w:hAnsi="Arial" w:cs="Arial"/>
          <w:noProof/>
        </w:rPr>
        <w:pict w14:anchorId="02AC701B">
          <v:shape id="_x0000_s1388" type="#_x0000_t75" style="position:absolute;margin-left:69.75pt;margin-top:0;width:312pt;height:240pt;z-index:251693056">
            <v:imagedata r:id="rId168" o:title=""/>
            <w10:wrap type="square" side="left"/>
          </v:shape>
        </w:pict>
      </w:r>
      <w:r w:rsidR="006F537B" w:rsidRPr="0092670C">
        <w:rPr>
          <w:rFonts w:ascii="Arial" w:hAnsi="Arial" w:cs="Arial"/>
        </w:rPr>
        <w:br w:type="textWrapping" w:clear="all"/>
      </w:r>
    </w:p>
    <w:p w14:paraId="2F66104C" w14:textId="59EA6F83" w:rsidR="00E336EA" w:rsidRPr="0092670C" w:rsidRDefault="00E336EA" w:rsidP="00E336EA">
      <w:pPr>
        <w:spacing w:after="200" w:line="360" w:lineRule="auto"/>
        <w:jc w:val="center"/>
        <w:rPr>
          <w:rFonts w:ascii="Arial" w:hAnsi="Arial" w:cs="Arial"/>
          <w:i/>
          <w:iCs/>
          <w:color w:val="44546A" w:themeColor="text2"/>
          <w:sz w:val="20"/>
          <w:szCs w:val="20"/>
        </w:rPr>
      </w:pPr>
      <w:bookmarkStart w:id="169" w:name="_Ref3148351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18</w:t>
      </w:r>
      <w:r w:rsidR="00356A26">
        <w:rPr>
          <w:rFonts w:ascii="Arial" w:hAnsi="Arial" w:cs="Arial"/>
          <w:i/>
          <w:iCs/>
          <w:color w:val="44546A" w:themeColor="text2"/>
          <w:sz w:val="20"/>
          <w:szCs w:val="20"/>
        </w:rPr>
        <w:fldChar w:fldCharType="end"/>
      </w:r>
      <w:bookmarkEnd w:id="169"/>
      <w:r w:rsidRPr="0092670C">
        <w:rPr>
          <w:rFonts w:ascii="Arial" w:hAnsi="Arial" w:cs="Arial"/>
          <w:i/>
          <w:iCs/>
          <w:color w:val="44546A" w:themeColor="text2"/>
          <w:sz w:val="20"/>
          <w:szCs w:val="20"/>
        </w:rPr>
        <w:t>: C1s spectra of graphite pre-lithiated in different electrolytes</w:t>
      </w:r>
      <w:r w:rsidR="00675C70" w:rsidRPr="0092670C">
        <w:rPr>
          <w:rFonts w:ascii="Arial" w:hAnsi="Arial" w:cs="Arial"/>
          <w:i/>
          <w:iCs/>
          <w:color w:val="44546A" w:themeColor="text2"/>
          <w:sz w:val="20"/>
          <w:szCs w:val="20"/>
        </w:rPr>
        <w:t>.</w:t>
      </w:r>
    </w:p>
    <w:p w14:paraId="798BFEE9" w14:textId="5847CF9B" w:rsidR="00E336EA" w:rsidRPr="0092670C" w:rsidRDefault="00E336EA" w:rsidP="00E336EA">
      <w:pPr>
        <w:spacing w:line="360" w:lineRule="auto"/>
        <w:jc w:val="both"/>
        <w:rPr>
          <w:rFonts w:ascii="Arial" w:hAnsi="Arial" w:cs="Arial"/>
        </w:rPr>
      </w:pPr>
      <w:r w:rsidRPr="0092670C">
        <w:rPr>
          <w:rFonts w:ascii="Arial" w:hAnsi="Arial" w:cs="Arial"/>
        </w:rPr>
        <w:t xml:space="preserve">The O1s spectra </w:t>
      </w:r>
      <w:r w:rsidR="00666C02" w:rsidRPr="0092670C">
        <w:rPr>
          <w:rFonts w:ascii="Arial" w:hAnsi="Arial" w:cs="Arial"/>
        </w:rPr>
        <w:t xml:space="preserve">in </w:t>
      </w:r>
      <w:r w:rsidR="00666C02" w:rsidRPr="0092670C">
        <w:rPr>
          <w:rFonts w:ascii="Arial" w:hAnsi="Arial" w:cs="Arial"/>
        </w:rPr>
        <w:fldChar w:fldCharType="begin"/>
      </w:r>
      <w:r w:rsidR="00666C02" w:rsidRPr="0092670C">
        <w:rPr>
          <w:rFonts w:ascii="Arial" w:hAnsi="Arial" w:cs="Arial"/>
        </w:rPr>
        <w:instrText xml:space="preserve"> REF _Ref31482890 \h </w:instrText>
      </w:r>
      <w:r w:rsidR="00215AD4" w:rsidRPr="0092670C">
        <w:rPr>
          <w:rFonts w:ascii="Arial" w:hAnsi="Arial" w:cs="Arial"/>
        </w:rPr>
        <w:instrText xml:space="preserve"> \* MERGEFORMAT </w:instrText>
      </w:r>
      <w:r w:rsidR="00666C02" w:rsidRPr="0092670C">
        <w:rPr>
          <w:rFonts w:ascii="Arial" w:hAnsi="Arial" w:cs="Arial"/>
        </w:rPr>
      </w:r>
      <w:r w:rsidR="00666C02"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19</w:t>
      </w:r>
      <w:r w:rsidR="00666C02" w:rsidRPr="0092670C">
        <w:rPr>
          <w:rFonts w:ascii="Arial" w:hAnsi="Arial" w:cs="Arial"/>
        </w:rPr>
        <w:fldChar w:fldCharType="end"/>
      </w:r>
      <w:r w:rsidR="00666C02" w:rsidRPr="0092670C">
        <w:rPr>
          <w:rFonts w:ascii="Arial" w:hAnsi="Arial" w:cs="Arial"/>
        </w:rPr>
        <w:t xml:space="preserve"> </w:t>
      </w:r>
      <w:r w:rsidRPr="0092670C">
        <w:rPr>
          <w:rFonts w:ascii="Arial" w:hAnsi="Arial" w:cs="Arial"/>
        </w:rPr>
        <w:t>show that the EC based SEI contains 2 oxygen components with C</w:t>
      </w:r>
      <w:r w:rsidR="00716416" w:rsidRPr="0092670C">
        <w:rPr>
          <w:rFonts w:ascii="Arial" w:hAnsi="Arial" w:cs="Arial"/>
        </w:rPr>
        <w:noBreakHyphen/>
      </w:r>
      <w:r w:rsidRPr="0092670C">
        <w:rPr>
          <w:rFonts w:ascii="Arial" w:hAnsi="Arial" w:cs="Arial"/>
        </w:rPr>
        <w:t xml:space="preserve">O and C=O bonds being present. The lack of a </w:t>
      </w:r>
      <w:r w:rsidR="00A27F0F">
        <w:rPr>
          <w:rFonts w:ascii="Arial" w:hAnsi="Arial" w:cs="Arial"/>
        </w:rPr>
        <w:t xml:space="preserve">linear </w:t>
      </w:r>
      <w:r w:rsidRPr="0092670C">
        <w:rPr>
          <w:rFonts w:ascii="Arial" w:hAnsi="Arial" w:cs="Arial"/>
        </w:rPr>
        <w:t xml:space="preserve">C-O-C peak suggest that the SEI at this point mainly consists of unreacted EC </w:t>
      </w:r>
      <w:r w:rsidR="00A27F0F">
        <w:rPr>
          <w:rFonts w:ascii="Arial" w:hAnsi="Arial" w:cs="Arial"/>
        </w:rPr>
        <w:t xml:space="preserve"> as this only contains cyclical C-O-C bonds </w:t>
      </w:r>
      <w:r w:rsidRPr="0092670C">
        <w:rPr>
          <w:rFonts w:ascii="Arial" w:hAnsi="Arial" w:cs="Arial"/>
        </w:rPr>
        <w:t xml:space="preserve">or at the least the oligomerisation process hasn’t yet begun. </w:t>
      </w:r>
      <w:r w:rsidR="007A7A0B" w:rsidRPr="0092670C">
        <w:rPr>
          <w:rFonts w:ascii="Arial" w:hAnsi="Arial" w:cs="Arial"/>
        </w:rPr>
        <w:t>This ino</w:t>
      </w:r>
      <w:r w:rsidR="00DE2A88" w:rsidRPr="0092670C">
        <w:rPr>
          <w:rFonts w:ascii="Arial" w:hAnsi="Arial" w:cs="Arial"/>
        </w:rPr>
        <w:t xml:space="preserve">rganic </w:t>
      </w:r>
      <w:r w:rsidR="00F25D75" w:rsidRPr="0092670C">
        <w:rPr>
          <w:rFonts w:ascii="Arial" w:hAnsi="Arial" w:cs="Arial"/>
        </w:rPr>
        <w:t xml:space="preserve">based SEI may suggest the reason </w:t>
      </w:r>
      <w:r w:rsidR="00BB4409" w:rsidRPr="0092670C">
        <w:rPr>
          <w:rFonts w:ascii="Arial" w:hAnsi="Arial" w:cs="Arial"/>
        </w:rPr>
        <w:t xml:space="preserve">for </w:t>
      </w:r>
      <w:r w:rsidR="00221F26" w:rsidRPr="0092670C">
        <w:rPr>
          <w:rFonts w:ascii="Arial" w:hAnsi="Arial" w:cs="Arial"/>
        </w:rPr>
        <w:t>its</w:t>
      </w:r>
      <w:r w:rsidR="00F215F5" w:rsidRPr="0092670C">
        <w:rPr>
          <w:rFonts w:ascii="Arial" w:hAnsi="Arial" w:cs="Arial"/>
        </w:rPr>
        <w:t xml:space="preserve"> high resistance </w:t>
      </w:r>
      <w:r w:rsidR="00221F26" w:rsidRPr="0092670C">
        <w:rPr>
          <w:rFonts w:ascii="Arial" w:hAnsi="Arial" w:cs="Arial"/>
        </w:rPr>
        <w:t xml:space="preserve">with </w:t>
      </w:r>
      <w:r w:rsidR="005B2070" w:rsidRPr="0092670C">
        <w:rPr>
          <w:rFonts w:ascii="Arial" w:hAnsi="Arial" w:cs="Arial"/>
        </w:rPr>
        <w:t>th</w:t>
      </w:r>
      <w:r w:rsidR="00E8781E" w:rsidRPr="0092670C">
        <w:rPr>
          <w:rFonts w:ascii="Arial" w:hAnsi="Arial" w:cs="Arial"/>
        </w:rPr>
        <w:t xml:space="preserve">e polymer component being </w:t>
      </w:r>
      <w:r w:rsidR="00B4730D" w:rsidRPr="0092670C">
        <w:rPr>
          <w:rFonts w:ascii="Arial" w:hAnsi="Arial" w:cs="Arial"/>
        </w:rPr>
        <w:t>postulated as direct</w:t>
      </w:r>
      <w:r w:rsidR="00C56CA7" w:rsidRPr="0092670C">
        <w:rPr>
          <w:rFonts w:ascii="Arial" w:hAnsi="Arial" w:cs="Arial"/>
        </w:rPr>
        <w:t>ing Li</w:t>
      </w:r>
      <w:r w:rsidR="00C56CA7" w:rsidRPr="0092670C">
        <w:rPr>
          <w:rFonts w:ascii="Arial" w:hAnsi="Arial" w:cs="Arial"/>
          <w:vertAlign w:val="superscript"/>
        </w:rPr>
        <w:t>+</w:t>
      </w:r>
      <w:r w:rsidR="00C56CA7" w:rsidRPr="0092670C">
        <w:rPr>
          <w:rFonts w:ascii="Arial" w:hAnsi="Arial" w:cs="Arial"/>
        </w:rPr>
        <w:t xml:space="preserve"> ions to the </w:t>
      </w:r>
      <w:r w:rsidR="000501E7" w:rsidRPr="0092670C">
        <w:rPr>
          <w:rFonts w:ascii="Arial" w:hAnsi="Arial" w:cs="Arial"/>
        </w:rPr>
        <w:t>graphit</w:t>
      </w:r>
      <w:r w:rsidR="007B3384" w:rsidRPr="0092670C">
        <w:rPr>
          <w:rFonts w:ascii="Arial" w:hAnsi="Arial" w:cs="Arial"/>
        </w:rPr>
        <w:t>e</w:t>
      </w:r>
      <w:r w:rsidR="00CF3E67" w:rsidRPr="0092670C">
        <w:rPr>
          <w:rFonts w:ascii="Arial" w:hAnsi="Arial" w:cs="Arial"/>
        </w:rPr>
        <w:t xml:space="preserve"> </w:t>
      </w:r>
      <w:r w:rsidR="00161358" w:rsidRPr="0092670C">
        <w:rPr>
          <w:rFonts w:ascii="Arial" w:hAnsi="Arial" w:cs="Arial"/>
        </w:rPr>
        <w:fldChar w:fldCharType="begin"/>
      </w:r>
      <w:r w:rsidR="0034337D">
        <w:rPr>
          <w:rFonts w:ascii="Arial" w:hAnsi="Arial" w:cs="Arial"/>
        </w:rPr>
        <w:instrText xml:space="preserve"> ADDIN EN.CITE &lt;EndNote&gt;&lt;Cite&gt;&lt;Author&gt;Lu&lt;/Author&gt;&lt;Year&gt;2011&lt;/Year&gt;&lt;RecNum&gt;353&lt;/RecNum&gt;&lt;DisplayText&gt;[225]&lt;/DisplayText&gt;&lt;record&gt;&lt;rec-number&gt;353&lt;/rec-number&gt;&lt;foreign-keys&gt;&lt;key app="EN" db-id="5sa9s0e0r0d9fnexra7pr5xdwd5ztevx95s2" timestamp="1571740875"&gt;353&lt;/key&gt;&lt;/foreign-keys&gt;&lt;ref-type name="Journal Article"&gt;17&lt;/ref-type&gt;&lt;contributors&gt;&lt;authors&gt;&lt;author&gt;Lu, Peng&lt;/author&gt;&lt;author&gt;Harris, Stephen J.&lt;/author&gt;&lt;/authors&gt;&lt;/contributors&gt;&lt;titles&gt;&lt;title&gt;Lithium transport within the solid electrolyte interphase&lt;/title&gt;&lt;secondary-title&gt;Electrochemistry Communications&lt;/secondary-title&gt;&lt;/titles&gt;&lt;periodical&gt;&lt;full-title&gt;Electrochemistry Communications&lt;/full-title&gt;&lt;/periodical&gt;&lt;pages&gt;1035-1037&lt;/pages&gt;&lt;volume&gt;13&lt;/volume&gt;&lt;number&gt;10&lt;/number&gt;&lt;keywords&gt;&lt;keyword&gt;Battery&lt;/keyword&gt;&lt;keyword&gt;Solid electrolyte interphase&lt;/keyword&gt;&lt;keyword&gt;SEI&lt;/keyword&gt;&lt;keyword&gt;Isotope&lt;/keyword&gt;&lt;keyword&gt;SIMS&lt;/keyword&gt;&lt;keyword&gt;Transport&lt;/keyword&gt;&lt;/keywords&gt;&lt;dates&gt;&lt;year&gt;2011&lt;/year&gt;&lt;pub-dates&gt;&lt;date&gt;2011/10/01/&lt;/date&gt;&lt;/pub-dates&gt;&lt;/dates&gt;&lt;isbn&gt;1388-2481&lt;/isbn&gt;&lt;urls&gt;&lt;related-urls&gt;&lt;url&gt;http://www.sciencedirect.com/science/article/pii/S1388248111002657&lt;/url&gt;&lt;/related-urls&gt;&lt;/urls&gt;&lt;electronic-resource-num&gt;https://doi.org/10.1016/j.elecom.2011.06.026&lt;/electronic-resource-num&gt;&lt;/record&gt;&lt;/Cite&gt;&lt;/EndNote&gt;</w:instrText>
      </w:r>
      <w:r w:rsidR="00161358" w:rsidRPr="0092670C">
        <w:rPr>
          <w:rFonts w:ascii="Arial" w:hAnsi="Arial" w:cs="Arial"/>
        </w:rPr>
        <w:fldChar w:fldCharType="separate"/>
      </w:r>
      <w:r w:rsidR="0034337D">
        <w:rPr>
          <w:rFonts w:ascii="Arial" w:hAnsi="Arial" w:cs="Arial"/>
          <w:noProof/>
        </w:rPr>
        <w:t>[225]</w:t>
      </w:r>
      <w:r w:rsidR="00161358" w:rsidRPr="0092670C">
        <w:rPr>
          <w:rFonts w:ascii="Arial" w:hAnsi="Arial" w:cs="Arial"/>
        </w:rPr>
        <w:fldChar w:fldCharType="end"/>
      </w:r>
      <w:r w:rsidR="00575D6A" w:rsidRPr="0092670C">
        <w:rPr>
          <w:rFonts w:ascii="Arial" w:hAnsi="Arial" w:cs="Arial"/>
        </w:rPr>
        <w:t>.</w:t>
      </w:r>
    </w:p>
    <w:p w14:paraId="0ABF1F8B" w14:textId="1220E62A" w:rsidR="00E336EA" w:rsidRPr="0092670C" w:rsidRDefault="00E336EA" w:rsidP="00E336EA">
      <w:pPr>
        <w:spacing w:line="360" w:lineRule="auto"/>
        <w:jc w:val="both"/>
        <w:rPr>
          <w:rFonts w:ascii="Arial" w:hAnsi="Arial" w:cs="Arial"/>
        </w:rPr>
      </w:pPr>
      <w:r w:rsidRPr="0092670C">
        <w:rPr>
          <w:rFonts w:ascii="Arial" w:hAnsi="Arial" w:cs="Arial"/>
        </w:rPr>
        <w:t>The FEC based SEI on the other hand shows more peaks with a lower concentration of C-O bonds. This suggests that the C-O bonds in the FEC have been broken due to ring opening polymerisation leading to the presence of the C-O-C peak at 537</w:t>
      </w:r>
      <w:r w:rsidR="005E0DD4" w:rsidRPr="0092670C">
        <w:rPr>
          <w:rFonts w:ascii="Arial" w:hAnsi="Arial" w:cs="Arial"/>
        </w:rPr>
        <w:t xml:space="preserve"> </w:t>
      </w:r>
      <w:r w:rsidRPr="0092670C">
        <w:rPr>
          <w:rFonts w:ascii="Arial" w:hAnsi="Arial" w:cs="Arial"/>
        </w:rPr>
        <w:t>eV. It also contains a small shoulder at 531</w:t>
      </w:r>
      <w:r w:rsidR="00540BF4" w:rsidRPr="0092670C">
        <w:rPr>
          <w:rFonts w:ascii="Arial" w:hAnsi="Arial" w:cs="Arial"/>
        </w:rPr>
        <w:t xml:space="preserve"> </w:t>
      </w:r>
      <w:r w:rsidRPr="0092670C">
        <w:rPr>
          <w:rFonts w:ascii="Arial" w:hAnsi="Arial" w:cs="Arial"/>
        </w:rPr>
        <w:t>eV that has been attributed to C-O-Li complexes</w:t>
      </w:r>
      <w:r w:rsidR="00CF3E67"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&lt;EndNote&gt;&lt;Cite&gt;&lt;Author&gt;Kanamura&lt;/Author&gt;&lt;Year&gt;1995&lt;/Year&gt;&lt;RecNum&gt;210&lt;/RecNum&gt;&lt;DisplayText&gt;[226]&lt;/DisplayText&gt;&lt;record&gt;&lt;rec-number&gt;210&lt;/rec-number&gt;&lt;foreign-keys&gt;&lt;key app="EN" db-id="5sa9s0e0r0d9fnexra7pr5xdwd5ztevx95s2" timestamp="1554477388"&gt;210&lt;/key&gt;&lt;/foreign-keys&gt;&lt;ref-type name="Journal Article"&gt;17&lt;/ref-type&gt;&lt;contributors&gt;&lt;authors&gt;&lt;author&gt;Kanamura, K.&lt;/author&gt;&lt;author&gt;Tamura, Hiroshi&lt;/author&gt;&lt;author&gt;Shiraishi, Soshi&lt;/author&gt;&lt;author&gt;Takehara, Zen-ichiro&lt;/author&gt;&lt;/authors&gt;&lt;/contributors&gt;&lt;titles&gt;&lt;title&gt;Morphology and chemical compositions of surface films of lithium deposited on a Ni substrate in nonaqueous electrolytes&lt;/title&gt;&lt;secondary-title&gt;Journal of Electroanalytical Chemistry&lt;/secondary-title&gt;&lt;/titles&gt;&lt;periodical&gt;&lt;full-title&gt;Journal of Electroanalytical Chemistry&lt;/full-title&gt;&lt;/periodical&gt;&lt;pages&gt;49-62&lt;/pages&gt;&lt;volume&gt;394&lt;/volume&gt;&lt;number&gt;1&lt;/number&gt;&lt;keywords&gt;&lt;keyword&gt;Electrodeposition&lt;/keyword&gt;&lt;keyword&gt;Li surface films&lt;/keyword&gt;&lt;keyword&gt;Ni electrode&lt;/keyword&gt;&lt;keyword&gt;Morphology&lt;/keyword&gt;&lt;keyword&gt;Chemical compositions&lt;/keyword&gt;&lt;keyword&gt;Nonaqueous electrolytes&lt;/keyword&gt;&lt;/keywords&gt;&lt;dates&gt;&lt;year&gt;1995&lt;/year&gt;&lt;pub-dates&gt;&lt;date&gt;1995/09/19/&lt;/date&gt;&lt;/pub-dates&gt;&lt;/dates&gt;&lt;isbn&gt;1572-6657&lt;/isbn&gt;&lt;urls&gt;&lt;related-urls&gt;&lt;url&gt;http://www.sciencedirect.com/science/article/pii/002207289503972J&lt;/url&gt;&lt;/related-urls&gt;&lt;/urls&gt;&lt;electronic-resource-num&gt;https://doi.org/10.1016/0022-0728(95)03972-J&lt;/electronic-resource-num&gt;&lt;/record&gt;&lt;/Cite&gt;&lt;/EndNote&gt;</w:instrText>
      </w:r>
      <w:r w:rsidRPr="0092670C">
        <w:rPr>
          <w:rFonts w:ascii="Arial" w:hAnsi="Arial" w:cs="Arial"/>
        </w:rPr>
        <w:fldChar w:fldCharType="separate"/>
      </w:r>
      <w:r w:rsidR="0034337D">
        <w:rPr>
          <w:rFonts w:ascii="Arial" w:hAnsi="Arial" w:cs="Arial"/>
          <w:noProof/>
        </w:rPr>
        <w:t>[226]</w:t>
      </w:r>
      <w:r w:rsidRPr="0092670C">
        <w:rPr>
          <w:rFonts w:ascii="Arial" w:hAnsi="Arial" w:cs="Arial"/>
        </w:rPr>
        <w:fldChar w:fldCharType="end"/>
      </w:r>
      <w:r w:rsidRPr="0092670C">
        <w:rPr>
          <w:rFonts w:ascii="Arial" w:hAnsi="Arial" w:cs="Arial"/>
        </w:rPr>
        <w:t>. These complexes suggest that the SEI was formed at a low potential. The presence of these Lithium salts helps to contribute to the high ionic conductivity (low impedance) of the SEI.</w:t>
      </w:r>
    </w:p>
    <w:p w14:paraId="6129C460" w14:textId="7CEA516D"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7465D1A6">
          <v:shape id="_x0000_i1083" type="#_x0000_t75" style="width:311.8pt;height:239.8pt" o:ole="">
            <v:imagedata r:id="rId169" o:title=""/>
          </v:shape>
          <o:OLEObject Type="Embed" ProgID="Origin95.Graph" ShapeID="_x0000_i1083" DrawAspect="Content" ObjectID="_1700733972" r:id="rId170"/>
        </w:object>
      </w:r>
      <w:r w:rsidR="00E336EA" w:rsidRPr="0092670C">
        <w:rPr>
          <w:rFonts w:ascii="Arial" w:hAnsi="Arial" w:cs="Arial"/>
        </w:rPr>
        <w:t xml:space="preserve"> </w:t>
      </w:r>
      <w:r w:rsidRPr="0092670C">
        <w:rPr>
          <w:rFonts w:ascii="Arial" w:hAnsi="Arial" w:cs="Arial"/>
          <w:noProof/>
        </w:rPr>
      </w:r>
      <w:r w:rsidR="0067644A" w:rsidRPr="0092670C">
        <w:rPr>
          <w:rFonts w:ascii="Arial" w:hAnsi="Arial" w:cs="Arial"/>
          <w:noProof/>
        </w:rPr>
        <w:object w:dxaOrig="7252" w:dyaOrig="5569" w14:anchorId="0128B4C9">
          <v:shape id="_x0000_i1084" type="#_x0000_t75" style="width:365.8pt;height:282.2pt" o:ole="">
            <v:imagedata r:id="rId171" o:title=""/>
          </v:shape>
          <o:OLEObject Type="Embed" ProgID="Origin95.Graph" ShapeID="_x0000_i1084" DrawAspect="Content" ObjectID="_1700733973" r:id="rId172"/>
        </w:object>
      </w:r>
    </w:p>
    <w:p w14:paraId="1A5F8F83" w14:textId="5D70EA15" w:rsidR="00E336EA" w:rsidRPr="0092670C" w:rsidRDefault="00E336EA" w:rsidP="00E336EA">
      <w:pPr>
        <w:spacing w:after="200" w:line="360" w:lineRule="auto"/>
        <w:jc w:val="center"/>
        <w:rPr>
          <w:rFonts w:ascii="Arial" w:hAnsi="Arial" w:cs="Arial"/>
          <w:i/>
          <w:iCs/>
          <w:color w:val="44546A" w:themeColor="text2"/>
          <w:sz w:val="20"/>
          <w:szCs w:val="20"/>
        </w:rPr>
      </w:pPr>
      <w:bookmarkStart w:id="170" w:name="_Ref31482890"/>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19</w:t>
      </w:r>
      <w:r w:rsidR="00356A26">
        <w:rPr>
          <w:rFonts w:ascii="Arial" w:hAnsi="Arial" w:cs="Arial"/>
          <w:i/>
          <w:iCs/>
          <w:color w:val="44546A" w:themeColor="text2"/>
          <w:sz w:val="20"/>
          <w:szCs w:val="20"/>
        </w:rPr>
        <w:fldChar w:fldCharType="end"/>
      </w:r>
      <w:bookmarkEnd w:id="170"/>
      <w:r w:rsidRPr="0092670C">
        <w:rPr>
          <w:rFonts w:ascii="Arial" w:hAnsi="Arial" w:cs="Arial"/>
          <w:i/>
          <w:iCs/>
          <w:color w:val="44546A" w:themeColor="text2"/>
          <w:sz w:val="20"/>
          <w:szCs w:val="20"/>
        </w:rPr>
        <w:t xml:space="preserve">: </w:t>
      </w:r>
      <w:r w:rsidR="00675C70" w:rsidRPr="0092670C">
        <w:rPr>
          <w:rFonts w:ascii="Arial" w:hAnsi="Arial" w:cs="Arial"/>
          <w:i/>
          <w:iCs/>
          <w:color w:val="44546A" w:themeColor="text2"/>
          <w:sz w:val="20"/>
          <w:szCs w:val="20"/>
        </w:rPr>
        <w:t>D</w:t>
      </w:r>
      <w:r w:rsidRPr="0092670C">
        <w:rPr>
          <w:rFonts w:ascii="Arial" w:hAnsi="Arial" w:cs="Arial"/>
          <w:i/>
          <w:iCs/>
          <w:color w:val="44546A" w:themeColor="text2"/>
          <w:sz w:val="20"/>
          <w:szCs w:val="20"/>
        </w:rPr>
        <w:t>econvoluted O1s spectra of graphite pre-lithiated in FEC (top) &amp;EC (bottom)</w:t>
      </w:r>
      <w:r w:rsidR="00675C70" w:rsidRPr="0092670C">
        <w:rPr>
          <w:rFonts w:ascii="Arial" w:hAnsi="Arial" w:cs="Arial"/>
          <w:i/>
          <w:iCs/>
          <w:color w:val="44546A" w:themeColor="text2"/>
          <w:sz w:val="20"/>
          <w:szCs w:val="20"/>
        </w:rPr>
        <w:t>.</w:t>
      </w:r>
    </w:p>
    <w:p w14:paraId="756CE907" w14:textId="01F2F53B" w:rsidR="004D72E1" w:rsidRPr="0092670C" w:rsidRDefault="004D72E1" w:rsidP="00224FE9">
      <w:pPr>
        <w:pStyle w:val="Heading3"/>
        <w:rPr>
          <w:rFonts w:ascii="Arial" w:hAnsi="Arial" w:cs="Arial"/>
        </w:rPr>
      </w:pPr>
      <w:bookmarkStart w:id="171" w:name="_Toc82538761"/>
      <w:r w:rsidRPr="0092670C">
        <w:rPr>
          <w:rFonts w:ascii="Arial" w:hAnsi="Arial" w:cs="Arial"/>
        </w:rPr>
        <w:t>Discussion</w:t>
      </w:r>
      <w:bookmarkEnd w:id="171"/>
    </w:p>
    <w:p w14:paraId="60B68204" w14:textId="5BB06C31" w:rsidR="004D72E1" w:rsidRDefault="00C52017" w:rsidP="004D72E1">
      <w:pPr>
        <w:spacing w:after="200" w:line="360" w:lineRule="auto"/>
        <w:jc w:val="both"/>
        <w:rPr>
          <w:rFonts w:ascii="Arial" w:hAnsi="Arial" w:cs="Arial"/>
        </w:rPr>
      </w:pPr>
      <w:r w:rsidRPr="0092670C">
        <w:rPr>
          <w:rFonts w:ascii="Arial" w:hAnsi="Arial" w:cs="Arial"/>
        </w:rPr>
        <w:t xml:space="preserve">This work has shown </w:t>
      </w:r>
      <w:r w:rsidR="007610B4" w:rsidRPr="0092670C">
        <w:rPr>
          <w:rFonts w:ascii="Arial" w:hAnsi="Arial" w:cs="Arial"/>
        </w:rPr>
        <w:t xml:space="preserve">how important the </w:t>
      </w:r>
      <w:r w:rsidR="00963E0D" w:rsidRPr="0092670C">
        <w:rPr>
          <w:rFonts w:ascii="Arial" w:hAnsi="Arial" w:cs="Arial"/>
        </w:rPr>
        <w:t xml:space="preserve">choice of </w:t>
      </w:r>
      <w:r w:rsidR="000D33EC" w:rsidRPr="0092670C">
        <w:rPr>
          <w:rFonts w:ascii="Arial" w:hAnsi="Arial" w:cs="Arial"/>
        </w:rPr>
        <w:t xml:space="preserve">material is to the pre-lithiation process is. </w:t>
      </w:r>
      <w:r w:rsidR="00BC5C71" w:rsidRPr="0092670C">
        <w:rPr>
          <w:rFonts w:ascii="Arial" w:hAnsi="Arial" w:cs="Arial"/>
        </w:rPr>
        <w:t>Th</w:t>
      </w:r>
      <w:r w:rsidR="00EB3EA1" w:rsidRPr="0092670C">
        <w:rPr>
          <w:rFonts w:ascii="Arial" w:hAnsi="Arial" w:cs="Arial"/>
        </w:rPr>
        <w:t xml:space="preserve">e role </w:t>
      </w:r>
      <w:r w:rsidR="00AD6F50" w:rsidRPr="0092670C">
        <w:rPr>
          <w:rFonts w:ascii="Arial" w:hAnsi="Arial" w:cs="Arial"/>
        </w:rPr>
        <w:t xml:space="preserve">of </w:t>
      </w:r>
      <w:r w:rsidR="00232123" w:rsidRPr="0092670C">
        <w:rPr>
          <w:rFonts w:ascii="Arial" w:hAnsi="Arial" w:cs="Arial"/>
        </w:rPr>
        <w:t xml:space="preserve">the </w:t>
      </w:r>
      <w:r w:rsidR="0066507A" w:rsidRPr="0092670C">
        <w:rPr>
          <w:rFonts w:ascii="Arial" w:hAnsi="Arial" w:cs="Arial"/>
        </w:rPr>
        <w:t>f</w:t>
      </w:r>
      <w:r w:rsidR="00232123" w:rsidRPr="0092670C">
        <w:rPr>
          <w:rFonts w:ascii="Arial" w:hAnsi="Arial" w:cs="Arial"/>
        </w:rPr>
        <w:t xml:space="preserve">luorine is clear with the graphite </w:t>
      </w:r>
      <w:r w:rsidR="008E1F02" w:rsidRPr="0092670C">
        <w:rPr>
          <w:rFonts w:ascii="Arial" w:hAnsi="Arial" w:cs="Arial"/>
        </w:rPr>
        <w:t xml:space="preserve">pre-lithiated in </w:t>
      </w:r>
      <w:r w:rsidR="0066507A" w:rsidRPr="0092670C">
        <w:rPr>
          <w:rFonts w:ascii="Arial" w:hAnsi="Arial" w:cs="Arial"/>
        </w:rPr>
        <w:t xml:space="preserve">FEC </w:t>
      </w:r>
      <w:r w:rsidR="009D0226" w:rsidRPr="0092670C">
        <w:rPr>
          <w:rFonts w:ascii="Arial" w:hAnsi="Arial" w:cs="Arial"/>
        </w:rPr>
        <w:t xml:space="preserve">demonstrating higher capacity </w:t>
      </w:r>
      <w:r w:rsidR="0056794E" w:rsidRPr="0092670C">
        <w:rPr>
          <w:rFonts w:ascii="Arial" w:hAnsi="Arial" w:cs="Arial"/>
        </w:rPr>
        <w:t xml:space="preserve">as well as a higher ICE and </w:t>
      </w:r>
      <w:r w:rsidR="005838EF" w:rsidRPr="0092670C">
        <w:rPr>
          <w:rFonts w:ascii="Arial" w:hAnsi="Arial" w:cs="Arial"/>
        </w:rPr>
        <w:t>a smaller R</w:t>
      </w:r>
      <w:r w:rsidR="005838EF" w:rsidRPr="0092670C">
        <w:rPr>
          <w:rFonts w:ascii="Arial" w:hAnsi="Arial" w:cs="Arial"/>
          <w:vertAlign w:val="subscript"/>
        </w:rPr>
        <w:t>SEI</w:t>
      </w:r>
      <w:r w:rsidR="005838EF" w:rsidRPr="0092670C">
        <w:rPr>
          <w:rFonts w:ascii="Arial" w:hAnsi="Arial" w:cs="Arial"/>
        </w:rPr>
        <w:t xml:space="preserve"> than the cell pre-lithiated in EC. </w:t>
      </w:r>
      <w:r w:rsidR="00412A40" w:rsidRPr="0092670C">
        <w:rPr>
          <w:rFonts w:ascii="Arial" w:hAnsi="Arial" w:cs="Arial"/>
        </w:rPr>
        <w:t>XPS data</w:t>
      </w:r>
      <w:r w:rsidR="004D6052" w:rsidRPr="0092670C">
        <w:rPr>
          <w:rFonts w:ascii="Arial" w:hAnsi="Arial" w:cs="Arial"/>
        </w:rPr>
        <w:t xml:space="preserve"> shows the presence of</w:t>
      </w:r>
      <w:r w:rsidR="00F028E3">
        <w:rPr>
          <w:rFonts w:ascii="Arial" w:hAnsi="Arial" w:cs="Arial"/>
        </w:rPr>
        <w:t xml:space="preserve"> </w:t>
      </w:r>
      <w:r w:rsidR="00B60154">
        <w:rPr>
          <w:rFonts w:ascii="Arial" w:hAnsi="Arial" w:cs="Arial"/>
        </w:rPr>
        <w:t>linear</w:t>
      </w:r>
      <w:r w:rsidR="004D6052" w:rsidRPr="0092670C">
        <w:rPr>
          <w:rFonts w:ascii="Arial" w:hAnsi="Arial" w:cs="Arial"/>
        </w:rPr>
        <w:t xml:space="preserve"> </w:t>
      </w:r>
      <w:r w:rsidR="005B5A0C" w:rsidRPr="0092670C">
        <w:rPr>
          <w:rFonts w:ascii="Arial" w:hAnsi="Arial" w:cs="Arial"/>
        </w:rPr>
        <w:t xml:space="preserve">C-O-C bonds </w:t>
      </w:r>
      <w:r w:rsidR="00FA4FD5" w:rsidRPr="0092670C">
        <w:rPr>
          <w:rFonts w:ascii="Arial" w:hAnsi="Arial" w:cs="Arial"/>
        </w:rPr>
        <w:t xml:space="preserve">in the FEC based </w:t>
      </w:r>
      <w:r w:rsidR="00351C48" w:rsidRPr="0092670C">
        <w:rPr>
          <w:rFonts w:ascii="Arial" w:hAnsi="Arial" w:cs="Arial"/>
        </w:rPr>
        <w:t>anode which suggests that it has started to polymerise which has been shown to be key to SEI stability</w:t>
      </w:r>
      <w:r w:rsidR="00710CD3" w:rsidRPr="0092670C">
        <w:rPr>
          <w:rFonts w:ascii="Arial" w:hAnsi="Arial" w:cs="Arial"/>
        </w:rPr>
        <w:t xml:space="preserve"> </w:t>
      </w:r>
      <w:r w:rsidR="00AE1CF3" w:rsidRPr="0092670C">
        <w:rPr>
          <w:rFonts w:ascii="Arial" w:hAnsi="Arial" w:cs="Arial"/>
        </w:rPr>
        <w:fldChar w:fldCharType="begin"/>
      </w:r>
      <w:r w:rsidR="00C10A8D">
        <w:rPr>
          <w:rFonts w:ascii="Arial" w:hAnsi="Arial" w:cs="Arial"/>
        </w:rPr>
        <w:instrText xml:space="preserve"> ADDIN EN.CITE &lt;EndNote&gt;&lt;Cite&gt;&lt;Author&gt;Nakai&lt;/Author&gt;&lt;Year&gt;2011&lt;/Year&gt;&lt;RecNum&gt;256&lt;/RecNum&gt;&lt;DisplayText&gt;[81]&lt;/DisplayText&gt;&lt;record&gt;&lt;rec-number&gt;256&lt;/rec-number&gt;&lt;foreign-keys&gt;&lt;key app="EN" db-id="5sa9s0e0r0d9fnexra7pr5xdwd5ztevx95s2" timestamp="1558443776"&gt;256&lt;/key&gt;&lt;/foreign-keys&gt;&lt;ref-type name="Journal Article"&gt;17&lt;/ref-type&gt;&lt;contributors&gt;&lt;authors&gt;&lt;author&gt;Nakai, Hideki&lt;/author&gt;&lt;author&gt;Kubota, Tadahiko&lt;/author&gt;&lt;author&gt;Kita, Akinori&lt;/author&gt;&lt;author&gt;Kawashima, Atsumichi&lt;/author&gt;&lt;/authors&gt;&lt;/contributors&gt;&lt;titles&gt;&lt;title&gt;Investigation of the Solid Electrolyte Interphase Formed by Fluoroethylene Carbonate on Si Electrodes&lt;/title&gt;&lt;secondary-title&gt;Journal of The Electrochemical Society&lt;/secondary-title&gt;&lt;/titles&gt;&lt;periodical&gt;&lt;full-title&gt;Journal of the Electrochemical Society&lt;/full-title&gt;&lt;abbr-1&gt;J. Electrochem. Soc.&lt;/abbr-1&gt;&lt;/periodical&gt;&lt;pages&gt;A798-A801&lt;/pages&gt;&lt;volume&gt;158&lt;/volume&gt;&lt;number&gt;7&lt;/number&gt;&lt;dates&gt;&lt;year&gt;2011&lt;/year&gt;&lt;pub-dates&gt;&lt;date&gt;July 1, 2011&lt;/date&gt;&lt;/pub-dates&gt;&lt;/dates&gt;&lt;urls&gt;&lt;related-urls&gt;&lt;url&gt;http://jes.ecsdl.org/content/158/7/A798.abstract&lt;/url&gt;&lt;/related-urls&gt;&lt;/urls&gt;&lt;electronic-resource-num&gt;10.1149/1.3589300&lt;/electronic-resource-num&gt;&lt;/record&gt;&lt;/Cite&gt;&lt;/EndNote&gt;</w:instrText>
      </w:r>
      <w:r w:rsidR="00AE1CF3" w:rsidRPr="0092670C">
        <w:rPr>
          <w:rFonts w:ascii="Arial" w:hAnsi="Arial" w:cs="Arial"/>
        </w:rPr>
        <w:fldChar w:fldCharType="separate"/>
      </w:r>
      <w:r w:rsidR="00C10A8D">
        <w:rPr>
          <w:rFonts w:ascii="Arial" w:hAnsi="Arial" w:cs="Arial"/>
          <w:noProof/>
        </w:rPr>
        <w:t>[81]</w:t>
      </w:r>
      <w:r w:rsidR="00AE1CF3" w:rsidRPr="0092670C">
        <w:rPr>
          <w:rFonts w:ascii="Arial" w:hAnsi="Arial" w:cs="Arial"/>
        </w:rPr>
        <w:fldChar w:fldCharType="end"/>
      </w:r>
      <w:r w:rsidR="00351C48" w:rsidRPr="0092670C">
        <w:rPr>
          <w:rFonts w:ascii="Arial" w:hAnsi="Arial" w:cs="Arial"/>
        </w:rPr>
        <w:t xml:space="preserve">. </w:t>
      </w:r>
      <w:r w:rsidR="0085455D" w:rsidRPr="0092670C">
        <w:rPr>
          <w:rFonts w:ascii="Arial" w:hAnsi="Arial" w:cs="Arial"/>
        </w:rPr>
        <w:t>Th</w:t>
      </w:r>
      <w:r w:rsidR="00111FB4" w:rsidRPr="0092670C">
        <w:rPr>
          <w:rFonts w:ascii="Arial" w:hAnsi="Arial" w:cs="Arial"/>
        </w:rPr>
        <w:t xml:space="preserve">is isn’t present </w:t>
      </w:r>
      <w:r w:rsidR="007F477B" w:rsidRPr="0092670C">
        <w:rPr>
          <w:rFonts w:ascii="Arial" w:hAnsi="Arial" w:cs="Arial"/>
        </w:rPr>
        <w:t>on the EC anode suggest that its r</w:t>
      </w:r>
      <w:r w:rsidR="00E832BB" w:rsidRPr="0092670C">
        <w:rPr>
          <w:rFonts w:ascii="Arial" w:hAnsi="Arial" w:cs="Arial"/>
        </w:rPr>
        <w:t>eactions were more limited</w:t>
      </w:r>
      <w:r w:rsidR="00033168">
        <w:rPr>
          <w:rFonts w:ascii="Arial" w:hAnsi="Arial" w:cs="Arial"/>
        </w:rPr>
        <w:t>,</w:t>
      </w:r>
      <w:r w:rsidR="008744E7">
        <w:rPr>
          <w:rFonts w:ascii="Arial" w:hAnsi="Arial" w:cs="Arial"/>
        </w:rPr>
        <w:t xml:space="preserve"> possibly due to the </w:t>
      </w:r>
      <w:r w:rsidR="00B07DBA">
        <w:rPr>
          <w:rFonts w:ascii="Arial" w:hAnsi="Arial" w:cs="Arial"/>
        </w:rPr>
        <w:t>poor Li diffusion of Li in E</w:t>
      </w:r>
      <w:r w:rsidR="00033168">
        <w:rPr>
          <w:rFonts w:ascii="Arial" w:hAnsi="Arial" w:cs="Arial"/>
        </w:rPr>
        <w:t xml:space="preserve"> that results </w:t>
      </w:r>
      <w:r w:rsidR="00E832BB" w:rsidRPr="0092670C">
        <w:rPr>
          <w:rFonts w:ascii="Arial" w:hAnsi="Arial" w:cs="Arial"/>
        </w:rPr>
        <w:t xml:space="preserve">in the highly resistive SEI seen. </w:t>
      </w:r>
    </w:p>
    <w:p w14:paraId="65DC5EB4" w14:textId="77777777" w:rsidR="00356A26" w:rsidRDefault="0067644A" w:rsidP="00356A26">
      <w:pPr>
        <w:keepNext/>
        <w:spacing w:after="200" w:line="360" w:lineRule="auto"/>
        <w:jc w:val="both"/>
      </w:pPr>
      <w:r>
        <w:rPr>
          <w:noProof/>
        </w:rPr>
      </w:r>
      <w:r w:rsidR="0067644A">
        <w:rPr>
          <w:noProof/>
        </w:rPr>
        <w:object w:dxaOrig="8568" w:dyaOrig="3096" w14:anchorId="7A739477">
          <v:shape id="_x0000_i1085" type="#_x0000_t75" style="width:425.9pt;height:155.9pt" o:ole="">
            <v:imagedata r:id="rId173" o:title=""/>
          </v:shape>
          <o:OLEObject Type="Embed" ProgID="ChemDraw.Document.6.0" ShapeID="_x0000_i1085" DrawAspect="Content" ObjectID="_1700733974" r:id="rId174"/>
        </w:object>
      </w:r>
    </w:p>
    <w:p w14:paraId="20144352" w14:textId="2569FCFA" w:rsidR="009D71BA" w:rsidRPr="00356A26" w:rsidRDefault="00356A26" w:rsidP="00356A26">
      <w:pPr>
        <w:pStyle w:val="Caption"/>
        <w:jc w:val="center"/>
        <w:rPr>
          <w:rFonts w:ascii="Arial" w:hAnsi="Arial" w:cs="Arial"/>
          <w:sz w:val="20"/>
          <w:szCs w:val="20"/>
        </w:rPr>
      </w:pPr>
      <w:r w:rsidRPr="00356A26">
        <w:rPr>
          <w:rFonts w:ascii="Arial" w:hAnsi="Arial" w:cs="Arial"/>
          <w:sz w:val="20"/>
          <w:szCs w:val="20"/>
        </w:rPr>
        <w:t xml:space="preserve">Figure </w:t>
      </w:r>
      <w:r w:rsidRPr="00356A26">
        <w:rPr>
          <w:rFonts w:ascii="Arial" w:hAnsi="Arial" w:cs="Arial"/>
          <w:sz w:val="20"/>
          <w:szCs w:val="20"/>
        </w:rPr>
        <w:fldChar w:fldCharType="begin"/>
      </w:r>
      <w:r w:rsidRPr="00356A26">
        <w:rPr>
          <w:rFonts w:ascii="Arial" w:hAnsi="Arial" w:cs="Arial"/>
          <w:sz w:val="20"/>
          <w:szCs w:val="20"/>
        </w:rPr>
        <w:instrText xml:space="preserve"> STYLEREF 1 \s </w:instrText>
      </w:r>
      <w:r w:rsidRPr="00356A26">
        <w:rPr>
          <w:rFonts w:ascii="Arial" w:hAnsi="Arial" w:cs="Arial"/>
          <w:sz w:val="20"/>
          <w:szCs w:val="20"/>
        </w:rPr>
        <w:fldChar w:fldCharType="separate"/>
      </w:r>
      <w:r w:rsidRPr="00356A26">
        <w:rPr>
          <w:rFonts w:ascii="Arial" w:hAnsi="Arial" w:cs="Arial"/>
          <w:noProof/>
          <w:sz w:val="20"/>
          <w:szCs w:val="20"/>
        </w:rPr>
        <w:t>3</w:t>
      </w:r>
      <w:r w:rsidRPr="00356A26">
        <w:rPr>
          <w:rFonts w:ascii="Arial" w:hAnsi="Arial" w:cs="Arial"/>
          <w:sz w:val="20"/>
          <w:szCs w:val="20"/>
        </w:rPr>
        <w:fldChar w:fldCharType="end"/>
      </w:r>
      <w:r w:rsidRPr="00356A26">
        <w:rPr>
          <w:rFonts w:ascii="Arial" w:hAnsi="Arial" w:cs="Arial"/>
          <w:sz w:val="20"/>
          <w:szCs w:val="20"/>
        </w:rPr>
        <w:noBreakHyphen/>
      </w:r>
      <w:r w:rsidRPr="00356A26">
        <w:rPr>
          <w:rFonts w:ascii="Arial" w:hAnsi="Arial" w:cs="Arial"/>
          <w:sz w:val="20"/>
          <w:szCs w:val="20"/>
        </w:rPr>
        <w:fldChar w:fldCharType="begin"/>
      </w:r>
      <w:r w:rsidRPr="00356A26">
        <w:rPr>
          <w:rFonts w:ascii="Arial" w:hAnsi="Arial" w:cs="Arial"/>
          <w:sz w:val="20"/>
          <w:szCs w:val="20"/>
        </w:rPr>
        <w:instrText xml:space="preserve"> SEQ Figure \* ARABIC \s 1 </w:instrText>
      </w:r>
      <w:r w:rsidRPr="00356A26">
        <w:rPr>
          <w:rFonts w:ascii="Arial" w:hAnsi="Arial" w:cs="Arial"/>
          <w:sz w:val="20"/>
          <w:szCs w:val="20"/>
        </w:rPr>
        <w:fldChar w:fldCharType="separate"/>
      </w:r>
      <w:r w:rsidRPr="00356A26">
        <w:rPr>
          <w:rFonts w:ascii="Arial" w:hAnsi="Arial" w:cs="Arial"/>
          <w:noProof/>
          <w:sz w:val="20"/>
          <w:szCs w:val="20"/>
        </w:rPr>
        <w:t>20</w:t>
      </w:r>
      <w:r w:rsidRPr="00356A26">
        <w:rPr>
          <w:rFonts w:ascii="Arial" w:hAnsi="Arial" w:cs="Arial"/>
          <w:sz w:val="20"/>
          <w:szCs w:val="20"/>
        </w:rPr>
        <w:fldChar w:fldCharType="end"/>
      </w:r>
      <w:r w:rsidRPr="00356A26">
        <w:rPr>
          <w:rFonts w:ascii="Arial" w:hAnsi="Arial" w:cs="Arial"/>
          <w:sz w:val="20"/>
          <w:szCs w:val="20"/>
        </w:rPr>
        <w:t>: Example reaction leading to the formation of linear C-O-C bonds</w:t>
      </w:r>
    </w:p>
    <w:p w14:paraId="5F1158FF" w14:textId="3E2179AE" w:rsidR="00E336EA" w:rsidRPr="0092670C" w:rsidRDefault="00E336EA" w:rsidP="00224FE9">
      <w:pPr>
        <w:pStyle w:val="Heading2"/>
        <w:rPr>
          <w:rFonts w:ascii="Arial" w:hAnsi="Arial" w:cs="Arial"/>
          <w:sz w:val="32"/>
          <w:szCs w:val="32"/>
        </w:rPr>
      </w:pPr>
      <w:bookmarkStart w:id="172" w:name="_Toc8747370"/>
      <w:bookmarkStart w:id="173" w:name="_Toc82538762"/>
      <w:r w:rsidRPr="0092670C">
        <w:rPr>
          <w:rFonts w:ascii="Arial" w:hAnsi="Arial" w:cs="Arial"/>
          <w:sz w:val="32"/>
          <w:szCs w:val="32"/>
        </w:rPr>
        <w:t xml:space="preserve">The importance of time as a variable for </w:t>
      </w:r>
      <w:r w:rsidR="003C26A3">
        <w:rPr>
          <w:rFonts w:ascii="Arial" w:hAnsi="Arial" w:cs="Arial"/>
          <w:sz w:val="32"/>
          <w:szCs w:val="32"/>
        </w:rPr>
        <w:t>l</w:t>
      </w:r>
      <w:r w:rsidRPr="0092670C">
        <w:rPr>
          <w:rFonts w:ascii="Arial" w:hAnsi="Arial" w:cs="Arial"/>
          <w:sz w:val="32"/>
          <w:szCs w:val="32"/>
        </w:rPr>
        <w:t>ithiation</w:t>
      </w:r>
      <w:bookmarkEnd w:id="172"/>
      <w:bookmarkEnd w:id="173"/>
    </w:p>
    <w:p w14:paraId="3790289F" w14:textId="77777777" w:rsidR="00E336EA" w:rsidRPr="0092670C" w:rsidRDefault="00E336EA" w:rsidP="00E336EA">
      <w:pPr>
        <w:spacing w:line="360" w:lineRule="auto"/>
        <w:jc w:val="both"/>
        <w:rPr>
          <w:rFonts w:ascii="Arial" w:hAnsi="Arial" w:cs="Arial"/>
        </w:rPr>
      </w:pPr>
      <w:r w:rsidRPr="0092670C">
        <w:rPr>
          <w:rFonts w:ascii="Arial" w:hAnsi="Arial" w:cs="Arial"/>
        </w:rPr>
        <w:t xml:space="preserve">All of the cells shown so far have been pre-lithiated for 24 hours. This was to ensure that the pre-lithiation was the only variable in this experiment. Time is very important for the pre-lithiation process. It determines how much SEI is formed and consequently how the cell performs. </w:t>
      </w:r>
    </w:p>
    <w:p w14:paraId="30732A83" w14:textId="1518A8A7" w:rsidR="00E336EA" w:rsidRPr="0092670C" w:rsidRDefault="00E336EA" w:rsidP="00E336EA">
      <w:pPr>
        <w:spacing w:line="360" w:lineRule="auto"/>
        <w:jc w:val="both"/>
        <w:rPr>
          <w:rFonts w:ascii="Arial" w:hAnsi="Arial" w:cs="Arial"/>
        </w:rPr>
      </w:pPr>
      <w:r w:rsidRPr="0092670C">
        <w:rPr>
          <w:rFonts w:ascii="Arial" w:hAnsi="Arial" w:cs="Arial"/>
        </w:rPr>
        <w:t>To determine the importance that time has in the pre-lithiation process cells were mechanically lithiated as described earlier, for a length of time between 1 and 48</w:t>
      </w:r>
      <w:r w:rsidR="003E3525">
        <w:rPr>
          <w:rFonts w:ascii="Arial" w:hAnsi="Arial" w:cs="Arial"/>
        </w:rPr>
        <w:t xml:space="preserve"> </w:t>
      </w:r>
      <w:r w:rsidRPr="0092670C">
        <w:rPr>
          <w:rFonts w:ascii="Arial" w:hAnsi="Arial" w:cs="Arial"/>
        </w:rPr>
        <w:t xml:space="preserve">hrs. a rival batch of Cells were electrochemically, rather than mechanically pre-lithiated for between 10 and 50 minutes. </w:t>
      </w:r>
    </w:p>
    <w:p w14:paraId="4D32B9C2" w14:textId="77777777" w:rsidR="00E336EA" w:rsidRPr="0092670C" w:rsidRDefault="00E336EA" w:rsidP="00E336EA">
      <w:pPr>
        <w:spacing w:line="360" w:lineRule="auto"/>
        <w:jc w:val="both"/>
        <w:rPr>
          <w:rFonts w:ascii="Arial" w:hAnsi="Arial" w:cs="Arial"/>
        </w:rPr>
      </w:pPr>
      <w:r w:rsidRPr="0092670C">
        <w:rPr>
          <w:rFonts w:ascii="Arial" w:hAnsi="Arial" w:cs="Arial"/>
        </w:rPr>
        <w:t>Cells were pre-lithiated using both techniques to compare and contrast them. Both operate over different timescales and so choosing the correct time will help to make these techniques more competitive with each other.</w:t>
      </w:r>
    </w:p>
    <w:p w14:paraId="2E0D1CF9" w14:textId="4322C2E5" w:rsidR="00E336EA" w:rsidRPr="0092670C" w:rsidRDefault="00E336EA" w:rsidP="00224FE9">
      <w:pPr>
        <w:pStyle w:val="Heading2"/>
        <w:rPr>
          <w:rFonts w:ascii="Arial" w:hAnsi="Arial" w:cs="Arial"/>
          <w:sz w:val="32"/>
          <w:szCs w:val="32"/>
        </w:rPr>
      </w:pPr>
      <w:bookmarkStart w:id="174" w:name="_Toc8747371"/>
      <w:bookmarkStart w:id="175" w:name="_Toc82538763"/>
      <w:r w:rsidRPr="0092670C">
        <w:rPr>
          <w:rFonts w:ascii="Arial" w:hAnsi="Arial" w:cs="Arial"/>
          <w:sz w:val="32"/>
          <w:szCs w:val="32"/>
        </w:rPr>
        <w:t>Mechanical pre-lithiation of graphite</w:t>
      </w:r>
      <w:bookmarkEnd w:id="174"/>
      <w:bookmarkEnd w:id="175"/>
    </w:p>
    <w:p w14:paraId="279BA6E8" w14:textId="3BFA74AE" w:rsidR="0029516D" w:rsidRDefault="0029516D" w:rsidP="0029516D">
      <w:pPr>
        <w:pStyle w:val="Heading3"/>
        <w:rPr>
          <w:rFonts w:ascii="Arial" w:hAnsi="Arial" w:cs="Arial"/>
        </w:rPr>
      </w:pPr>
      <w:bookmarkStart w:id="176" w:name="_Toc82538764"/>
      <w:r w:rsidRPr="0092670C">
        <w:rPr>
          <w:rFonts w:ascii="Arial" w:hAnsi="Arial" w:cs="Arial"/>
        </w:rPr>
        <w:t>Experimental</w:t>
      </w:r>
      <w:bookmarkEnd w:id="176"/>
    </w:p>
    <w:p w14:paraId="125B07B0" w14:textId="4A6685F6" w:rsidR="00EE42EE" w:rsidRPr="00A80760" w:rsidRDefault="00A80760" w:rsidP="00A80760">
      <w:pPr>
        <w:spacing w:line="360" w:lineRule="auto"/>
        <w:jc w:val="both"/>
        <w:rPr>
          <w:rFonts w:ascii="Arial" w:hAnsi="Arial" w:cs="Arial"/>
        </w:rPr>
      </w:pPr>
      <w:r w:rsidRPr="00A80760">
        <w:rPr>
          <w:rFonts w:ascii="Arial" w:hAnsi="Arial" w:cs="Arial"/>
        </w:rPr>
        <w:t>Graphite electrodes were made as described in 2.2.1. The electrodes were then pre-lithiated with either LP30 (1.0M LiPF6 in EC/DMC=50/50 (v/v), battery grade, Sigma Aldrich) or FEC (98%, Alfa Aesar) as outlined in 2.3.1. This process was conducted between 1 and 48hrs. These electrodes were then assembled into coin cells and cycled at C/10 for 100 cycles using CC/CV cycling for the charge on a Maccor series 4000M at 25°C. An electrode the hadn’t been pre-lithiated was also cycled as a reference.</w:t>
      </w:r>
    </w:p>
    <w:p w14:paraId="36203287" w14:textId="77777777" w:rsidR="00933A50" w:rsidRPr="0092670C" w:rsidRDefault="00933A50" w:rsidP="00933A50">
      <w:pPr>
        <w:pStyle w:val="Heading3"/>
        <w:rPr>
          <w:rFonts w:ascii="Arial" w:hAnsi="Arial" w:cs="Arial"/>
        </w:rPr>
      </w:pPr>
      <w:bookmarkStart w:id="177" w:name="_Toc8747372"/>
      <w:bookmarkStart w:id="178" w:name="_Toc82538765"/>
      <w:r w:rsidRPr="0092670C">
        <w:rPr>
          <w:rFonts w:ascii="Arial" w:hAnsi="Arial" w:cs="Arial"/>
        </w:rPr>
        <w:t>Results</w:t>
      </w:r>
      <w:bookmarkEnd w:id="177"/>
      <w:bookmarkEnd w:id="178"/>
    </w:p>
    <w:p w14:paraId="02024B3E" w14:textId="087A95F9" w:rsidR="00933A50" w:rsidRPr="0092670C" w:rsidRDefault="00933A50" w:rsidP="00E336EA">
      <w:pPr>
        <w:spacing w:line="360" w:lineRule="auto"/>
        <w:jc w:val="both"/>
        <w:rPr>
          <w:rFonts w:ascii="Arial" w:hAnsi="Arial" w:cs="Arial"/>
        </w:rPr>
      </w:pPr>
      <w:r w:rsidRPr="0092670C">
        <w:rPr>
          <w:rFonts w:ascii="Arial" w:hAnsi="Arial" w:cs="Arial"/>
        </w:rPr>
        <w:t xml:space="preserve">The first item to check is how pre-lithiation affects the capacity of the cell. </w:t>
      </w:r>
      <w:r w:rsidR="00B04840" w:rsidRPr="0092670C">
        <w:rPr>
          <w:rFonts w:ascii="Arial" w:hAnsi="Arial" w:cs="Arial"/>
        </w:rPr>
        <w:t xml:space="preserve">As seen in </w:t>
      </w:r>
      <w:r w:rsidR="00FD2EE6" w:rsidRPr="0092670C">
        <w:rPr>
          <w:rFonts w:ascii="Arial" w:hAnsi="Arial" w:cs="Arial"/>
        </w:rPr>
        <w:fldChar w:fldCharType="begin"/>
      </w:r>
      <w:r w:rsidR="00FD2EE6" w:rsidRPr="0092670C">
        <w:rPr>
          <w:rFonts w:ascii="Arial" w:hAnsi="Arial" w:cs="Arial"/>
        </w:rPr>
        <w:instrText xml:space="preserve"> REF _Ref31481499 \h  \* MERGEFORMAT </w:instrText>
      </w:r>
      <w:r w:rsidR="00FD2EE6" w:rsidRPr="0092670C">
        <w:rPr>
          <w:rFonts w:ascii="Arial" w:hAnsi="Arial" w:cs="Arial"/>
        </w:rPr>
      </w:r>
      <w:r w:rsidR="00FD2EE6"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20</w:t>
      </w:r>
      <w:r w:rsidR="00FD2EE6" w:rsidRPr="0092670C">
        <w:rPr>
          <w:rFonts w:ascii="Arial" w:hAnsi="Arial" w:cs="Arial"/>
        </w:rPr>
        <w:fldChar w:fldCharType="end"/>
      </w:r>
      <w:r w:rsidR="00FD2EE6" w:rsidRPr="0092670C">
        <w:rPr>
          <w:rFonts w:ascii="Arial" w:hAnsi="Arial" w:cs="Arial"/>
        </w:rPr>
        <w:t xml:space="preserve"> i</w:t>
      </w:r>
      <w:r w:rsidRPr="0092670C">
        <w:rPr>
          <w:rFonts w:ascii="Arial" w:hAnsi="Arial" w:cs="Arial"/>
        </w:rPr>
        <w:t xml:space="preserve">nitially the cell capacity dips before rising and then decreasing again. This may look confusing but there are several competing factors that lead to these results. </w:t>
      </w:r>
      <w:r w:rsidR="00824B79" w:rsidRPr="0092670C">
        <w:rPr>
          <w:rFonts w:ascii="Arial" w:hAnsi="Arial" w:cs="Arial"/>
        </w:rPr>
        <w:t>Initially the SEI formed after a short pre-lithiation time is too thin and, in some areas, non-existent. This incomplete SEI is actually worse for the cell. It is unstable and this leads to poor cell performance. The maximum is reached when the SEI formation has reached its peak thickness before graphite intercalation. After Li intercalation has started the capacity of the cell starts to reduce again. This is where the line between pre-lithiation and the first discharge of the cell occurs. At this stage the benefits of pre-lithiation of the cell is lost to the Li that is intercalated within the graphite, partially immobilised, reducing the graphite’s capacity.</w:t>
      </w:r>
    </w:p>
    <w:p w14:paraId="243784D1" w14:textId="5B3C37C9"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11AC30A7">
          <v:shape id="_x0000_i1086" type="#_x0000_t75" style="width:365.8pt;height:282.2pt" o:ole="">
            <v:imagedata r:id="rId175" o:title=""/>
          </v:shape>
          <o:OLEObject Type="Embed" ProgID="Origin95.Graph" ShapeID="_x0000_i1086" DrawAspect="Content" ObjectID="_1700733975" r:id="rId176"/>
        </w:object>
      </w:r>
    </w:p>
    <w:p w14:paraId="00EEFE6D" w14:textId="0933C7A7" w:rsidR="00E336EA" w:rsidRPr="0092670C" w:rsidRDefault="00E336EA" w:rsidP="00E336EA">
      <w:pPr>
        <w:spacing w:after="200" w:line="360" w:lineRule="auto"/>
        <w:jc w:val="center"/>
        <w:rPr>
          <w:rFonts w:ascii="Arial" w:hAnsi="Arial" w:cs="Arial"/>
          <w:i/>
          <w:iCs/>
          <w:color w:val="44546A" w:themeColor="text2"/>
          <w:sz w:val="20"/>
          <w:szCs w:val="20"/>
        </w:rPr>
      </w:pPr>
      <w:bookmarkStart w:id="179" w:name="_Ref31481499"/>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21</w:t>
      </w:r>
      <w:r w:rsidR="00356A26">
        <w:rPr>
          <w:rFonts w:ascii="Arial" w:hAnsi="Arial" w:cs="Arial"/>
          <w:i/>
          <w:iCs/>
          <w:color w:val="44546A" w:themeColor="text2"/>
          <w:sz w:val="20"/>
          <w:szCs w:val="20"/>
        </w:rPr>
        <w:fldChar w:fldCharType="end"/>
      </w:r>
      <w:bookmarkEnd w:id="179"/>
      <w:r w:rsidRPr="0092670C">
        <w:rPr>
          <w:rFonts w:ascii="Arial" w:hAnsi="Arial" w:cs="Arial"/>
          <w:i/>
          <w:iCs/>
          <w:color w:val="44546A" w:themeColor="text2"/>
          <w:sz w:val="20"/>
          <w:szCs w:val="20"/>
        </w:rPr>
        <w:t xml:space="preserve">: </w:t>
      </w:r>
      <w:r w:rsidR="00675C70" w:rsidRPr="0092670C">
        <w:rPr>
          <w:rFonts w:ascii="Arial" w:hAnsi="Arial" w:cs="Arial"/>
          <w:i/>
          <w:iCs/>
          <w:color w:val="44546A" w:themeColor="text2"/>
          <w:sz w:val="20"/>
          <w:szCs w:val="20"/>
        </w:rPr>
        <w:t>G</w:t>
      </w:r>
      <w:r w:rsidRPr="0092670C">
        <w:rPr>
          <w:rFonts w:ascii="Arial" w:hAnsi="Arial" w:cs="Arial"/>
          <w:i/>
          <w:iCs/>
          <w:color w:val="44546A" w:themeColor="text2"/>
          <w:sz w:val="20"/>
          <w:szCs w:val="20"/>
        </w:rPr>
        <w:t>raph demonstrating cell capacity with changing pre-lithiation time</w:t>
      </w:r>
      <w:r w:rsidR="00675C70" w:rsidRPr="0092670C">
        <w:rPr>
          <w:rFonts w:ascii="Arial" w:hAnsi="Arial" w:cs="Arial"/>
          <w:i/>
          <w:iCs/>
          <w:color w:val="44546A" w:themeColor="text2"/>
          <w:sz w:val="20"/>
          <w:szCs w:val="20"/>
        </w:rPr>
        <w:t>.</w:t>
      </w:r>
    </w:p>
    <w:p w14:paraId="4E8E9BBC" w14:textId="7777777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2" w:dyaOrig="4722" w14:anchorId="15D341E6">
          <v:shape id="_x0000_i1087" type="#_x0000_t75" style="width:312.1pt;height:240.1pt" o:ole="">
            <v:imagedata r:id="rId177" o:title=""/>
          </v:shape>
          <o:OLEObject Type="Embed" ProgID="Origin95.Graph" ShapeID="_x0000_i1087" DrawAspect="Content" ObjectID="_1700733976" r:id="rId178"/>
        </w:object>
      </w:r>
    </w:p>
    <w:p w14:paraId="4FF966AB" w14:textId="32E2FBB5" w:rsidR="00E336EA" w:rsidRPr="0092670C" w:rsidRDefault="00E336EA" w:rsidP="00E336EA">
      <w:pPr>
        <w:spacing w:after="200" w:line="360" w:lineRule="auto"/>
        <w:jc w:val="center"/>
        <w:rPr>
          <w:rFonts w:ascii="Arial" w:hAnsi="Arial" w:cs="Arial"/>
          <w:i/>
          <w:iCs/>
          <w:color w:val="44546A" w:themeColor="text2"/>
          <w:sz w:val="20"/>
          <w:szCs w:val="20"/>
        </w:rPr>
      </w:pPr>
      <w:bookmarkStart w:id="180" w:name="_Ref31481910"/>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22</w:t>
      </w:r>
      <w:r w:rsidR="00356A26">
        <w:rPr>
          <w:rFonts w:ascii="Arial" w:hAnsi="Arial" w:cs="Arial"/>
          <w:i/>
          <w:iCs/>
          <w:color w:val="44546A" w:themeColor="text2"/>
          <w:sz w:val="20"/>
          <w:szCs w:val="20"/>
        </w:rPr>
        <w:fldChar w:fldCharType="end"/>
      </w:r>
      <w:bookmarkEnd w:id="180"/>
      <w:r w:rsidRPr="0092670C">
        <w:rPr>
          <w:rFonts w:ascii="Arial" w:hAnsi="Arial" w:cs="Arial"/>
          <w:i/>
          <w:iCs/>
          <w:color w:val="44546A" w:themeColor="text2"/>
          <w:sz w:val="20"/>
          <w:szCs w:val="20"/>
        </w:rPr>
        <w:t>: Pre-lithiated cell performance</w:t>
      </w:r>
      <w:r w:rsidR="00675C70" w:rsidRPr="0092670C">
        <w:rPr>
          <w:rFonts w:ascii="Arial" w:hAnsi="Arial" w:cs="Arial"/>
          <w:i/>
          <w:iCs/>
          <w:color w:val="44546A" w:themeColor="text2"/>
          <w:sz w:val="20"/>
          <w:szCs w:val="20"/>
        </w:rPr>
        <w:t>.</w:t>
      </w:r>
    </w:p>
    <w:p w14:paraId="2B30FB90" w14:textId="77777777" w:rsidR="009310F6" w:rsidRPr="0092670C" w:rsidRDefault="0045415B" w:rsidP="009310F6">
      <w:pPr>
        <w:spacing w:line="360" w:lineRule="auto"/>
        <w:jc w:val="both"/>
        <w:rPr>
          <w:rFonts w:ascii="Arial" w:hAnsi="Arial" w:cs="Arial"/>
        </w:rPr>
      </w:pPr>
      <w:r w:rsidRPr="0092670C">
        <w:rPr>
          <w:rFonts w:ascii="Arial" w:hAnsi="Arial" w:cs="Arial"/>
        </w:rPr>
        <w:t xml:space="preserve">When </w:t>
      </w:r>
      <w:r w:rsidR="004F0BAA" w:rsidRPr="0092670C">
        <w:rPr>
          <w:rFonts w:ascii="Arial" w:hAnsi="Arial" w:cs="Arial"/>
        </w:rPr>
        <w:t xml:space="preserve">observing the change in cell capacity with respect to time </w:t>
      </w:r>
      <w:r w:rsidR="003217F2" w:rsidRPr="0092670C">
        <w:rPr>
          <w:rFonts w:ascii="Arial" w:hAnsi="Arial" w:cs="Arial"/>
        </w:rPr>
        <w:t xml:space="preserve">in </w:t>
      </w:r>
      <w:r w:rsidR="003217F2" w:rsidRPr="0092670C">
        <w:rPr>
          <w:rFonts w:ascii="Arial" w:hAnsi="Arial" w:cs="Arial"/>
        </w:rPr>
        <w:fldChar w:fldCharType="begin"/>
      </w:r>
      <w:r w:rsidR="003217F2" w:rsidRPr="0092670C">
        <w:rPr>
          <w:rFonts w:ascii="Arial" w:hAnsi="Arial" w:cs="Arial"/>
        </w:rPr>
        <w:instrText xml:space="preserve"> REF _Ref31481910 \h  \* MERGEFORMAT </w:instrText>
      </w:r>
      <w:r w:rsidR="003217F2" w:rsidRPr="0092670C">
        <w:rPr>
          <w:rFonts w:ascii="Arial" w:hAnsi="Arial" w:cs="Arial"/>
        </w:rPr>
      </w:r>
      <w:r w:rsidR="003217F2"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21</w:t>
      </w:r>
      <w:r w:rsidR="003217F2" w:rsidRPr="0092670C">
        <w:rPr>
          <w:rFonts w:ascii="Arial" w:hAnsi="Arial" w:cs="Arial"/>
        </w:rPr>
        <w:fldChar w:fldCharType="end"/>
      </w:r>
      <w:r w:rsidR="003217F2" w:rsidRPr="0092670C">
        <w:rPr>
          <w:rFonts w:ascii="Arial" w:hAnsi="Arial" w:cs="Arial"/>
        </w:rPr>
        <w:t xml:space="preserve"> </w:t>
      </w:r>
      <w:r w:rsidR="006D6370" w:rsidRPr="0092670C">
        <w:rPr>
          <w:rFonts w:ascii="Arial" w:hAnsi="Arial" w:cs="Arial"/>
        </w:rPr>
        <w:t>the poor capacity re</w:t>
      </w:r>
      <w:r w:rsidR="004F0C93" w:rsidRPr="0092670C">
        <w:rPr>
          <w:rFonts w:ascii="Arial" w:hAnsi="Arial" w:cs="Arial"/>
        </w:rPr>
        <w:t xml:space="preserve">tention of </w:t>
      </w:r>
      <w:r w:rsidR="00F73A9B" w:rsidRPr="0092670C">
        <w:rPr>
          <w:rFonts w:ascii="Arial" w:hAnsi="Arial" w:cs="Arial"/>
        </w:rPr>
        <w:t xml:space="preserve">the reference cell is </w:t>
      </w:r>
      <w:r w:rsidR="0058496F" w:rsidRPr="0092670C">
        <w:rPr>
          <w:rFonts w:ascii="Arial" w:hAnsi="Arial" w:cs="Arial"/>
        </w:rPr>
        <w:t>clearly visible with the</w:t>
      </w:r>
      <w:r w:rsidR="00C129AA" w:rsidRPr="0092670C">
        <w:rPr>
          <w:rFonts w:ascii="Arial" w:hAnsi="Arial" w:cs="Arial"/>
        </w:rPr>
        <w:t xml:space="preserve"> </w:t>
      </w:r>
      <w:r w:rsidR="00DB6D3B" w:rsidRPr="0092670C">
        <w:rPr>
          <w:rFonts w:ascii="Arial" w:hAnsi="Arial" w:cs="Arial"/>
        </w:rPr>
        <w:t>cell losing</w:t>
      </w:r>
      <w:r w:rsidR="00A14ADA" w:rsidRPr="0092670C">
        <w:rPr>
          <w:rFonts w:ascii="Arial" w:hAnsi="Arial" w:cs="Arial"/>
        </w:rPr>
        <w:t xml:space="preserve"> over 50</w:t>
      </w:r>
      <w:r w:rsidR="009A7ECB" w:rsidRPr="0092670C">
        <w:rPr>
          <w:rFonts w:ascii="Arial" w:hAnsi="Arial" w:cs="Arial"/>
        </w:rPr>
        <w:t xml:space="preserve"> </w:t>
      </w:r>
      <w:r w:rsidR="00A14ADA" w:rsidRPr="0092670C">
        <w:rPr>
          <w:rFonts w:ascii="Arial" w:hAnsi="Arial" w:cs="Arial"/>
        </w:rPr>
        <w:t>mAhg</w:t>
      </w:r>
      <w:r w:rsidR="000F23F4">
        <w:rPr>
          <w:rFonts w:ascii="Arial" w:hAnsi="Arial" w:cs="Arial"/>
          <w:vertAlign w:val="superscript"/>
        </w:rPr>
        <w:noBreakHyphen/>
      </w:r>
      <w:r w:rsidR="00A14ADA" w:rsidRPr="0092670C">
        <w:rPr>
          <w:rFonts w:ascii="Arial" w:hAnsi="Arial" w:cs="Arial"/>
          <w:vertAlign w:val="superscript"/>
        </w:rPr>
        <w:t>1</w:t>
      </w:r>
      <w:r w:rsidR="00A14ADA" w:rsidRPr="0092670C">
        <w:rPr>
          <w:rFonts w:ascii="Arial" w:hAnsi="Arial" w:cs="Arial"/>
        </w:rPr>
        <w:t xml:space="preserve"> of capacity over 100 cycles.</w:t>
      </w:r>
      <w:r w:rsidR="0058496F" w:rsidRPr="0092670C">
        <w:rPr>
          <w:rFonts w:ascii="Arial" w:hAnsi="Arial" w:cs="Arial"/>
        </w:rPr>
        <w:t xml:space="preserve"> </w:t>
      </w:r>
      <w:r w:rsidR="005A73E6" w:rsidRPr="0092670C">
        <w:rPr>
          <w:rFonts w:ascii="Arial" w:hAnsi="Arial" w:cs="Arial"/>
        </w:rPr>
        <w:t>The pre lithiated cells show much better retention with on</w:t>
      </w:r>
      <w:r w:rsidR="002E23F0" w:rsidRPr="0092670C">
        <w:rPr>
          <w:rFonts w:ascii="Arial" w:hAnsi="Arial" w:cs="Arial"/>
        </w:rPr>
        <w:t xml:space="preserve">ly the cell pre-lithiated for 10 minutes </w:t>
      </w:r>
      <w:r w:rsidR="00954355" w:rsidRPr="0092670C">
        <w:rPr>
          <w:rFonts w:ascii="Arial" w:hAnsi="Arial" w:cs="Arial"/>
        </w:rPr>
        <w:t xml:space="preserve">demonstrating any significant fade. This was most likely </w:t>
      </w:r>
      <w:r w:rsidR="00E51D32" w:rsidRPr="0092670C">
        <w:rPr>
          <w:rFonts w:ascii="Arial" w:hAnsi="Arial" w:cs="Arial"/>
        </w:rPr>
        <w:t>due the thin, initial SEI layer formed</w:t>
      </w:r>
      <w:r w:rsidR="00B53D21" w:rsidRPr="0092670C">
        <w:rPr>
          <w:rFonts w:ascii="Arial" w:hAnsi="Arial" w:cs="Arial"/>
        </w:rPr>
        <w:t xml:space="preserve"> that </w:t>
      </w:r>
      <w:r w:rsidR="00666C02" w:rsidRPr="0092670C">
        <w:rPr>
          <w:rFonts w:ascii="Arial" w:hAnsi="Arial" w:cs="Arial"/>
        </w:rPr>
        <w:t>wasn’t robust enough for long term cycling.</w:t>
      </w:r>
      <w:r w:rsidR="00E51D32" w:rsidRPr="0092670C">
        <w:rPr>
          <w:rFonts w:ascii="Arial" w:hAnsi="Arial" w:cs="Arial"/>
        </w:rPr>
        <w:t xml:space="preserve"> </w:t>
      </w:r>
      <w:r w:rsidR="009310F6" w:rsidRPr="0092670C">
        <w:rPr>
          <w:rFonts w:ascii="Arial" w:hAnsi="Arial" w:cs="Arial"/>
        </w:rPr>
        <w:t xml:space="preserve">Pre-lithiation causes the voltage of the anode to reduce as pre-lithiation time increases. As the voltage decreases the coulombic efficiency of the anode increases as seen in </w:t>
      </w:r>
      <w:r w:rsidR="009310F6" w:rsidRPr="0092670C">
        <w:rPr>
          <w:rFonts w:ascii="Arial" w:hAnsi="Arial" w:cs="Arial"/>
        </w:rPr>
        <w:fldChar w:fldCharType="begin"/>
      </w:r>
      <w:r w:rsidR="009310F6" w:rsidRPr="0092670C">
        <w:rPr>
          <w:rFonts w:ascii="Arial" w:hAnsi="Arial" w:cs="Arial"/>
        </w:rPr>
        <w:instrText xml:space="preserve"> REF _Ref31480832 \h  \* MERGEFORMAT </w:instrText>
      </w:r>
      <w:r w:rsidR="009310F6" w:rsidRPr="0092670C">
        <w:rPr>
          <w:rFonts w:ascii="Arial" w:hAnsi="Arial" w:cs="Arial"/>
        </w:rPr>
      </w:r>
      <w:r w:rsidR="009310F6" w:rsidRPr="0092670C">
        <w:rPr>
          <w:rFonts w:ascii="Arial" w:hAnsi="Arial" w:cs="Arial"/>
        </w:rPr>
        <w:fldChar w:fldCharType="separate"/>
      </w:r>
      <w:r w:rsidR="009310F6" w:rsidRPr="007342C8">
        <w:rPr>
          <w:rFonts w:ascii="Arial" w:hAnsi="Arial" w:cs="Arial"/>
        </w:rPr>
        <w:t xml:space="preserve">Figure </w:t>
      </w:r>
      <w:r w:rsidR="009310F6" w:rsidRPr="007342C8">
        <w:rPr>
          <w:rFonts w:ascii="Arial" w:hAnsi="Arial" w:cs="Arial"/>
          <w:noProof/>
        </w:rPr>
        <w:t>3</w:t>
      </w:r>
      <w:r w:rsidR="009310F6" w:rsidRPr="007342C8">
        <w:rPr>
          <w:rFonts w:ascii="Arial" w:hAnsi="Arial" w:cs="Arial"/>
          <w:noProof/>
        </w:rPr>
        <w:noBreakHyphen/>
        <w:t>22</w:t>
      </w:r>
      <w:r w:rsidR="009310F6" w:rsidRPr="0092670C">
        <w:rPr>
          <w:rFonts w:ascii="Arial" w:hAnsi="Arial" w:cs="Arial"/>
        </w:rPr>
        <w:fldChar w:fldCharType="end"/>
      </w:r>
      <w:r w:rsidR="009310F6" w:rsidRPr="0092670C">
        <w:rPr>
          <w:rFonts w:ascii="Arial" w:hAnsi="Arial" w:cs="Arial"/>
        </w:rPr>
        <w:t xml:space="preserve">. The relationship between these two can be seen in </w:t>
      </w:r>
      <w:r w:rsidR="009310F6" w:rsidRPr="0092670C">
        <w:rPr>
          <w:rFonts w:ascii="Arial" w:hAnsi="Arial" w:cs="Arial"/>
        </w:rPr>
        <w:fldChar w:fldCharType="begin"/>
      </w:r>
      <w:r w:rsidR="009310F6" w:rsidRPr="0092670C">
        <w:rPr>
          <w:rFonts w:ascii="Arial" w:hAnsi="Arial" w:cs="Arial"/>
        </w:rPr>
        <w:instrText xml:space="preserve"> REF _Ref31477116 \h  \* MERGEFORMAT </w:instrText>
      </w:r>
      <w:r w:rsidR="009310F6" w:rsidRPr="0092670C">
        <w:rPr>
          <w:rFonts w:ascii="Arial" w:hAnsi="Arial" w:cs="Arial"/>
        </w:rPr>
      </w:r>
      <w:r w:rsidR="009310F6" w:rsidRPr="0092670C">
        <w:rPr>
          <w:rFonts w:ascii="Arial" w:hAnsi="Arial" w:cs="Arial"/>
        </w:rPr>
        <w:fldChar w:fldCharType="separate"/>
      </w:r>
      <w:r w:rsidR="009310F6" w:rsidRPr="007342C8">
        <w:rPr>
          <w:rFonts w:ascii="Arial" w:hAnsi="Arial" w:cs="Arial"/>
        </w:rPr>
        <w:t xml:space="preserve">Figure </w:t>
      </w:r>
      <w:r w:rsidR="009310F6" w:rsidRPr="007342C8">
        <w:rPr>
          <w:rFonts w:ascii="Arial" w:hAnsi="Arial" w:cs="Arial"/>
          <w:noProof/>
        </w:rPr>
        <w:t>3</w:t>
      </w:r>
      <w:r w:rsidR="009310F6" w:rsidRPr="007342C8">
        <w:rPr>
          <w:rFonts w:ascii="Arial" w:hAnsi="Arial" w:cs="Arial"/>
          <w:noProof/>
        </w:rPr>
        <w:noBreakHyphen/>
        <w:t>23</w:t>
      </w:r>
      <w:r w:rsidR="009310F6" w:rsidRPr="0092670C">
        <w:rPr>
          <w:rFonts w:ascii="Arial" w:hAnsi="Arial" w:cs="Arial"/>
        </w:rPr>
        <w:fldChar w:fldCharType="end"/>
      </w:r>
      <w:r w:rsidR="009310F6" w:rsidRPr="0092670C">
        <w:rPr>
          <w:rFonts w:ascii="Arial" w:hAnsi="Arial" w:cs="Arial"/>
        </w:rPr>
        <w:t xml:space="preserve"> with the inversely proportional relationship. This means that the open circuit voltage of a pre-lithiated cell can be used to predict its performance.</w:t>
      </w:r>
    </w:p>
    <w:p w14:paraId="112F97C3" w14:textId="77777777" w:rsidR="009310F6" w:rsidRPr="0092670C" w:rsidRDefault="0067644A" w:rsidP="009310F6">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04E16E86">
          <v:shape id="_x0000_i1088" type="#_x0000_t75" style="width:324.3pt;height:245.9pt" o:ole="">
            <v:imagedata r:id="rId179" o:title=""/>
          </v:shape>
          <o:OLEObject Type="Embed" ProgID="Origin95.Graph" ShapeID="_x0000_i1088" DrawAspect="Content" ObjectID="_1700733977" r:id="rId180"/>
        </w:object>
      </w:r>
    </w:p>
    <w:p w14:paraId="69DDBC26" w14:textId="3E5C523D" w:rsidR="009310F6" w:rsidRPr="0092670C" w:rsidRDefault="009310F6" w:rsidP="009310F6">
      <w:pPr>
        <w:spacing w:after="200" w:line="360" w:lineRule="auto"/>
        <w:jc w:val="center"/>
        <w:rPr>
          <w:rFonts w:ascii="Arial" w:hAnsi="Arial" w:cs="Arial"/>
          <w:i/>
          <w:iCs/>
          <w:color w:val="44546A" w:themeColor="text2"/>
          <w:sz w:val="20"/>
          <w:szCs w:val="20"/>
        </w:rPr>
      </w:pPr>
      <w:bookmarkStart w:id="181" w:name="_Ref31477116"/>
      <w:bookmarkStart w:id="182" w:name="_Ref1558917"/>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23</w:t>
      </w:r>
      <w:r w:rsidR="00356A26">
        <w:rPr>
          <w:rFonts w:ascii="Arial" w:hAnsi="Arial" w:cs="Arial"/>
          <w:i/>
          <w:iCs/>
          <w:color w:val="44546A" w:themeColor="text2"/>
          <w:sz w:val="20"/>
          <w:szCs w:val="20"/>
        </w:rPr>
        <w:fldChar w:fldCharType="end"/>
      </w:r>
      <w:bookmarkEnd w:id="181"/>
      <w:r w:rsidRPr="0092670C">
        <w:rPr>
          <w:rFonts w:ascii="Arial" w:hAnsi="Arial" w:cs="Arial"/>
          <w:i/>
          <w:iCs/>
          <w:color w:val="44546A" w:themeColor="text2"/>
          <w:sz w:val="20"/>
          <w:szCs w:val="20"/>
        </w:rPr>
        <w:t>: Graph highlighting the relationship between voltage and coulombic efficiency as a function of pre-lithiation time</w:t>
      </w:r>
      <w:bookmarkEnd w:id="182"/>
      <w:r w:rsidRPr="0092670C">
        <w:rPr>
          <w:rFonts w:ascii="Arial" w:hAnsi="Arial" w:cs="Arial"/>
          <w:i/>
          <w:iCs/>
          <w:color w:val="44546A" w:themeColor="text2"/>
          <w:sz w:val="20"/>
          <w:szCs w:val="20"/>
        </w:rPr>
        <w:t>.</w:t>
      </w:r>
    </w:p>
    <w:p w14:paraId="7A87F35D" w14:textId="77777777" w:rsidR="009310F6" w:rsidRPr="0092670C" w:rsidRDefault="0067644A" w:rsidP="009310F6">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5759CD97">
          <v:shape id="_x0000_i1089" type="#_x0000_t75" style="width:342pt;height:258.1pt" o:ole="">
            <v:imagedata r:id="rId181" o:title=""/>
          </v:shape>
          <o:OLEObject Type="Embed" ProgID="Origin95.Graph" ShapeID="_x0000_i1089" DrawAspect="Content" ObjectID="_1700733978" r:id="rId182"/>
        </w:object>
      </w:r>
    </w:p>
    <w:p w14:paraId="4C9036C3" w14:textId="7A024136" w:rsidR="009310F6" w:rsidRPr="0092670C" w:rsidRDefault="009310F6" w:rsidP="009310F6">
      <w:pPr>
        <w:spacing w:after="200" w:line="360" w:lineRule="auto"/>
        <w:jc w:val="center"/>
        <w:rPr>
          <w:rFonts w:ascii="Arial" w:hAnsi="Arial" w:cs="Arial"/>
          <w:i/>
          <w:iCs/>
          <w:color w:val="44546A" w:themeColor="text2"/>
          <w:sz w:val="20"/>
          <w:szCs w:val="20"/>
        </w:rPr>
      </w:pPr>
      <w:bookmarkStart w:id="183" w:name="_Ref31480724"/>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24</w:t>
      </w:r>
      <w:r w:rsidR="00356A26">
        <w:rPr>
          <w:rFonts w:ascii="Arial" w:hAnsi="Arial" w:cs="Arial"/>
          <w:i/>
          <w:iCs/>
          <w:color w:val="44546A" w:themeColor="text2"/>
          <w:sz w:val="20"/>
          <w:szCs w:val="20"/>
        </w:rPr>
        <w:fldChar w:fldCharType="end"/>
      </w:r>
      <w:bookmarkEnd w:id="183"/>
      <w:r w:rsidRPr="0092670C">
        <w:rPr>
          <w:rFonts w:ascii="Arial" w:hAnsi="Arial" w:cs="Arial"/>
          <w:i/>
          <w:iCs/>
          <w:color w:val="44546A" w:themeColor="text2"/>
          <w:sz w:val="20"/>
          <w:szCs w:val="20"/>
        </w:rPr>
        <w:t>: Graph highlighting the relationship between coulombic efficiency and capacity as a function of pre-lithiation time.</w:t>
      </w:r>
    </w:p>
    <w:p w14:paraId="34ED06C5" w14:textId="4BF3B6B8" w:rsidR="00E336EA" w:rsidRPr="0092670C" w:rsidRDefault="009310F6" w:rsidP="00824B79">
      <w:pPr>
        <w:spacing w:line="360" w:lineRule="auto"/>
        <w:jc w:val="both"/>
        <w:rPr>
          <w:rFonts w:ascii="Arial" w:hAnsi="Arial" w:cs="Arial"/>
        </w:rPr>
      </w:pPr>
      <w:r w:rsidRPr="0092670C">
        <w:rPr>
          <w:rFonts w:ascii="Arial" w:hAnsi="Arial" w:cs="Arial"/>
        </w:rPr>
        <w:t xml:space="preserve">The capacity of the cell also increases with increasing pre-lithiation time, up until a limit as shown in </w:t>
      </w:r>
      <w:r w:rsidRPr="0092670C">
        <w:rPr>
          <w:rFonts w:ascii="Arial" w:hAnsi="Arial" w:cs="Arial"/>
        </w:rPr>
        <w:fldChar w:fldCharType="begin"/>
      </w:r>
      <w:r w:rsidRPr="0092670C">
        <w:rPr>
          <w:rFonts w:ascii="Arial" w:hAnsi="Arial" w:cs="Arial"/>
        </w:rPr>
        <w:instrText xml:space="preserve"> REF _Ref31480724 \h  \* MERGEFORMAT </w:instrText>
      </w:r>
      <w:r w:rsidRPr="0092670C">
        <w:rPr>
          <w:rFonts w:ascii="Arial" w:hAnsi="Arial" w:cs="Arial"/>
        </w:rPr>
      </w:r>
      <w:r w:rsidRPr="0092670C">
        <w:rPr>
          <w:rFonts w:ascii="Arial" w:hAnsi="Arial" w:cs="Arial"/>
        </w:rPr>
        <w:fldChar w:fldCharType="separate"/>
      </w:r>
      <w:r w:rsidRPr="007342C8">
        <w:rPr>
          <w:rFonts w:ascii="Arial" w:hAnsi="Arial" w:cs="Arial"/>
        </w:rPr>
        <w:t xml:space="preserve">Figure </w:t>
      </w:r>
      <w:r w:rsidRPr="007342C8">
        <w:rPr>
          <w:rFonts w:ascii="Arial" w:hAnsi="Arial" w:cs="Arial"/>
          <w:noProof/>
        </w:rPr>
        <w:t>3</w:t>
      </w:r>
      <w:r w:rsidRPr="007342C8">
        <w:rPr>
          <w:rFonts w:ascii="Arial" w:hAnsi="Arial" w:cs="Arial"/>
          <w:noProof/>
        </w:rPr>
        <w:noBreakHyphen/>
        <w:t>24</w:t>
      </w:r>
      <w:r w:rsidRPr="0092670C">
        <w:rPr>
          <w:rFonts w:ascii="Arial" w:hAnsi="Arial" w:cs="Arial"/>
        </w:rPr>
        <w:fldChar w:fldCharType="end"/>
      </w:r>
      <w:r w:rsidRPr="0092670C">
        <w:rPr>
          <w:rFonts w:ascii="Arial" w:hAnsi="Arial" w:cs="Arial"/>
        </w:rPr>
        <w:t xml:space="preserve">. This limit coincides with the coulombic efficiency rising above 100%. This suggests that the Li has completed the SEI formation stage and has started to intercalate into the graphite. This intercalated graphite can no longer participate in cycling, reducing the capacity. The presence of the Li-is the reason for the coulombic efficiency to exceed 100% and so arises from this Li not being included with the calculation. </w:t>
      </w:r>
    </w:p>
    <w:p w14:paraId="04298CBC" w14:textId="6A444118"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493E19E">
          <v:shape id="_x0000_i1090" type="#_x0000_t75" style="width:336.2pt;height:258.1pt" o:ole="">
            <v:imagedata r:id="rId183" o:title=""/>
          </v:shape>
          <o:OLEObject Type="Embed" ProgID="Origin95.Graph" ShapeID="_x0000_i1090" DrawAspect="Content" ObjectID="_1700733979" r:id="rId184"/>
        </w:object>
      </w:r>
    </w:p>
    <w:p w14:paraId="4908C19E" w14:textId="6674929F" w:rsidR="00E336EA" w:rsidRPr="0092670C" w:rsidRDefault="00E336EA" w:rsidP="00E336EA">
      <w:pPr>
        <w:spacing w:after="200" w:line="360" w:lineRule="auto"/>
        <w:jc w:val="center"/>
        <w:rPr>
          <w:rFonts w:ascii="Arial" w:hAnsi="Arial" w:cs="Arial"/>
          <w:i/>
          <w:iCs/>
          <w:color w:val="44546A" w:themeColor="text2"/>
          <w:sz w:val="20"/>
          <w:szCs w:val="20"/>
        </w:rPr>
      </w:pPr>
      <w:bookmarkStart w:id="184" w:name="_Ref31480832"/>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25</w:t>
      </w:r>
      <w:r w:rsidR="00356A26">
        <w:rPr>
          <w:rFonts w:ascii="Arial" w:hAnsi="Arial" w:cs="Arial"/>
          <w:i/>
          <w:iCs/>
          <w:color w:val="44546A" w:themeColor="text2"/>
          <w:sz w:val="20"/>
          <w:szCs w:val="20"/>
        </w:rPr>
        <w:fldChar w:fldCharType="end"/>
      </w:r>
      <w:bookmarkEnd w:id="184"/>
      <w:r w:rsidRPr="0092670C">
        <w:rPr>
          <w:rFonts w:ascii="Arial" w:hAnsi="Arial" w:cs="Arial"/>
          <w:i/>
          <w:iCs/>
          <w:color w:val="44546A" w:themeColor="text2"/>
          <w:sz w:val="20"/>
          <w:szCs w:val="20"/>
        </w:rPr>
        <w:t xml:space="preserve">: </w:t>
      </w:r>
      <w:r w:rsidR="00675C70" w:rsidRPr="0092670C">
        <w:rPr>
          <w:rFonts w:ascii="Arial" w:hAnsi="Arial" w:cs="Arial"/>
          <w:i/>
          <w:iCs/>
          <w:color w:val="44546A" w:themeColor="text2"/>
          <w:sz w:val="20"/>
          <w:szCs w:val="20"/>
        </w:rPr>
        <w:t>R</w:t>
      </w:r>
      <w:r w:rsidRPr="0092670C">
        <w:rPr>
          <w:rFonts w:ascii="Arial" w:hAnsi="Arial" w:cs="Arial"/>
          <w:i/>
          <w:iCs/>
          <w:color w:val="44546A" w:themeColor="text2"/>
          <w:sz w:val="20"/>
          <w:szCs w:val="20"/>
        </w:rPr>
        <w:t xml:space="preserve">elationship between pre-lithiation time and the </w:t>
      </w:r>
      <w:r w:rsidR="009F5106" w:rsidRPr="0092670C">
        <w:rPr>
          <w:rFonts w:ascii="Arial" w:hAnsi="Arial" w:cs="Arial"/>
          <w:i/>
          <w:iCs/>
          <w:color w:val="44546A" w:themeColor="text2"/>
          <w:sz w:val="20"/>
          <w:szCs w:val="20"/>
        </w:rPr>
        <w:t>initial</w:t>
      </w:r>
      <w:r w:rsidRPr="0092670C">
        <w:rPr>
          <w:rFonts w:ascii="Arial" w:hAnsi="Arial" w:cs="Arial"/>
          <w:i/>
          <w:iCs/>
          <w:color w:val="44546A" w:themeColor="text2"/>
          <w:sz w:val="20"/>
          <w:szCs w:val="20"/>
        </w:rPr>
        <w:t xml:space="preserve"> coulombic efficiency of the cell</w:t>
      </w:r>
      <w:r w:rsidR="00675C70" w:rsidRPr="0092670C">
        <w:rPr>
          <w:rFonts w:ascii="Arial" w:hAnsi="Arial" w:cs="Arial"/>
          <w:i/>
          <w:iCs/>
          <w:color w:val="44546A" w:themeColor="text2"/>
          <w:sz w:val="20"/>
          <w:szCs w:val="20"/>
        </w:rPr>
        <w:t>.</w:t>
      </w:r>
    </w:p>
    <w:p w14:paraId="08013606" w14:textId="56C9A33B"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639F111">
          <v:shape id="_x0000_i1091" type="#_x0000_t75" style="width:317.9pt;height:245.9pt" o:ole="">
            <v:imagedata r:id="rId185" o:title=""/>
          </v:shape>
          <o:OLEObject Type="Embed" ProgID="Origin95.Graph" ShapeID="_x0000_i1091" DrawAspect="Content" ObjectID="_1700733980" r:id="rId186"/>
        </w:object>
      </w:r>
    </w:p>
    <w:p w14:paraId="31823316" w14:textId="60FD912A" w:rsidR="00E336EA" w:rsidRPr="0092670C" w:rsidRDefault="00E336EA" w:rsidP="00E336EA">
      <w:pPr>
        <w:spacing w:after="200" w:line="360" w:lineRule="auto"/>
        <w:jc w:val="center"/>
        <w:rPr>
          <w:rFonts w:ascii="Arial" w:hAnsi="Arial" w:cs="Arial"/>
          <w:i/>
          <w:iCs/>
          <w:color w:val="44546A" w:themeColor="text2"/>
          <w:sz w:val="20"/>
          <w:szCs w:val="20"/>
        </w:rPr>
      </w:pPr>
      <w:bookmarkStart w:id="185" w:name="_Ref31480099"/>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26</w:t>
      </w:r>
      <w:r w:rsidR="00356A26">
        <w:rPr>
          <w:rFonts w:ascii="Arial" w:hAnsi="Arial" w:cs="Arial"/>
          <w:i/>
          <w:iCs/>
          <w:color w:val="44546A" w:themeColor="text2"/>
          <w:sz w:val="20"/>
          <w:szCs w:val="20"/>
        </w:rPr>
        <w:fldChar w:fldCharType="end"/>
      </w:r>
      <w:bookmarkEnd w:id="185"/>
      <w:r w:rsidRPr="0092670C">
        <w:rPr>
          <w:rFonts w:ascii="Arial" w:hAnsi="Arial" w:cs="Arial"/>
          <w:i/>
          <w:iCs/>
          <w:color w:val="44546A" w:themeColor="text2"/>
          <w:sz w:val="20"/>
          <w:szCs w:val="20"/>
        </w:rPr>
        <w:t xml:space="preserve">: </w:t>
      </w:r>
      <w:r w:rsidR="00675C70" w:rsidRPr="0092670C">
        <w:rPr>
          <w:rFonts w:ascii="Arial" w:hAnsi="Arial" w:cs="Arial"/>
          <w:i/>
          <w:iCs/>
          <w:color w:val="44546A" w:themeColor="text2"/>
          <w:sz w:val="20"/>
          <w:szCs w:val="20"/>
        </w:rPr>
        <w:t>C</w:t>
      </w:r>
      <w:r w:rsidRPr="0092670C">
        <w:rPr>
          <w:rFonts w:ascii="Arial" w:hAnsi="Arial" w:cs="Arial"/>
          <w:i/>
          <w:iCs/>
          <w:color w:val="44546A" w:themeColor="text2"/>
          <w:sz w:val="20"/>
          <w:szCs w:val="20"/>
        </w:rPr>
        <w:t>hanges in the SEI resistance with changing pre-lithiation time</w:t>
      </w:r>
      <w:r w:rsidR="00675C70" w:rsidRPr="0092670C">
        <w:rPr>
          <w:rFonts w:ascii="Arial" w:hAnsi="Arial" w:cs="Arial"/>
          <w:i/>
          <w:iCs/>
          <w:color w:val="44546A" w:themeColor="text2"/>
          <w:sz w:val="20"/>
          <w:szCs w:val="20"/>
        </w:rPr>
        <w:t>.</w:t>
      </w:r>
    </w:p>
    <w:p w14:paraId="6AEEA197" w14:textId="6C951F76" w:rsidR="00E336EA" w:rsidRPr="0092670C" w:rsidRDefault="00E336EA" w:rsidP="00E336EA">
      <w:pPr>
        <w:spacing w:line="360" w:lineRule="auto"/>
        <w:jc w:val="both"/>
        <w:rPr>
          <w:rFonts w:ascii="Arial" w:hAnsi="Arial" w:cs="Arial"/>
        </w:rPr>
      </w:pPr>
      <w:r w:rsidRPr="0092670C">
        <w:rPr>
          <w:rFonts w:ascii="Arial" w:hAnsi="Arial" w:cs="Arial"/>
        </w:rPr>
        <w:t xml:space="preserve">EIS results </w:t>
      </w:r>
      <w:r w:rsidR="0009201F" w:rsidRPr="0092670C">
        <w:rPr>
          <w:rFonts w:ascii="Arial" w:hAnsi="Arial" w:cs="Arial"/>
        </w:rPr>
        <w:t xml:space="preserve">in </w:t>
      </w:r>
      <w:r w:rsidR="0009201F" w:rsidRPr="0092670C">
        <w:rPr>
          <w:rFonts w:ascii="Arial" w:hAnsi="Arial" w:cs="Arial"/>
        </w:rPr>
        <w:fldChar w:fldCharType="begin"/>
      </w:r>
      <w:r w:rsidR="0009201F" w:rsidRPr="0092670C">
        <w:rPr>
          <w:rFonts w:ascii="Arial" w:hAnsi="Arial" w:cs="Arial"/>
        </w:rPr>
        <w:instrText xml:space="preserve"> REF _Ref31480099 \h  \* MERGEFORMAT </w:instrText>
      </w:r>
      <w:r w:rsidR="0009201F" w:rsidRPr="0092670C">
        <w:rPr>
          <w:rFonts w:ascii="Arial" w:hAnsi="Arial" w:cs="Arial"/>
        </w:rPr>
      </w:r>
      <w:r w:rsidR="0009201F"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25</w:t>
      </w:r>
      <w:r w:rsidR="0009201F" w:rsidRPr="0092670C">
        <w:rPr>
          <w:rFonts w:ascii="Arial" w:hAnsi="Arial" w:cs="Arial"/>
        </w:rPr>
        <w:fldChar w:fldCharType="end"/>
      </w:r>
      <w:r w:rsidR="0009201F" w:rsidRPr="0092670C">
        <w:rPr>
          <w:rFonts w:ascii="Arial" w:hAnsi="Arial" w:cs="Arial"/>
        </w:rPr>
        <w:t xml:space="preserve"> </w:t>
      </w:r>
      <w:r w:rsidRPr="0092670C">
        <w:rPr>
          <w:rFonts w:ascii="Arial" w:hAnsi="Arial" w:cs="Arial"/>
        </w:rPr>
        <w:t xml:space="preserve">paint a similar picture to that seen with the capacity of the cell. The initial SEI resistance is low, increasing with increasing pre-lithiation time. This then start to decrease again once the li intercalation begins. </w:t>
      </w:r>
    </w:p>
    <w:p w14:paraId="5FBA0C73" w14:textId="7777777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2" w:dyaOrig="4722" w14:anchorId="17E1ECCC">
          <v:shape id="_x0000_i1092" type="#_x0000_t75" style="width:312.1pt;height:240.1pt" o:ole="">
            <v:imagedata r:id="rId187" o:title=""/>
          </v:shape>
          <o:OLEObject Type="Embed" ProgID="Origin95.Graph" ShapeID="_x0000_i1092" DrawAspect="Content" ObjectID="_1700733981" r:id="rId188"/>
        </w:object>
      </w:r>
    </w:p>
    <w:p w14:paraId="7F7C7582" w14:textId="2253CEAF" w:rsidR="00E336EA" w:rsidRPr="0092670C" w:rsidRDefault="00E336EA" w:rsidP="00E336EA">
      <w:pPr>
        <w:spacing w:after="200" w:line="360" w:lineRule="auto"/>
        <w:jc w:val="center"/>
        <w:rPr>
          <w:rFonts w:ascii="Arial" w:hAnsi="Arial" w:cs="Arial"/>
          <w:i/>
          <w:iCs/>
          <w:color w:val="44546A" w:themeColor="text2"/>
          <w:sz w:val="20"/>
          <w:szCs w:val="20"/>
        </w:rPr>
      </w:pPr>
      <w:bookmarkStart w:id="186" w:name="_Ref3147828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27</w:t>
      </w:r>
      <w:r w:rsidR="00356A26">
        <w:rPr>
          <w:rFonts w:ascii="Arial" w:hAnsi="Arial" w:cs="Arial"/>
          <w:i/>
          <w:iCs/>
          <w:color w:val="44546A" w:themeColor="text2"/>
          <w:sz w:val="20"/>
          <w:szCs w:val="20"/>
        </w:rPr>
        <w:fldChar w:fldCharType="end"/>
      </w:r>
      <w:bookmarkEnd w:id="186"/>
      <w:r w:rsidRPr="0092670C">
        <w:rPr>
          <w:rFonts w:ascii="Arial" w:hAnsi="Arial" w:cs="Arial"/>
          <w:i/>
          <w:iCs/>
          <w:color w:val="44546A" w:themeColor="text2"/>
          <w:sz w:val="20"/>
          <w:szCs w:val="20"/>
        </w:rPr>
        <w:t>: Differential capacity plots for mechanically pre-lithiated cells</w:t>
      </w:r>
      <w:r w:rsidR="00675C70" w:rsidRPr="0092670C">
        <w:rPr>
          <w:rFonts w:ascii="Arial" w:hAnsi="Arial" w:cs="Arial"/>
          <w:i/>
          <w:iCs/>
          <w:color w:val="44546A" w:themeColor="text2"/>
          <w:sz w:val="20"/>
          <w:szCs w:val="20"/>
        </w:rPr>
        <w:t>.</w:t>
      </w:r>
    </w:p>
    <w:p w14:paraId="4DF1947A" w14:textId="26D795F0" w:rsidR="00C76660" w:rsidRPr="0092670C" w:rsidRDefault="003C1331" w:rsidP="00E336EA">
      <w:pPr>
        <w:spacing w:line="360" w:lineRule="auto"/>
        <w:jc w:val="both"/>
        <w:rPr>
          <w:rFonts w:ascii="Arial" w:hAnsi="Arial" w:cs="Arial"/>
        </w:rPr>
      </w:pPr>
      <w:r w:rsidRPr="0092670C">
        <w:rPr>
          <w:rFonts w:ascii="Arial" w:hAnsi="Arial" w:cs="Arial"/>
        </w:rPr>
        <w:fldChar w:fldCharType="begin"/>
      </w:r>
      <w:r w:rsidRPr="0092670C">
        <w:rPr>
          <w:rFonts w:ascii="Arial" w:hAnsi="Arial" w:cs="Arial"/>
        </w:rPr>
        <w:instrText xml:space="preserve"> REF _Ref31478281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26</w:t>
      </w:r>
      <w:r w:rsidRPr="0092670C">
        <w:rPr>
          <w:rFonts w:ascii="Arial" w:hAnsi="Arial" w:cs="Arial"/>
        </w:rPr>
        <w:fldChar w:fldCharType="end"/>
      </w:r>
      <w:r w:rsidRPr="0092670C">
        <w:rPr>
          <w:rFonts w:ascii="Arial" w:hAnsi="Arial" w:cs="Arial"/>
        </w:rPr>
        <w:t xml:space="preserve"> </w:t>
      </w:r>
      <w:r w:rsidR="00074EBF" w:rsidRPr="0092670C">
        <w:rPr>
          <w:rFonts w:ascii="Arial" w:hAnsi="Arial" w:cs="Arial"/>
        </w:rPr>
        <w:t xml:space="preserve">highlights the difference that pre-lithiation makes to the </w:t>
      </w:r>
      <w:r w:rsidR="009D7C6D" w:rsidRPr="0092670C">
        <w:rPr>
          <w:rFonts w:ascii="Arial" w:hAnsi="Arial" w:cs="Arial"/>
        </w:rPr>
        <w:t>1</w:t>
      </w:r>
      <w:r w:rsidR="009D7C6D" w:rsidRPr="0092670C">
        <w:rPr>
          <w:rFonts w:ascii="Arial" w:hAnsi="Arial" w:cs="Arial"/>
          <w:vertAlign w:val="superscript"/>
        </w:rPr>
        <w:t>st</w:t>
      </w:r>
      <w:r w:rsidR="009D7C6D" w:rsidRPr="0092670C">
        <w:rPr>
          <w:rFonts w:ascii="Arial" w:hAnsi="Arial" w:cs="Arial"/>
        </w:rPr>
        <w:t xml:space="preserve"> cycle </w:t>
      </w:r>
      <w:r w:rsidR="00861B0F" w:rsidRPr="0092670C">
        <w:rPr>
          <w:rFonts w:ascii="Arial" w:hAnsi="Arial" w:cs="Arial"/>
        </w:rPr>
        <w:t xml:space="preserve">of </w:t>
      </w:r>
      <w:r w:rsidR="001938C7" w:rsidRPr="0092670C">
        <w:rPr>
          <w:rFonts w:ascii="Arial" w:hAnsi="Arial" w:cs="Arial"/>
        </w:rPr>
        <w:t xml:space="preserve">the cell </w:t>
      </w:r>
      <w:r w:rsidR="00F17458" w:rsidRPr="0092670C">
        <w:rPr>
          <w:rFonts w:ascii="Arial" w:hAnsi="Arial" w:cs="Arial"/>
        </w:rPr>
        <w:t>with the refe</w:t>
      </w:r>
      <w:r w:rsidR="00F227D1" w:rsidRPr="0092670C">
        <w:rPr>
          <w:rFonts w:ascii="Arial" w:hAnsi="Arial" w:cs="Arial"/>
        </w:rPr>
        <w:t xml:space="preserve">rence </w:t>
      </w:r>
      <w:r w:rsidR="0028723B" w:rsidRPr="0092670C">
        <w:rPr>
          <w:rFonts w:ascii="Arial" w:hAnsi="Arial" w:cs="Arial"/>
        </w:rPr>
        <w:t xml:space="preserve">cell </w:t>
      </w:r>
      <w:r w:rsidR="00192D7D" w:rsidRPr="0092670C">
        <w:rPr>
          <w:rFonts w:ascii="Arial" w:hAnsi="Arial" w:cs="Arial"/>
        </w:rPr>
        <w:t xml:space="preserve">showing </w:t>
      </w:r>
      <w:r w:rsidR="00DE22AE" w:rsidRPr="0092670C">
        <w:rPr>
          <w:rFonts w:ascii="Arial" w:hAnsi="Arial" w:cs="Arial"/>
        </w:rPr>
        <w:t>limited</w:t>
      </w:r>
      <w:r w:rsidR="00192D7D" w:rsidRPr="0092670C">
        <w:rPr>
          <w:rFonts w:ascii="Arial" w:hAnsi="Arial" w:cs="Arial"/>
        </w:rPr>
        <w:t xml:space="preserve"> c</w:t>
      </w:r>
      <w:r w:rsidR="00E8237A" w:rsidRPr="0092670C">
        <w:rPr>
          <w:rFonts w:ascii="Arial" w:hAnsi="Arial" w:cs="Arial"/>
        </w:rPr>
        <w:t xml:space="preserve">apacity changes </w:t>
      </w:r>
      <w:r w:rsidR="00673950" w:rsidRPr="0092670C">
        <w:rPr>
          <w:rFonts w:ascii="Arial" w:hAnsi="Arial" w:cs="Arial"/>
        </w:rPr>
        <w:t xml:space="preserve">in comparison </w:t>
      </w:r>
      <w:r w:rsidR="00717F45" w:rsidRPr="0092670C">
        <w:rPr>
          <w:rFonts w:ascii="Arial" w:hAnsi="Arial" w:cs="Arial"/>
        </w:rPr>
        <w:t xml:space="preserve">to the pre-lithiated cells. </w:t>
      </w:r>
      <w:r w:rsidR="002B6BA4" w:rsidRPr="0092670C">
        <w:rPr>
          <w:rFonts w:ascii="Arial" w:hAnsi="Arial" w:cs="Arial"/>
        </w:rPr>
        <w:t xml:space="preserve">In the reference cell </w:t>
      </w:r>
      <w:r w:rsidR="0046749E" w:rsidRPr="0092670C">
        <w:rPr>
          <w:rFonts w:ascii="Arial" w:hAnsi="Arial" w:cs="Arial"/>
        </w:rPr>
        <w:t>ΔE</w:t>
      </w:r>
      <w:r w:rsidR="0046749E" w:rsidRPr="0092670C">
        <w:rPr>
          <w:rFonts w:ascii="Arial" w:hAnsi="Arial" w:cs="Arial"/>
          <w:vertAlign w:val="subscript"/>
        </w:rPr>
        <w:t xml:space="preserve">p </w:t>
      </w:r>
      <w:r w:rsidR="0046749E" w:rsidRPr="0092670C">
        <w:rPr>
          <w:rFonts w:ascii="Arial" w:hAnsi="Arial" w:cs="Arial"/>
        </w:rPr>
        <w:t>2</w:t>
      </w:r>
      <w:r w:rsidR="002B6BA4" w:rsidRPr="0092670C">
        <w:rPr>
          <w:rFonts w:ascii="Arial" w:hAnsi="Arial" w:cs="Arial"/>
        </w:rPr>
        <w:t xml:space="preserve"> has been</w:t>
      </w:r>
      <w:r w:rsidR="007B4E26" w:rsidRPr="0092670C">
        <w:rPr>
          <w:rFonts w:ascii="Arial" w:hAnsi="Arial" w:cs="Arial"/>
        </w:rPr>
        <w:t xml:space="preserve"> shifted</w:t>
      </w:r>
      <w:r w:rsidR="002B6BA4" w:rsidRPr="0092670C">
        <w:rPr>
          <w:rFonts w:ascii="Arial" w:hAnsi="Arial" w:cs="Arial"/>
        </w:rPr>
        <w:t xml:space="preserve"> so far </w:t>
      </w:r>
      <w:r w:rsidR="00E534A3" w:rsidRPr="0092670C">
        <w:rPr>
          <w:rFonts w:ascii="Arial" w:hAnsi="Arial" w:cs="Arial"/>
        </w:rPr>
        <w:t xml:space="preserve">from its reference position that it is now indistinguishable from </w:t>
      </w:r>
      <w:r w:rsidR="0046749E" w:rsidRPr="0092670C">
        <w:rPr>
          <w:rFonts w:ascii="Arial" w:hAnsi="Arial" w:cs="Arial"/>
        </w:rPr>
        <w:t xml:space="preserve"> </w:t>
      </w:r>
      <w:r w:rsidR="00F7053F" w:rsidRPr="0092670C">
        <w:rPr>
          <w:rFonts w:ascii="Arial" w:hAnsi="Arial" w:cs="Arial"/>
        </w:rPr>
        <w:t>ΔE</w:t>
      </w:r>
      <w:r w:rsidR="00F7053F" w:rsidRPr="0092670C">
        <w:rPr>
          <w:rFonts w:ascii="Arial" w:hAnsi="Arial" w:cs="Arial"/>
          <w:vertAlign w:val="subscript"/>
        </w:rPr>
        <w:t xml:space="preserve">p </w:t>
      </w:r>
      <w:r w:rsidR="00F7053F" w:rsidRPr="0092670C">
        <w:rPr>
          <w:rFonts w:ascii="Arial" w:hAnsi="Arial" w:cs="Arial"/>
        </w:rPr>
        <w:t xml:space="preserve">3 </w:t>
      </w:r>
      <w:r w:rsidR="00F7053F" w:rsidRPr="0092670C">
        <w:rPr>
          <w:rFonts w:ascii="Arial" w:hAnsi="Arial" w:cs="Arial"/>
        </w:rPr>
        <w:fldChar w:fldCharType="begin"/>
      </w:r>
      <w:r w:rsidR="0034337D">
        <w:rPr>
          <w:rFonts w:ascii="Arial" w:hAnsi="Arial" w:cs="Arial"/>
        </w:rPr>
        <w:instrText xml:space="preserve"> ADDIN EN.CITE &lt;EndNote&gt;&lt;Cite&gt;&lt;Author&gt;Levi&lt;/Author&gt;&lt;Year&gt;1999&lt;/Year&gt;&lt;RecNum&gt;58&lt;/RecNum&gt;&lt;DisplayText&gt;[220]&lt;/DisplayText&gt;&lt;record&gt;&lt;rec-number&gt;58&lt;/rec-number&gt;&lt;foreign-keys&gt;&lt;key app="EN" db-id="5sa9s0e0r0d9fnexra7pr5xdwd5ztevx95s2" timestamp="1514887182"&gt;58&lt;/key&gt;&lt;/foreign-keys&gt;&lt;ref-type name="Journal Article"&gt;17&lt;/ref-type&gt;&lt;contributors&gt;&lt;authors&gt;&lt;author&gt;Levi, M. D.&lt;/author&gt;&lt;author&gt;Salitra, G.&lt;/author&gt;&lt;author&gt;Markovsky, B.&lt;/author&gt;&lt;author&gt;Teller, H.&lt;/author&gt;&lt;author&gt;Aurbach, D.&lt;/author&gt;&lt;author&gt;Heider, Udo&lt;/author&gt;&lt;author&gt;Heider, Lilia&lt;/author&gt;&lt;/authors&gt;&lt;/contributors&gt;&lt;titles&gt;&lt;title&gt;Solid</w:instrText>
      </w:r>
      <w:r w:rsidR="0034337D">
        <w:rPr>
          <w:rFonts w:ascii="Cambria Math" w:hAnsi="Cambria Math" w:cs="Cambria Math"/>
        </w:rPr>
        <w:instrText>‐</w:instrText>
      </w:r>
      <w:r w:rsidR="0034337D">
        <w:rPr>
          <w:rFonts w:ascii="Arial" w:hAnsi="Arial" w:cs="Arial"/>
        </w:rPr>
        <w:instrText>State Electrochemical Kinetics of Li</w:instrText>
      </w:r>
      <w:r w:rsidR="0034337D">
        <w:rPr>
          <w:rFonts w:ascii="Cambria Math" w:hAnsi="Cambria Math" w:cs="Cambria Math"/>
        </w:rPr>
        <w:instrText>‐</w:instrText>
      </w:r>
      <w:r w:rsidR="0034337D">
        <w:rPr>
          <w:rFonts w:ascii="Arial" w:hAnsi="Arial" w:cs="Arial"/>
        </w:rPr>
        <w:instrText>Ion Intercalation into Li1 − x CoO2: Simultaneous Application of Electroanalytical Techniques SSCV, PITT, and EIS&lt;/title&gt;&lt;secondary-title&gt;Journal of The Electrochemical Society&lt;/secondary-title&gt;&lt;/titles&gt;&lt;periodical&gt;&lt;full-title&gt;Journal of the Electrochemical Society&lt;/full-title&gt;&lt;abbr-1&gt;J. Electrochem. Soc.&lt;/abbr-1&gt;&lt;/periodical&gt;&lt;pages&gt;1279-1289&lt;/pages&gt;&lt;volume&gt;146&lt;/volume&gt;&lt;number&gt;4&lt;/number&gt;&lt;dates&gt;&lt;year&gt;1999&lt;/year&gt;&lt;pub-dates&gt;&lt;date&gt;April 1, 1999&lt;/date&gt;&lt;/pub-dates&gt;&lt;/dates&gt;&lt;urls&gt;&lt;related-urls&gt;&lt;url&gt;http://jes.ecsdl.org/content/146/4/1279.abstract&lt;/url&gt;&lt;/related-urls&gt;&lt;/urls&gt;&lt;electronic-resource-num&gt;10.1149/1.1391759&lt;/electronic-resource-num&gt;&lt;/record&gt;&lt;/Cite&gt;&lt;/EndNote&gt;</w:instrText>
      </w:r>
      <w:r w:rsidR="00F7053F" w:rsidRPr="0092670C">
        <w:rPr>
          <w:rFonts w:ascii="Arial" w:hAnsi="Arial" w:cs="Arial"/>
        </w:rPr>
        <w:fldChar w:fldCharType="separate"/>
      </w:r>
      <w:r w:rsidR="0034337D">
        <w:rPr>
          <w:rFonts w:ascii="Arial" w:hAnsi="Arial" w:cs="Arial"/>
          <w:noProof/>
        </w:rPr>
        <w:t>[220]</w:t>
      </w:r>
      <w:r w:rsidR="00F7053F" w:rsidRPr="0092670C">
        <w:rPr>
          <w:rFonts w:ascii="Arial" w:hAnsi="Arial" w:cs="Arial"/>
        </w:rPr>
        <w:fldChar w:fldCharType="end"/>
      </w:r>
      <w:r w:rsidR="00527E4C" w:rsidRPr="0092670C">
        <w:rPr>
          <w:rFonts w:ascii="Arial" w:hAnsi="Arial" w:cs="Arial"/>
        </w:rPr>
        <w:t>.</w:t>
      </w:r>
    </w:p>
    <w:p w14:paraId="64B50558" w14:textId="3EB92B50" w:rsidR="00E336EA" w:rsidRPr="0044089F" w:rsidRDefault="0044089F" w:rsidP="00E336EA">
      <w:pPr>
        <w:spacing w:line="360" w:lineRule="auto"/>
        <w:jc w:val="both"/>
        <w:rPr>
          <w:rFonts w:ascii="Arial" w:hAnsi="Arial" w:cs="Arial"/>
        </w:rPr>
      </w:pPr>
      <w:r w:rsidRPr="0044089F">
        <w:rPr>
          <w:rFonts w:ascii="Arial" w:hAnsi="Arial" w:cs="Arial"/>
        </w:rPr>
        <w:fldChar w:fldCharType="begin"/>
      </w:r>
      <w:r w:rsidRPr="0044089F">
        <w:rPr>
          <w:rFonts w:ascii="Arial" w:hAnsi="Arial" w:cs="Arial"/>
        </w:rPr>
        <w:instrText xml:space="preserve"> REF _Ref44877767 \h </w:instrText>
      </w:r>
      <w:r>
        <w:rPr>
          <w:rFonts w:ascii="Arial" w:hAnsi="Arial" w:cs="Arial"/>
        </w:rPr>
        <w:instrText xml:space="preserve"> \* MERGEFORMAT </w:instrText>
      </w:r>
      <w:r w:rsidRPr="0044089F">
        <w:rPr>
          <w:rFonts w:ascii="Arial" w:hAnsi="Arial" w:cs="Arial"/>
        </w:rPr>
      </w:r>
      <w:r w:rsidRPr="0044089F">
        <w:rPr>
          <w:rFonts w:ascii="Arial" w:hAnsi="Arial" w:cs="Arial"/>
        </w:rPr>
        <w:fldChar w:fldCharType="separate"/>
      </w:r>
      <w:r w:rsidR="007342C8" w:rsidRPr="007342C8">
        <w:rPr>
          <w:rFonts w:ascii="Arial" w:hAnsi="Arial" w:cs="Arial"/>
        </w:rPr>
        <w:t xml:space="preserve">Table </w:t>
      </w:r>
      <w:r w:rsidR="007342C8" w:rsidRPr="007342C8">
        <w:rPr>
          <w:rFonts w:ascii="Arial" w:hAnsi="Arial" w:cs="Arial"/>
          <w:noProof/>
        </w:rPr>
        <w:t>3</w:t>
      </w:r>
      <w:r w:rsidR="007342C8" w:rsidRPr="007342C8">
        <w:rPr>
          <w:rFonts w:ascii="Arial" w:hAnsi="Arial" w:cs="Arial"/>
          <w:noProof/>
        </w:rPr>
        <w:noBreakHyphen/>
        <w:t>6</w:t>
      </w:r>
      <w:r w:rsidRPr="0044089F">
        <w:rPr>
          <w:rFonts w:ascii="Arial" w:hAnsi="Arial" w:cs="Arial"/>
        </w:rPr>
        <w:fldChar w:fldCharType="end"/>
      </w:r>
      <w:r w:rsidRPr="0044089F">
        <w:rPr>
          <w:rFonts w:ascii="Arial" w:hAnsi="Arial" w:cs="Arial"/>
        </w:rPr>
        <w:t xml:space="preserve"> </w:t>
      </w:r>
      <w:r w:rsidR="00E336EA" w:rsidRPr="0044089F">
        <w:rPr>
          <w:rFonts w:ascii="Arial" w:hAnsi="Arial" w:cs="Arial"/>
        </w:rPr>
        <w:t>show an initial contraction in ΔE</w:t>
      </w:r>
      <w:r w:rsidR="00E336EA" w:rsidRPr="0044089F">
        <w:rPr>
          <w:rFonts w:ascii="Arial" w:hAnsi="Arial" w:cs="Arial"/>
          <w:vertAlign w:val="subscript"/>
        </w:rPr>
        <w:t>p</w:t>
      </w:r>
      <w:r w:rsidR="00E336EA" w:rsidRPr="0044089F">
        <w:rPr>
          <w:rFonts w:ascii="Arial" w:hAnsi="Arial" w:cs="Arial"/>
        </w:rPr>
        <w:t xml:space="preserve"> for small pre-lithiation times before increasing again with increasing pre-lithiation time. The initial decrease can be attributed to SEI formation as seen earlier. This increase </w:t>
      </w:r>
      <w:r w:rsidR="00E51C67" w:rsidRPr="0044089F">
        <w:rPr>
          <w:rFonts w:ascii="Arial" w:hAnsi="Arial" w:cs="Arial"/>
        </w:rPr>
        <w:t xml:space="preserve">for longer pre-lithiation times suggests that the </w:t>
      </w:r>
      <w:r w:rsidR="00B81E3D" w:rsidRPr="0044089F">
        <w:rPr>
          <w:rFonts w:ascii="Arial" w:hAnsi="Arial" w:cs="Arial"/>
        </w:rPr>
        <w:t xml:space="preserve">SEI </w:t>
      </w:r>
      <w:r w:rsidR="00CB3B59" w:rsidRPr="0044089F">
        <w:rPr>
          <w:rFonts w:ascii="Arial" w:hAnsi="Arial" w:cs="Arial"/>
        </w:rPr>
        <w:t xml:space="preserve">is becoming too </w:t>
      </w:r>
      <w:r w:rsidR="00921906" w:rsidRPr="0044089F">
        <w:rPr>
          <w:rFonts w:ascii="Arial" w:hAnsi="Arial" w:cs="Arial"/>
        </w:rPr>
        <w:t xml:space="preserve">resistive, </w:t>
      </w:r>
      <w:r w:rsidR="00FE0CB1" w:rsidRPr="0044089F">
        <w:rPr>
          <w:rFonts w:ascii="Arial" w:hAnsi="Arial" w:cs="Arial"/>
        </w:rPr>
        <w:t xml:space="preserve">driving the </w:t>
      </w:r>
      <w:r w:rsidR="00450352">
        <w:rPr>
          <w:rFonts w:ascii="Arial" w:hAnsi="Arial" w:cs="Arial"/>
        </w:rPr>
        <w:t xml:space="preserve">redox </w:t>
      </w:r>
      <w:r w:rsidR="00FE0CB1" w:rsidRPr="0044089F">
        <w:rPr>
          <w:rFonts w:ascii="Arial" w:hAnsi="Arial" w:cs="Arial"/>
        </w:rPr>
        <w:t>co</w:t>
      </w:r>
      <w:r w:rsidR="006F14B6" w:rsidRPr="0044089F">
        <w:rPr>
          <w:rFonts w:ascii="Arial" w:hAnsi="Arial" w:cs="Arial"/>
        </w:rPr>
        <w:t xml:space="preserve">uple apart. </w:t>
      </w:r>
    </w:p>
    <w:p w14:paraId="7B7C132B" w14:textId="0B9652BC" w:rsidR="00A63AC8" w:rsidRPr="0092670C" w:rsidRDefault="00A63AC8" w:rsidP="00A63AC8">
      <w:pPr>
        <w:pStyle w:val="Caption"/>
        <w:keepNext/>
        <w:rPr>
          <w:rFonts w:ascii="Arial" w:hAnsi="Arial" w:cs="Arial"/>
          <w:sz w:val="20"/>
          <w:szCs w:val="20"/>
        </w:rPr>
      </w:pPr>
      <w:bookmarkStart w:id="187" w:name="_Ref44877767"/>
      <w:r w:rsidRPr="0092670C">
        <w:rPr>
          <w:rFonts w:ascii="Arial" w:hAnsi="Arial" w:cs="Arial"/>
          <w:sz w:val="20"/>
          <w:szCs w:val="20"/>
        </w:rPr>
        <w:t xml:space="preserve">Table </w:t>
      </w:r>
      <w:r w:rsidR="004F6B49">
        <w:rPr>
          <w:rFonts w:ascii="Arial" w:hAnsi="Arial" w:cs="Arial"/>
          <w:sz w:val="20"/>
          <w:szCs w:val="20"/>
        </w:rPr>
        <w:fldChar w:fldCharType="begin"/>
      </w:r>
      <w:r w:rsidR="004F6B49">
        <w:rPr>
          <w:rFonts w:ascii="Arial" w:hAnsi="Arial" w:cs="Arial"/>
          <w:sz w:val="20"/>
          <w:szCs w:val="20"/>
        </w:rPr>
        <w:instrText xml:space="preserve"> STYLEREF 1 \s </w:instrText>
      </w:r>
      <w:r w:rsidR="004F6B49">
        <w:rPr>
          <w:rFonts w:ascii="Arial" w:hAnsi="Arial" w:cs="Arial"/>
          <w:sz w:val="20"/>
          <w:szCs w:val="20"/>
        </w:rPr>
        <w:fldChar w:fldCharType="separate"/>
      </w:r>
      <w:r w:rsidR="007342C8">
        <w:rPr>
          <w:rFonts w:ascii="Arial" w:hAnsi="Arial" w:cs="Arial"/>
          <w:noProof/>
          <w:sz w:val="20"/>
          <w:szCs w:val="20"/>
        </w:rPr>
        <w:t>3</w:t>
      </w:r>
      <w:r w:rsidR="004F6B49">
        <w:rPr>
          <w:rFonts w:ascii="Arial" w:hAnsi="Arial" w:cs="Arial"/>
          <w:sz w:val="20"/>
          <w:szCs w:val="20"/>
        </w:rPr>
        <w:fldChar w:fldCharType="end"/>
      </w:r>
      <w:r w:rsidR="004F6B49">
        <w:rPr>
          <w:rFonts w:ascii="Arial" w:hAnsi="Arial" w:cs="Arial"/>
          <w:sz w:val="20"/>
          <w:szCs w:val="20"/>
        </w:rPr>
        <w:noBreakHyphen/>
      </w:r>
      <w:r w:rsidR="004F6B49">
        <w:rPr>
          <w:rFonts w:ascii="Arial" w:hAnsi="Arial" w:cs="Arial"/>
          <w:sz w:val="20"/>
          <w:szCs w:val="20"/>
        </w:rPr>
        <w:fldChar w:fldCharType="begin"/>
      </w:r>
      <w:r w:rsidR="004F6B49">
        <w:rPr>
          <w:rFonts w:ascii="Arial" w:hAnsi="Arial" w:cs="Arial"/>
          <w:sz w:val="20"/>
          <w:szCs w:val="20"/>
        </w:rPr>
        <w:instrText xml:space="preserve"> SEQ Table \* ARABIC \s 1 </w:instrText>
      </w:r>
      <w:r w:rsidR="004F6B49">
        <w:rPr>
          <w:rFonts w:ascii="Arial" w:hAnsi="Arial" w:cs="Arial"/>
          <w:sz w:val="20"/>
          <w:szCs w:val="20"/>
        </w:rPr>
        <w:fldChar w:fldCharType="separate"/>
      </w:r>
      <w:r w:rsidR="007342C8">
        <w:rPr>
          <w:rFonts w:ascii="Arial" w:hAnsi="Arial" w:cs="Arial"/>
          <w:noProof/>
          <w:sz w:val="20"/>
          <w:szCs w:val="20"/>
        </w:rPr>
        <w:t>6</w:t>
      </w:r>
      <w:r w:rsidR="004F6B49">
        <w:rPr>
          <w:rFonts w:ascii="Arial" w:hAnsi="Arial" w:cs="Arial"/>
          <w:sz w:val="20"/>
          <w:szCs w:val="20"/>
        </w:rPr>
        <w:fldChar w:fldCharType="end"/>
      </w:r>
      <w:bookmarkEnd w:id="187"/>
      <w:r w:rsidRPr="0092670C">
        <w:rPr>
          <w:rFonts w:ascii="Arial" w:hAnsi="Arial" w:cs="Arial"/>
          <w:sz w:val="20"/>
          <w:szCs w:val="20"/>
        </w:rPr>
        <w:t>: ΔE</w:t>
      </w:r>
      <w:r w:rsidRPr="0092670C">
        <w:rPr>
          <w:rFonts w:ascii="Arial" w:hAnsi="Arial" w:cs="Arial"/>
          <w:sz w:val="20"/>
          <w:szCs w:val="20"/>
          <w:vertAlign w:val="subscript"/>
        </w:rPr>
        <w:t>p</w:t>
      </w:r>
      <w:r w:rsidRPr="0092670C">
        <w:rPr>
          <w:rFonts w:ascii="Arial" w:hAnsi="Arial" w:cs="Arial"/>
          <w:sz w:val="20"/>
          <w:szCs w:val="20"/>
        </w:rPr>
        <w:t xml:space="preserve"> values for mechanically pre-lithiated cells.</w:t>
      </w:r>
    </w:p>
    <w:tbl>
      <w:tblPr>
        <w:tblStyle w:val="TableGrid4"/>
        <w:tblW w:w="0" w:type="auto"/>
        <w:tblLook w:val="04A0" w:firstRow="1" w:lastRow="0" w:firstColumn="1" w:lastColumn="0" w:noHBand="0" w:noVBand="1"/>
      </w:tblPr>
      <w:tblGrid>
        <w:gridCol w:w="2144"/>
        <w:gridCol w:w="2120"/>
        <w:gridCol w:w="2120"/>
        <w:gridCol w:w="2120"/>
      </w:tblGrid>
      <w:tr w:rsidR="00E336EA" w:rsidRPr="0092670C" w14:paraId="37D93772" w14:textId="77777777" w:rsidTr="00A63AC8">
        <w:tc>
          <w:tcPr>
            <w:tcW w:w="2144" w:type="dxa"/>
            <w:tcBorders>
              <w:left w:val="nil"/>
              <w:bottom w:val="single" w:sz="4" w:space="0" w:color="auto"/>
              <w:right w:val="nil"/>
            </w:tcBorders>
          </w:tcPr>
          <w:p w14:paraId="0F9AEA65" w14:textId="77777777" w:rsidR="00E336EA" w:rsidRPr="0092670C" w:rsidRDefault="00E336EA" w:rsidP="00E336EA">
            <w:pPr>
              <w:spacing w:line="360" w:lineRule="auto"/>
              <w:rPr>
                <w:rFonts w:ascii="Arial" w:hAnsi="Arial" w:cs="Arial"/>
              </w:rPr>
            </w:pPr>
            <w:r w:rsidRPr="0092670C">
              <w:rPr>
                <w:rFonts w:ascii="Arial" w:hAnsi="Arial" w:cs="Arial"/>
              </w:rPr>
              <w:t>Pre-lithiation time (h)</w:t>
            </w:r>
          </w:p>
        </w:tc>
        <w:tc>
          <w:tcPr>
            <w:tcW w:w="2120" w:type="dxa"/>
            <w:tcBorders>
              <w:left w:val="nil"/>
              <w:bottom w:val="single" w:sz="4" w:space="0" w:color="auto"/>
              <w:right w:val="nil"/>
            </w:tcBorders>
          </w:tcPr>
          <w:p w14:paraId="451EEDF9" w14:textId="77777777" w:rsidR="00E336EA" w:rsidRPr="0092670C" w:rsidRDefault="00E336EA" w:rsidP="00E336EA">
            <w:pPr>
              <w:spacing w:line="360" w:lineRule="auto"/>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1(mV)</w:t>
            </w:r>
          </w:p>
        </w:tc>
        <w:tc>
          <w:tcPr>
            <w:tcW w:w="2120" w:type="dxa"/>
            <w:tcBorders>
              <w:left w:val="nil"/>
              <w:bottom w:val="single" w:sz="4" w:space="0" w:color="auto"/>
              <w:right w:val="nil"/>
            </w:tcBorders>
          </w:tcPr>
          <w:p w14:paraId="4E9C35A9" w14:textId="77777777" w:rsidR="00E336EA" w:rsidRPr="0092670C" w:rsidRDefault="00E336EA" w:rsidP="00E336EA">
            <w:pPr>
              <w:spacing w:line="360" w:lineRule="auto"/>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2(mV)</w:t>
            </w:r>
          </w:p>
        </w:tc>
        <w:tc>
          <w:tcPr>
            <w:tcW w:w="2120" w:type="dxa"/>
            <w:tcBorders>
              <w:left w:val="nil"/>
              <w:bottom w:val="single" w:sz="4" w:space="0" w:color="auto"/>
              <w:right w:val="nil"/>
            </w:tcBorders>
          </w:tcPr>
          <w:p w14:paraId="59C363D1" w14:textId="77777777" w:rsidR="00E336EA" w:rsidRPr="0092670C" w:rsidRDefault="00E336EA" w:rsidP="00E336EA">
            <w:pPr>
              <w:spacing w:line="360" w:lineRule="auto"/>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3(mV)</w:t>
            </w:r>
          </w:p>
        </w:tc>
      </w:tr>
      <w:tr w:rsidR="00E336EA" w:rsidRPr="0092670C" w14:paraId="7A6136B5" w14:textId="77777777" w:rsidTr="00A63AC8">
        <w:tc>
          <w:tcPr>
            <w:tcW w:w="2144" w:type="dxa"/>
            <w:tcBorders>
              <w:top w:val="single" w:sz="4" w:space="0" w:color="auto"/>
              <w:left w:val="nil"/>
              <w:bottom w:val="nil"/>
              <w:right w:val="nil"/>
            </w:tcBorders>
          </w:tcPr>
          <w:p w14:paraId="2330E72F" w14:textId="77777777" w:rsidR="00E336EA" w:rsidRPr="0092670C" w:rsidRDefault="00E336EA" w:rsidP="00E336EA">
            <w:pPr>
              <w:spacing w:line="360" w:lineRule="auto"/>
              <w:rPr>
                <w:rFonts w:ascii="Arial" w:hAnsi="Arial" w:cs="Arial"/>
              </w:rPr>
            </w:pPr>
            <w:r w:rsidRPr="0092670C">
              <w:rPr>
                <w:rFonts w:ascii="Arial" w:hAnsi="Arial" w:cs="Arial"/>
              </w:rPr>
              <w:t>0</w:t>
            </w:r>
          </w:p>
        </w:tc>
        <w:tc>
          <w:tcPr>
            <w:tcW w:w="2120" w:type="dxa"/>
            <w:tcBorders>
              <w:top w:val="single" w:sz="4" w:space="0" w:color="auto"/>
              <w:left w:val="nil"/>
              <w:bottom w:val="nil"/>
              <w:right w:val="nil"/>
            </w:tcBorders>
          </w:tcPr>
          <w:p w14:paraId="2621B697" w14:textId="77777777" w:rsidR="00E336EA" w:rsidRPr="0092670C" w:rsidRDefault="00E336EA" w:rsidP="00E336EA">
            <w:pPr>
              <w:spacing w:line="360" w:lineRule="auto"/>
              <w:rPr>
                <w:rFonts w:ascii="Arial" w:hAnsi="Arial" w:cs="Arial"/>
              </w:rPr>
            </w:pPr>
            <w:r w:rsidRPr="0092670C">
              <w:rPr>
                <w:rFonts w:ascii="Arial" w:hAnsi="Arial" w:cs="Arial"/>
              </w:rPr>
              <w:t>120.8</w:t>
            </w:r>
          </w:p>
        </w:tc>
        <w:tc>
          <w:tcPr>
            <w:tcW w:w="2120" w:type="dxa"/>
            <w:tcBorders>
              <w:top w:val="single" w:sz="4" w:space="0" w:color="auto"/>
              <w:left w:val="nil"/>
              <w:bottom w:val="nil"/>
              <w:right w:val="nil"/>
            </w:tcBorders>
          </w:tcPr>
          <w:p w14:paraId="76668164" w14:textId="77777777" w:rsidR="00E336EA" w:rsidRPr="0092670C" w:rsidRDefault="00E336EA" w:rsidP="00E336EA">
            <w:pPr>
              <w:spacing w:line="360" w:lineRule="auto"/>
              <w:rPr>
                <w:rFonts w:ascii="Arial" w:hAnsi="Arial" w:cs="Arial"/>
              </w:rPr>
            </w:pPr>
            <w:r w:rsidRPr="0092670C">
              <w:rPr>
                <w:rFonts w:ascii="Arial" w:hAnsi="Arial" w:cs="Arial"/>
              </w:rPr>
              <w:t>-</w:t>
            </w:r>
          </w:p>
        </w:tc>
        <w:tc>
          <w:tcPr>
            <w:tcW w:w="2120" w:type="dxa"/>
            <w:tcBorders>
              <w:top w:val="single" w:sz="4" w:space="0" w:color="auto"/>
              <w:left w:val="nil"/>
              <w:bottom w:val="nil"/>
              <w:right w:val="nil"/>
            </w:tcBorders>
          </w:tcPr>
          <w:p w14:paraId="557EBE8E" w14:textId="77777777" w:rsidR="00E336EA" w:rsidRPr="0092670C" w:rsidRDefault="00E336EA" w:rsidP="00E336EA">
            <w:pPr>
              <w:spacing w:line="360" w:lineRule="auto"/>
              <w:rPr>
                <w:rFonts w:ascii="Arial" w:hAnsi="Arial" w:cs="Arial"/>
              </w:rPr>
            </w:pPr>
            <w:r w:rsidRPr="0092670C">
              <w:rPr>
                <w:rFonts w:ascii="Arial" w:hAnsi="Arial" w:cs="Arial"/>
              </w:rPr>
              <w:t>95.2</w:t>
            </w:r>
          </w:p>
        </w:tc>
      </w:tr>
      <w:tr w:rsidR="00E336EA" w:rsidRPr="0092670C" w14:paraId="21B3DC21" w14:textId="77777777" w:rsidTr="00A63AC8">
        <w:tc>
          <w:tcPr>
            <w:tcW w:w="2144" w:type="dxa"/>
            <w:tcBorders>
              <w:top w:val="nil"/>
              <w:left w:val="nil"/>
              <w:bottom w:val="nil"/>
              <w:right w:val="nil"/>
            </w:tcBorders>
          </w:tcPr>
          <w:p w14:paraId="7E7CB7E2" w14:textId="77777777" w:rsidR="00E336EA" w:rsidRPr="0092670C" w:rsidRDefault="00E336EA" w:rsidP="00E336EA">
            <w:pPr>
              <w:spacing w:line="360" w:lineRule="auto"/>
              <w:rPr>
                <w:rFonts w:ascii="Arial" w:hAnsi="Arial" w:cs="Arial"/>
              </w:rPr>
            </w:pPr>
            <w:r w:rsidRPr="0092670C">
              <w:rPr>
                <w:rFonts w:ascii="Arial" w:hAnsi="Arial" w:cs="Arial"/>
              </w:rPr>
              <w:t>1</w:t>
            </w:r>
          </w:p>
        </w:tc>
        <w:tc>
          <w:tcPr>
            <w:tcW w:w="2120" w:type="dxa"/>
            <w:tcBorders>
              <w:top w:val="nil"/>
              <w:left w:val="nil"/>
              <w:bottom w:val="nil"/>
              <w:right w:val="nil"/>
            </w:tcBorders>
          </w:tcPr>
          <w:p w14:paraId="11A75C4E" w14:textId="77777777" w:rsidR="00E336EA" w:rsidRPr="0092670C" w:rsidRDefault="00E336EA" w:rsidP="00E336EA">
            <w:pPr>
              <w:spacing w:line="360" w:lineRule="auto"/>
              <w:rPr>
                <w:rFonts w:ascii="Arial" w:hAnsi="Arial" w:cs="Arial"/>
              </w:rPr>
            </w:pPr>
            <w:r w:rsidRPr="0092670C">
              <w:rPr>
                <w:rFonts w:ascii="Arial" w:hAnsi="Arial" w:cs="Arial"/>
              </w:rPr>
              <w:t>82.7</w:t>
            </w:r>
          </w:p>
        </w:tc>
        <w:tc>
          <w:tcPr>
            <w:tcW w:w="2120" w:type="dxa"/>
            <w:tcBorders>
              <w:top w:val="nil"/>
              <w:left w:val="nil"/>
              <w:bottom w:val="nil"/>
              <w:right w:val="nil"/>
            </w:tcBorders>
          </w:tcPr>
          <w:p w14:paraId="5C8CD1E9" w14:textId="77777777" w:rsidR="00E336EA" w:rsidRPr="0092670C" w:rsidRDefault="00E336EA" w:rsidP="00E336EA">
            <w:pPr>
              <w:spacing w:line="360" w:lineRule="auto"/>
              <w:rPr>
                <w:rFonts w:ascii="Arial" w:hAnsi="Arial" w:cs="Arial"/>
              </w:rPr>
            </w:pPr>
            <w:r w:rsidRPr="0092670C">
              <w:rPr>
                <w:rFonts w:ascii="Arial" w:hAnsi="Arial" w:cs="Arial"/>
              </w:rPr>
              <w:t>80.6</w:t>
            </w:r>
          </w:p>
        </w:tc>
        <w:tc>
          <w:tcPr>
            <w:tcW w:w="2120" w:type="dxa"/>
            <w:tcBorders>
              <w:top w:val="nil"/>
              <w:left w:val="nil"/>
              <w:bottom w:val="nil"/>
              <w:right w:val="nil"/>
            </w:tcBorders>
          </w:tcPr>
          <w:p w14:paraId="215DAC9E" w14:textId="77777777" w:rsidR="00E336EA" w:rsidRPr="0092670C" w:rsidRDefault="00E336EA" w:rsidP="00E336EA">
            <w:pPr>
              <w:spacing w:line="360" w:lineRule="auto"/>
              <w:rPr>
                <w:rFonts w:ascii="Arial" w:hAnsi="Arial" w:cs="Arial"/>
              </w:rPr>
            </w:pPr>
            <w:r w:rsidRPr="0092670C">
              <w:rPr>
                <w:rFonts w:ascii="Arial" w:hAnsi="Arial" w:cs="Arial"/>
              </w:rPr>
              <w:t>80.2</w:t>
            </w:r>
          </w:p>
        </w:tc>
      </w:tr>
      <w:tr w:rsidR="00E336EA" w:rsidRPr="0092670C" w14:paraId="535B1321" w14:textId="77777777" w:rsidTr="00A63AC8">
        <w:tc>
          <w:tcPr>
            <w:tcW w:w="2144" w:type="dxa"/>
            <w:tcBorders>
              <w:top w:val="nil"/>
              <w:left w:val="nil"/>
              <w:bottom w:val="nil"/>
              <w:right w:val="nil"/>
            </w:tcBorders>
          </w:tcPr>
          <w:p w14:paraId="0C109058" w14:textId="77777777" w:rsidR="00E336EA" w:rsidRPr="0092670C" w:rsidRDefault="00E336EA" w:rsidP="00E336EA">
            <w:pPr>
              <w:spacing w:line="360" w:lineRule="auto"/>
              <w:rPr>
                <w:rFonts w:ascii="Arial" w:hAnsi="Arial" w:cs="Arial"/>
              </w:rPr>
            </w:pPr>
            <w:r w:rsidRPr="0092670C">
              <w:rPr>
                <w:rFonts w:ascii="Arial" w:hAnsi="Arial" w:cs="Arial"/>
              </w:rPr>
              <w:t>6</w:t>
            </w:r>
          </w:p>
        </w:tc>
        <w:tc>
          <w:tcPr>
            <w:tcW w:w="2120" w:type="dxa"/>
            <w:tcBorders>
              <w:top w:val="nil"/>
              <w:left w:val="nil"/>
              <w:bottom w:val="nil"/>
              <w:right w:val="nil"/>
            </w:tcBorders>
          </w:tcPr>
          <w:p w14:paraId="727E35D7" w14:textId="77777777" w:rsidR="00E336EA" w:rsidRPr="0092670C" w:rsidRDefault="00E336EA" w:rsidP="00E336EA">
            <w:pPr>
              <w:spacing w:line="360" w:lineRule="auto"/>
              <w:rPr>
                <w:rFonts w:ascii="Arial" w:hAnsi="Arial" w:cs="Arial"/>
              </w:rPr>
            </w:pPr>
            <w:r w:rsidRPr="0092670C">
              <w:rPr>
                <w:rFonts w:ascii="Arial" w:hAnsi="Arial" w:cs="Arial"/>
              </w:rPr>
              <w:t>92.8</w:t>
            </w:r>
          </w:p>
        </w:tc>
        <w:tc>
          <w:tcPr>
            <w:tcW w:w="2120" w:type="dxa"/>
            <w:tcBorders>
              <w:top w:val="nil"/>
              <w:left w:val="nil"/>
              <w:bottom w:val="nil"/>
              <w:right w:val="nil"/>
            </w:tcBorders>
          </w:tcPr>
          <w:p w14:paraId="6EE469F2" w14:textId="77777777" w:rsidR="00E336EA" w:rsidRPr="0092670C" w:rsidRDefault="00E336EA" w:rsidP="00E336EA">
            <w:pPr>
              <w:spacing w:line="360" w:lineRule="auto"/>
              <w:rPr>
                <w:rFonts w:ascii="Arial" w:hAnsi="Arial" w:cs="Arial"/>
              </w:rPr>
            </w:pPr>
            <w:r w:rsidRPr="0092670C">
              <w:rPr>
                <w:rFonts w:ascii="Arial" w:hAnsi="Arial" w:cs="Arial"/>
              </w:rPr>
              <w:t>86.6</w:t>
            </w:r>
          </w:p>
        </w:tc>
        <w:tc>
          <w:tcPr>
            <w:tcW w:w="2120" w:type="dxa"/>
            <w:tcBorders>
              <w:top w:val="nil"/>
              <w:left w:val="nil"/>
              <w:bottom w:val="nil"/>
              <w:right w:val="nil"/>
            </w:tcBorders>
          </w:tcPr>
          <w:p w14:paraId="4BC15808" w14:textId="77777777" w:rsidR="00E336EA" w:rsidRPr="0092670C" w:rsidRDefault="00E336EA" w:rsidP="00E336EA">
            <w:pPr>
              <w:spacing w:line="360" w:lineRule="auto"/>
              <w:rPr>
                <w:rFonts w:ascii="Arial" w:hAnsi="Arial" w:cs="Arial"/>
              </w:rPr>
            </w:pPr>
            <w:r w:rsidRPr="0092670C">
              <w:rPr>
                <w:rFonts w:ascii="Arial" w:hAnsi="Arial" w:cs="Arial"/>
              </w:rPr>
              <w:t>86.8</w:t>
            </w:r>
          </w:p>
        </w:tc>
      </w:tr>
      <w:tr w:rsidR="00E336EA" w:rsidRPr="0092670C" w14:paraId="659FCBDD" w14:textId="77777777" w:rsidTr="00A63AC8">
        <w:tc>
          <w:tcPr>
            <w:tcW w:w="2144" w:type="dxa"/>
            <w:tcBorders>
              <w:top w:val="nil"/>
              <w:left w:val="nil"/>
              <w:bottom w:val="nil"/>
              <w:right w:val="nil"/>
            </w:tcBorders>
          </w:tcPr>
          <w:p w14:paraId="67F9CC3A" w14:textId="77777777" w:rsidR="00E336EA" w:rsidRPr="0092670C" w:rsidRDefault="00E336EA" w:rsidP="00E336EA">
            <w:pPr>
              <w:spacing w:line="360" w:lineRule="auto"/>
              <w:rPr>
                <w:rFonts w:ascii="Arial" w:hAnsi="Arial" w:cs="Arial"/>
              </w:rPr>
            </w:pPr>
            <w:r w:rsidRPr="0092670C">
              <w:rPr>
                <w:rFonts w:ascii="Arial" w:hAnsi="Arial" w:cs="Arial"/>
              </w:rPr>
              <w:t>18</w:t>
            </w:r>
          </w:p>
        </w:tc>
        <w:tc>
          <w:tcPr>
            <w:tcW w:w="2120" w:type="dxa"/>
            <w:tcBorders>
              <w:top w:val="nil"/>
              <w:left w:val="nil"/>
              <w:bottom w:val="nil"/>
              <w:right w:val="nil"/>
            </w:tcBorders>
          </w:tcPr>
          <w:p w14:paraId="751CB4D8" w14:textId="77777777" w:rsidR="00E336EA" w:rsidRPr="0092670C" w:rsidRDefault="00E336EA" w:rsidP="00E336EA">
            <w:pPr>
              <w:spacing w:line="360" w:lineRule="auto"/>
              <w:rPr>
                <w:rFonts w:ascii="Arial" w:hAnsi="Arial" w:cs="Arial"/>
              </w:rPr>
            </w:pPr>
            <w:r w:rsidRPr="0092670C">
              <w:rPr>
                <w:rFonts w:ascii="Arial" w:hAnsi="Arial" w:cs="Arial"/>
              </w:rPr>
              <w:t>111.7</w:t>
            </w:r>
          </w:p>
        </w:tc>
        <w:tc>
          <w:tcPr>
            <w:tcW w:w="2120" w:type="dxa"/>
            <w:tcBorders>
              <w:top w:val="nil"/>
              <w:left w:val="nil"/>
              <w:bottom w:val="nil"/>
              <w:right w:val="nil"/>
            </w:tcBorders>
          </w:tcPr>
          <w:p w14:paraId="6952B242" w14:textId="77777777" w:rsidR="00E336EA" w:rsidRPr="0092670C" w:rsidRDefault="00E336EA" w:rsidP="00E336EA">
            <w:pPr>
              <w:spacing w:line="360" w:lineRule="auto"/>
              <w:rPr>
                <w:rFonts w:ascii="Arial" w:hAnsi="Arial" w:cs="Arial"/>
              </w:rPr>
            </w:pPr>
            <w:r w:rsidRPr="0092670C">
              <w:rPr>
                <w:rFonts w:ascii="Arial" w:hAnsi="Arial" w:cs="Arial"/>
              </w:rPr>
              <w:t>103.2</w:t>
            </w:r>
          </w:p>
        </w:tc>
        <w:tc>
          <w:tcPr>
            <w:tcW w:w="2120" w:type="dxa"/>
            <w:tcBorders>
              <w:top w:val="nil"/>
              <w:left w:val="nil"/>
              <w:bottom w:val="nil"/>
              <w:right w:val="nil"/>
            </w:tcBorders>
          </w:tcPr>
          <w:p w14:paraId="248D8E7B" w14:textId="77777777" w:rsidR="00E336EA" w:rsidRPr="0092670C" w:rsidRDefault="00E336EA" w:rsidP="00E336EA">
            <w:pPr>
              <w:spacing w:line="360" w:lineRule="auto"/>
              <w:rPr>
                <w:rFonts w:ascii="Arial" w:hAnsi="Arial" w:cs="Arial"/>
              </w:rPr>
            </w:pPr>
            <w:r w:rsidRPr="0092670C">
              <w:rPr>
                <w:rFonts w:ascii="Arial" w:hAnsi="Arial" w:cs="Arial"/>
              </w:rPr>
              <w:t>93.2</w:t>
            </w:r>
          </w:p>
        </w:tc>
      </w:tr>
      <w:tr w:rsidR="00E336EA" w:rsidRPr="0092670C" w14:paraId="33644B5B" w14:textId="77777777" w:rsidTr="00A63AC8">
        <w:tc>
          <w:tcPr>
            <w:tcW w:w="2144" w:type="dxa"/>
            <w:tcBorders>
              <w:top w:val="nil"/>
              <w:left w:val="nil"/>
              <w:bottom w:val="nil"/>
              <w:right w:val="nil"/>
            </w:tcBorders>
          </w:tcPr>
          <w:p w14:paraId="3E5CCC8E" w14:textId="77777777" w:rsidR="00E336EA" w:rsidRPr="0092670C" w:rsidRDefault="00E336EA" w:rsidP="00E336EA">
            <w:pPr>
              <w:spacing w:line="360" w:lineRule="auto"/>
              <w:rPr>
                <w:rFonts w:ascii="Arial" w:hAnsi="Arial" w:cs="Arial"/>
              </w:rPr>
            </w:pPr>
            <w:r w:rsidRPr="0092670C">
              <w:rPr>
                <w:rFonts w:ascii="Arial" w:hAnsi="Arial" w:cs="Arial"/>
              </w:rPr>
              <w:t>24</w:t>
            </w:r>
          </w:p>
        </w:tc>
        <w:tc>
          <w:tcPr>
            <w:tcW w:w="2120" w:type="dxa"/>
            <w:tcBorders>
              <w:top w:val="nil"/>
              <w:left w:val="nil"/>
              <w:bottom w:val="nil"/>
              <w:right w:val="nil"/>
            </w:tcBorders>
          </w:tcPr>
          <w:p w14:paraId="09203350" w14:textId="77777777" w:rsidR="00E336EA" w:rsidRPr="0092670C" w:rsidRDefault="00E336EA" w:rsidP="00E336EA">
            <w:pPr>
              <w:spacing w:line="360" w:lineRule="auto"/>
              <w:rPr>
                <w:rFonts w:ascii="Arial" w:hAnsi="Arial" w:cs="Arial"/>
              </w:rPr>
            </w:pPr>
            <w:r w:rsidRPr="0092670C">
              <w:rPr>
                <w:rFonts w:ascii="Arial" w:hAnsi="Arial" w:cs="Arial"/>
              </w:rPr>
              <w:t>137.8</w:t>
            </w:r>
          </w:p>
        </w:tc>
        <w:tc>
          <w:tcPr>
            <w:tcW w:w="2120" w:type="dxa"/>
            <w:tcBorders>
              <w:top w:val="nil"/>
              <w:left w:val="nil"/>
              <w:bottom w:val="nil"/>
              <w:right w:val="nil"/>
            </w:tcBorders>
          </w:tcPr>
          <w:p w14:paraId="335D41BB" w14:textId="77777777" w:rsidR="00E336EA" w:rsidRPr="0092670C" w:rsidRDefault="00E336EA" w:rsidP="00E336EA">
            <w:pPr>
              <w:spacing w:line="360" w:lineRule="auto"/>
              <w:rPr>
                <w:rFonts w:ascii="Arial" w:hAnsi="Arial" w:cs="Arial"/>
              </w:rPr>
            </w:pPr>
            <w:r w:rsidRPr="0092670C">
              <w:rPr>
                <w:rFonts w:ascii="Arial" w:hAnsi="Arial" w:cs="Arial"/>
              </w:rPr>
              <w:t>-</w:t>
            </w:r>
          </w:p>
        </w:tc>
        <w:tc>
          <w:tcPr>
            <w:tcW w:w="2120" w:type="dxa"/>
            <w:tcBorders>
              <w:top w:val="nil"/>
              <w:left w:val="nil"/>
              <w:bottom w:val="nil"/>
              <w:right w:val="nil"/>
            </w:tcBorders>
          </w:tcPr>
          <w:p w14:paraId="1BAF6938" w14:textId="77777777" w:rsidR="00E336EA" w:rsidRPr="0092670C" w:rsidRDefault="00E336EA" w:rsidP="00E336EA">
            <w:pPr>
              <w:spacing w:line="360" w:lineRule="auto"/>
              <w:rPr>
                <w:rFonts w:ascii="Arial" w:hAnsi="Arial" w:cs="Arial"/>
              </w:rPr>
            </w:pPr>
            <w:r w:rsidRPr="0092670C">
              <w:rPr>
                <w:rFonts w:ascii="Arial" w:hAnsi="Arial" w:cs="Arial"/>
              </w:rPr>
              <w:t>96.6</w:t>
            </w:r>
          </w:p>
        </w:tc>
      </w:tr>
      <w:tr w:rsidR="00E336EA" w:rsidRPr="0092670C" w14:paraId="140D2F45" w14:textId="77777777" w:rsidTr="00A63AC8">
        <w:tc>
          <w:tcPr>
            <w:tcW w:w="2144" w:type="dxa"/>
            <w:tcBorders>
              <w:top w:val="nil"/>
              <w:left w:val="nil"/>
              <w:bottom w:val="single" w:sz="4" w:space="0" w:color="auto"/>
              <w:right w:val="nil"/>
            </w:tcBorders>
          </w:tcPr>
          <w:p w14:paraId="29ABBCE0" w14:textId="77777777" w:rsidR="00E336EA" w:rsidRPr="0092670C" w:rsidRDefault="00E336EA" w:rsidP="00E336EA">
            <w:pPr>
              <w:spacing w:line="360" w:lineRule="auto"/>
              <w:rPr>
                <w:rFonts w:ascii="Arial" w:hAnsi="Arial" w:cs="Arial"/>
              </w:rPr>
            </w:pPr>
            <w:r w:rsidRPr="0092670C">
              <w:rPr>
                <w:rFonts w:ascii="Arial" w:hAnsi="Arial" w:cs="Arial"/>
              </w:rPr>
              <w:t>48</w:t>
            </w:r>
          </w:p>
        </w:tc>
        <w:tc>
          <w:tcPr>
            <w:tcW w:w="2120" w:type="dxa"/>
            <w:tcBorders>
              <w:top w:val="nil"/>
              <w:left w:val="nil"/>
              <w:bottom w:val="single" w:sz="4" w:space="0" w:color="auto"/>
              <w:right w:val="nil"/>
            </w:tcBorders>
          </w:tcPr>
          <w:p w14:paraId="3C79968C" w14:textId="77777777" w:rsidR="00E336EA" w:rsidRPr="0092670C" w:rsidRDefault="00E336EA" w:rsidP="00E336EA">
            <w:pPr>
              <w:spacing w:line="360" w:lineRule="auto"/>
              <w:rPr>
                <w:rFonts w:ascii="Arial" w:hAnsi="Arial" w:cs="Arial"/>
              </w:rPr>
            </w:pPr>
            <w:r w:rsidRPr="0092670C">
              <w:rPr>
                <w:rFonts w:ascii="Arial" w:hAnsi="Arial" w:cs="Arial"/>
              </w:rPr>
              <w:t>128.4</w:t>
            </w:r>
          </w:p>
        </w:tc>
        <w:tc>
          <w:tcPr>
            <w:tcW w:w="2120" w:type="dxa"/>
            <w:tcBorders>
              <w:top w:val="nil"/>
              <w:left w:val="nil"/>
              <w:bottom w:val="single" w:sz="4" w:space="0" w:color="auto"/>
              <w:right w:val="nil"/>
            </w:tcBorders>
          </w:tcPr>
          <w:p w14:paraId="1F91430A" w14:textId="77777777" w:rsidR="00E336EA" w:rsidRPr="0092670C" w:rsidRDefault="00E336EA" w:rsidP="00E336EA">
            <w:pPr>
              <w:spacing w:line="360" w:lineRule="auto"/>
              <w:rPr>
                <w:rFonts w:ascii="Arial" w:hAnsi="Arial" w:cs="Arial"/>
              </w:rPr>
            </w:pPr>
            <w:r w:rsidRPr="0092670C">
              <w:rPr>
                <w:rFonts w:ascii="Arial" w:hAnsi="Arial" w:cs="Arial"/>
              </w:rPr>
              <w:t>108.2</w:t>
            </w:r>
          </w:p>
        </w:tc>
        <w:tc>
          <w:tcPr>
            <w:tcW w:w="2120" w:type="dxa"/>
            <w:tcBorders>
              <w:top w:val="nil"/>
              <w:left w:val="nil"/>
              <w:bottom w:val="single" w:sz="4" w:space="0" w:color="auto"/>
              <w:right w:val="nil"/>
            </w:tcBorders>
          </w:tcPr>
          <w:p w14:paraId="22C5A9BB" w14:textId="77777777" w:rsidR="00E336EA" w:rsidRPr="0092670C" w:rsidRDefault="00E336EA" w:rsidP="00E336EA">
            <w:pPr>
              <w:keepNext/>
              <w:spacing w:line="360" w:lineRule="auto"/>
              <w:rPr>
                <w:rFonts w:ascii="Arial" w:hAnsi="Arial" w:cs="Arial"/>
              </w:rPr>
            </w:pPr>
            <w:r w:rsidRPr="0092670C">
              <w:rPr>
                <w:rFonts w:ascii="Arial" w:hAnsi="Arial" w:cs="Arial"/>
              </w:rPr>
              <w:t>102.7</w:t>
            </w:r>
          </w:p>
        </w:tc>
      </w:tr>
    </w:tbl>
    <w:p w14:paraId="23A7A3F2" w14:textId="77777777" w:rsidR="00A63AC8" w:rsidRPr="0092670C" w:rsidRDefault="00A63AC8" w:rsidP="00E336EA">
      <w:pPr>
        <w:spacing w:line="360" w:lineRule="auto"/>
        <w:jc w:val="both"/>
        <w:rPr>
          <w:rFonts w:ascii="Arial" w:hAnsi="Arial" w:cs="Arial"/>
        </w:rPr>
      </w:pPr>
    </w:p>
    <w:p w14:paraId="6CCF03B6" w14:textId="311DCAF0" w:rsidR="00E336EA" w:rsidRPr="0092670C" w:rsidRDefault="00E336EA" w:rsidP="00E336EA">
      <w:pPr>
        <w:spacing w:line="360" w:lineRule="auto"/>
        <w:jc w:val="both"/>
        <w:rPr>
          <w:rFonts w:ascii="Arial" w:hAnsi="Arial" w:cs="Arial"/>
        </w:rPr>
      </w:pPr>
      <w:r w:rsidRPr="0092670C">
        <w:rPr>
          <w:rFonts w:ascii="Arial" w:hAnsi="Arial" w:cs="Arial"/>
        </w:rPr>
        <w:t>Ex</w:t>
      </w:r>
      <w:r w:rsidR="008A2535">
        <w:rPr>
          <w:rFonts w:ascii="Arial" w:hAnsi="Arial" w:cs="Arial"/>
        </w:rPr>
        <w:t xml:space="preserve"> </w:t>
      </w:r>
      <w:r w:rsidRPr="0092670C">
        <w:rPr>
          <w:rFonts w:ascii="Arial" w:hAnsi="Arial" w:cs="Arial"/>
        </w:rPr>
        <w:t xml:space="preserve">situ XPS was performed on samples after pre-lithiation. All spectra were recorded on a Thermo Scientific NEXSA using a monochromatic Al kα source. The samples were loaded using a vacuum transfer module from a glovebox to ensure that the electrodes weren’t exposed to air. The spectra were deconvoluted using casaXPS. </w:t>
      </w:r>
    </w:p>
    <w:p w14:paraId="5CCE5946" w14:textId="1138DE77" w:rsidR="00E336EA" w:rsidRPr="0092670C" w:rsidRDefault="00E336EA" w:rsidP="00E336EA">
      <w:pPr>
        <w:spacing w:line="360" w:lineRule="auto"/>
        <w:rPr>
          <w:rFonts w:ascii="Arial" w:hAnsi="Arial" w:cs="Arial"/>
        </w:rPr>
      </w:pPr>
      <w:r w:rsidRPr="0092670C">
        <w:rPr>
          <w:rFonts w:ascii="Arial" w:hAnsi="Arial" w:cs="Arial"/>
          <w:noProof/>
        </w:rPr>
        <w:drawing>
          <wp:anchor distT="0" distB="0" distL="114300" distR="114300" simplePos="0" relativeHeight="251658253" behindDoc="0" locked="0" layoutInCell="1" allowOverlap="1" wp14:anchorId="6AA279FD" wp14:editId="229A36E6">
            <wp:simplePos x="0" y="0"/>
            <wp:positionH relativeFrom="column">
              <wp:posOffset>904875</wp:posOffset>
            </wp:positionH>
            <wp:positionV relativeFrom="paragraph">
              <wp:posOffset>0</wp:posOffset>
            </wp:positionV>
            <wp:extent cx="3914775" cy="3000375"/>
            <wp:effectExtent l="0" t="0" r="0" b="0"/>
            <wp:wrapSquare wrapText="lef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14775" cy="3000375"/>
                    </a:xfrm>
                    <a:prstGeom prst="rect">
                      <a:avLst/>
                    </a:prstGeom>
                    <a:noFill/>
                  </pic:spPr>
                </pic:pic>
              </a:graphicData>
            </a:graphic>
            <wp14:sizeRelH relativeFrom="page">
              <wp14:pctWidth>0</wp14:pctWidth>
            </wp14:sizeRelH>
            <wp14:sizeRelV relativeFrom="page">
              <wp14:pctHeight>0</wp14:pctHeight>
            </wp14:sizeRelV>
          </wp:anchor>
        </w:drawing>
      </w:r>
      <w:r w:rsidRPr="0092670C">
        <w:rPr>
          <w:rFonts w:ascii="Arial" w:hAnsi="Arial" w:cs="Arial"/>
        </w:rPr>
        <w:br w:type="textWrapping" w:clear="all"/>
      </w:r>
    </w:p>
    <w:p w14:paraId="7343AB84" w14:textId="7777777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51461CDC">
          <v:shape id="_x0000_i1093" type="#_x0000_t75" style="width:311.8pt;height:239.8pt" o:ole="">
            <v:imagedata r:id="rId190" o:title=""/>
          </v:shape>
          <o:OLEObject Type="Embed" ProgID="Origin95.Graph" ShapeID="_x0000_i1093" DrawAspect="Content" ObjectID="_1700733982" r:id="rId191"/>
        </w:object>
      </w:r>
    </w:p>
    <w:p w14:paraId="0617E609" w14:textId="636157EE" w:rsidR="00E336EA" w:rsidRPr="0092670C" w:rsidRDefault="00E336EA" w:rsidP="00E336EA">
      <w:pPr>
        <w:spacing w:after="200" w:line="360" w:lineRule="auto"/>
        <w:jc w:val="center"/>
        <w:rPr>
          <w:rFonts w:ascii="Arial" w:hAnsi="Arial" w:cs="Arial"/>
          <w:i/>
          <w:iCs/>
          <w:color w:val="44546A" w:themeColor="text2"/>
          <w:sz w:val="20"/>
          <w:szCs w:val="20"/>
        </w:rPr>
      </w:pPr>
      <w:bookmarkStart w:id="188" w:name="_Ref31475985"/>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28</w:t>
      </w:r>
      <w:r w:rsidR="00356A26">
        <w:rPr>
          <w:rFonts w:ascii="Arial" w:hAnsi="Arial" w:cs="Arial"/>
          <w:i/>
          <w:iCs/>
          <w:color w:val="44546A" w:themeColor="text2"/>
          <w:sz w:val="20"/>
          <w:szCs w:val="20"/>
        </w:rPr>
        <w:fldChar w:fldCharType="end"/>
      </w:r>
      <w:bookmarkEnd w:id="188"/>
      <w:r w:rsidRPr="0092670C">
        <w:rPr>
          <w:rFonts w:ascii="Arial" w:hAnsi="Arial" w:cs="Arial"/>
          <w:i/>
          <w:iCs/>
          <w:color w:val="44546A" w:themeColor="text2"/>
          <w:sz w:val="20"/>
          <w:szCs w:val="20"/>
        </w:rPr>
        <w:t xml:space="preserve">: </w:t>
      </w:r>
      <w:r w:rsidR="00675C70" w:rsidRPr="0092670C">
        <w:rPr>
          <w:rFonts w:ascii="Arial" w:hAnsi="Arial" w:cs="Arial"/>
          <w:i/>
          <w:iCs/>
          <w:color w:val="44546A" w:themeColor="text2"/>
          <w:sz w:val="20"/>
          <w:szCs w:val="20"/>
        </w:rPr>
        <w:t>D</w:t>
      </w:r>
      <w:r w:rsidRPr="0092670C">
        <w:rPr>
          <w:rFonts w:ascii="Arial" w:hAnsi="Arial" w:cs="Arial"/>
          <w:i/>
          <w:iCs/>
          <w:color w:val="44546A" w:themeColor="text2"/>
          <w:sz w:val="20"/>
          <w:szCs w:val="20"/>
        </w:rPr>
        <w:t>econvoluted P2p spectra of cells after 1hr of pre-lithiation (top) and 24hrs (bottom)</w:t>
      </w:r>
      <w:r w:rsidR="00675C70" w:rsidRPr="0092670C">
        <w:rPr>
          <w:rFonts w:ascii="Arial" w:hAnsi="Arial" w:cs="Arial"/>
          <w:i/>
          <w:iCs/>
          <w:color w:val="44546A" w:themeColor="text2"/>
          <w:sz w:val="20"/>
          <w:szCs w:val="20"/>
        </w:rPr>
        <w:t>.</w:t>
      </w:r>
    </w:p>
    <w:p w14:paraId="5DE09D24" w14:textId="635E942F" w:rsidR="00E336EA" w:rsidRPr="0092670C" w:rsidRDefault="00B318C9" w:rsidP="00E336EA">
      <w:pPr>
        <w:spacing w:line="360" w:lineRule="auto"/>
        <w:jc w:val="both"/>
        <w:rPr>
          <w:rFonts w:ascii="Arial" w:hAnsi="Arial" w:cs="Arial"/>
        </w:rPr>
      </w:pPr>
      <w:r w:rsidRPr="0092670C">
        <w:rPr>
          <w:rFonts w:ascii="Arial" w:hAnsi="Arial" w:cs="Arial"/>
        </w:rPr>
        <w:t xml:space="preserve">The </w:t>
      </w:r>
      <w:r w:rsidR="00E336EA" w:rsidRPr="0092670C">
        <w:rPr>
          <w:rFonts w:ascii="Arial" w:hAnsi="Arial" w:cs="Arial"/>
        </w:rPr>
        <w:t xml:space="preserve">P2p spectra </w:t>
      </w:r>
      <w:r w:rsidRPr="0092670C">
        <w:rPr>
          <w:rFonts w:ascii="Arial" w:hAnsi="Arial" w:cs="Arial"/>
        </w:rPr>
        <w:t xml:space="preserve">in </w:t>
      </w:r>
      <w:r w:rsidRPr="0092670C">
        <w:rPr>
          <w:rFonts w:ascii="Arial" w:hAnsi="Arial" w:cs="Arial"/>
        </w:rPr>
        <w:fldChar w:fldCharType="begin"/>
      </w:r>
      <w:r w:rsidRPr="0092670C">
        <w:rPr>
          <w:rFonts w:ascii="Arial" w:hAnsi="Arial" w:cs="Arial"/>
        </w:rPr>
        <w:instrText xml:space="preserve"> REF _Ref31475985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27</w:t>
      </w:r>
      <w:r w:rsidRPr="0092670C">
        <w:rPr>
          <w:rFonts w:ascii="Arial" w:hAnsi="Arial" w:cs="Arial"/>
        </w:rPr>
        <w:fldChar w:fldCharType="end"/>
      </w:r>
      <w:r w:rsidRPr="0092670C">
        <w:rPr>
          <w:rFonts w:ascii="Arial" w:hAnsi="Arial" w:cs="Arial"/>
        </w:rPr>
        <w:t xml:space="preserve"> </w:t>
      </w:r>
      <w:r w:rsidR="00E336EA" w:rsidRPr="0092670C">
        <w:rPr>
          <w:rFonts w:ascii="Arial" w:hAnsi="Arial" w:cs="Arial"/>
        </w:rPr>
        <w:t>are slightly different to the other spectra seen so far as they were all s orbital emissions. Being a p orbital means that it has angular momentum which s orbitals don’t have. The electron also has an angular momentum, and this interacts with the angular momentum of the orbital. This phenomenon is known as spin-orbit coupling. Spin orbit coupling means that phosphorous peaks are seen as a doublet, offset by 0.87</w:t>
      </w:r>
      <w:r w:rsidR="004E44F6">
        <w:rPr>
          <w:rFonts w:ascii="Arial" w:hAnsi="Arial" w:cs="Arial"/>
        </w:rPr>
        <w:t xml:space="preserve"> </w:t>
      </w:r>
      <w:r w:rsidR="00E336EA" w:rsidRPr="0092670C">
        <w:rPr>
          <w:rFonts w:ascii="Arial" w:hAnsi="Arial" w:cs="Arial"/>
        </w:rPr>
        <w:t>eV in XPS spectra. These spectra show that more Li</w:t>
      </w:r>
      <w:r w:rsidR="00E336EA" w:rsidRPr="0092670C">
        <w:rPr>
          <w:rFonts w:ascii="Arial" w:hAnsi="Arial" w:cs="Arial"/>
          <w:vertAlign w:val="subscript"/>
        </w:rPr>
        <w:t>x</w:t>
      </w:r>
      <w:r w:rsidR="00E336EA" w:rsidRPr="0092670C">
        <w:rPr>
          <w:rFonts w:ascii="Arial" w:hAnsi="Arial" w:cs="Arial"/>
        </w:rPr>
        <w:t>PO</w:t>
      </w:r>
      <w:r w:rsidR="00E336EA" w:rsidRPr="0092670C">
        <w:rPr>
          <w:rFonts w:ascii="Arial" w:hAnsi="Arial" w:cs="Arial"/>
          <w:vertAlign w:val="subscript"/>
        </w:rPr>
        <w:t>Y</w:t>
      </w:r>
      <w:r w:rsidR="00E336EA" w:rsidRPr="0092670C">
        <w:rPr>
          <w:rFonts w:ascii="Arial" w:hAnsi="Arial" w:cs="Arial"/>
        </w:rPr>
        <w:t>F</w:t>
      </w:r>
      <w:r w:rsidR="00E336EA" w:rsidRPr="0092670C">
        <w:rPr>
          <w:rFonts w:ascii="Arial" w:hAnsi="Arial" w:cs="Arial"/>
          <w:vertAlign w:val="subscript"/>
        </w:rPr>
        <w:t>z</w:t>
      </w:r>
      <w:r w:rsidR="00E336EA" w:rsidRPr="0092670C">
        <w:rPr>
          <w:rFonts w:ascii="Arial" w:hAnsi="Arial" w:cs="Arial"/>
        </w:rPr>
        <w:t xml:space="preserve"> is being formed as pre-lithiation time increases. This is due to the reaction between alcohols and LiPF6. The alcohols are themselves a product of SEI formation. This oxidation process frees up F for use as LiF.  </w:t>
      </w:r>
      <w:r w:rsidR="00AC726B">
        <w:rPr>
          <w:rFonts w:ascii="Arial" w:hAnsi="Arial" w:cs="Arial"/>
        </w:rPr>
        <w:t>The presenc</w:t>
      </w:r>
      <w:r w:rsidR="00F17F81">
        <w:rPr>
          <w:rFonts w:ascii="Arial" w:hAnsi="Arial" w:cs="Arial"/>
        </w:rPr>
        <w:t>e</w:t>
      </w:r>
      <w:r w:rsidR="00AC726B">
        <w:rPr>
          <w:rFonts w:ascii="Arial" w:hAnsi="Arial" w:cs="Arial"/>
        </w:rPr>
        <w:t xml:space="preserve"> of P</w:t>
      </w:r>
      <w:r w:rsidR="00F17F81">
        <w:rPr>
          <w:rFonts w:ascii="Arial" w:hAnsi="Arial" w:cs="Arial"/>
        </w:rPr>
        <w:t>F6</w:t>
      </w:r>
      <w:r w:rsidR="00BD19E2">
        <w:rPr>
          <w:rFonts w:ascii="Arial" w:hAnsi="Arial" w:cs="Arial"/>
          <w:vertAlign w:val="superscript"/>
        </w:rPr>
        <w:t>-</w:t>
      </w:r>
      <w:r w:rsidR="00F17F81">
        <w:rPr>
          <w:rFonts w:ascii="Arial" w:hAnsi="Arial" w:cs="Arial"/>
        </w:rPr>
        <w:t xml:space="preserve"> is due to some of the anion that </w:t>
      </w:r>
      <w:r w:rsidR="00843A0F">
        <w:rPr>
          <w:rFonts w:ascii="Arial" w:hAnsi="Arial" w:cs="Arial"/>
        </w:rPr>
        <w:t>wa</w:t>
      </w:r>
      <w:r w:rsidR="00006524">
        <w:rPr>
          <w:rFonts w:ascii="Arial" w:hAnsi="Arial" w:cs="Arial"/>
        </w:rPr>
        <w:t>s</w:t>
      </w:r>
      <w:r w:rsidR="008322BF">
        <w:rPr>
          <w:rFonts w:ascii="Arial" w:hAnsi="Arial" w:cs="Arial"/>
        </w:rPr>
        <w:t>n’t effectively removed during the DMC wash</w:t>
      </w:r>
      <w:r w:rsidR="00BD19E2">
        <w:rPr>
          <w:rFonts w:ascii="Arial" w:hAnsi="Arial" w:cs="Arial"/>
        </w:rPr>
        <w:t>.</w:t>
      </w:r>
    </w:p>
    <w:p w14:paraId="0CF95EEC" w14:textId="4B1A7020" w:rsidR="00E336EA" w:rsidRPr="0092670C" w:rsidRDefault="0029516D" w:rsidP="0029516D">
      <w:pPr>
        <w:pStyle w:val="Heading3"/>
        <w:rPr>
          <w:rFonts w:ascii="Arial" w:hAnsi="Arial" w:cs="Arial"/>
        </w:rPr>
      </w:pPr>
      <w:bookmarkStart w:id="189" w:name="_Toc82538766"/>
      <w:r w:rsidRPr="0092670C">
        <w:rPr>
          <w:rFonts w:ascii="Arial" w:hAnsi="Arial" w:cs="Arial"/>
        </w:rPr>
        <w:t>Conclusion</w:t>
      </w:r>
      <w:bookmarkEnd w:id="189"/>
    </w:p>
    <w:p w14:paraId="55BB4C57" w14:textId="7FEFA652" w:rsidR="00E336EA" w:rsidRPr="0092670C" w:rsidRDefault="00E336EA" w:rsidP="00E336EA">
      <w:pPr>
        <w:spacing w:line="360" w:lineRule="auto"/>
        <w:jc w:val="both"/>
        <w:rPr>
          <w:rFonts w:ascii="Arial" w:hAnsi="Arial" w:cs="Arial"/>
        </w:rPr>
      </w:pPr>
      <w:r w:rsidRPr="0092670C">
        <w:rPr>
          <w:rFonts w:ascii="Arial" w:hAnsi="Arial" w:cs="Arial"/>
        </w:rPr>
        <w:t xml:space="preserve">These results show that pre-lithiation can have a positive impact on several key markers of cell performance such as capacity and initial coulombic efficiency.  They also show that the pre-lithiation process should be closely monitored to ensure that the desired outcomes are achieved. If the pre-lithiation is allowed to continue for too </w:t>
      </w:r>
      <w:r w:rsidR="006D4938" w:rsidRPr="0092670C">
        <w:rPr>
          <w:rFonts w:ascii="Arial" w:hAnsi="Arial" w:cs="Arial"/>
        </w:rPr>
        <w:t>long,</w:t>
      </w:r>
      <w:r w:rsidRPr="0092670C">
        <w:rPr>
          <w:rFonts w:ascii="Arial" w:hAnsi="Arial" w:cs="Arial"/>
        </w:rPr>
        <w:t xml:space="preserve"> then it benefits can be negated and even start to impede cell performance. This data suggests that the optimal time to mechanically pre-lithiate a cell 18 hours</w:t>
      </w:r>
      <w:r w:rsidR="00BD19E2">
        <w:rPr>
          <w:rFonts w:ascii="Arial" w:hAnsi="Arial" w:cs="Arial"/>
        </w:rPr>
        <w:t xml:space="preserve"> with the current setup</w:t>
      </w:r>
      <w:r w:rsidRPr="0092670C">
        <w:rPr>
          <w:rFonts w:ascii="Arial" w:hAnsi="Arial" w:cs="Arial"/>
        </w:rPr>
        <w:t xml:space="preserve">. This maximises the cell capacity with an initial coulombic efficiency approaching 100%. </w:t>
      </w:r>
    </w:p>
    <w:p w14:paraId="0D6C7FD3" w14:textId="6B1B9EB0" w:rsidR="00E336EA" w:rsidRPr="0092670C" w:rsidRDefault="00E336EA" w:rsidP="0029516D">
      <w:pPr>
        <w:pStyle w:val="Heading2"/>
        <w:rPr>
          <w:rFonts w:ascii="Arial" w:hAnsi="Arial" w:cs="Arial"/>
          <w:sz w:val="32"/>
          <w:szCs w:val="32"/>
        </w:rPr>
      </w:pPr>
      <w:bookmarkStart w:id="190" w:name="_Toc8747373"/>
      <w:bookmarkStart w:id="191" w:name="_Toc82538767"/>
      <w:r w:rsidRPr="0092670C">
        <w:rPr>
          <w:rFonts w:ascii="Arial" w:hAnsi="Arial" w:cs="Arial"/>
          <w:sz w:val="32"/>
          <w:szCs w:val="32"/>
        </w:rPr>
        <w:t>Electrochemical pre-lithiation of graphite</w:t>
      </w:r>
      <w:bookmarkEnd w:id="190"/>
      <w:bookmarkEnd w:id="191"/>
    </w:p>
    <w:p w14:paraId="1DA3AFE3" w14:textId="1166D779" w:rsidR="0029516D" w:rsidRPr="0092670C" w:rsidRDefault="0029516D" w:rsidP="0029516D">
      <w:pPr>
        <w:pStyle w:val="Heading3"/>
        <w:rPr>
          <w:rFonts w:ascii="Arial" w:hAnsi="Arial" w:cs="Arial"/>
        </w:rPr>
      </w:pPr>
      <w:bookmarkStart w:id="192" w:name="_Toc82538768"/>
      <w:r w:rsidRPr="0092670C">
        <w:rPr>
          <w:rFonts w:ascii="Arial" w:hAnsi="Arial" w:cs="Arial"/>
        </w:rPr>
        <w:t>Experimental</w:t>
      </w:r>
      <w:bookmarkEnd w:id="192"/>
      <w:r w:rsidRPr="0092670C">
        <w:rPr>
          <w:rFonts w:ascii="Arial" w:hAnsi="Arial" w:cs="Arial"/>
        </w:rPr>
        <w:t xml:space="preserve"> </w:t>
      </w:r>
    </w:p>
    <w:p w14:paraId="0B05322F" w14:textId="77777777" w:rsidR="006B5A95" w:rsidRPr="00055F06" w:rsidRDefault="006B5A95" w:rsidP="00055F06">
      <w:pPr>
        <w:spacing w:line="360" w:lineRule="auto"/>
        <w:jc w:val="both"/>
        <w:rPr>
          <w:rFonts w:ascii="Arial" w:hAnsi="Arial" w:cs="Arial"/>
        </w:rPr>
      </w:pPr>
      <w:r w:rsidRPr="00055F06">
        <w:rPr>
          <w:rFonts w:ascii="Arial" w:hAnsi="Arial" w:cs="Arial"/>
        </w:rPr>
        <w:t>Graphite electrodes were made as described in 2.2.1. The electrodes were then pre-lithiated electrochemically with LP30 (1.0M LiPF</w:t>
      </w:r>
      <w:r w:rsidRPr="00055F06">
        <w:rPr>
          <w:rFonts w:ascii="Arial" w:hAnsi="Arial" w:cs="Arial"/>
          <w:vertAlign w:val="subscript"/>
        </w:rPr>
        <w:t>6</w:t>
      </w:r>
      <w:r w:rsidRPr="00055F06">
        <w:rPr>
          <w:rFonts w:ascii="Arial" w:hAnsi="Arial" w:cs="Arial"/>
        </w:rPr>
        <w:t xml:space="preserve"> in EC/DMC=50/50 (v/v), battery grade, Sigma Aldrich) as outlined in 2.3.2. This process was conducted between 10 and 50mins. These electrodes were then assembled into coin cells and cycled at C/10 for 100 cycles using CC/CV cycling for the charge on a Maccor series 4000M at 25°C. An electrode the hadn’t been pre-lithiated was also cycled as a reference. </w:t>
      </w:r>
    </w:p>
    <w:p w14:paraId="7189D8D5" w14:textId="77777777" w:rsidR="00E336EA" w:rsidRPr="0092670C" w:rsidRDefault="00E336EA" w:rsidP="00852991">
      <w:pPr>
        <w:pStyle w:val="Heading3"/>
        <w:rPr>
          <w:rFonts w:ascii="Arial" w:hAnsi="Arial" w:cs="Arial"/>
        </w:rPr>
      </w:pPr>
      <w:bookmarkStart w:id="193" w:name="_Toc82538769"/>
      <w:r w:rsidRPr="0092670C">
        <w:rPr>
          <w:rFonts w:ascii="Arial" w:hAnsi="Arial" w:cs="Arial"/>
        </w:rPr>
        <w:t>Results</w:t>
      </w:r>
      <w:bookmarkEnd w:id="193"/>
    </w:p>
    <w:p w14:paraId="505059D7" w14:textId="7EACC48B"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09CDFA18">
          <v:shape id="_x0000_i1094" type="#_x0000_t75" style="width:306pt;height:240.1pt" o:ole="">
            <v:imagedata r:id="rId192" o:title=""/>
          </v:shape>
          <o:OLEObject Type="Embed" ProgID="Origin95.Graph" ShapeID="_x0000_i1094" DrawAspect="Content" ObjectID="_1700733983" r:id="rId193"/>
        </w:object>
      </w:r>
    </w:p>
    <w:p w14:paraId="35936DB0" w14:textId="2F7E2343" w:rsidR="00E336EA" w:rsidRPr="0092670C" w:rsidRDefault="00E336EA" w:rsidP="00E336EA">
      <w:pPr>
        <w:spacing w:after="200" w:line="360" w:lineRule="auto"/>
        <w:jc w:val="center"/>
        <w:rPr>
          <w:rFonts w:ascii="Arial" w:hAnsi="Arial" w:cs="Arial"/>
          <w:i/>
          <w:iCs/>
          <w:color w:val="44546A" w:themeColor="text2"/>
          <w:sz w:val="20"/>
          <w:szCs w:val="20"/>
        </w:rPr>
      </w:pPr>
      <w:bookmarkStart w:id="194" w:name="_Ref3145981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29</w:t>
      </w:r>
      <w:r w:rsidR="00356A26">
        <w:rPr>
          <w:rFonts w:ascii="Arial" w:hAnsi="Arial" w:cs="Arial"/>
          <w:i/>
          <w:iCs/>
          <w:color w:val="44546A" w:themeColor="text2"/>
          <w:sz w:val="20"/>
          <w:szCs w:val="20"/>
        </w:rPr>
        <w:fldChar w:fldCharType="end"/>
      </w:r>
      <w:bookmarkEnd w:id="194"/>
      <w:r w:rsidRPr="0092670C">
        <w:rPr>
          <w:rFonts w:ascii="Arial" w:hAnsi="Arial" w:cs="Arial"/>
          <w:i/>
          <w:iCs/>
          <w:color w:val="44546A" w:themeColor="text2"/>
          <w:sz w:val="20"/>
          <w:szCs w:val="20"/>
        </w:rPr>
        <w:t xml:space="preserve">: </w:t>
      </w:r>
      <w:r w:rsidR="00675C70" w:rsidRPr="0092670C">
        <w:rPr>
          <w:rFonts w:ascii="Arial" w:hAnsi="Arial" w:cs="Arial"/>
          <w:i/>
          <w:iCs/>
          <w:color w:val="44546A" w:themeColor="text2"/>
          <w:sz w:val="20"/>
          <w:szCs w:val="20"/>
        </w:rPr>
        <w:t>C</w:t>
      </w:r>
      <w:r w:rsidRPr="0092670C">
        <w:rPr>
          <w:rFonts w:ascii="Arial" w:hAnsi="Arial" w:cs="Arial"/>
          <w:i/>
          <w:iCs/>
          <w:color w:val="44546A" w:themeColor="text2"/>
          <w:sz w:val="20"/>
          <w:szCs w:val="20"/>
        </w:rPr>
        <w:t>hanges to cell voltage with increasing pre-lithiation time</w:t>
      </w:r>
      <w:r w:rsidR="00675C70" w:rsidRPr="0092670C">
        <w:rPr>
          <w:rFonts w:ascii="Arial" w:hAnsi="Arial" w:cs="Arial"/>
          <w:i/>
          <w:iCs/>
          <w:color w:val="44546A" w:themeColor="text2"/>
          <w:sz w:val="20"/>
          <w:szCs w:val="20"/>
        </w:rPr>
        <w:t>.</w:t>
      </w:r>
    </w:p>
    <w:p w14:paraId="73E3D7F2" w14:textId="281CFC25" w:rsidR="00E336EA" w:rsidRPr="0092670C" w:rsidRDefault="00AD3437" w:rsidP="00E336EA">
      <w:pPr>
        <w:spacing w:line="360" w:lineRule="auto"/>
        <w:jc w:val="both"/>
        <w:rPr>
          <w:rFonts w:ascii="Arial" w:hAnsi="Arial" w:cs="Arial"/>
        </w:rPr>
      </w:pPr>
      <w:r w:rsidRPr="0092670C">
        <w:rPr>
          <w:rFonts w:ascii="Arial" w:hAnsi="Arial" w:cs="Arial"/>
        </w:rPr>
        <w:t xml:space="preserve">In </w:t>
      </w:r>
      <w:r w:rsidRPr="0092670C">
        <w:rPr>
          <w:rFonts w:ascii="Arial" w:hAnsi="Arial" w:cs="Arial"/>
        </w:rPr>
        <w:fldChar w:fldCharType="begin"/>
      </w:r>
      <w:r w:rsidRPr="0092670C">
        <w:rPr>
          <w:rFonts w:ascii="Arial" w:hAnsi="Arial" w:cs="Arial"/>
        </w:rPr>
        <w:instrText xml:space="preserve"> REF _Ref31459811 \h </w:instrText>
      </w:r>
      <w:r w:rsidR="00243488" w:rsidRPr="0092670C">
        <w:rPr>
          <w:rFonts w:ascii="Arial" w:hAnsi="Arial" w:cs="Arial"/>
        </w:rPr>
        <w:instrText xml:space="preserve"> \* MERGEFORMAT </w:instrText>
      </w:r>
      <w:r w:rsidRPr="0092670C">
        <w:rPr>
          <w:rFonts w:ascii="Arial" w:hAnsi="Arial" w:cs="Arial"/>
        </w:rPr>
      </w:r>
      <w:r w:rsidRPr="0092670C">
        <w:rPr>
          <w:rFonts w:ascii="Arial" w:hAnsi="Arial" w:cs="Arial"/>
        </w:rPr>
        <w:fldChar w:fldCharType="separate"/>
      </w:r>
      <w:r w:rsidR="0032728A" w:rsidRPr="0032728A">
        <w:rPr>
          <w:rFonts w:ascii="Arial" w:hAnsi="Arial" w:cs="Arial"/>
        </w:rPr>
        <w:t xml:space="preserve">Figure </w:t>
      </w:r>
      <w:r w:rsidR="0032728A" w:rsidRPr="0032728A">
        <w:rPr>
          <w:rFonts w:ascii="Arial" w:hAnsi="Arial" w:cs="Arial"/>
          <w:noProof/>
        </w:rPr>
        <w:t>3</w:t>
      </w:r>
      <w:r w:rsidR="0032728A" w:rsidRPr="0032728A">
        <w:rPr>
          <w:rFonts w:ascii="Arial" w:hAnsi="Arial" w:cs="Arial"/>
          <w:noProof/>
        </w:rPr>
        <w:noBreakHyphen/>
        <w:t>28</w:t>
      </w:r>
      <w:r w:rsidRPr="0092670C">
        <w:rPr>
          <w:rFonts w:ascii="Arial" w:hAnsi="Arial" w:cs="Arial"/>
        </w:rPr>
        <w:fldChar w:fldCharType="end"/>
      </w:r>
      <w:r w:rsidRPr="0092670C">
        <w:rPr>
          <w:rFonts w:ascii="Arial" w:hAnsi="Arial" w:cs="Arial"/>
        </w:rPr>
        <w:t xml:space="preserve"> </w:t>
      </w:r>
      <w:r w:rsidR="00985E3C" w:rsidRPr="0092670C">
        <w:rPr>
          <w:rFonts w:ascii="Arial" w:hAnsi="Arial" w:cs="Arial"/>
        </w:rPr>
        <w:t>it is shown that i</w:t>
      </w:r>
      <w:r w:rsidR="00E336EA" w:rsidRPr="0092670C">
        <w:rPr>
          <w:rFonts w:ascii="Arial" w:hAnsi="Arial" w:cs="Arial"/>
        </w:rPr>
        <w:t xml:space="preserve">ncreasing the pre-lithiation time causes the voltage to decrease significantly. As the voltage decreases the initial coulombic efficiency increases. This suggests that the SEI has successfully formed during the pre-lithiation stage. After 40 minutes the coulombic efficiency decreases slightly. This coincides with a plateau in the voltage. This combination can be attributed to graphite intercalation starting. This would cause some of the lithium to stay in the graphite once it started cycling. </w:t>
      </w:r>
    </w:p>
    <w:p w14:paraId="0117A118" w14:textId="3C1E884E" w:rsidR="002C4AA4" w:rsidRPr="0092670C" w:rsidRDefault="002C4AA4" w:rsidP="00E336EA">
      <w:pPr>
        <w:spacing w:line="360" w:lineRule="auto"/>
        <w:jc w:val="both"/>
        <w:rPr>
          <w:rFonts w:ascii="Arial" w:hAnsi="Arial" w:cs="Arial"/>
        </w:rPr>
      </w:pPr>
      <w:r w:rsidRPr="0092670C">
        <w:rPr>
          <w:rFonts w:ascii="Arial" w:hAnsi="Arial" w:cs="Arial"/>
        </w:rPr>
        <w:t xml:space="preserve">From </w:t>
      </w:r>
      <w:r w:rsidR="00B82993" w:rsidRPr="0092670C">
        <w:rPr>
          <w:rFonts w:ascii="Arial" w:hAnsi="Arial" w:cs="Arial"/>
        </w:rPr>
        <w:fldChar w:fldCharType="begin"/>
      </w:r>
      <w:r w:rsidR="00B82993" w:rsidRPr="0092670C">
        <w:rPr>
          <w:rFonts w:ascii="Arial" w:hAnsi="Arial" w:cs="Arial"/>
        </w:rPr>
        <w:instrText xml:space="preserve"> REF _Ref31460005 \h  \* MERGEFORMAT </w:instrText>
      </w:r>
      <w:r w:rsidR="00B82993" w:rsidRPr="0092670C">
        <w:rPr>
          <w:rFonts w:ascii="Arial" w:hAnsi="Arial" w:cs="Arial"/>
        </w:rPr>
      </w:r>
      <w:r w:rsidR="00B82993"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29</w:t>
      </w:r>
      <w:r w:rsidR="00B82993" w:rsidRPr="0092670C">
        <w:rPr>
          <w:rFonts w:ascii="Arial" w:hAnsi="Arial" w:cs="Arial"/>
        </w:rPr>
        <w:fldChar w:fldCharType="end"/>
      </w:r>
      <w:r w:rsidRPr="0092670C">
        <w:rPr>
          <w:rFonts w:ascii="Arial" w:hAnsi="Arial" w:cs="Arial"/>
        </w:rPr>
        <w:t xml:space="preserve"> </w:t>
      </w:r>
      <w:r w:rsidR="000F6CFD" w:rsidRPr="0092670C">
        <w:rPr>
          <w:rFonts w:ascii="Arial" w:hAnsi="Arial" w:cs="Arial"/>
        </w:rPr>
        <w:t>we can see t</w:t>
      </w:r>
      <w:r w:rsidR="00651D7F" w:rsidRPr="0092670C">
        <w:rPr>
          <w:rFonts w:ascii="Arial" w:hAnsi="Arial" w:cs="Arial"/>
        </w:rPr>
        <w:t xml:space="preserve">hat pre-lithiating cells </w:t>
      </w:r>
      <w:r w:rsidR="00E46FAA" w:rsidRPr="0092670C">
        <w:rPr>
          <w:rFonts w:ascii="Arial" w:hAnsi="Arial" w:cs="Arial"/>
        </w:rPr>
        <w:t xml:space="preserve">results in </w:t>
      </w:r>
      <w:r w:rsidR="00CE7E78" w:rsidRPr="0092670C">
        <w:rPr>
          <w:rFonts w:ascii="Arial" w:hAnsi="Arial" w:cs="Arial"/>
        </w:rPr>
        <w:t xml:space="preserve">an improved capacity retention with </w:t>
      </w:r>
      <w:r w:rsidR="00093360" w:rsidRPr="0092670C">
        <w:rPr>
          <w:rFonts w:ascii="Arial" w:hAnsi="Arial" w:cs="Arial"/>
        </w:rPr>
        <w:t>all pre-</w:t>
      </w:r>
      <w:r w:rsidR="000A2836" w:rsidRPr="0092670C">
        <w:rPr>
          <w:rFonts w:ascii="Arial" w:hAnsi="Arial" w:cs="Arial"/>
        </w:rPr>
        <w:t>lithiated</w:t>
      </w:r>
      <w:r w:rsidR="00093360" w:rsidRPr="0092670C">
        <w:rPr>
          <w:rFonts w:ascii="Arial" w:hAnsi="Arial" w:cs="Arial"/>
        </w:rPr>
        <w:t xml:space="preserve"> cells</w:t>
      </w:r>
      <w:r w:rsidR="00E7381F" w:rsidRPr="0092670C">
        <w:rPr>
          <w:rFonts w:ascii="Arial" w:hAnsi="Arial" w:cs="Arial"/>
        </w:rPr>
        <w:t xml:space="preserve"> losing less than 10</w:t>
      </w:r>
      <w:r w:rsidR="004E44F6">
        <w:rPr>
          <w:rFonts w:ascii="Arial" w:hAnsi="Arial" w:cs="Arial"/>
        </w:rPr>
        <w:t xml:space="preserve"> </w:t>
      </w:r>
      <w:r w:rsidR="00E7381F" w:rsidRPr="0092670C">
        <w:rPr>
          <w:rFonts w:ascii="Arial" w:hAnsi="Arial" w:cs="Arial"/>
        </w:rPr>
        <w:t>mAhg</w:t>
      </w:r>
      <w:r w:rsidR="00E7381F" w:rsidRPr="0092670C">
        <w:rPr>
          <w:rFonts w:ascii="Arial" w:hAnsi="Arial" w:cs="Arial"/>
          <w:vertAlign w:val="superscript"/>
        </w:rPr>
        <w:t>-1</w:t>
      </w:r>
      <w:r w:rsidR="001C1906" w:rsidRPr="0092670C">
        <w:rPr>
          <w:rFonts w:ascii="Arial" w:hAnsi="Arial" w:cs="Arial"/>
        </w:rPr>
        <w:t xml:space="preserve"> over 100 cycles. </w:t>
      </w:r>
    </w:p>
    <w:p w14:paraId="06E0450C" w14:textId="3ED2D216"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3E0019D9">
          <v:shape id="_x0000_i1095" type="#_x0000_t75" style="width:371.9pt;height:4in" o:ole="">
            <v:imagedata r:id="rId194" o:title=""/>
          </v:shape>
          <o:OLEObject Type="Embed" ProgID="Origin95.Graph" ShapeID="_x0000_i1095" DrawAspect="Content" ObjectID="_1700733984" r:id="rId195"/>
        </w:object>
      </w:r>
    </w:p>
    <w:p w14:paraId="64C580A6" w14:textId="71463106" w:rsidR="00E336EA" w:rsidRPr="0092670C" w:rsidRDefault="00E336EA" w:rsidP="00E336EA">
      <w:pPr>
        <w:spacing w:after="200" w:line="360" w:lineRule="auto"/>
        <w:jc w:val="center"/>
        <w:rPr>
          <w:rFonts w:ascii="Arial" w:hAnsi="Arial" w:cs="Arial"/>
          <w:i/>
          <w:iCs/>
          <w:color w:val="44546A" w:themeColor="text2"/>
          <w:sz w:val="18"/>
          <w:szCs w:val="18"/>
        </w:rPr>
      </w:pPr>
      <w:bookmarkStart w:id="195" w:name="_Ref31460005"/>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30</w:t>
      </w:r>
      <w:r w:rsidR="00356A26">
        <w:rPr>
          <w:rFonts w:ascii="Arial" w:hAnsi="Arial" w:cs="Arial"/>
          <w:i/>
          <w:iCs/>
          <w:color w:val="44546A" w:themeColor="text2"/>
          <w:sz w:val="20"/>
          <w:szCs w:val="20"/>
        </w:rPr>
        <w:fldChar w:fldCharType="end"/>
      </w:r>
      <w:bookmarkEnd w:id="195"/>
      <w:r w:rsidRPr="0092670C">
        <w:rPr>
          <w:rFonts w:ascii="Arial" w:hAnsi="Arial" w:cs="Arial"/>
          <w:i/>
          <w:iCs/>
          <w:color w:val="44546A" w:themeColor="text2"/>
          <w:sz w:val="20"/>
          <w:szCs w:val="20"/>
        </w:rPr>
        <w:t>: Cell performance after different pre-lithiation times</w:t>
      </w:r>
      <w:r w:rsidR="00675C70" w:rsidRPr="0092670C">
        <w:rPr>
          <w:rFonts w:ascii="Arial" w:hAnsi="Arial" w:cs="Arial"/>
          <w:i/>
          <w:iCs/>
          <w:color w:val="44546A" w:themeColor="text2"/>
          <w:sz w:val="20"/>
          <w:szCs w:val="20"/>
        </w:rPr>
        <w:t>.</w:t>
      </w:r>
    </w:p>
    <w:p w14:paraId="07E54F5A" w14:textId="7B57E49D" w:rsidR="00E336EA" w:rsidRPr="0092670C" w:rsidRDefault="00E336EA" w:rsidP="00E336EA">
      <w:pPr>
        <w:spacing w:line="360" w:lineRule="auto"/>
        <w:jc w:val="both"/>
        <w:rPr>
          <w:rFonts w:ascii="Arial" w:hAnsi="Arial" w:cs="Arial"/>
        </w:rPr>
      </w:pPr>
      <w:r w:rsidRPr="0092670C">
        <w:rPr>
          <w:rFonts w:ascii="Arial" w:hAnsi="Arial" w:cs="Arial"/>
        </w:rPr>
        <w:t>EIS corroborates SEI formation with an increase in R</w:t>
      </w:r>
      <w:r w:rsidRPr="0092670C">
        <w:rPr>
          <w:rFonts w:ascii="Arial" w:hAnsi="Arial" w:cs="Arial"/>
          <w:vertAlign w:val="subscript"/>
        </w:rPr>
        <w:t>SEI</w:t>
      </w:r>
      <w:r w:rsidRPr="0092670C">
        <w:rPr>
          <w:rFonts w:ascii="Arial" w:hAnsi="Arial" w:cs="Arial"/>
        </w:rPr>
        <w:t xml:space="preserve"> with increasing pre-lithiation time</w:t>
      </w:r>
      <w:r w:rsidR="008A05E5" w:rsidRPr="0092670C">
        <w:rPr>
          <w:rFonts w:ascii="Arial" w:hAnsi="Arial" w:cs="Arial"/>
        </w:rPr>
        <w:t xml:space="preserve"> in </w:t>
      </w:r>
      <w:r w:rsidR="008A05E5" w:rsidRPr="0092670C">
        <w:rPr>
          <w:rFonts w:ascii="Arial" w:hAnsi="Arial" w:cs="Arial"/>
        </w:rPr>
        <w:fldChar w:fldCharType="begin"/>
      </w:r>
      <w:r w:rsidR="008A05E5" w:rsidRPr="0092670C">
        <w:rPr>
          <w:rFonts w:ascii="Arial" w:hAnsi="Arial" w:cs="Arial"/>
        </w:rPr>
        <w:instrText xml:space="preserve"> REF _Ref31461515 \h  \* MERGEFORMAT </w:instrText>
      </w:r>
      <w:r w:rsidR="008A05E5" w:rsidRPr="0092670C">
        <w:rPr>
          <w:rFonts w:ascii="Arial" w:hAnsi="Arial" w:cs="Arial"/>
        </w:rPr>
      </w:r>
      <w:r w:rsidR="008A05E5"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30</w:t>
      </w:r>
      <w:r w:rsidR="008A05E5" w:rsidRPr="0092670C">
        <w:rPr>
          <w:rFonts w:ascii="Arial" w:hAnsi="Arial" w:cs="Arial"/>
        </w:rPr>
        <w:fldChar w:fldCharType="end"/>
      </w:r>
      <w:r w:rsidRPr="0092670C">
        <w:rPr>
          <w:rFonts w:ascii="Arial" w:hAnsi="Arial" w:cs="Arial"/>
        </w:rPr>
        <w:t>. SEI thickness has been previously linked to R</w:t>
      </w:r>
      <w:r w:rsidRPr="0092670C">
        <w:rPr>
          <w:rFonts w:ascii="Arial" w:hAnsi="Arial" w:cs="Arial"/>
          <w:vertAlign w:val="subscript"/>
        </w:rPr>
        <w:t>SEI</w:t>
      </w:r>
      <w:r w:rsidR="00CC627E" w:rsidRPr="0092670C">
        <w:rPr>
          <w:rFonts w:ascii="Arial" w:hAnsi="Arial" w:cs="Arial"/>
          <w:vertAlign w:val="subscript"/>
        </w:rPr>
        <w:t xml:space="preserve"> </w:t>
      </w:r>
      <w:r w:rsidRPr="0092670C">
        <w:rPr>
          <w:rFonts w:ascii="Arial" w:hAnsi="Arial" w:cs="Arial"/>
        </w:rPr>
        <w:fldChar w:fldCharType="begin"/>
      </w:r>
      <w:r w:rsidR="0034337D">
        <w:rPr>
          <w:rFonts w:ascii="Arial" w:hAnsi="Arial" w:cs="Arial"/>
        </w:rPr>
        <w:instrText xml:space="preserve"> ADDIN EN.CITE &lt;EndNote&gt;&lt;Cite&gt;&lt;Author&gt;Zhang&lt;/Author&gt;&lt;Year&gt;2006&lt;/Year&gt;&lt;RecNum&gt;53&lt;/RecNum&gt;&lt;DisplayText&gt;[227]&lt;/DisplayText&gt;&lt;record&gt;&lt;rec-number&gt;53&lt;/rec-number&gt;&lt;foreign-keys&gt;&lt;key app="EN" db-id="5sa9s0e0r0d9fnexra7pr5xdwd5ztevx95s2" timestamp="1513258632"&gt;53&lt;/key&gt;&lt;/foreign-keys&gt;&lt;ref-type name="Journal Article"&gt;17&lt;/ref-type&gt;&lt;contributors&gt;&lt;authors&gt;&lt;author&gt;Zhang, S. S.&lt;/author&gt;&lt;author&gt;Xu, K.&lt;/author&gt;&lt;author&gt;Jow, T. R.&lt;/author&gt;&lt;/authors&gt;&lt;/contributors&gt;&lt;titles&gt;&lt;title&gt;EIS study on the formation of solid electrolyte interface in Li-ion battery&lt;/title&gt;&lt;secondary-title&gt;Electrochimica Acta&lt;/secondary-title&gt;&lt;/titles&gt;&lt;periodical&gt;&lt;full-title&gt;Electrochimica Acta&lt;/full-title&gt;&lt;/periodical&gt;&lt;pages&gt;1636-1640&lt;/pages&gt;&lt;volume&gt;51&lt;/volume&gt;&lt;number&gt;8&lt;/number&gt;&lt;keywords&gt;&lt;keyword&gt;Electrochemical impedance spectroscopy&lt;/keyword&gt;&lt;keyword&gt;Solid electrolyte interface&lt;/keyword&gt;&lt;keyword&gt;Ionic conductivity&lt;/keyword&gt;&lt;keyword&gt;Lithiation&lt;/keyword&gt;&lt;keyword&gt;Graphite&lt;/keyword&gt;&lt;/keywords&gt;&lt;dates&gt;&lt;year&gt;2006&lt;/year&gt;&lt;pub-dates&gt;&lt;date&gt;2006/01/20/&lt;/date&gt;&lt;/pub-dates&gt;&lt;/dates&gt;&lt;isbn&gt;0013-4686&lt;/isbn&gt;&lt;urls&gt;&lt;related-urls&gt;&lt;url&gt;http://www.sciencedirect.com/science/article/pii/S0013468605007966&lt;/url&gt;&lt;/related-urls&gt;&lt;/urls&gt;&lt;electronic-resource-num&gt;https://doi.org/10.1016/j.electacta.2005.02.137&lt;/electronic-resource-num&gt;&lt;/record&gt;&lt;/Cite&gt;&lt;/EndNote&gt;</w:instrText>
      </w:r>
      <w:r w:rsidRPr="0092670C">
        <w:rPr>
          <w:rFonts w:ascii="Arial" w:hAnsi="Arial" w:cs="Arial"/>
        </w:rPr>
        <w:fldChar w:fldCharType="separate"/>
      </w:r>
      <w:r w:rsidR="0034337D">
        <w:rPr>
          <w:rFonts w:ascii="Arial" w:hAnsi="Arial" w:cs="Arial"/>
          <w:noProof/>
        </w:rPr>
        <w:t>[227]</w:t>
      </w:r>
      <w:r w:rsidRPr="0092670C">
        <w:rPr>
          <w:rFonts w:ascii="Arial" w:hAnsi="Arial" w:cs="Arial"/>
        </w:rPr>
        <w:fldChar w:fldCharType="end"/>
      </w:r>
      <w:r w:rsidRPr="0092670C">
        <w:rPr>
          <w:rFonts w:ascii="Arial" w:hAnsi="Arial" w:cs="Arial"/>
        </w:rPr>
        <w:t>.  This suggest that the SEI is getting thicker, increasing the coulombic efficiency. Again, as with the mechanical pre-lithiation once Li intercalation starts R</w:t>
      </w:r>
      <w:r w:rsidRPr="0092670C">
        <w:rPr>
          <w:rFonts w:ascii="Arial" w:hAnsi="Arial" w:cs="Arial"/>
          <w:vertAlign w:val="subscript"/>
        </w:rPr>
        <w:t xml:space="preserve">SEI </w:t>
      </w:r>
      <w:r w:rsidRPr="0092670C">
        <w:rPr>
          <w:rFonts w:ascii="Arial" w:hAnsi="Arial" w:cs="Arial"/>
        </w:rPr>
        <w:t xml:space="preserve">starts to decrease slightly. </w:t>
      </w:r>
    </w:p>
    <w:p w14:paraId="0321EA85" w14:textId="3A6774AE"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4EC7D57">
          <v:shape id="_x0000_i1096" type="#_x0000_t75" style="width:330.1pt;height:258.1pt" o:ole="">
            <v:imagedata r:id="rId196" o:title=""/>
          </v:shape>
          <o:OLEObject Type="Embed" ProgID="Origin95.Graph" ShapeID="_x0000_i1096" DrawAspect="Content" ObjectID="_1700733985" r:id="rId197"/>
        </w:object>
      </w:r>
    </w:p>
    <w:p w14:paraId="472E93FB" w14:textId="4DE1B0B9" w:rsidR="00E336EA" w:rsidRPr="0092670C" w:rsidRDefault="00E336EA" w:rsidP="00E336EA">
      <w:pPr>
        <w:spacing w:after="200" w:line="360" w:lineRule="auto"/>
        <w:jc w:val="center"/>
        <w:rPr>
          <w:rFonts w:ascii="Arial" w:hAnsi="Arial" w:cs="Arial"/>
          <w:i/>
          <w:iCs/>
          <w:color w:val="44546A" w:themeColor="text2"/>
          <w:sz w:val="18"/>
          <w:szCs w:val="18"/>
        </w:rPr>
      </w:pPr>
      <w:bookmarkStart w:id="196" w:name="_Ref31461515"/>
      <w:r w:rsidRPr="0092670C">
        <w:rPr>
          <w:rFonts w:ascii="Arial" w:hAnsi="Arial" w:cs="Arial"/>
          <w:i/>
          <w:iCs/>
          <w:color w:val="44546A" w:themeColor="text2"/>
          <w:sz w:val="18"/>
          <w:szCs w:val="18"/>
        </w:rPr>
        <w:t xml:space="preserve">Figure </w:t>
      </w:r>
      <w:r w:rsidR="00356A26">
        <w:rPr>
          <w:rFonts w:ascii="Arial" w:hAnsi="Arial" w:cs="Arial"/>
          <w:i/>
          <w:iCs/>
          <w:color w:val="44546A" w:themeColor="text2"/>
          <w:sz w:val="18"/>
          <w:szCs w:val="18"/>
        </w:rPr>
        <w:fldChar w:fldCharType="begin"/>
      </w:r>
      <w:r w:rsidR="00356A26">
        <w:rPr>
          <w:rFonts w:ascii="Arial" w:hAnsi="Arial" w:cs="Arial"/>
          <w:i/>
          <w:iCs/>
          <w:color w:val="44546A" w:themeColor="text2"/>
          <w:sz w:val="18"/>
          <w:szCs w:val="18"/>
        </w:rPr>
        <w:instrText xml:space="preserve"> STYLEREF 1 \s </w:instrText>
      </w:r>
      <w:r w:rsidR="00356A26">
        <w:rPr>
          <w:rFonts w:ascii="Arial" w:hAnsi="Arial" w:cs="Arial"/>
          <w:i/>
          <w:iCs/>
          <w:color w:val="44546A" w:themeColor="text2"/>
          <w:sz w:val="18"/>
          <w:szCs w:val="18"/>
        </w:rPr>
        <w:fldChar w:fldCharType="separate"/>
      </w:r>
      <w:r w:rsidR="00356A26">
        <w:rPr>
          <w:rFonts w:ascii="Arial" w:hAnsi="Arial" w:cs="Arial"/>
          <w:i/>
          <w:iCs/>
          <w:noProof/>
          <w:color w:val="44546A" w:themeColor="text2"/>
          <w:sz w:val="18"/>
          <w:szCs w:val="18"/>
        </w:rPr>
        <w:t>3</w:t>
      </w:r>
      <w:r w:rsidR="00356A26">
        <w:rPr>
          <w:rFonts w:ascii="Arial" w:hAnsi="Arial" w:cs="Arial"/>
          <w:i/>
          <w:iCs/>
          <w:color w:val="44546A" w:themeColor="text2"/>
          <w:sz w:val="18"/>
          <w:szCs w:val="18"/>
        </w:rPr>
        <w:fldChar w:fldCharType="end"/>
      </w:r>
      <w:r w:rsidR="00356A26">
        <w:rPr>
          <w:rFonts w:ascii="Arial" w:hAnsi="Arial" w:cs="Arial"/>
          <w:i/>
          <w:iCs/>
          <w:color w:val="44546A" w:themeColor="text2"/>
          <w:sz w:val="18"/>
          <w:szCs w:val="18"/>
        </w:rPr>
        <w:noBreakHyphen/>
      </w:r>
      <w:r w:rsidR="00356A26">
        <w:rPr>
          <w:rFonts w:ascii="Arial" w:hAnsi="Arial" w:cs="Arial"/>
          <w:i/>
          <w:iCs/>
          <w:color w:val="44546A" w:themeColor="text2"/>
          <w:sz w:val="18"/>
          <w:szCs w:val="18"/>
        </w:rPr>
        <w:fldChar w:fldCharType="begin"/>
      </w:r>
      <w:r w:rsidR="00356A26">
        <w:rPr>
          <w:rFonts w:ascii="Arial" w:hAnsi="Arial" w:cs="Arial"/>
          <w:i/>
          <w:iCs/>
          <w:color w:val="44546A" w:themeColor="text2"/>
          <w:sz w:val="18"/>
          <w:szCs w:val="18"/>
        </w:rPr>
        <w:instrText xml:space="preserve"> SEQ Figure \* ARABIC \s 1 </w:instrText>
      </w:r>
      <w:r w:rsidR="00356A26">
        <w:rPr>
          <w:rFonts w:ascii="Arial" w:hAnsi="Arial" w:cs="Arial"/>
          <w:i/>
          <w:iCs/>
          <w:color w:val="44546A" w:themeColor="text2"/>
          <w:sz w:val="18"/>
          <w:szCs w:val="18"/>
        </w:rPr>
        <w:fldChar w:fldCharType="separate"/>
      </w:r>
      <w:r w:rsidR="00356A26">
        <w:rPr>
          <w:rFonts w:ascii="Arial" w:hAnsi="Arial" w:cs="Arial"/>
          <w:i/>
          <w:iCs/>
          <w:noProof/>
          <w:color w:val="44546A" w:themeColor="text2"/>
          <w:sz w:val="18"/>
          <w:szCs w:val="18"/>
        </w:rPr>
        <w:t>31</w:t>
      </w:r>
      <w:r w:rsidR="00356A26">
        <w:rPr>
          <w:rFonts w:ascii="Arial" w:hAnsi="Arial" w:cs="Arial"/>
          <w:i/>
          <w:iCs/>
          <w:color w:val="44546A" w:themeColor="text2"/>
          <w:sz w:val="18"/>
          <w:szCs w:val="18"/>
        </w:rPr>
        <w:fldChar w:fldCharType="end"/>
      </w:r>
      <w:bookmarkEnd w:id="196"/>
      <w:r w:rsidRPr="0092670C">
        <w:rPr>
          <w:rFonts w:ascii="Arial" w:hAnsi="Arial" w:cs="Arial"/>
          <w:i/>
          <w:iCs/>
          <w:color w:val="44546A" w:themeColor="text2"/>
          <w:sz w:val="18"/>
          <w:szCs w:val="18"/>
        </w:rPr>
        <w:t>: Changes to SEI resistance as a function of pre-lithiation time</w:t>
      </w:r>
      <w:r w:rsidR="00675C70" w:rsidRPr="0092670C">
        <w:rPr>
          <w:rFonts w:ascii="Arial" w:hAnsi="Arial" w:cs="Arial"/>
          <w:i/>
          <w:iCs/>
          <w:color w:val="44546A" w:themeColor="text2"/>
          <w:sz w:val="18"/>
          <w:szCs w:val="18"/>
        </w:rPr>
        <w:t>.</w:t>
      </w:r>
    </w:p>
    <w:p w14:paraId="60EFEFB5" w14:textId="6022DC3E" w:rsidR="00E336EA" w:rsidRPr="0092670C" w:rsidRDefault="00713D85" w:rsidP="00E336EA">
      <w:pPr>
        <w:spacing w:line="360" w:lineRule="auto"/>
        <w:jc w:val="both"/>
        <w:rPr>
          <w:rFonts w:ascii="Arial" w:hAnsi="Arial" w:cs="Arial"/>
        </w:rPr>
      </w:pPr>
      <w:r w:rsidRPr="0092670C">
        <w:rPr>
          <w:rFonts w:ascii="Arial" w:hAnsi="Arial" w:cs="Arial"/>
        </w:rPr>
        <w:t>The</w:t>
      </w:r>
      <w:r w:rsidR="00E336EA" w:rsidRPr="0092670C">
        <w:rPr>
          <w:rFonts w:ascii="Arial" w:hAnsi="Arial" w:cs="Arial"/>
        </w:rPr>
        <w:t xml:space="preserve"> results </w:t>
      </w:r>
      <w:r w:rsidR="00454750" w:rsidRPr="0092670C">
        <w:rPr>
          <w:rFonts w:ascii="Arial" w:hAnsi="Arial" w:cs="Arial"/>
        </w:rPr>
        <w:t xml:space="preserve">in </w:t>
      </w:r>
      <w:r w:rsidR="00454750" w:rsidRPr="0092670C">
        <w:rPr>
          <w:rFonts w:ascii="Arial" w:hAnsi="Arial" w:cs="Arial"/>
        </w:rPr>
        <w:fldChar w:fldCharType="begin"/>
      </w:r>
      <w:r w:rsidR="00454750" w:rsidRPr="0092670C">
        <w:rPr>
          <w:rFonts w:ascii="Arial" w:hAnsi="Arial" w:cs="Arial"/>
        </w:rPr>
        <w:instrText xml:space="preserve"> REF _Ref31464378 \h </w:instrText>
      </w:r>
      <w:r w:rsidR="007A072D" w:rsidRPr="0092670C">
        <w:rPr>
          <w:rFonts w:ascii="Arial" w:hAnsi="Arial" w:cs="Arial"/>
        </w:rPr>
        <w:instrText xml:space="preserve"> \* MERGEFORMAT </w:instrText>
      </w:r>
      <w:r w:rsidR="00454750" w:rsidRPr="0092670C">
        <w:rPr>
          <w:rFonts w:ascii="Arial" w:hAnsi="Arial" w:cs="Arial"/>
        </w:rPr>
      </w:r>
      <w:r w:rsidR="00454750"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31</w:t>
      </w:r>
      <w:r w:rsidR="00454750" w:rsidRPr="0092670C">
        <w:rPr>
          <w:rFonts w:ascii="Arial" w:hAnsi="Arial" w:cs="Arial"/>
        </w:rPr>
        <w:fldChar w:fldCharType="end"/>
      </w:r>
      <w:r w:rsidR="00454750" w:rsidRPr="0092670C">
        <w:rPr>
          <w:rFonts w:ascii="Arial" w:hAnsi="Arial" w:cs="Arial"/>
        </w:rPr>
        <w:t xml:space="preserve"> </w:t>
      </w:r>
      <w:r w:rsidR="0042135D" w:rsidRPr="0092670C">
        <w:rPr>
          <w:rFonts w:ascii="Arial" w:hAnsi="Arial" w:cs="Arial"/>
        </w:rPr>
        <w:t>demonstr</w:t>
      </w:r>
      <w:r w:rsidR="005618AD" w:rsidRPr="0092670C">
        <w:rPr>
          <w:rFonts w:ascii="Arial" w:hAnsi="Arial" w:cs="Arial"/>
        </w:rPr>
        <w:t>ate the highest initial coulombic efficiency</w:t>
      </w:r>
      <w:r w:rsidR="00E336EA" w:rsidRPr="0092670C">
        <w:rPr>
          <w:rFonts w:ascii="Arial" w:hAnsi="Arial" w:cs="Arial"/>
        </w:rPr>
        <w:t xml:space="preserve"> of the cell occurs </w:t>
      </w:r>
      <w:r w:rsidR="009E43FE" w:rsidRPr="0092670C">
        <w:rPr>
          <w:rFonts w:ascii="Arial" w:hAnsi="Arial" w:cs="Arial"/>
        </w:rPr>
        <w:t>when it has been pre-li</w:t>
      </w:r>
      <w:r w:rsidR="00543B62" w:rsidRPr="0092670C">
        <w:rPr>
          <w:rFonts w:ascii="Arial" w:hAnsi="Arial" w:cs="Arial"/>
        </w:rPr>
        <w:t>thiated for</w:t>
      </w:r>
      <w:r w:rsidR="00E336EA" w:rsidRPr="0092670C">
        <w:rPr>
          <w:rFonts w:ascii="Arial" w:hAnsi="Arial" w:cs="Arial"/>
        </w:rPr>
        <w:t xml:space="preserve"> 40 </w:t>
      </w:r>
      <w:r w:rsidR="006D4938" w:rsidRPr="0092670C">
        <w:rPr>
          <w:rFonts w:ascii="Arial" w:hAnsi="Arial" w:cs="Arial"/>
        </w:rPr>
        <w:t>minutes</w:t>
      </w:r>
      <w:r w:rsidR="00543B62" w:rsidRPr="0092670C">
        <w:rPr>
          <w:rFonts w:ascii="Arial" w:hAnsi="Arial" w:cs="Arial"/>
        </w:rPr>
        <w:t>.</w:t>
      </w:r>
      <w:r w:rsidR="00E336EA" w:rsidRPr="0092670C">
        <w:rPr>
          <w:rFonts w:ascii="Arial" w:hAnsi="Arial" w:cs="Arial"/>
        </w:rPr>
        <w:t xml:space="preserve"> </w:t>
      </w:r>
      <w:r w:rsidR="009F32F6" w:rsidRPr="0092670C">
        <w:rPr>
          <w:rFonts w:ascii="Arial" w:hAnsi="Arial" w:cs="Arial"/>
        </w:rPr>
        <w:t xml:space="preserve">This also coincides </w:t>
      </w:r>
      <w:r w:rsidR="00CC627E" w:rsidRPr="0092670C">
        <w:rPr>
          <w:rFonts w:ascii="Arial" w:hAnsi="Arial" w:cs="Arial"/>
        </w:rPr>
        <w:t>with the maxima in R</w:t>
      </w:r>
      <w:r w:rsidR="00CC627E" w:rsidRPr="0092670C">
        <w:rPr>
          <w:rFonts w:ascii="Arial" w:hAnsi="Arial" w:cs="Arial"/>
          <w:vertAlign w:val="subscript"/>
        </w:rPr>
        <w:t>SEI</w:t>
      </w:r>
      <w:r w:rsidR="00CB3226" w:rsidRPr="0092670C">
        <w:rPr>
          <w:rFonts w:ascii="Arial" w:hAnsi="Arial" w:cs="Arial"/>
          <w:vertAlign w:val="subscript"/>
        </w:rPr>
        <w:t xml:space="preserve"> </w:t>
      </w:r>
      <w:r w:rsidR="00BC3294" w:rsidRPr="0092670C">
        <w:rPr>
          <w:rFonts w:ascii="Arial" w:hAnsi="Arial" w:cs="Arial"/>
        </w:rPr>
        <w:t xml:space="preserve">which </w:t>
      </w:r>
      <w:r w:rsidR="003704A1" w:rsidRPr="0092670C">
        <w:rPr>
          <w:rFonts w:ascii="Arial" w:hAnsi="Arial" w:cs="Arial"/>
        </w:rPr>
        <w:t>demonstrates</w:t>
      </w:r>
      <w:r w:rsidR="00080902" w:rsidRPr="0092670C">
        <w:rPr>
          <w:rFonts w:ascii="Arial" w:hAnsi="Arial" w:cs="Arial"/>
        </w:rPr>
        <w:t xml:space="preserve"> that the </w:t>
      </w:r>
      <w:r w:rsidR="007C477A" w:rsidRPr="0092670C">
        <w:rPr>
          <w:rFonts w:ascii="Arial" w:hAnsi="Arial" w:cs="Arial"/>
        </w:rPr>
        <w:t xml:space="preserve">SEI formed during pre-lithiation </w:t>
      </w:r>
      <w:r w:rsidR="00377E66" w:rsidRPr="0092670C">
        <w:rPr>
          <w:rFonts w:ascii="Arial" w:hAnsi="Arial" w:cs="Arial"/>
        </w:rPr>
        <w:t xml:space="preserve">limits further SEI formation </w:t>
      </w:r>
      <w:r w:rsidR="00711099" w:rsidRPr="0092670C">
        <w:rPr>
          <w:rFonts w:ascii="Arial" w:hAnsi="Arial" w:cs="Arial"/>
        </w:rPr>
        <w:t xml:space="preserve">and results in this </w:t>
      </w:r>
      <w:r w:rsidR="00431A6B" w:rsidRPr="0092670C">
        <w:rPr>
          <w:rFonts w:ascii="Arial" w:hAnsi="Arial" w:cs="Arial"/>
        </w:rPr>
        <w:t>ICE increase. Th</w:t>
      </w:r>
      <w:r w:rsidR="00BA59BF" w:rsidRPr="0092670C">
        <w:rPr>
          <w:rFonts w:ascii="Arial" w:hAnsi="Arial" w:cs="Arial"/>
        </w:rPr>
        <w:t>is is especially important in full cells where</w:t>
      </w:r>
      <w:r w:rsidR="00E426E6" w:rsidRPr="0092670C">
        <w:rPr>
          <w:rFonts w:ascii="Arial" w:hAnsi="Arial" w:cs="Arial"/>
        </w:rPr>
        <w:t xml:space="preserve"> balancing </w:t>
      </w:r>
      <w:r w:rsidR="003946EE" w:rsidRPr="0092670C">
        <w:rPr>
          <w:rFonts w:ascii="Arial" w:hAnsi="Arial" w:cs="Arial"/>
        </w:rPr>
        <w:t xml:space="preserve">the anode and cathode </w:t>
      </w:r>
      <w:r w:rsidR="001D5F65" w:rsidRPr="0092670C">
        <w:rPr>
          <w:rFonts w:ascii="Arial" w:hAnsi="Arial" w:cs="Arial"/>
        </w:rPr>
        <w:t>is required</w:t>
      </w:r>
      <w:r w:rsidR="003946EE" w:rsidRPr="0092670C">
        <w:rPr>
          <w:rFonts w:ascii="Arial" w:hAnsi="Arial" w:cs="Arial"/>
        </w:rPr>
        <w:t xml:space="preserve"> </w:t>
      </w:r>
      <w:r w:rsidR="00010FA8" w:rsidRPr="0092670C">
        <w:rPr>
          <w:rFonts w:ascii="Arial" w:hAnsi="Arial" w:cs="Arial"/>
        </w:rPr>
        <w:t xml:space="preserve">with the cathode required </w:t>
      </w:r>
      <w:r w:rsidR="00C836DD" w:rsidRPr="0092670C">
        <w:rPr>
          <w:rFonts w:ascii="Arial" w:hAnsi="Arial" w:cs="Arial"/>
        </w:rPr>
        <w:t>to be larger than the anode to</w:t>
      </w:r>
      <w:r w:rsidR="00B34347" w:rsidRPr="0092670C">
        <w:rPr>
          <w:rFonts w:ascii="Arial" w:hAnsi="Arial" w:cs="Arial"/>
        </w:rPr>
        <w:t xml:space="preserve"> compensate for the </w:t>
      </w:r>
      <w:r w:rsidR="00344939" w:rsidRPr="0092670C">
        <w:rPr>
          <w:rFonts w:ascii="Arial" w:hAnsi="Arial" w:cs="Arial"/>
        </w:rPr>
        <w:t xml:space="preserve">Li lost during </w:t>
      </w:r>
      <w:r w:rsidR="006B6A3F" w:rsidRPr="0092670C">
        <w:rPr>
          <w:rFonts w:ascii="Arial" w:hAnsi="Arial" w:cs="Arial"/>
        </w:rPr>
        <w:t>SEI formation</w:t>
      </w:r>
      <w:r w:rsidR="0046795E" w:rsidRPr="0092670C">
        <w:rPr>
          <w:rFonts w:ascii="Arial" w:hAnsi="Arial" w:cs="Arial"/>
        </w:rPr>
        <w:t xml:space="preserve"> </w:t>
      </w:r>
      <w:r w:rsidR="00B77175" w:rsidRPr="0092670C">
        <w:rPr>
          <w:rFonts w:ascii="Arial" w:hAnsi="Arial" w:cs="Arial"/>
        </w:rPr>
        <w:fldChar w:fldCharType="begin"/>
      </w:r>
      <w:r w:rsidR="0034337D">
        <w:rPr>
          <w:rFonts w:ascii="Arial" w:hAnsi="Arial" w:cs="Arial"/>
        </w:rPr>
        <w:instrText xml:space="preserve"> ADDIN EN.CITE &lt;EndNote&gt;&lt;Cite&gt;&lt;Author&gt;Kleiner&lt;/Author&gt;&lt;Year&gt;2016&lt;/Year&gt;&lt;RecNum&gt;736&lt;/RecNum&gt;&lt;DisplayText&gt;[228]&lt;/DisplayText&gt;&lt;record&gt;&lt;rec-number&gt;736&lt;/rec-number&gt;&lt;foreign-keys&gt;&lt;key app="EN" db-id="5sa9s0e0r0d9fnexra7pr5xdwd5ztevx95s2" timestamp="1593904155" guid="22038688-a1b1-4977-9313-2d779534d7ba"&gt;736&lt;/key&gt;&lt;/foreign-keys&gt;&lt;ref-type name="Journal Article"&gt;17&lt;/ref-type&gt;&lt;contributors&gt;&lt;authors&gt;&lt;author&gt;Kleiner, Karin&lt;/author&gt;&lt;author&gt;Jakes, Peter&lt;/author&gt;&lt;author&gt;Scharner, Sebastian&lt;/author&gt;&lt;author&gt;Liebau, Verena&lt;/author&gt;&lt;author&gt;Ehrenberg, Helmut&lt;/author&gt;&lt;/authors&gt;&lt;/contributors&gt;&lt;titles&gt;&lt;title&gt;Changes of the balancing between anode and cathode due to fatigue in commercial lithium-ion cells&lt;/title&gt;&lt;secondary-title&gt;Journal of Power Sources&lt;/secondary-title&gt;&lt;/titles&gt;&lt;periodical&gt;&lt;full-title&gt;Journal of Power Sources&lt;/full-title&gt;&lt;/periodical&gt;&lt;pages&gt;25-34&lt;/pages&gt;&lt;volume&gt;317&lt;/volume&gt;&lt;keywords&gt;&lt;keyword&gt;Balancing&lt;/keyword&gt;&lt;keyword&gt;Assigment of capacity losses to cell components&lt;/keyword&gt;&lt;keyword&gt;3- electrode measurements&lt;/keyword&gt;&lt;/keywords&gt;&lt;dates&gt;&lt;year&gt;2016&lt;/year&gt;&lt;pub-dates&gt;&lt;date&gt;2016/06/15/&lt;/date&gt;&lt;/pub-dates&gt;&lt;/dates&gt;&lt;isbn&gt;0378-7753&lt;/isbn&gt;&lt;urls&gt;&lt;related-urls&gt;&lt;url&gt;http://www.sciencedirect.com/science/article/pii/S0378775316302506&lt;/url&gt;&lt;/related-urls&gt;&lt;/urls&gt;&lt;electronic-resource-num&gt;https://doi.org/10.1016/j.jpowsour.2016.03.049&lt;/electronic-resource-num&gt;&lt;/record&gt;&lt;/Cite&gt;&lt;/EndNote&gt;</w:instrText>
      </w:r>
      <w:r w:rsidR="00B77175" w:rsidRPr="0092670C">
        <w:rPr>
          <w:rFonts w:ascii="Arial" w:hAnsi="Arial" w:cs="Arial"/>
        </w:rPr>
        <w:fldChar w:fldCharType="separate"/>
      </w:r>
      <w:r w:rsidR="0034337D">
        <w:rPr>
          <w:rFonts w:ascii="Arial" w:hAnsi="Arial" w:cs="Arial"/>
          <w:noProof/>
        </w:rPr>
        <w:t>[228]</w:t>
      </w:r>
      <w:r w:rsidR="00B77175" w:rsidRPr="0092670C">
        <w:rPr>
          <w:rFonts w:ascii="Arial" w:hAnsi="Arial" w:cs="Arial"/>
        </w:rPr>
        <w:fldChar w:fldCharType="end"/>
      </w:r>
      <w:r w:rsidR="006B6A3F" w:rsidRPr="0092670C">
        <w:rPr>
          <w:rFonts w:ascii="Arial" w:hAnsi="Arial" w:cs="Arial"/>
        </w:rPr>
        <w:t>.</w:t>
      </w:r>
      <w:r w:rsidR="00727E51" w:rsidRPr="0092670C">
        <w:rPr>
          <w:rFonts w:ascii="Arial" w:hAnsi="Arial" w:cs="Arial"/>
        </w:rPr>
        <w:t xml:space="preserve"> By increasing the ICE the </w:t>
      </w:r>
      <w:r w:rsidR="00324083" w:rsidRPr="0092670C">
        <w:rPr>
          <w:rFonts w:ascii="Arial" w:hAnsi="Arial" w:cs="Arial"/>
        </w:rPr>
        <w:t>cathode weight can be reduced</w:t>
      </w:r>
      <w:r w:rsidR="00C15042" w:rsidRPr="0092670C">
        <w:rPr>
          <w:rFonts w:ascii="Arial" w:hAnsi="Arial" w:cs="Arial"/>
        </w:rPr>
        <w:t xml:space="preserve">, increasing the total cell density. </w:t>
      </w:r>
    </w:p>
    <w:p w14:paraId="6FCBD655" w14:textId="3C2E25B0" w:rsidR="00E336EA" w:rsidRPr="0092670C" w:rsidRDefault="0067644A" w:rsidP="00E336EA">
      <w:pPr>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1F912E7A">
          <v:shape id="_x0000_i1097" type="#_x0000_t75" style="width:336.2pt;height:263.9pt" o:ole="">
            <v:imagedata r:id="rId198" o:title=""/>
          </v:shape>
          <o:OLEObject Type="Embed" ProgID="Origin95.Graph" ShapeID="_x0000_i1097" DrawAspect="Content" ObjectID="_1700733986" r:id="rId199"/>
        </w:object>
      </w:r>
    </w:p>
    <w:p w14:paraId="79EA6413" w14:textId="4B8CFA29" w:rsidR="00E336EA" w:rsidRPr="0092670C" w:rsidRDefault="00E336EA" w:rsidP="00E336EA">
      <w:pPr>
        <w:spacing w:after="200" w:line="360" w:lineRule="auto"/>
        <w:jc w:val="center"/>
        <w:rPr>
          <w:rFonts w:ascii="Arial" w:hAnsi="Arial" w:cs="Arial"/>
          <w:i/>
          <w:iCs/>
          <w:color w:val="44546A" w:themeColor="text2"/>
          <w:sz w:val="20"/>
          <w:szCs w:val="20"/>
        </w:rPr>
      </w:pPr>
      <w:bookmarkStart w:id="197" w:name="_Ref31464378"/>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32</w:t>
      </w:r>
      <w:r w:rsidR="00356A26">
        <w:rPr>
          <w:rFonts w:ascii="Arial" w:hAnsi="Arial" w:cs="Arial"/>
          <w:i/>
          <w:iCs/>
          <w:color w:val="44546A" w:themeColor="text2"/>
          <w:sz w:val="20"/>
          <w:szCs w:val="20"/>
        </w:rPr>
        <w:fldChar w:fldCharType="end"/>
      </w:r>
      <w:bookmarkEnd w:id="197"/>
      <w:r w:rsidRPr="0092670C">
        <w:rPr>
          <w:rFonts w:ascii="Arial" w:hAnsi="Arial" w:cs="Arial"/>
          <w:i/>
          <w:iCs/>
          <w:color w:val="44546A" w:themeColor="text2"/>
          <w:sz w:val="20"/>
          <w:szCs w:val="20"/>
        </w:rPr>
        <w:t>: Graph demonstrating the improvement in efficiency with increasing time</w:t>
      </w:r>
      <w:r w:rsidR="00C15F3A" w:rsidRPr="0092670C">
        <w:rPr>
          <w:rFonts w:ascii="Arial" w:hAnsi="Arial" w:cs="Arial"/>
          <w:i/>
          <w:iCs/>
          <w:color w:val="44546A" w:themeColor="text2"/>
          <w:sz w:val="20"/>
          <w:szCs w:val="20"/>
        </w:rPr>
        <w:t>.</w:t>
      </w:r>
    </w:p>
    <w:p w14:paraId="300E2E01" w14:textId="69A9425A" w:rsidR="00E336EA" w:rsidRPr="0092670C" w:rsidRDefault="00E336EA" w:rsidP="00E336EA">
      <w:pPr>
        <w:spacing w:before="240" w:line="360" w:lineRule="auto"/>
        <w:jc w:val="both"/>
        <w:rPr>
          <w:rFonts w:ascii="Arial" w:hAnsi="Arial" w:cs="Arial"/>
        </w:rPr>
      </w:pPr>
      <w:r w:rsidRPr="0092670C">
        <w:rPr>
          <w:rFonts w:ascii="Arial" w:hAnsi="Arial" w:cs="Arial"/>
        </w:rPr>
        <w:t>The interaction between cell capacity</w:t>
      </w:r>
      <w:r w:rsidR="00BF148B" w:rsidRPr="0092670C">
        <w:rPr>
          <w:rFonts w:ascii="Arial" w:hAnsi="Arial" w:cs="Arial"/>
        </w:rPr>
        <w:t xml:space="preserve"> and time</w:t>
      </w:r>
      <w:r w:rsidRPr="0092670C">
        <w:rPr>
          <w:rFonts w:ascii="Arial" w:hAnsi="Arial" w:cs="Arial"/>
        </w:rPr>
        <w:t xml:space="preserve"> is very different to that seen with mechanical pre-lithiation</w:t>
      </w:r>
      <w:r w:rsidR="00B940E9">
        <w:rPr>
          <w:rFonts w:ascii="Arial" w:hAnsi="Arial" w:cs="Arial"/>
        </w:rPr>
        <w:t xml:space="preserve">, </w:t>
      </w:r>
      <w:r w:rsidR="00904E5F">
        <w:rPr>
          <w:rFonts w:ascii="Arial" w:hAnsi="Arial" w:cs="Arial"/>
        </w:rPr>
        <w:t>most likely due to the different rates of lithiation that each undergo</w:t>
      </w:r>
      <w:r w:rsidRPr="0092670C">
        <w:rPr>
          <w:rFonts w:ascii="Arial" w:hAnsi="Arial" w:cs="Arial"/>
        </w:rPr>
        <w:t xml:space="preserve">. </w:t>
      </w:r>
      <w:r w:rsidR="00B47096" w:rsidRPr="0092670C">
        <w:rPr>
          <w:rFonts w:ascii="Arial" w:hAnsi="Arial" w:cs="Arial"/>
        </w:rPr>
        <w:t xml:space="preserve">From </w:t>
      </w:r>
      <w:r w:rsidR="00B47096" w:rsidRPr="0092670C">
        <w:rPr>
          <w:rFonts w:ascii="Arial" w:hAnsi="Arial" w:cs="Arial"/>
        </w:rPr>
        <w:fldChar w:fldCharType="begin"/>
      </w:r>
      <w:r w:rsidR="00B47096" w:rsidRPr="0092670C">
        <w:rPr>
          <w:rFonts w:ascii="Arial" w:hAnsi="Arial" w:cs="Arial"/>
        </w:rPr>
        <w:instrText xml:space="preserve"> REF _Ref31456940 \h </w:instrText>
      </w:r>
      <w:r w:rsidR="00690D9B" w:rsidRPr="0092670C">
        <w:rPr>
          <w:rFonts w:ascii="Arial" w:hAnsi="Arial" w:cs="Arial"/>
        </w:rPr>
        <w:instrText xml:space="preserve"> \* MERGEFORMAT </w:instrText>
      </w:r>
      <w:r w:rsidR="00B47096" w:rsidRPr="0092670C">
        <w:rPr>
          <w:rFonts w:ascii="Arial" w:hAnsi="Arial" w:cs="Arial"/>
        </w:rPr>
      </w:r>
      <w:r w:rsidR="00B47096"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32</w:t>
      </w:r>
      <w:r w:rsidR="00B47096" w:rsidRPr="0092670C">
        <w:rPr>
          <w:rFonts w:ascii="Arial" w:hAnsi="Arial" w:cs="Arial"/>
        </w:rPr>
        <w:fldChar w:fldCharType="end"/>
      </w:r>
      <w:r w:rsidR="00B47096" w:rsidRPr="0092670C">
        <w:rPr>
          <w:rFonts w:ascii="Arial" w:hAnsi="Arial" w:cs="Arial"/>
        </w:rPr>
        <w:t xml:space="preserve"> </w:t>
      </w:r>
      <w:r w:rsidR="00630FBF" w:rsidRPr="0092670C">
        <w:rPr>
          <w:rFonts w:ascii="Arial" w:hAnsi="Arial" w:cs="Arial"/>
        </w:rPr>
        <w:t xml:space="preserve">it can be seen that </w:t>
      </w:r>
      <w:r w:rsidR="00690D9B" w:rsidRPr="0092670C">
        <w:rPr>
          <w:rFonts w:ascii="Arial" w:hAnsi="Arial" w:cs="Arial"/>
        </w:rPr>
        <w:t xml:space="preserve">an </w:t>
      </w:r>
      <w:r w:rsidRPr="0092670C">
        <w:rPr>
          <w:rFonts w:ascii="Arial" w:hAnsi="Arial" w:cs="Arial"/>
        </w:rPr>
        <w:t xml:space="preserve">Initial pre-lithiation </w:t>
      </w:r>
      <w:r w:rsidR="005F1A85" w:rsidRPr="0092670C">
        <w:rPr>
          <w:rFonts w:ascii="Arial" w:hAnsi="Arial" w:cs="Arial"/>
        </w:rPr>
        <w:t>time of 10 minutes</w:t>
      </w:r>
      <w:r w:rsidRPr="0092670C">
        <w:rPr>
          <w:rFonts w:ascii="Arial" w:hAnsi="Arial" w:cs="Arial"/>
        </w:rPr>
        <w:t xml:space="preserve"> results in a major increase in cell capacity (≈60</w:t>
      </w:r>
      <w:r w:rsidR="00557992" w:rsidRPr="0092670C">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The capacity then stays relatively stable before dropping dramatically after 30 minutes. This may be due to electrochemical pre-lithiation resulting in a more even (although still inhomogeneous) SEI. This extensive covering helps to minimise Li inventory loss and facilitate Li intercalation. The capacity drop can be attributed to partial intercalation of the graphite anode. The Li in the partially lithiated graphite then becomes electrochemically inactive, lowering the capacity.   </w:t>
      </w:r>
    </w:p>
    <w:p w14:paraId="2B07B501" w14:textId="70D36A42"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1FB0B6D2">
          <v:shape id="_x0000_i1098" type="#_x0000_t75" style="width:317.9pt;height:245.9pt" o:ole="">
            <v:imagedata r:id="rId200" o:title=""/>
          </v:shape>
          <o:OLEObject Type="Embed" ProgID="Origin95.Graph" ShapeID="_x0000_i1098" DrawAspect="Content" ObjectID="_1700733987" r:id="rId201"/>
        </w:object>
      </w:r>
    </w:p>
    <w:p w14:paraId="61B7BCA1" w14:textId="153AE03A" w:rsidR="00E336EA" w:rsidRPr="0092670C" w:rsidRDefault="00E336EA" w:rsidP="00E336EA">
      <w:pPr>
        <w:spacing w:after="200" w:line="360" w:lineRule="auto"/>
        <w:jc w:val="center"/>
        <w:rPr>
          <w:rFonts w:ascii="Arial" w:hAnsi="Arial" w:cs="Arial"/>
          <w:i/>
          <w:iCs/>
          <w:color w:val="44546A" w:themeColor="text2"/>
          <w:sz w:val="20"/>
          <w:szCs w:val="20"/>
        </w:rPr>
      </w:pPr>
      <w:bookmarkStart w:id="198" w:name="_Ref31456940"/>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33</w:t>
      </w:r>
      <w:r w:rsidR="00356A26">
        <w:rPr>
          <w:rFonts w:ascii="Arial" w:hAnsi="Arial" w:cs="Arial"/>
          <w:i/>
          <w:iCs/>
          <w:color w:val="44546A" w:themeColor="text2"/>
          <w:sz w:val="20"/>
          <w:szCs w:val="20"/>
        </w:rPr>
        <w:fldChar w:fldCharType="end"/>
      </w:r>
      <w:bookmarkEnd w:id="198"/>
      <w:r w:rsidRPr="0092670C">
        <w:rPr>
          <w:rFonts w:ascii="Arial" w:hAnsi="Arial" w:cs="Arial"/>
          <w:i/>
          <w:iCs/>
          <w:color w:val="44546A" w:themeColor="text2"/>
          <w:sz w:val="20"/>
          <w:szCs w:val="20"/>
        </w:rPr>
        <w:t>: Graph demonstrating the cell capacity with increasing pre-lithiation time</w:t>
      </w:r>
      <w:r w:rsidR="00C15F3A" w:rsidRPr="0092670C">
        <w:rPr>
          <w:rFonts w:ascii="Arial" w:hAnsi="Arial" w:cs="Arial"/>
          <w:i/>
          <w:iCs/>
          <w:color w:val="44546A" w:themeColor="text2"/>
          <w:sz w:val="20"/>
          <w:szCs w:val="20"/>
        </w:rPr>
        <w:t>.</w:t>
      </w:r>
    </w:p>
    <w:p w14:paraId="60CC6173" w14:textId="7777777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2" w:dyaOrig="4722" w14:anchorId="5962481D">
          <v:shape id="_x0000_i1099" type="#_x0000_t75" style="width:312.1pt;height:240.1pt" o:ole="">
            <v:imagedata r:id="rId202" o:title=""/>
          </v:shape>
          <o:OLEObject Type="Embed" ProgID="Origin95.Graph" ShapeID="_x0000_i1099" DrawAspect="Content" ObjectID="_1700733988" r:id="rId203"/>
        </w:object>
      </w:r>
    </w:p>
    <w:p w14:paraId="1BC36760" w14:textId="2BCEF772" w:rsidR="00E336EA" w:rsidRPr="0092670C" w:rsidRDefault="00E336EA" w:rsidP="00E336EA">
      <w:pPr>
        <w:spacing w:after="200" w:line="360" w:lineRule="auto"/>
        <w:jc w:val="center"/>
        <w:rPr>
          <w:rFonts w:ascii="Arial" w:hAnsi="Arial" w:cs="Arial"/>
          <w:i/>
          <w:iCs/>
          <w:color w:val="44546A" w:themeColor="text2"/>
          <w:sz w:val="20"/>
          <w:szCs w:val="20"/>
        </w:rPr>
      </w:pPr>
      <w:bookmarkStart w:id="199" w:name="_Ref3145286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34</w:t>
      </w:r>
      <w:r w:rsidR="00356A26">
        <w:rPr>
          <w:rFonts w:ascii="Arial" w:hAnsi="Arial" w:cs="Arial"/>
          <w:i/>
          <w:iCs/>
          <w:color w:val="44546A" w:themeColor="text2"/>
          <w:sz w:val="20"/>
          <w:szCs w:val="20"/>
        </w:rPr>
        <w:fldChar w:fldCharType="end"/>
      </w:r>
      <w:bookmarkEnd w:id="199"/>
      <w:r w:rsidRPr="0092670C">
        <w:rPr>
          <w:rFonts w:ascii="Arial" w:hAnsi="Arial" w:cs="Arial"/>
          <w:i/>
          <w:iCs/>
          <w:color w:val="44546A" w:themeColor="text2"/>
          <w:sz w:val="20"/>
          <w:szCs w:val="20"/>
        </w:rPr>
        <w:t>: Differential capacity plots of electrochemical pre-lithiated cells</w:t>
      </w:r>
      <w:r w:rsidR="00C15F3A" w:rsidRPr="0092670C">
        <w:rPr>
          <w:rFonts w:ascii="Arial" w:hAnsi="Arial" w:cs="Arial"/>
          <w:i/>
          <w:iCs/>
          <w:color w:val="44546A" w:themeColor="text2"/>
          <w:sz w:val="20"/>
          <w:szCs w:val="20"/>
        </w:rPr>
        <w:t>.</w:t>
      </w:r>
    </w:p>
    <w:p w14:paraId="32618540" w14:textId="7D372A31" w:rsidR="00E336EA" w:rsidRPr="0092670C" w:rsidRDefault="00E031D8" w:rsidP="0056054B">
      <w:pPr>
        <w:spacing w:line="360" w:lineRule="auto"/>
        <w:jc w:val="both"/>
        <w:rPr>
          <w:rFonts w:ascii="Arial" w:hAnsi="Arial" w:cs="Arial"/>
        </w:rPr>
      </w:pPr>
      <w:r w:rsidRPr="0092670C">
        <w:rPr>
          <w:rFonts w:ascii="Arial" w:hAnsi="Arial" w:cs="Arial"/>
        </w:rPr>
        <w:t xml:space="preserve">In </w:t>
      </w:r>
      <w:r w:rsidR="00ED567B" w:rsidRPr="0092670C">
        <w:rPr>
          <w:rFonts w:ascii="Arial" w:hAnsi="Arial" w:cs="Arial"/>
        </w:rPr>
        <w:fldChar w:fldCharType="begin"/>
      </w:r>
      <w:r w:rsidR="00ED567B" w:rsidRPr="0092670C">
        <w:rPr>
          <w:rFonts w:ascii="Arial" w:hAnsi="Arial" w:cs="Arial"/>
        </w:rPr>
        <w:instrText xml:space="preserve"> REF _Ref31452861 \h </w:instrText>
      </w:r>
      <w:r w:rsidR="005E5DA1" w:rsidRPr="0092670C">
        <w:rPr>
          <w:rFonts w:ascii="Arial" w:hAnsi="Arial" w:cs="Arial"/>
        </w:rPr>
        <w:instrText xml:space="preserve"> \* MERGEFORMAT </w:instrText>
      </w:r>
      <w:r w:rsidR="00ED567B" w:rsidRPr="0092670C">
        <w:rPr>
          <w:rFonts w:ascii="Arial" w:hAnsi="Arial" w:cs="Arial"/>
        </w:rPr>
      </w:r>
      <w:r w:rsidR="00ED567B" w:rsidRPr="0092670C">
        <w:rPr>
          <w:rFonts w:ascii="Arial" w:hAnsi="Arial" w:cs="Arial"/>
        </w:rPr>
        <w:fldChar w:fldCharType="separate"/>
      </w:r>
      <w:r w:rsidR="007342C8" w:rsidRPr="007342C8">
        <w:rPr>
          <w:rFonts w:ascii="Arial" w:hAnsi="Arial" w:cs="Arial"/>
        </w:rPr>
        <w:t>Figure</w:t>
      </w:r>
      <w:r w:rsidR="007342C8" w:rsidRPr="007342C8">
        <w:rPr>
          <w:rFonts w:ascii="Arial" w:hAnsi="Arial" w:cs="Arial"/>
          <w:sz w:val="20"/>
          <w:szCs w:val="20"/>
        </w:rPr>
        <w:t xml:space="preserve"> </w:t>
      </w:r>
      <w:r w:rsidR="007342C8" w:rsidRPr="007342C8">
        <w:rPr>
          <w:rFonts w:ascii="Arial" w:hAnsi="Arial" w:cs="Arial"/>
          <w:noProof/>
        </w:rPr>
        <w:t>3</w:t>
      </w:r>
      <w:r w:rsidR="007342C8" w:rsidRPr="007342C8">
        <w:rPr>
          <w:rFonts w:ascii="Arial" w:hAnsi="Arial" w:cs="Arial"/>
          <w:noProof/>
        </w:rPr>
        <w:noBreakHyphen/>
        <w:t>33</w:t>
      </w:r>
      <w:r w:rsidR="00ED567B" w:rsidRPr="0092670C">
        <w:rPr>
          <w:rFonts w:ascii="Arial" w:hAnsi="Arial" w:cs="Arial"/>
        </w:rPr>
        <w:fldChar w:fldCharType="end"/>
      </w:r>
      <w:r w:rsidR="00ED567B" w:rsidRPr="0092670C">
        <w:rPr>
          <w:rFonts w:ascii="Arial" w:hAnsi="Arial" w:cs="Arial"/>
          <w:sz w:val="28"/>
          <w:szCs w:val="28"/>
        </w:rPr>
        <w:t xml:space="preserve"> </w:t>
      </w:r>
      <w:r w:rsidR="00ED567B" w:rsidRPr="0092670C">
        <w:rPr>
          <w:rFonts w:ascii="Arial" w:hAnsi="Arial" w:cs="Arial"/>
        </w:rPr>
        <w:t xml:space="preserve">the </w:t>
      </w:r>
      <w:r w:rsidR="005E5DA1" w:rsidRPr="0092670C">
        <w:rPr>
          <w:rFonts w:ascii="Arial" w:hAnsi="Arial" w:cs="Arial"/>
        </w:rPr>
        <w:t>d</w:t>
      </w:r>
      <w:r w:rsidR="00ED567B" w:rsidRPr="0092670C">
        <w:rPr>
          <w:rFonts w:ascii="Arial" w:hAnsi="Arial" w:cs="Arial"/>
        </w:rPr>
        <w:t xml:space="preserve">ifferences between </w:t>
      </w:r>
      <w:r w:rsidR="00B11D07" w:rsidRPr="0092670C">
        <w:rPr>
          <w:rFonts w:ascii="Arial" w:hAnsi="Arial" w:cs="Arial"/>
        </w:rPr>
        <w:t>the cells that are pre-lithiated and those that aren</w:t>
      </w:r>
      <w:r w:rsidR="005E5DA1" w:rsidRPr="0092670C">
        <w:rPr>
          <w:rFonts w:ascii="Arial" w:hAnsi="Arial" w:cs="Arial"/>
        </w:rPr>
        <w:t xml:space="preserve">’t </w:t>
      </w:r>
      <w:r w:rsidR="00594D89" w:rsidRPr="0092670C">
        <w:rPr>
          <w:rFonts w:ascii="Arial" w:hAnsi="Arial" w:cs="Arial"/>
        </w:rPr>
        <w:t xml:space="preserve">is clear with the pre-lithiated cells having sharp, well defined </w:t>
      </w:r>
      <w:r w:rsidR="004136C7" w:rsidRPr="0092670C">
        <w:rPr>
          <w:rFonts w:ascii="Arial" w:hAnsi="Arial" w:cs="Arial"/>
        </w:rPr>
        <w:t xml:space="preserve">peaks whereas the </w:t>
      </w:r>
      <w:r w:rsidR="00106DD8" w:rsidRPr="0092670C">
        <w:rPr>
          <w:rFonts w:ascii="Arial" w:hAnsi="Arial" w:cs="Arial"/>
        </w:rPr>
        <w:t>reference cell h</w:t>
      </w:r>
      <w:r w:rsidR="00183F6C" w:rsidRPr="0092670C">
        <w:rPr>
          <w:rFonts w:ascii="Arial" w:hAnsi="Arial" w:cs="Arial"/>
        </w:rPr>
        <w:t xml:space="preserve">as depressed peaks that </w:t>
      </w:r>
      <w:r w:rsidR="004A39D1" w:rsidRPr="0092670C">
        <w:rPr>
          <w:rFonts w:ascii="Arial" w:hAnsi="Arial" w:cs="Arial"/>
        </w:rPr>
        <w:t>are</w:t>
      </w:r>
      <w:r w:rsidR="004105B7" w:rsidRPr="0092670C">
        <w:rPr>
          <w:rFonts w:ascii="Arial" w:hAnsi="Arial" w:cs="Arial"/>
        </w:rPr>
        <w:t xml:space="preserve"> devia</w:t>
      </w:r>
      <w:r w:rsidR="00CC44E7" w:rsidRPr="0092670C">
        <w:rPr>
          <w:rFonts w:ascii="Arial" w:hAnsi="Arial" w:cs="Arial"/>
        </w:rPr>
        <w:t xml:space="preserve">ted with </w:t>
      </w:r>
      <w:r w:rsidR="008709D5" w:rsidRPr="0092670C">
        <w:rPr>
          <w:rFonts w:ascii="Arial" w:hAnsi="Arial" w:cs="Arial"/>
        </w:rPr>
        <w:t xml:space="preserve">from their equilibrium </w:t>
      </w:r>
      <w:r w:rsidR="00987953" w:rsidRPr="0092670C">
        <w:rPr>
          <w:rFonts w:ascii="Arial" w:hAnsi="Arial" w:cs="Arial"/>
        </w:rPr>
        <w:t>with ΔE</w:t>
      </w:r>
      <w:r w:rsidR="00987953" w:rsidRPr="0092670C">
        <w:rPr>
          <w:rFonts w:ascii="Arial" w:hAnsi="Arial" w:cs="Arial"/>
          <w:vertAlign w:val="subscript"/>
        </w:rPr>
        <w:t xml:space="preserve">p </w:t>
      </w:r>
      <w:r w:rsidR="00987953" w:rsidRPr="0092670C">
        <w:rPr>
          <w:rFonts w:ascii="Arial" w:hAnsi="Arial" w:cs="Arial"/>
        </w:rPr>
        <w:t>2 missing entirely.</w:t>
      </w:r>
      <w:r w:rsidR="00AF3848" w:rsidRPr="0092670C">
        <w:rPr>
          <w:rFonts w:ascii="Arial" w:hAnsi="Arial" w:cs="Arial"/>
        </w:rPr>
        <w:t xml:space="preserve"> The</w:t>
      </w:r>
      <w:r w:rsidR="00335C73" w:rsidRPr="0092670C">
        <w:rPr>
          <w:rFonts w:ascii="Arial" w:hAnsi="Arial" w:cs="Arial"/>
        </w:rPr>
        <w:t xml:space="preserve">se values were then tabulated in </w:t>
      </w:r>
      <w:r w:rsidR="007659A4" w:rsidRPr="007659A4">
        <w:rPr>
          <w:rFonts w:ascii="Arial" w:hAnsi="Arial" w:cs="Arial"/>
        </w:rPr>
        <w:fldChar w:fldCharType="begin"/>
      </w:r>
      <w:r w:rsidR="007659A4" w:rsidRPr="007659A4">
        <w:rPr>
          <w:rFonts w:ascii="Arial" w:hAnsi="Arial" w:cs="Arial"/>
        </w:rPr>
        <w:instrText xml:space="preserve"> REF _Ref42882539 \h </w:instrText>
      </w:r>
      <w:r w:rsidR="007659A4">
        <w:rPr>
          <w:rFonts w:ascii="Arial" w:hAnsi="Arial" w:cs="Arial"/>
        </w:rPr>
        <w:instrText xml:space="preserve"> \* MERGEFORMAT </w:instrText>
      </w:r>
      <w:r w:rsidR="007659A4" w:rsidRPr="007659A4">
        <w:rPr>
          <w:rFonts w:ascii="Arial" w:hAnsi="Arial" w:cs="Arial"/>
        </w:rPr>
      </w:r>
      <w:r w:rsidR="007659A4" w:rsidRPr="007659A4">
        <w:rPr>
          <w:rFonts w:ascii="Arial" w:hAnsi="Arial" w:cs="Arial"/>
        </w:rPr>
        <w:fldChar w:fldCharType="separate"/>
      </w:r>
      <w:r w:rsidR="007342C8" w:rsidRPr="007342C8">
        <w:rPr>
          <w:rFonts w:ascii="Arial" w:hAnsi="Arial" w:cs="Arial"/>
        </w:rPr>
        <w:t xml:space="preserve">Table </w:t>
      </w:r>
      <w:r w:rsidR="007342C8" w:rsidRPr="007342C8">
        <w:rPr>
          <w:rFonts w:ascii="Arial" w:hAnsi="Arial" w:cs="Arial"/>
          <w:noProof/>
        </w:rPr>
        <w:t>3</w:t>
      </w:r>
      <w:r w:rsidR="007342C8" w:rsidRPr="007342C8">
        <w:rPr>
          <w:rFonts w:ascii="Arial" w:hAnsi="Arial" w:cs="Arial"/>
          <w:noProof/>
        </w:rPr>
        <w:noBreakHyphen/>
        <w:t>7</w:t>
      </w:r>
      <w:r w:rsidR="007659A4" w:rsidRPr="007659A4">
        <w:rPr>
          <w:rFonts w:ascii="Arial" w:hAnsi="Arial" w:cs="Arial"/>
        </w:rPr>
        <w:fldChar w:fldCharType="end"/>
      </w:r>
      <w:r w:rsidR="007659A4">
        <w:rPr>
          <w:rFonts w:ascii="Arial" w:hAnsi="Arial" w:cs="Arial"/>
        </w:rPr>
        <w:t>.</w:t>
      </w:r>
    </w:p>
    <w:p w14:paraId="5564ED6F" w14:textId="1B4EDA7D" w:rsidR="00A63AC8" w:rsidRPr="0092670C" w:rsidRDefault="00A63AC8" w:rsidP="00A63AC8">
      <w:pPr>
        <w:pStyle w:val="Caption"/>
        <w:keepNext/>
        <w:rPr>
          <w:rFonts w:ascii="Arial" w:hAnsi="Arial" w:cs="Arial"/>
          <w:sz w:val="20"/>
          <w:szCs w:val="20"/>
        </w:rPr>
      </w:pPr>
      <w:bookmarkStart w:id="200" w:name="_Ref42882539"/>
      <w:r w:rsidRPr="0092670C">
        <w:rPr>
          <w:rFonts w:ascii="Arial" w:hAnsi="Arial" w:cs="Arial"/>
          <w:sz w:val="20"/>
          <w:szCs w:val="20"/>
        </w:rPr>
        <w:t xml:space="preserve">Table </w:t>
      </w:r>
      <w:r w:rsidR="004F6B49">
        <w:rPr>
          <w:rFonts w:ascii="Arial" w:hAnsi="Arial" w:cs="Arial"/>
          <w:sz w:val="20"/>
          <w:szCs w:val="20"/>
        </w:rPr>
        <w:fldChar w:fldCharType="begin"/>
      </w:r>
      <w:r w:rsidR="004F6B49">
        <w:rPr>
          <w:rFonts w:ascii="Arial" w:hAnsi="Arial" w:cs="Arial"/>
          <w:sz w:val="20"/>
          <w:szCs w:val="20"/>
        </w:rPr>
        <w:instrText xml:space="preserve"> STYLEREF 1 \s </w:instrText>
      </w:r>
      <w:r w:rsidR="004F6B49">
        <w:rPr>
          <w:rFonts w:ascii="Arial" w:hAnsi="Arial" w:cs="Arial"/>
          <w:sz w:val="20"/>
          <w:szCs w:val="20"/>
        </w:rPr>
        <w:fldChar w:fldCharType="separate"/>
      </w:r>
      <w:r w:rsidR="007342C8">
        <w:rPr>
          <w:rFonts w:ascii="Arial" w:hAnsi="Arial" w:cs="Arial"/>
          <w:noProof/>
          <w:sz w:val="20"/>
          <w:szCs w:val="20"/>
        </w:rPr>
        <w:t>3</w:t>
      </w:r>
      <w:r w:rsidR="004F6B49">
        <w:rPr>
          <w:rFonts w:ascii="Arial" w:hAnsi="Arial" w:cs="Arial"/>
          <w:sz w:val="20"/>
          <w:szCs w:val="20"/>
        </w:rPr>
        <w:fldChar w:fldCharType="end"/>
      </w:r>
      <w:r w:rsidR="004F6B49">
        <w:rPr>
          <w:rFonts w:ascii="Arial" w:hAnsi="Arial" w:cs="Arial"/>
          <w:sz w:val="20"/>
          <w:szCs w:val="20"/>
        </w:rPr>
        <w:noBreakHyphen/>
      </w:r>
      <w:r w:rsidR="004F6B49">
        <w:rPr>
          <w:rFonts w:ascii="Arial" w:hAnsi="Arial" w:cs="Arial"/>
          <w:sz w:val="20"/>
          <w:szCs w:val="20"/>
        </w:rPr>
        <w:fldChar w:fldCharType="begin"/>
      </w:r>
      <w:r w:rsidR="004F6B49">
        <w:rPr>
          <w:rFonts w:ascii="Arial" w:hAnsi="Arial" w:cs="Arial"/>
          <w:sz w:val="20"/>
          <w:szCs w:val="20"/>
        </w:rPr>
        <w:instrText xml:space="preserve"> SEQ Table \* ARABIC \s 1 </w:instrText>
      </w:r>
      <w:r w:rsidR="004F6B49">
        <w:rPr>
          <w:rFonts w:ascii="Arial" w:hAnsi="Arial" w:cs="Arial"/>
          <w:sz w:val="20"/>
          <w:szCs w:val="20"/>
        </w:rPr>
        <w:fldChar w:fldCharType="separate"/>
      </w:r>
      <w:r w:rsidR="007342C8">
        <w:rPr>
          <w:rFonts w:ascii="Arial" w:hAnsi="Arial" w:cs="Arial"/>
          <w:noProof/>
          <w:sz w:val="20"/>
          <w:szCs w:val="20"/>
        </w:rPr>
        <w:t>7</w:t>
      </w:r>
      <w:r w:rsidR="004F6B49">
        <w:rPr>
          <w:rFonts w:ascii="Arial" w:hAnsi="Arial" w:cs="Arial"/>
          <w:sz w:val="20"/>
          <w:szCs w:val="20"/>
        </w:rPr>
        <w:fldChar w:fldCharType="end"/>
      </w:r>
      <w:bookmarkEnd w:id="200"/>
      <w:r w:rsidRPr="0092670C">
        <w:rPr>
          <w:rFonts w:ascii="Arial" w:hAnsi="Arial" w:cs="Arial"/>
          <w:sz w:val="20"/>
          <w:szCs w:val="20"/>
        </w:rPr>
        <w:t>: ΔE</w:t>
      </w:r>
      <w:r w:rsidRPr="0092670C">
        <w:rPr>
          <w:rFonts w:ascii="Arial" w:hAnsi="Arial" w:cs="Arial"/>
          <w:sz w:val="20"/>
          <w:szCs w:val="20"/>
          <w:vertAlign w:val="subscript"/>
        </w:rPr>
        <w:t>p</w:t>
      </w:r>
      <w:r w:rsidRPr="0092670C">
        <w:rPr>
          <w:rFonts w:ascii="Arial" w:hAnsi="Arial" w:cs="Arial"/>
          <w:sz w:val="20"/>
          <w:szCs w:val="20"/>
        </w:rPr>
        <w:t xml:space="preserve"> values from the 1st cycle of electrochemically pre-lithiated cells.</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54"/>
        <w:gridCol w:w="2120"/>
        <w:gridCol w:w="2120"/>
      </w:tblGrid>
      <w:tr w:rsidR="00E336EA" w:rsidRPr="0092670C" w14:paraId="1690648A" w14:textId="77777777" w:rsidTr="00A63AC8">
        <w:trPr>
          <w:cantSplit/>
        </w:trPr>
        <w:tc>
          <w:tcPr>
            <w:tcW w:w="2410" w:type="dxa"/>
            <w:tcBorders>
              <w:top w:val="single" w:sz="4" w:space="0" w:color="auto"/>
              <w:bottom w:val="single" w:sz="4" w:space="0" w:color="auto"/>
            </w:tcBorders>
          </w:tcPr>
          <w:p w14:paraId="6241A4A4"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Pre-lithiation time (mins)</w:t>
            </w:r>
          </w:p>
        </w:tc>
        <w:tc>
          <w:tcPr>
            <w:tcW w:w="1854" w:type="dxa"/>
            <w:tcBorders>
              <w:top w:val="single" w:sz="4" w:space="0" w:color="auto"/>
              <w:bottom w:val="single" w:sz="4" w:space="0" w:color="auto"/>
            </w:tcBorders>
          </w:tcPr>
          <w:p w14:paraId="0B5610DB" w14:textId="070FA0A8" w:rsidR="00E336EA" w:rsidRPr="0092670C" w:rsidRDefault="00E336EA" w:rsidP="00ED5B8A">
            <w:pPr>
              <w:keepNext/>
              <w:keepLines/>
              <w:widowControl w:val="0"/>
              <w:spacing w:line="360" w:lineRule="auto"/>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1</w:t>
            </w:r>
            <w:r w:rsidR="00596A31">
              <w:rPr>
                <w:rFonts w:ascii="Arial" w:hAnsi="Arial" w:cs="Arial"/>
              </w:rPr>
              <w:t xml:space="preserve"> </w:t>
            </w:r>
            <w:r w:rsidRPr="0092670C">
              <w:rPr>
                <w:rFonts w:ascii="Arial" w:hAnsi="Arial" w:cs="Arial"/>
              </w:rPr>
              <w:t>(mV)</w:t>
            </w:r>
          </w:p>
        </w:tc>
        <w:tc>
          <w:tcPr>
            <w:tcW w:w="2120" w:type="dxa"/>
            <w:tcBorders>
              <w:top w:val="single" w:sz="4" w:space="0" w:color="auto"/>
              <w:bottom w:val="single" w:sz="4" w:space="0" w:color="auto"/>
            </w:tcBorders>
          </w:tcPr>
          <w:p w14:paraId="7FD15CE6" w14:textId="4C00B367" w:rsidR="00E336EA" w:rsidRPr="0092670C" w:rsidRDefault="00E336EA" w:rsidP="00ED5B8A">
            <w:pPr>
              <w:keepNext/>
              <w:keepLines/>
              <w:widowControl w:val="0"/>
              <w:spacing w:line="360" w:lineRule="auto"/>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2</w:t>
            </w:r>
            <w:r w:rsidR="00596A31">
              <w:rPr>
                <w:rFonts w:ascii="Arial" w:hAnsi="Arial" w:cs="Arial"/>
              </w:rPr>
              <w:t xml:space="preserve"> </w:t>
            </w:r>
            <w:r w:rsidRPr="0092670C">
              <w:rPr>
                <w:rFonts w:ascii="Arial" w:hAnsi="Arial" w:cs="Arial"/>
              </w:rPr>
              <w:t>(mV)</w:t>
            </w:r>
          </w:p>
        </w:tc>
        <w:tc>
          <w:tcPr>
            <w:tcW w:w="2120" w:type="dxa"/>
            <w:tcBorders>
              <w:top w:val="single" w:sz="4" w:space="0" w:color="auto"/>
              <w:bottom w:val="single" w:sz="4" w:space="0" w:color="auto"/>
            </w:tcBorders>
          </w:tcPr>
          <w:p w14:paraId="1DE5DE5D" w14:textId="50B160B6" w:rsidR="00E336EA" w:rsidRPr="0092670C" w:rsidRDefault="00E336EA" w:rsidP="00ED5B8A">
            <w:pPr>
              <w:keepNext/>
              <w:keepLines/>
              <w:widowControl w:val="0"/>
              <w:spacing w:line="360" w:lineRule="auto"/>
              <w:rPr>
                <w:rFonts w:ascii="Arial" w:hAnsi="Arial" w:cs="Arial"/>
              </w:rPr>
            </w:pPr>
            <w:r w:rsidRPr="0092670C">
              <w:rPr>
                <w:rFonts w:ascii="Arial" w:hAnsi="Arial" w:cs="Arial"/>
              </w:rPr>
              <w:t>ΔE</w:t>
            </w:r>
            <w:r w:rsidRPr="0092670C">
              <w:rPr>
                <w:rFonts w:ascii="Arial" w:hAnsi="Arial" w:cs="Arial"/>
                <w:vertAlign w:val="subscript"/>
              </w:rPr>
              <w:t xml:space="preserve">p </w:t>
            </w:r>
            <w:r w:rsidRPr="0092670C">
              <w:rPr>
                <w:rFonts w:ascii="Arial" w:hAnsi="Arial" w:cs="Arial"/>
              </w:rPr>
              <w:t>3</w:t>
            </w:r>
            <w:r w:rsidR="00596A31">
              <w:rPr>
                <w:rFonts w:ascii="Arial" w:hAnsi="Arial" w:cs="Arial"/>
              </w:rPr>
              <w:t xml:space="preserve"> </w:t>
            </w:r>
            <w:r w:rsidRPr="0092670C">
              <w:rPr>
                <w:rFonts w:ascii="Arial" w:hAnsi="Arial" w:cs="Arial"/>
              </w:rPr>
              <w:t>(mV)</w:t>
            </w:r>
          </w:p>
        </w:tc>
      </w:tr>
      <w:tr w:rsidR="00E336EA" w:rsidRPr="0092670C" w14:paraId="76AE1DF9" w14:textId="77777777" w:rsidTr="00A63AC8">
        <w:trPr>
          <w:cantSplit/>
        </w:trPr>
        <w:tc>
          <w:tcPr>
            <w:tcW w:w="2410" w:type="dxa"/>
            <w:tcBorders>
              <w:top w:val="single" w:sz="4" w:space="0" w:color="auto"/>
            </w:tcBorders>
          </w:tcPr>
          <w:p w14:paraId="3C6DB1F0"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0</w:t>
            </w:r>
          </w:p>
        </w:tc>
        <w:tc>
          <w:tcPr>
            <w:tcW w:w="1854" w:type="dxa"/>
            <w:tcBorders>
              <w:top w:val="single" w:sz="4" w:space="0" w:color="auto"/>
            </w:tcBorders>
          </w:tcPr>
          <w:p w14:paraId="575019AE"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120.8</w:t>
            </w:r>
          </w:p>
        </w:tc>
        <w:tc>
          <w:tcPr>
            <w:tcW w:w="2120" w:type="dxa"/>
            <w:tcBorders>
              <w:top w:val="single" w:sz="4" w:space="0" w:color="auto"/>
            </w:tcBorders>
          </w:tcPr>
          <w:p w14:paraId="36F60BB7"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w:t>
            </w:r>
          </w:p>
        </w:tc>
        <w:tc>
          <w:tcPr>
            <w:tcW w:w="2120" w:type="dxa"/>
            <w:tcBorders>
              <w:top w:val="single" w:sz="4" w:space="0" w:color="auto"/>
            </w:tcBorders>
          </w:tcPr>
          <w:p w14:paraId="182C4DB7"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95.2</w:t>
            </w:r>
          </w:p>
        </w:tc>
      </w:tr>
      <w:tr w:rsidR="00E336EA" w:rsidRPr="0092670C" w14:paraId="3872CEC2" w14:textId="77777777" w:rsidTr="00A63AC8">
        <w:trPr>
          <w:cantSplit/>
        </w:trPr>
        <w:tc>
          <w:tcPr>
            <w:tcW w:w="2410" w:type="dxa"/>
          </w:tcPr>
          <w:p w14:paraId="10C0D804"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10</w:t>
            </w:r>
          </w:p>
        </w:tc>
        <w:tc>
          <w:tcPr>
            <w:tcW w:w="1854" w:type="dxa"/>
          </w:tcPr>
          <w:p w14:paraId="512BBCFC"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89.3</w:t>
            </w:r>
          </w:p>
        </w:tc>
        <w:tc>
          <w:tcPr>
            <w:tcW w:w="2120" w:type="dxa"/>
          </w:tcPr>
          <w:p w14:paraId="15FDFDD8"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73.5</w:t>
            </w:r>
          </w:p>
        </w:tc>
        <w:tc>
          <w:tcPr>
            <w:tcW w:w="2120" w:type="dxa"/>
          </w:tcPr>
          <w:p w14:paraId="4C000955"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68.6</w:t>
            </w:r>
          </w:p>
        </w:tc>
      </w:tr>
      <w:tr w:rsidR="00E336EA" w:rsidRPr="0092670C" w14:paraId="1B042768" w14:textId="77777777" w:rsidTr="00A63AC8">
        <w:trPr>
          <w:cantSplit/>
        </w:trPr>
        <w:tc>
          <w:tcPr>
            <w:tcW w:w="2410" w:type="dxa"/>
          </w:tcPr>
          <w:p w14:paraId="2772A9E4"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20</w:t>
            </w:r>
          </w:p>
        </w:tc>
        <w:tc>
          <w:tcPr>
            <w:tcW w:w="1854" w:type="dxa"/>
          </w:tcPr>
          <w:p w14:paraId="74EC5941"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87.4</w:t>
            </w:r>
          </w:p>
        </w:tc>
        <w:tc>
          <w:tcPr>
            <w:tcW w:w="2120" w:type="dxa"/>
          </w:tcPr>
          <w:p w14:paraId="2A29131E"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71.8</w:t>
            </w:r>
          </w:p>
        </w:tc>
        <w:tc>
          <w:tcPr>
            <w:tcW w:w="2120" w:type="dxa"/>
          </w:tcPr>
          <w:p w14:paraId="04CF2D29"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66.7</w:t>
            </w:r>
          </w:p>
        </w:tc>
      </w:tr>
      <w:tr w:rsidR="00E336EA" w:rsidRPr="0092670C" w14:paraId="04F0AB67" w14:textId="77777777" w:rsidTr="00A63AC8">
        <w:trPr>
          <w:cantSplit/>
        </w:trPr>
        <w:tc>
          <w:tcPr>
            <w:tcW w:w="2410" w:type="dxa"/>
          </w:tcPr>
          <w:p w14:paraId="09688C63"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30</w:t>
            </w:r>
          </w:p>
        </w:tc>
        <w:tc>
          <w:tcPr>
            <w:tcW w:w="1854" w:type="dxa"/>
          </w:tcPr>
          <w:p w14:paraId="0ADE7002"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88.0</w:t>
            </w:r>
          </w:p>
        </w:tc>
        <w:tc>
          <w:tcPr>
            <w:tcW w:w="2120" w:type="dxa"/>
          </w:tcPr>
          <w:p w14:paraId="127BBF7E"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72.6</w:t>
            </w:r>
          </w:p>
        </w:tc>
        <w:tc>
          <w:tcPr>
            <w:tcW w:w="2120" w:type="dxa"/>
          </w:tcPr>
          <w:p w14:paraId="306DF22E"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67.6</w:t>
            </w:r>
          </w:p>
        </w:tc>
      </w:tr>
      <w:tr w:rsidR="00E336EA" w:rsidRPr="0092670C" w14:paraId="47F37A0F" w14:textId="77777777" w:rsidTr="00A63AC8">
        <w:trPr>
          <w:cantSplit/>
        </w:trPr>
        <w:tc>
          <w:tcPr>
            <w:tcW w:w="2410" w:type="dxa"/>
          </w:tcPr>
          <w:p w14:paraId="1FEC35FB"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40</w:t>
            </w:r>
          </w:p>
        </w:tc>
        <w:tc>
          <w:tcPr>
            <w:tcW w:w="1854" w:type="dxa"/>
          </w:tcPr>
          <w:p w14:paraId="43DFB46D"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105.3</w:t>
            </w:r>
          </w:p>
        </w:tc>
        <w:tc>
          <w:tcPr>
            <w:tcW w:w="2120" w:type="dxa"/>
          </w:tcPr>
          <w:p w14:paraId="7819960E"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79.8</w:t>
            </w:r>
          </w:p>
        </w:tc>
        <w:tc>
          <w:tcPr>
            <w:tcW w:w="2120" w:type="dxa"/>
          </w:tcPr>
          <w:p w14:paraId="089E9CD6"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74.8</w:t>
            </w:r>
          </w:p>
        </w:tc>
      </w:tr>
      <w:tr w:rsidR="00E336EA" w:rsidRPr="0092670C" w14:paraId="4C197C8D" w14:textId="77777777" w:rsidTr="00A63AC8">
        <w:trPr>
          <w:cantSplit/>
        </w:trPr>
        <w:tc>
          <w:tcPr>
            <w:tcW w:w="2410" w:type="dxa"/>
          </w:tcPr>
          <w:p w14:paraId="629E73C1"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50</w:t>
            </w:r>
          </w:p>
        </w:tc>
        <w:tc>
          <w:tcPr>
            <w:tcW w:w="1854" w:type="dxa"/>
          </w:tcPr>
          <w:p w14:paraId="73CB98F0"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76.9</w:t>
            </w:r>
          </w:p>
        </w:tc>
        <w:tc>
          <w:tcPr>
            <w:tcW w:w="2120" w:type="dxa"/>
          </w:tcPr>
          <w:p w14:paraId="64B7299E"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61.2</w:t>
            </w:r>
          </w:p>
        </w:tc>
        <w:tc>
          <w:tcPr>
            <w:tcW w:w="2120" w:type="dxa"/>
          </w:tcPr>
          <w:p w14:paraId="61C48B1B" w14:textId="77777777" w:rsidR="00E336EA" w:rsidRPr="0092670C" w:rsidRDefault="00E336EA" w:rsidP="00ED5B8A">
            <w:pPr>
              <w:keepNext/>
              <w:keepLines/>
              <w:widowControl w:val="0"/>
              <w:spacing w:line="360" w:lineRule="auto"/>
              <w:rPr>
                <w:rFonts w:ascii="Arial" w:hAnsi="Arial" w:cs="Arial"/>
              </w:rPr>
            </w:pPr>
            <w:r w:rsidRPr="0092670C">
              <w:rPr>
                <w:rFonts w:ascii="Arial" w:hAnsi="Arial" w:cs="Arial"/>
              </w:rPr>
              <w:t>55.9</w:t>
            </w:r>
          </w:p>
        </w:tc>
      </w:tr>
    </w:tbl>
    <w:p w14:paraId="2664AB2F" w14:textId="77777777" w:rsidR="00A63AC8" w:rsidRPr="0092670C" w:rsidRDefault="00A63AC8" w:rsidP="004A6A48">
      <w:pPr>
        <w:spacing w:after="200" w:line="360" w:lineRule="auto"/>
        <w:jc w:val="both"/>
        <w:rPr>
          <w:rFonts w:ascii="Arial" w:hAnsi="Arial" w:cs="Arial"/>
          <w:sz w:val="18"/>
          <w:szCs w:val="18"/>
        </w:rPr>
      </w:pPr>
    </w:p>
    <w:p w14:paraId="55C75788" w14:textId="1B761E8F" w:rsidR="00F64CC7" w:rsidRPr="00F450D0" w:rsidRDefault="00D55729" w:rsidP="004A6A48">
      <w:pPr>
        <w:spacing w:after="200" w:line="360" w:lineRule="auto"/>
        <w:jc w:val="both"/>
        <w:rPr>
          <w:rFonts w:ascii="Arial" w:hAnsi="Arial" w:cs="Arial"/>
        </w:rPr>
      </w:pPr>
      <w:r w:rsidRPr="0092670C">
        <w:rPr>
          <w:rFonts w:ascii="Arial" w:hAnsi="Arial" w:cs="Arial"/>
        </w:rPr>
        <w:fldChar w:fldCharType="begin"/>
      </w:r>
      <w:r w:rsidRPr="0092670C">
        <w:rPr>
          <w:rFonts w:ascii="Arial" w:hAnsi="Arial" w:cs="Arial"/>
        </w:rPr>
        <w:instrText xml:space="preserve"> REF _Ref31452595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34</w:t>
      </w:r>
      <w:r w:rsidRPr="0092670C">
        <w:rPr>
          <w:rFonts w:ascii="Arial" w:hAnsi="Arial" w:cs="Arial"/>
        </w:rPr>
        <w:fldChar w:fldCharType="end"/>
      </w:r>
      <w:r w:rsidR="00F64CC7" w:rsidRPr="0092670C">
        <w:rPr>
          <w:rFonts w:ascii="Arial" w:hAnsi="Arial" w:cs="Arial"/>
        </w:rPr>
        <w:t xml:space="preserve"> show</w:t>
      </w:r>
      <w:r w:rsidR="00D913E1" w:rsidRPr="0092670C">
        <w:rPr>
          <w:rFonts w:ascii="Arial" w:hAnsi="Arial" w:cs="Arial"/>
        </w:rPr>
        <w:t>s</w:t>
      </w:r>
      <w:r w:rsidR="00F64CC7" w:rsidRPr="0092670C">
        <w:rPr>
          <w:rFonts w:ascii="Arial" w:hAnsi="Arial" w:cs="Arial"/>
        </w:rPr>
        <w:t xml:space="preserve"> a consistent decrease in ΔE</w:t>
      </w:r>
      <w:r w:rsidR="00F64CC7" w:rsidRPr="0092670C">
        <w:rPr>
          <w:rFonts w:ascii="Arial" w:hAnsi="Arial" w:cs="Arial"/>
          <w:vertAlign w:val="subscript"/>
        </w:rPr>
        <w:t>p</w:t>
      </w:r>
      <w:r w:rsidR="00F64CC7" w:rsidRPr="0092670C">
        <w:rPr>
          <w:rFonts w:ascii="Arial" w:hAnsi="Arial" w:cs="Arial"/>
        </w:rPr>
        <w:t xml:space="preserve"> with increasing pre-lithiation time</w:t>
      </w:r>
      <w:r w:rsidR="00AF688D">
        <w:rPr>
          <w:rFonts w:ascii="Arial" w:hAnsi="Arial" w:cs="Arial"/>
        </w:rPr>
        <w:t>, except at 40 minutes</w:t>
      </w:r>
      <w:r w:rsidR="00F64CC7" w:rsidRPr="0092670C">
        <w:rPr>
          <w:rFonts w:ascii="Arial" w:hAnsi="Arial" w:cs="Arial"/>
        </w:rPr>
        <w:t xml:space="preserve">. </w:t>
      </w:r>
      <w:r w:rsidR="00916217">
        <w:rPr>
          <w:rFonts w:ascii="Arial" w:hAnsi="Arial" w:cs="Arial"/>
        </w:rPr>
        <w:t xml:space="preserve">This outlier may be due </w:t>
      </w:r>
      <w:r w:rsidR="00CA7F3D">
        <w:rPr>
          <w:rFonts w:ascii="Arial" w:hAnsi="Arial" w:cs="Arial"/>
        </w:rPr>
        <w:t>the</w:t>
      </w:r>
      <w:r w:rsidR="00E00264">
        <w:rPr>
          <w:rFonts w:ascii="Arial" w:hAnsi="Arial" w:cs="Arial"/>
        </w:rPr>
        <w:t xml:space="preserve"> SEI </w:t>
      </w:r>
      <w:r w:rsidR="00C94542">
        <w:rPr>
          <w:rFonts w:ascii="Arial" w:hAnsi="Arial" w:cs="Arial"/>
        </w:rPr>
        <w:t xml:space="preserve">growing thicker than the </w:t>
      </w:r>
      <w:r w:rsidR="00F450D0">
        <w:rPr>
          <w:rFonts w:ascii="Arial" w:hAnsi="Arial" w:cs="Arial"/>
        </w:rPr>
        <w:t>corresponding</w:t>
      </w:r>
      <w:r w:rsidR="00E8180A">
        <w:rPr>
          <w:rFonts w:ascii="Arial" w:hAnsi="Arial" w:cs="Arial"/>
        </w:rPr>
        <w:t xml:space="preserve"> lithiation</w:t>
      </w:r>
      <w:r w:rsidR="00536CB7">
        <w:rPr>
          <w:rFonts w:ascii="Arial" w:hAnsi="Arial" w:cs="Arial"/>
        </w:rPr>
        <w:t xml:space="preserve"> </w:t>
      </w:r>
      <w:r w:rsidR="00F450D0">
        <w:rPr>
          <w:rFonts w:ascii="Arial" w:hAnsi="Arial" w:cs="Arial"/>
        </w:rPr>
        <w:t>of the graphite,</w:t>
      </w:r>
      <w:r w:rsidR="00E8180A">
        <w:rPr>
          <w:rFonts w:ascii="Arial" w:hAnsi="Arial" w:cs="Arial"/>
        </w:rPr>
        <w:t xml:space="preserve"> lowering the </w:t>
      </w:r>
      <w:r w:rsidR="0033426C">
        <w:rPr>
          <w:rFonts w:ascii="Arial" w:hAnsi="Arial" w:cs="Arial"/>
        </w:rPr>
        <w:t xml:space="preserve">conductivity of the </w:t>
      </w:r>
      <w:r w:rsidR="00536CB7">
        <w:rPr>
          <w:rFonts w:ascii="Arial" w:hAnsi="Arial" w:cs="Arial"/>
        </w:rPr>
        <w:t>anode.</w:t>
      </w:r>
      <w:r w:rsidR="00F450D0">
        <w:rPr>
          <w:rFonts w:ascii="Arial" w:hAnsi="Arial" w:cs="Arial"/>
        </w:rPr>
        <w:t xml:space="preserve"> </w:t>
      </w:r>
      <w:r w:rsidR="00F64CC7" w:rsidRPr="0092670C">
        <w:rPr>
          <w:rFonts w:ascii="Arial" w:hAnsi="Arial" w:cs="Arial"/>
        </w:rPr>
        <w:t>This decrease</w:t>
      </w:r>
      <w:r w:rsidR="006728D6">
        <w:rPr>
          <w:rFonts w:ascii="Arial" w:hAnsi="Arial" w:cs="Arial"/>
        </w:rPr>
        <w:t xml:space="preserve"> is a result of the </w:t>
      </w:r>
      <w:r w:rsidR="00E25B9F">
        <w:rPr>
          <w:rFonts w:ascii="Arial" w:hAnsi="Arial" w:cs="Arial"/>
        </w:rPr>
        <w:t xml:space="preserve">combination </w:t>
      </w:r>
      <w:r w:rsidR="00CF6A79">
        <w:rPr>
          <w:rFonts w:ascii="Arial" w:hAnsi="Arial" w:cs="Arial"/>
        </w:rPr>
        <w:t xml:space="preserve">of a </w:t>
      </w:r>
      <w:r w:rsidR="00FA3A4A">
        <w:rPr>
          <w:rFonts w:ascii="Arial" w:hAnsi="Arial" w:cs="Arial"/>
        </w:rPr>
        <w:t>conductive</w:t>
      </w:r>
      <w:r w:rsidR="00CF6A79">
        <w:rPr>
          <w:rFonts w:ascii="Arial" w:hAnsi="Arial" w:cs="Arial"/>
        </w:rPr>
        <w:t xml:space="preserve"> SEI and partial lithiation </w:t>
      </w:r>
      <w:r w:rsidR="00F31349">
        <w:rPr>
          <w:rFonts w:ascii="Arial" w:hAnsi="Arial" w:cs="Arial"/>
        </w:rPr>
        <w:t>o</w:t>
      </w:r>
      <w:r w:rsidR="00CF6A79">
        <w:rPr>
          <w:rFonts w:ascii="Arial" w:hAnsi="Arial" w:cs="Arial"/>
        </w:rPr>
        <w:t xml:space="preserve">f the graphite improving </w:t>
      </w:r>
      <w:r w:rsidR="00FA3A4A">
        <w:rPr>
          <w:rFonts w:ascii="Arial" w:hAnsi="Arial" w:cs="Arial"/>
        </w:rPr>
        <w:t xml:space="preserve">its conductivity. </w:t>
      </w:r>
    </w:p>
    <w:p w14:paraId="14AB1456" w14:textId="05644AB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A7578B9">
          <v:shape id="_x0000_i1100" type="#_x0000_t75" style="width:306pt;height:240.1pt" o:ole="">
            <v:imagedata r:id="rId204" o:title=""/>
          </v:shape>
          <o:OLEObject Type="Embed" ProgID="Origin95.Graph" ShapeID="_x0000_i1100" DrawAspect="Content" ObjectID="_1700733989" r:id="rId205"/>
        </w:object>
      </w:r>
    </w:p>
    <w:p w14:paraId="0237D387" w14:textId="1C74AC22" w:rsidR="00E336EA" w:rsidRPr="0092670C" w:rsidRDefault="00E336EA" w:rsidP="00E336EA">
      <w:pPr>
        <w:spacing w:after="200" w:line="360" w:lineRule="auto"/>
        <w:jc w:val="center"/>
        <w:rPr>
          <w:rFonts w:ascii="Arial" w:hAnsi="Arial" w:cs="Arial"/>
          <w:i/>
          <w:iCs/>
          <w:color w:val="44546A" w:themeColor="text2"/>
          <w:sz w:val="20"/>
          <w:szCs w:val="20"/>
        </w:rPr>
      </w:pPr>
      <w:bookmarkStart w:id="201" w:name="_Ref31452595"/>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35</w:t>
      </w:r>
      <w:r w:rsidR="00356A26">
        <w:rPr>
          <w:rFonts w:ascii="Arial" w:hAnsi="Arial" w:cs="Arial"/>
          <w:i/>
          <w:iCs/>
          <w:color w:val="44546A" w:themeColor="text2"/>
          <w:sz w:val="20"/>
          <w:szCs w:val="20"/>
        </w:rPr>
        <w:fldChar w:fldCharType="end"/>
      </w:r>
      <w:bookmarkEnd w:id="201"/>
      <w:r w:rsidRPr="0092670C">
        <w:rPr>
          <w:rFonts w:ascii="Arial" w:hAnsi="Arial" w:cs="Arial"/>
          <w:i/>
          <w:iCs/>
          <w:color w:val="44546A" w:themeColor="text2"/>
          <w:sz w:val="20"/>
          <w:szCs w:val="20"/>
        </w:rPr>
        <w:t>: ΔE</w:t>
      </w:r>
      <w:r w:rsidRPr="0092670C">
        <w:rPr>
          <w:rFonts w:ascii="Arial" w:hAnsi="Arial" w:cs="Arial"/>
          <w:i/>
          <w:iCs/>
          <w:color w:val="44546A" w:themeColor="text2"/>
          <w:sz w:val="20"/>
          <w:szCs w:val="20"/>
          <w:vertAlign w:val="subscript"/>
        </w:rPr>
        <w:t>p</w:t>
      </w:r>
      <w:r w:rsidRPr="0092670C">
        <w:rPr>
          <w:rFonts w:ascii="Arial" w:hAnsi="Arial" w:cs="Arial"/>
          <w:i/>
          <w:iCs/>
          <w:color w:val="44546A" w:themeColor="text2"/>
          <w:sz w:val="20"/>
          <w:szCs w:val="20"/>
        </w:rPr>
        <w:t xml:space="preserve"> values as a function of pre-lithiation time</w:t>
      </w:r>
      <w:r w:rsidR="00C15F3A" w:rsidRPr="0092670C">
        <w:rPr>
          <w:rFonts w:ascii="Arial" w:hAnsi="Arial" w:cs="Arial"/>
          <w:i/>
          <w:iCs/>
          <w:color w:val="44546A" w:themeColor="text2"/>
          <w:sz w:val="20"/>
          <w:szCs w:val="20"/>
        </w:rPr>
        <w:t>.</w:t>
      </w:r>
    </w:p>
    <w:p w14:paraId="32BAA2EF" w14:textId="2FE450ED" w:rsidR="00E336EA" w:rsidRPr="0092670C" w:rsidRDefault="00E336EA" w:rsidP="00E336EA">
      <w:pPr>
        <w:spacing w:line="360" w:lineRule="auto"/>
        <w:jc w:val="both"/>
        <w:rPr>
          <w:rFonts w:ascii="Arial" w:hAnsi="Arial" w:cs="Arial"/>
        </w:rPr>
      </w:pPr>
      <w:bookmarkStart w:id="202" w:name="_Hlk7621475"/>
      <w:r w:rsidRPr="0092670C">
        <w:rPr>
          <w:rFonts w:ascii="Arial" w:hAnsi="Arial" w:cs="Arial"/>
        </w:rPr>
        <w:t>To understand the chemical changes that were taking place during the pre-lithiation process ex</w:t>
      </w:r>
      <w:r w:rsidR="00EA7C18">
        <w:rPr>
          <w:rFonts w:ascii="Arial" w:hAnsi="Arial" w:cs="Arial"/>
        </w:rPr>
        <w:t xml:space="preserve"> </w:t>
      </w:r>
      <w:r w:rsidRPr="0092670C">
        <w:rPr>
          <w:rFonts w:ascii="Arial" w:hAnsi="Arial" w:cs="Arial"/>
        </w:rPr>
        <w:t xml:space="preserve">situ XPS was performed. All spectra were recorded on a Thermo Scientific NEXSA using a monochromatic Al kα source. The samples were loaded using a vacuum transfer module from a glovebox to ensure that the electrodes weren’t exposed to air. The spectra were deconvoluted using casaXPS. </w:t>
      </w:r>
    </w:p>
    <w:bookmarkEnd w:id="202"/>
    <w:p w14:paraId="3D0969D7" w14:textId="66CC862F"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77A5122B">
          <v:shape id="_x0000_i1101" type="#_x0000_t75" style="width:311.8pt;height:240.1pt" o:ole="">
            <v:imagedata r:id="rId206" o:title=""/>
          </v:shape>
          <o:OLEObject Type="Embed" ProgID="Origin95.Graph" ShapeID="_x0000_i1101" DrawAspect="Content" ObjectID="_1700733990" r:id="rId207"/>
        </w:object>
      </w:r>
    </w:p>
    <w:p w14:paraId="2D2E44BC" w14:textId="67400C25" w:rsidR="00E336EA" w:rsidRPr="0092670C" w:rsidRDefault="00E336EA" w:rsidP="00E336EA">
      <w:pPr>
        <w:spacing w:after="200" w:line="360" w:lineRule="auto"/>
        <w:jc w:val="center"/>
        <w:rPr>
          <w:rFonts w:ascii="Arial" w:hAnsi="Arial" w:cs="Arial"/>
          <w:i/>
          <w:iCs/>
          <w:color w:val="44546A" w:themeColor="text2"/>
          <w:sz w:val="20"/>
          <w:szCs w:val="20"/>
        </w:rPr>
      </w:pPr>
      <w:bookmarkStart w:id="203" w:name="_Ref31451327"/>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36</w:t>
      </w:r>
      <w:r w:rsidR="00356A26">
        <w:rPr>
          <w:rFonts w:ascii="Arial" w:hAnsi="Arial" w:cs="Arial"/>
          <w:i/>
          <w:iCs/>
          <w:color w:val="44546A" w:themeColor="text2"/>
          <w:sz w:val="20"/>
          <w:szCs w:val="20"/>
        </w:rPr>
        <w:fldChar w:fldCharType="end"/>
      </w:r>
      <w:bookmarkEnd w:id="203"/>
      <w:r w:rsidRPr="0092670C">
        <w:rPr>
          <w:rFonts w:ascii="Arial" w:hAnsi="Arial" w:cs="Arial"/>
          <w:i/>
          <w:iCs/>
          <w:color w:val="44546A" w:themeColor="text2"/>
          <w:sz w:val="20"/>
          <w:szCs w:val="20"/>
        </w:rPr>
        <w:t>: F concentration as a function of pre-lithiation time</w:t>
      </w:r>
      <w:r w:rsidR="00C15F3A" w:rsidRPr="0092670C">
        <w:rPr>
          <w:rFonts w:ascii="Arial" w:hAnsi="Arial" w:cs="Arial"/>
          <w:i/>
          <w:iCs/>
          <w:color w:val="44546A" w:themeColor="text2"/>
          <w:sz w:val="20"/>
          <w:szCs w:val="20"/>
        </w:rPr>
        <w:t>.</w:t>
      </w:r>
    </w:p>
    <w:p w14:paraId="68D876C3" w14:textId="3E7E876C" w:rsidR="00E336EA" w:rsidRPr="0092670C" w:rsidRDefault="00E336EA" w:rsidP="00E336EA">
      <w:pPr>
        <w:spacing w:line="360" w:lineRule="auto"/>
        <w:jc w:val="both"/>
        <w:rPr>
          <w:rFonts w:ascii="Arial" w:hAnsi="Arial" w:cs="Arial"/>
        </w:rPr>
      </w:pPr>
      <w:r w:rsidRPr="0092670C">
        <w:rPr>
          <w:rFonts w:ascii="Arial" w:hAnsi="Arial" w:cs="Arial"/>
        </w:rPr>
        <w:t xml:space="preserve">As XPS is a quantitative technique a survey scan can be taken to give us </w:t>
      </w:r>
      <w:r w:rsidR="00FC2F17" w:rsidRPr="0092670C">
        <w:rPr>
          <w:rFonts w:ascii="Arial" w:hAnsi="Arial" w:cs="Arial"/>
        </w:rPr>
        <w:t>the</w:t>
      </w:r>
      <w:r w:rsidRPr="0092670C">
        <w:rPr>
          <w:rFonts w:ascii="Arial" w:hAnsi="Arial" w:cs="Arial"/>
        </w:rPr>
        <w:t xml:space="preserve"> atomic composition of the electrode surface. </w:t>
      </w:r>
      <w:r w:rsidR="0058047C" w:rsidRPr="0092670C">
        <w:rPr>
          <w:rFonts w:ascii="Arial" w:hAnsi="Arial" w:cs="Arial"/>
        </w:rPr>
        <w:t xml:space="preserve">By concentrating on the </w:t>
      </w:r>
      <w:r w:rsidR="00037C27" w:rsidRPr="0092670C">
        <w:rPr>
          <w:rFonts w:ascii="Arial" w:hAnsi="Arial" w:cs="Arial"/>
        </w:rPr>
        <w:t>fluorine co</w:t>
      </w:r>
      <w:r w:rsidR="008A16AB" w:rsidRPr="0092670C">
        <w:rPr>
          <w:rFonts w:ascii="Arial" w:hAnsi="Arial" w:cs="Arial"/>
        </w:rPr>
        <w:t>ncentration ([F])</w:t>
      </w:r>
      <w:r w:rsidR="00261A85" w:rsidRPr="0092670C">
        <w:rPr>
          <w:rFonts w:ascii="Arial" w:hAnsi="Arial" w:cs="Arial"/>
        </w:rPr>
        <w:t xml:space="preserve"> </w:t>
      </w:r>
      <w:r w:rsidR="000A17BA" w:rsidRPr="0092670C">
        <w:rPr>
          <w:rFonts w:ascii="Arial" w:hAnsi="Arial" w:cs="Arial"/>
        </w:rPr>
        <w:t xml:space="preserve">in </w:t>
      </w:r>
      <w:r w:rsidR="00CD493D" w:rsidRPr="0092670C">
        <w:rPr>
          <w:rFonts w:ascii="Arial" w:hAnsi="Arial" w:cs="Arial"/>
        </w:rPr>
        <w:fldChar w:fldCharType="begin"/>
      </w:r>
      <w:r w:rsidR="00CD493D" w:rsidRPr="0092670C">
        <w:rPr>
          <w:rFonts w:ascii="Arial" w:hAnsi="Arial" w:cs="Arial"/>
        </w:rPr>
        <w:instrText xml:space="preserve"> REF _Ref31451327 \h  \* MERGEFORMAT </w:instrText>
      </w:r>
      <w:r w:rsidR="00CD493D" w:rsidRPr="0092670C">
        <w:rPr>
          <w:rFonts w:ascii="Arial" w:hAnsi="Arial" w:cs="Arial"/>
        </w:rPr>
      </w:r>
      <w:r w:rsidR="00CD493D"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35</w:t>
      </w:r>
      <w:r w:rsidR="00CD493D" w:rsidRPr="0092670C">
        <w:rPr>
          <w:rFonts w:ascii="Arial" w:hAnsi="Arial" w:cs="Arial"/>
        </w:rPr>
        <w:fldChar w:fldCharType="end"/>
      </w:r>
      <w:r w:rsidRPr="0092670C">
        <w:rPr>
          <w:rFonts w:ascii="Arial" w:hAnsi="Arial" w:cs="Arial"/>
        </w:rPr>
        <w:t xml:space="preserve"> </w:t>
      </w:r>
      <w:r w:rsidR="00E875E6" w:rsidRPr="0092670C">
        <w:rPr>
          <w:rFonts w:ascii="Arial" w:hAnsi="Arial" w:cs="Arial"/>
        </w:rPr>
        <w:t>it is revealed</w:t>
      </w:r>
      <w:r w:rsidRPr="0092670C">
        <w:rPr>
          <w:rFonts w:ascii="Arial" w:hAnsi="Arial" w:cs="Arial"/>
        </w:rPr>
        <w:t xml:space="preserve"> that as pre-lithiation time increases [F] decreases</w:t>
      </w:r>
      <w:r w:rsidR="00BE38B4">
        <w:rPr>
          <w:rFonts w:ascii="Arial" w:hAnsi="Arial" w:cs="Arial"/>
        </w:rPr>
        <w:t>, except at 40 minutes once again</w:t>
      </w:r>
      <w:r w:rsidRPr="0092670C">
        <w:rPr>
          <w:rFonts w:ascii="Arial" w:hAnsi="Arial" w:cs="Arial"/>
        </w:rPr>
        <w:t xml:space="preserve">. This suggest that the lower layers of the SEI are F dense i.e. LiF and the upper layers contain little, if any F. </w:t>
      </w:r>
      <w:r w:rsidR="00145FBD" w:rsidRPr="0092670C">
        <w:rPr>
          <w:rFonts w:ascii="Arial" w:hAnsi="Arial" w:cs="Arial"/>
        </w:rPr>
        <w:t>This matches well with previous XPS experiments that monitor SEI growth</w:t>
      </w:r>
      <w:r w:rsidR="00186665" w:rsidRPr="0092670C">
        <w:rPr>
          <w:rFonts w:ascii="Arial" w:hAnsi="Arial" w:cs="Arial"/>
        </w:rPr>
        <w:t xml:space="preserve">, </w:t>
      </w:r>
      <w:r w:rsidR="00B4417E" w:rsidRPr="0092670C">
        <w:rPr>
          <w:rFonts w:ascii="Arial" w:hAnsi="Arial" w:cs="Arial"/>
        </w:rPr>
        <w:t>demo</w:t>
      </w:r>
      <w:r w:rsidR="006D67D2" w:rsidRPr="0092670C">
        <w:rPr>
          <w:rFonts w:ascii="Arial" w:hAnsi="Arial" w:cs="Arial"/>
        </w:rPr>
        <w:t xml:space="preserve">nstrating that Pre-lithiated SEI </w:t>
      </w:r>
      <w:r w:rsidR="00E744B9" w:rsidRPr="0092670C">
        <w:rPr>
          <w:rFonts w:ascii="Arial" w:hAnsi="Arial" w:cs="Arial"/>
        </w:rPr>
        <w:t>grows in a similar manner to that formed during natural SEI growth</w:t>
      </w:r>
      <w:r w:rsidR="0046795E" w:rsidRPr="0092670C">
        <w:rPr>
          <w:rFonts w:ascii="Arial" w:hAnsi="Arial" w:cs="Arial"/>
        </w:rPr>
        <w:t xml:space="preserve"> </w:t>
      </w:r>
      <w:r w:rsidR="00E44FCD" w:rsidRPr="0092670C">
        <w:rPr>
          <w:rFonts w:ascii="Arial" w:hAnsi="Arial" w:cs="Arial"/>
        </w:rPr>
        <w:fldChar w:fldCharType="begin"/>
      </w:r>
      <w:r w:rsidR="0034337D">
        <w:rPr>
          <w:rFonts w:ascii="Arial" w:hAnsi="Arial" w:cs="Arial"/>
        </w:rPr>
        <w:instrText xml:space="preserve"> ADDIN EN.CITE &lt;EndNote&gt;&lt;Cite&gt;&lt;Author&gt;Veith&lt;/Author&gt;&lt;Year&gt;2017&lt;/Year&gt;&lt;RecNum&gt;234&lt;/RecNum&gt;&lt;DisplayText&gt;[229]&lt;/DisplayText&gt;&lt;record&gt;&lt;rec-number&gt;234&lt;/rec-number&gt;&lt;foreign-keys&gt;&lt;key app="EN" db-id="5sa9s0e0r0d9fnexra7pr5xdwd5ztevx95s2" timestamp="1556545645"&gt;234&lt;/key&gt;&lt;/foreign-keys&gt;&lt;ref-type name="Journal Article"&gt;17&lt;/ref-type&gt;&lt;contributors&gt;&lt;authors&gt;&lt;author&gt;Veith, Gabriel M.&lt;/author&gt;&lt;author&gt;Doucet, Mathieu&lt;/author&gt;&lt;author&gt;Sacci, Robert L.&lt;/author&gt;&lt;author&gt;Vacaliuc, Bogdan&lt;/author&gt;&lt;author&gt;Baldwin, J. Kevin&lt;/author&gt;&lt;author&gt;Browning, James F.&lt;/author&gt;&lt;/authors&gt;&lt;/contributors&gt;&lt;titles&gt;&lt;title&gt;Determination of the Solid Electrolyte Interphase Structure Grown on a Silicon Electrode Using a Fluoroethylene Carbonate Additive&lt;/title&gt;&lt;secondary-title&gt;Scientific Reports&lt;/secondary-title&gt;&lt;/titles&gt;&lt;periodical&gt;&lt;full-title&gt;Scientific Reports&lt;/full-title&gt;&lt;/periodical&gt;&lt;pages&gt;6326&lt;/pages&gt;&lt;volume&gt;7&lt;/volume&gt;&lt;number&gt;1&lt;/number&gt;&lt;dates&gt;&lt;year&gt;2017&lt;/year&gt;&lt;pub-dates&gt;&lt;date&gt;2017/07/24&lt;/date&gt;&lt;/pub-dates&gt;&lt;/dates&gt;&lt;isbn&gt;2045-2322&lt;/isbn&gt;&lt;urls&gt;&lt;related-urls&gt;&lt;url&gt;https://doi.org/10.1038/s41598-017-06555-8&lt;/url&gt;&lt;/related-urls&gt;&lt;/urls&gt;&lt;electronic-resource-num&gt;10.1038/s41598-017-06555-8&lt;/electronic-resource-num&gt;&lt;/record&gt;&lt;/Cite&gt;&lt;/EndNote&gt;</w:instrText>
      </w:r>
      <w:r w:rsidR="00E44FCD" w:rsidRPr="0092670C">
        <w:rPr>
          <w:rFonts w:ascii="Arial" w:hAnsi="Arial" w:cs="Arial"/>
        </w:rPr>
        <w:fldChar w:fldCharType="separate"/>
      </w:r>
      <w:r w:rsidR="0034337D">
        <w:rPr>
          <w:rFonts w:ascii="Arial" w:hAnsi="Arial" w:cs="Arial"/>
          <w:noProof/>
        </w:rPr>
        <w:t>[229]</w:t>
      </w:r>
      <w:r w:rsidR="00E44FCD" w:rsidRPr="0092670C">
        <w:rPr>
          <w:rFonts w:ascii="Arial" w:hAnsi="Arial" w:cs="Arial"/>
        </w:rPr>
        <w:fldChar w:fldCharType="end"/>
      </w:r>
      <w:r w:rsidR="00CA58D5" w:rsidRPr="0092670C">
        <w:rPr>
          <w:rFonts w:ascii="Arial" w:hAnsi="Arial" w:cs="Arial"/>
        </w:rPr>
        <w:t>.</w:t>
      </w:r>
    </w:p>
    <w:p w14:paraId="3E08FF12" w14:textId="3DF5FE36" w:rsidR="000D1A6C" w:rsidRPr="0092670C" w:rsidRDefault="000D1A6C" w:rsidP="000D1A6C">
      <w:pPr>
        <w:spacing w:line="360" w:lineRule="auto"/>
        <w:jc w:val="both"/>
        <w:rPr>
          <w:rFonts w:ascii="Arial" w:hAnsi="Arial" w:cs="Arial"/>
        </w:rPr>
      </w:pPr>
      <w:r w:rsidRPr="0092670C">
        <w:rPr>
          <w:rFonts w:ascii="Arial" w:hAnsi="Arial" w:cs="Arial"/>
        </w:rPr>
        <w:t xml:space="preserve">The carbon spectra in </w:t>
      </w:r>
      <w:r w:rsidRPr="0092670C">
        <w:rPr>
          <w:rFonts w:ascii="Arial" w:hAnsi="Arial" w:cs="Arial"/>
        </w:rPr>
        <w:fldChar w:fldCharType="begin"/>
      </w:r>
      <w:r w:rsidRPr="0092670C">
        <w:rPr>
          <w:rFonts w:ascii="Arial" w:hAnsi="Arial" w:cs="Arial"/>
        </w:rPr>
        <w:instrText xml:space="preserve"> REF _Ref31449787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36</w:t>
      </w:r>
      <w:r w:rsidRPr="0092670C">
        <w:rPr>
          <w:rFonts w:ascii="Arial" w:hAnsi="Arial" w:cs="Arial"/>
        </w:rPr>
        <w:fldChar w:fldCharType="end"/>
      </w:r>
      <w:r w:rsidRPr="0092670C">
        <w:rPr>
          <w:rFonts w:ascii="Arial" w:hAnsi="Arial" w:cs="Arial"/>
        </w:rPr>
        <w:t xml:space="preserve"> reveal several insights into the system. After 10 minutes of pre-lithiation the C1s spectrum shows the presence from sp</w:t>
      </w:r>
      <w:r w:rsidRPr="0092670C">
        <w:rPr>
          <w:rFonts w:ascii="Arial" w:hAnsi="Arial" w:cs="Arial"/>
          <w:vertAlign w:val="superscript"/>
        </w:rPr>
        <w:t>2</w:t>
      </w:r>
      <w:r w:rsidRPr="0092670C">
        <w:rPr>
          <w:rFonts w:ascii="Arial" w:hAnsi="Arial" w:cs="Arial"/>
        </w:rPr>
        <w:t xml:space="preserve"> carbon from the graphite under the SEI. The presence of the graphite signal shows that at this stage the SEI is extremely thin</w:t>
      </w:r>
      <w:r w:rsidR="007C06D6">
        <w:rPr>
          <w:rFonts w:ascii="Arial" w:hAnsi="Arial" w:cs="Arial"/>
        </w:rPr>
        <w:t xml:space="preserve">, which corroborates with the OCV </w:t>
      </w:r>
      <w:r w:rsidR="0053710D">
        <w:rPr>
          <w:rFonts w:ascii="Arial" w:hAnsi="Arial" w:cs="Arial"/>
        </w:rPr>
        <w:t>which is above the normal onset of SEI formation</w:t>
      </w:r>
      <w:r w:rsidRPr="0092670C">
        <w:rPr>
          <w:rFonts w:ascii="Arial" w:hAnsi="Arial" w:cs="Arial"/>
        </w:rPr>
        <w:t>. This aligns well with the low R</w:t>
      </w:r>
      <w:r w:rsidRPr="0092670C">
        <w:rPr>
          <w:rFonts w:ascii="Arial" w:hAnsi="Arial" w:cs="Arial"/>
          <w:vertAlign w:val="subscript"/>
        </w:rPr>
        <w:t>SEI</w:t>
      </w:r>
      <w:r w:rsidRPr="0092670C">
        <w:rPr>
          <w:rFonts w:ascii="Arial" w:hAnsi="Arial" w:cs="Arial"/>
        </w:rPr>
        <w:t xml:space="preserve"> seen in EIS. The large number of components shows that as well as the SEI there is still some unreacted electrolyte</w:t>
      </w:r>
      <w:r w:rsidR="00C17365">
        <w:rPr>
          <w:rFonts w:ascii="Arial" w:hAnsi="Arial" w:cs="Arial"/>
        </w:rPr>
        <w:t>, even after being washed with DMC</w:t>
      </w:r>
      <w:r w:rsidRPr="0092670C">
        <w:rPr>
          <w:rFonts w:ascii="Arial" w:hAnsi="Arial" w:cs="Arial"/>
        </w:rPr>
        <w:t xml:space="preserve">. After 50 minutes of pre-lithiation the spectrum becomes a lot less busy. The C-F peak disappears </w:t>
      </w:r>
      <w:r w:rsidR="008507AD">
        <w:rPr>
          <w:rFonts w:ascii="Arial" w:hAnsi="Arial" w:cs="Arial"/>
        </w:rPr>
        <w:t xml:space="preserve">which arose from </w:t>
      </w:r>
      <w:r w:rsidR="00486F57">
        <w:rPr>
          <w:rFonts w:ascii="Arial" w:hAnsi="Arial" w:cs="Arial"/>
        </w:rPr>
        <w:t>intermediate</w:t>
      </w:r>
      <w:r w:rsidR="008507AD">
        <w:rPr>
          <w:rFonts w:ascii="Arial" w:hAnsi="Arial" w:cs="Arial"/>
        </w:rPr>
        <w:t xml:space="preserve"> products between LiPF</w:t>
      </w:r>
      <w:r w:rsidR="00486F57">
        <w:rPr>
          <w:rFonts w:ascii="Arial" w:hAnsi="Arial" w:cs="Arial"/>
          <w:vertAlign w:val="subscript"/>
        </w:rPr>
        <w:t>6</w:t>
      </w:r>
      <w:r w:rsidR="008507AD">
        <w:rPr>
          <w:rFonts w:ascii="Arial" w:hAnsi="Arial" w:cs="Arial"/>
        </w:rPr>
        <w:t xml:space="preserve"> and </w:t>
      </w:r>
      <w:r w:rsidR="00486F57">
        <w:rPr>
          <w:rFonts w:ascii="Arial" w:hAnsi="Arial" w:cs="Arial"/>
        </w:rPr>
        <w:t>EC/DMC</w:t>
      </w:r>
      <w:r w:rsidRPr="0092670C">
        <w:rPr>
          <w:rFonts w:ascii="Arial" w:hAnsi="Arial" w:cs="Arial"/>
        </w:rPr>
        <w:t>. There is also a lack of a sp</w:t>
      </w:r>
      <w:r w:rsidRPr="0092670C">
        <w:rPr>
          <w:rFonts w:ascii="Arial" w:hAnsi="Arial" w:cs="Arial"/>
          <w:vertAlign w:val="superscript"/>
        </w:rPr>
        <w:t>2</w:t>
      </w:r>
      <w:r w:rsidRPr="0092670C">
        <w:rPr>
          <w:rFonts w:ascii="Arial" w:hAnsi="Arial" w:cs="Arial"/>
        </w:rPr>
        <w:t xml:space="preserve"> carbon peak suggests that the SEI has become much thicker, preventing the x-rays from reaching the graphite underneath. </w:t>
      </w:r>
      <w:r w:rsidR="00BA7675">
        <w:rPr>
          <w:rFonts w:ascii="Arial" w:hAnsi="Arial" w:cs="Arial"/>
        </w:rPr>
        <w:t xml:space="preserve">It should be noted that there is a shift in the </w:t>
      </w:r>
      <w:r w:rsidR="004F4409">
        <w:rPr>
          <w:rFonts w:ascii="Arial" w:hAnsi="Arial" w:cs="Arial"/>
        </w:rPr>
        <w:t>peaks</w:t>
      </w:r>
      <w:r w:rsidR="00467B41">
        <w:rPr>
          <w:rFonts w:ascii="Arial" w:hAnsi="Arial" w:cs="Arial"/>
        </w:rPr>
        <w:t xml:space="preserve"> between 10 and 50 minutes and this can be seen in all of the spec</w:t>
      </w:r>
      <w:r w:rsidR="0032520E">
        <w:rPr>
          <w:rFonts w:ascii="Arial" w:hAnsi="Arial" w:cs="Arial"/>
        </w:rPr>
        <w:t xml:space="preserve">tra. This is a result </w:t>
      </w:r>
      <w:r w:rsidR="00F16BD8">
        <w:rPr>
          <w:rFonts w:ascii="Arial" w:hAnsi="Arial" w:cs="Arial"/>
        </w:rPr>
        <w:t xml:space="preserve">of charging as the SEI has gotten thicker </w:t>
      </w:r>
      <w:r w:rsidR="009C24F1">
        <w:rPr>
          <w:rFonts w:ascii="Arial" w:hAnsi="Arial" w:cs="Arial"/>
        </w:rPr>
        <w:t>with increasing pre-lithiation time and</w:t>
      </w:r>
      <w:r w:rsidR="004D3FF7">
        <w:rPr>
          <w:rFonts w:ascii="Arial" w:hAnsi="Arial" w:cs="Arial"/>
        </w:rPr>
        <w:t xml:space="preserve"> this</w:t>
      </w:r>
      <w:r w:rsidR="009C24F1">
        <w:rPr>
          <w:rFonts w:ascii="Arial" w:hAnsi="Arial" w:cs="Arial"/>
        </w:rPr>
        <w:t xml:space="preserve"> is frequently seen when comparing battery samples</w:t>
      </w:r>
      <w:r w:rsidR="008A2C1A">
        <w:rPr>
          <w:rFonts w:ascii="Arial" w:hAnsi="Arial" w:cs="Arial"/>
        </w:rPr>
        <w:t xml:space="preserve"> </w:t>
      </w:r>
      <w:r w:rsidR="008A2C1A">
        <w:rPr>
          <w:rFonts w:ascii="Arial" w:hAnsi="Arial" w:cs="Arial"/>
        </w:rPr>
        <w:fldChar w:fldCharType="begin"/>
      </w:r>
      <w:r w:rsidR="0034337D">
        <w:rPr>
          <w:rFonts w:ascii="Arial" w:hAnsi="Arial" w:cs="Arial"/>
        </w:rPr>
        <w:instrText xml:space="preserve"> ADDIN EN.CITE &lt;EndNote&gt;&lt;Cite&gt;&lt;Author&gt;Wood&lt;/Author&gt;&lt;Year&gt;2018&lt;/Year&gt;&lt;RecNum&gt;377&lt;/RecNum&gt;&lt;DisplayText&gt;[230]&lt;/DisplayText&gt;&lt;record&gt;&lt;rec-number&gt;377&lt;/rec-number&gt;&lt;foreign-keys&gt;&lt;key app="EN" db-id="5sa9s0e0r0d9fnexra7pr5xdwd5ztevx95s2" timestamp="1631807688"&gt;377&lt;/key&gt;&lt;/foreign-keys&gt;&lt;ref-type name="Journal Article"&gt;17&lt;/ref-type&gt;&lt;contributors&gt;&lt;authors&gt;&lt;author&gt;Wood, Kevin N.&lt;/author&gt;&lt;author&gt;Teeter, Glenn&lt;/author&gt;&lt;/authors&gt;&lt;/contributors&gt;&lt;titles&gt;&lt;title&gt;XPS on Li-Battery-Related Compounds: Analysis of Inorganic SEI Phases and a Methodology for Charge Correction&lt;/title&gt;&lt;secondary-title&gt;ACS Applied Energy Materials&lt;/secondary-title&gt;&lt;/titles&gt;&lt;periodical&gt;&lt;full-title&gt;ACS Applied Energy Materials&lt;/full-title&gt;&lt;/periodical&gt;&lt;pages&gt;4493-4504&lt;/pages&gt;&lt;volume&gt;1&lt;/volume&gt;&lt;number&gt;9&lt;/number&gt;&lt;dates&gt;&lt;year&gt;2018&lt;/year&gt;&lt;pub-dates&gt;&lt;date&gt;2018/09/24&lt;/date&gt;&lt;/pub-dates&gt;&lt;/dates&gt;&lt;publisher&gt;American Chemical Society&lt;/publisher&gt;&lt;urls&gt;&lt;related-urls&gt;&lt;url&gt;https://doi.org/10.1021/acsaem.8b00406&lt;/url&gt;&lt;/related-urls&gt;&lt;/urls&gt;&lt;electronic-resource-num&gt;10.1021/acsaem.8b00406&lt;/electronic-resource-num&gt;&lt;/record&gt;&lt;/Cite&gt;&lt;/EndNote&gt;</w:instrText>
      </w:r>
      <w:r w:rsidR="008A2C1A">
        <w:rPr>
          <w:rFonts w:ascii="Arial" w:hAnsi="Arial" w:cs="Arial"/>
        </w:rPr>
        <w:fldChar w:fldCharType="separate"/>
      </w:r>
      <w:r w:rsidR="0034337D">
        <w:rPr>
          <w:rFonts w:ascii="Arial" w:hAnsi="Arial" w:cs="Arial"/>
          <w:noProof/>
        </w:rPr>
        <w:t>[230]</w:t>
      </w:r>
      <w:r w:rsidR="008A2C1A">
        <w:rPr>
          <w:rFonts w:ascii="Arial" w:hAnsi="Arial" w:cs="Arial"/>
        </w:rPr>
        <w:fldChar w:fldCharType="end"/>
      </w:r>
      <w:r w:rsidR="008A2C1A">
        <w:rPr>
          <w:rFonts w:ascii="Arial" w:hAnsi="Arial" w:cs="Arial"/>
        </w:rPr>
        <w:t>.</w:t>
      </w:r>
    </w:p>
    <w:p w14:paraId="7D82C768" w14:textId="3C6D80D2" w:rsidR="000D1A6C" w:rsidRPr="0092670C" w:rsidRDefault="000D1A6C" w:rsidP="00E336EA">
      <w:pPr>
        <w:spacing w:line="360" w:lineRule="auto"/>
        <w:jc w:val="both"/>
        <w:rPr>
          <w:rFonts w:ascii="Arial" w:hAnsi="Arial" w:cs="Arial"/>
        </w:rPr>
      </w:pPr>
      <w:r w:rsidRPr="0092670C">
        <w:rPr>
          <w:rFonts w:ascii="Arial" w:hAnsi="Arial" w:cs="Arial"/>
        </w:rPr>
        <w:t xml:space="preserve">The P2p spectra in </w:t>
      </w:r>
      <w:r w:rsidRPr="0092670C">
        <w:rPr>
          <w:rFonts w:ascii="Arial" w:hAnsi="Arial" w:cs="Arial"/>
        </w:rPr>
        <w:fldChar w:fldCharType="begin"/>
      </w:r>
      <w:r w:rsidRPr="0092670C">
        <w:rPr>
          <w:rFonts w:ascii="Arial" w:hAnsi="Arial" w:cs="Arial"/>
        </w:rPr>
        <w:instrText xml:space="preserve"> REF _Ref31449403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37</w:t>
      </w:r>
      <w:r w:rsidRPr="0092670C">
        <w:rPr>
          <w:rFonts w:ascii="Arial" w:hAnsi="Arial" w:cs="Arial"/>
        </w:rPr>
        <w:fldChar w:fldCharType="end"/>
      </w:r>
      <w:r w:rsidRPr="0092670C">
        <w:rPr>
          <w:rFonts w:ascii="Arial" w:hAnsi="Arial" w:cs="Arial"/>
        </w:rPr>
        <w:t xml:space="preserve"> both cont</w:t>
      </w:r>
      <w:r w:rsidR="000A50B2" w:rsidRPr="0092670C">
        <w:rPr>
          <w:rFonts w:ascii="Arial" w:hAnsi="Arial" w:cs="Arial"/>
        </w:rPr>
        <w:t>a</w:t>
      </w:r>
      <w:r w:rsidRPr="0092670C">
        <w:rPr>
          <w:rFonts w:ascii="Arial" w:hAnsi="Arial" w:cs="Arial"/>
        </w:rPr>
        <w:t>in a peak around 138</w:t>
      </w:r>
      <w:r w:rsidR="00613678">
        <w:rPr>
          <w:rFonts w:ascii="Arial" w:hAnsi="Arial" w:cs="Arial"/>
        </w:rPr>
        <w:t xml:space="preserve"> </w:t>
      </w:r>
      <w:r w:rsidRPr="0092670C">
        <w:rPr>
          <w:rFonts w:ascii="Arial" w:hAnsi="Arial" w:cs="Arial"/>
        </w:rPr>
        <w:t>eV which corresponds to Li</w:t>
      </w:r>
      <w:r w:rsidRPr="0092670C">
        <w:rPr>
          <w:rFonts w:ascii="Arial" w:hAnsi="Arial" w:cs="Arial"/>
          <w:b/>
        </w:rPr>
        <w:t>P</w:t>
      </w:r>
      <w:r w:rsidRPr="0092670C">
        <w:rPr>
          <w:rFonts w:ascii="Arial" w:hAnsi="Arial" w:cs="Arial"/>
        </w:rPr>
        <w:t>F</w:t>
      </w:r>
      <w:r w:rsidRPr="0092670C">
        <w:rPr>
          <w:rFonts w:ascii="Arial" w:hAnsi="Arial" w:cs="Arial"/>
          <w:vertAlign w:val="subscript"/>
        </w:rPr>
        <w:t xml:space="preserve">6 </w:t>
      </w:r>
      <w:r w:rsidRPr="0092670C">
        <w:rPr>
          <w:rFonts w:ascii="Arial" w:hAnsi="Arial" w:cs="Arial"/>
        </w:rPr>
        <w:fldChar w:fldCharType="begin"/>
      </w:r>
      <w:r w:rsidR="00C10A8D">
        <w:rPr>
          <w:rFonts w:ascii="Arial" w:hAnsi="Arial" w:cs="Arial"/>
        </w:rPr>
        <w:instrText xml:space="preserve"> ADDIN EN.CITE &lt;EndNote&gt;&lt;Cite&gt;&lt;Author&gt;Andersson&lt;/Author&gt;&lt;Year&gt;2001&lt;/Year&gt;&lt;RecNum&gt;205&lt;/RecNum&gt;&lt;DisplayText&gt;[66]&lt;/DisplayText&gt;&lt;record&gt;&lt;rec-number&gt;205&lt;/rec-number&gt;&lt;foreign-keys&gt;&lt;key app="EN" db-id="5sa9s0e0r0d9fnexra7pr5xdwd5ztevx95s2" timestamp="1554465810"&gt;205&lt;/key&gt;&lt;/foreign-keys&gt;&lt;ref-type name="Journal Article"&gt;17&lt;/ref-type&gt;&lt;contributors&gt;&lt;authors&gt;&lt;author&gt;Andersson, A. M.&lt;/author&gt;&lt;author&gt;Edström, K.&lt;/author&gt;&lt;/authors&gt;&lt;/contributors&gt;&lt;titles&gt;&lt;title&gt;Chemical Composition and Morphology of the Elevated Temperature SEI on Graphite&lt;/title&gt;&lt;secondary-title&gt;Journal of The Electrochemical Society&lt;/secondary-title&gt;&lt;/titles&gt;&lt;periodical&gt;&lt;full-title&gt;Journal of the Electrochemical Society&lt;/full-title&gt;&lt;abbr-1&gt;J. Electrochem. Soc.&lt;/abbr-1&gt;&lt;/periodical&gt;&lt;pages&gt;A1100-A1109&lt;/pages&gt;&lt;volume&gt;148&lt;/volume&gt;&lt;number&gt;10&lt;/number&gt;&lt;dates&gt;&lt;year&gt;2001&lt;/year&gt;&lt;pub-dates&gt;&lt;date&gt;October 1, 2001&lt;/date&gt;&lt;/pub-dates&gt;&lt;/dates&gt;&lt;urls&gt;&lt;related-urls&gt;&lt;url&gt;http://jes.ecsdl.org/content/148/10/A1100.abstract&lt;/url&gt;&lt;/related-urls&gt;&lt;/urls&gt;&lt;electronic-resource-num&gt;10.1149/1.1397771&lt;/electronic-resource-num&gt;&lt;/record&gt;&lt;/Cite&gt;&lt;/EndNote&gt;</w:instrText>
      </w:r>
      <w:r w:rsidRPr="0092670C">
        <w:rPr>
          <w:rFonts w:ascii="Arial" w:hAnsi="Arial" w:cs="Arial"/>
        </w:rPr>
        <w:fldChar w:fldCharType="separate"/>
      </w:r>
      <w:r w:rsidR="00C10A8D">
        <w:rPr>
          <w:rFonts w:ascii="Arial" w:hAnsi="Arial" w:cs="Arial"/>
          <w:noProof/>
        </w:rPr>
        <w:t>[66]</w:t>
      </w:r>
      <w:r w:rsidRPr="0092670C">
        <w:rPr>
          <w:rFonts w:ascii="Arial" w:hAnsi="Arial" w:cs="Arial"/>
        </w:rPr>
        <w:fldChar w:fldCharType="end"/>
      </w:r>
      <w:r w:rsidRPr="0092670C">
        <w:rPr>
          <w:rFonts w:ascii="Arial" w:hAnsi="Arial" w:cs="Arial"/>
        </w:rPr>
        <w:t>. As the pre-lithiation time increases a new peak starts to emerge at 136</w:t>
      </w:r>
      <w:r w:rsidR="00613678">
        <w:rPr>
          <w:rFonts w:ascii="Arial" w:hAnsi="Arial" w:cs="Arial"/>
        </w:rPr>
        <w:t xml:space="preserve"> </w:t>
      </w:r>
      <w:r w:rsidRPr="0092670C">
        <w:rPr>
          <w:rFonts w:ascii="Arial" w:hAnsi="Arial" w:cs="Arial"/>
        </w:rPr>
        <w:t xml:space="preserve">eV. This new peak corresponds to the formation of </w:t>
      </w:r>
      <w:bookmarkStart w:id="204" w:name="_Hlk7617476"/>
      <w:r w:rsidRPr="0092670C">
        <w:rPr>
          <w:rFonts w:ascii="Arial" w:hAnsi="Arial" w:cs="Arial"/>
        </w:rPr>
        <w:t>Li</w:t>
      </w:r>
      <w:r w:rsidRPr="0092670C">
        <w:rPr>
          <w:rFonts w:ascii="Arial" w:hAnsi="Arial" w:cs="Arial"/>
          <w:vertAlign w:val="subscript"/>
        </w:rPr>
        <w:t>X</w:t>
      </w:r>
      <w:r w:rsidRPr="0092670C">
        <w:rPr>
          <w:rFonts w:ascii="Arial" w:hAnsi="Arial" w:cs="Arial"/>
          <w:b/>
        </w:rPr>
        <w:t>P</w:t>
      </w:r>
      <w:r w:rsidRPr="0092670C">
        <w:rPr>
          <w:rFonts w:ascii="Arial" w:hAnsi="Arial" w:cs="Arial"/>
        </w:rPr>
        <w:t>O</w:t>
      </w:r>
      <w:r w:rsidRPr="0092670C">
        <w:rPr>
          <w:rFonts w:ascii="Arial" w:hAnsi="Arial" w:cs="Arial"/>
          <w:vertAlign w:val="subscript"/>
        </w:rPr>
        <w:t>y</w:t>
      </w:r>
      <w:r w:rsidRPr="0092670C">
        <w:rPr>
          <w:rFonts w:ascii="Arial" w:hAnsi="Arial" w:cs="Arial"/>
        </w:rPr>
        <w:t>F</w:t>
      </w:r>
      <w:r w:rsidRPr="0092670C">
        <w:rPr>
          <w:rFonts w:ascii="Arial" w:hAnsi="Arial" w:cs="Arial"/>
          <w:vertAlign w:val="subscript"/>
        </w:rPr>
        <w:t>z</w:t>
      </w:r>
      <w:bookmarkEnd w:id="204"/>
      <w:r w:rsidRPr="0092670C">
        <w:rPr>
          <w:rFonts w:ascii="Arial" w:hAnsi="Arial" w:cs="Arial"/>
          <w:vertAlign w:val="subscript"/>
        </w:rPr>
        <w:t xml:space="preserve"> </w:t>
      </w:r>
      <w:r w:rsidRPr="0092670C">
        <w:rPr>
          <w:rFonts w:ascii="Arial" w:hAnsi="Arial" w:cs="Arial"/>
        </w:rPr>
        <w:fldChar w:fldCharType="begin"/>
      </w:r>
      <w:r w:rsidR="0034337D">
        <w:rPr>
          <w:rFonts w:ascii="Arial" w:hAnsi="Arial" w:cs="Arial"/>
        </w:rPr>
        <w:instrText xml:space="preserve"> ADDIN EN.CITE &lt;EndNote&gt;&lt;Cite&gt;&lt;Author&gt;Parimalam&lt;/Author&gt;&lt;Year&gt;2018&lt;/Year&gt;&lt;RecNum&gt;207&lt;/RecNum&gt;&lt;DisplayText&gt;[188]&lt;/DisplayText&gt;&lt;record&gt;&lt;rec-number&gt;207&lt;/rec-number&gt;&lt;foreign-keys&gt;&lt;key app="EN" db-id="5sa9s0e0r0d9fnexra7pr5xdwd5ztevx95s2" timestamp="1554466582"&gt;207&lt;/key&gt;&lt;/foreign-keys&gt;&lt;ref-type name="Journal Article"&gt;17&lt;/ref-type&gt;&lt;contributors&gt;&lt;authors&gt;&lt;author&gt;Parimalam, Bharathy S&lt;/author&gt;&lt;author&gt;Lucht, Brett L&lt;/author&gt;&lt;/authors&gt;&lt;/contributors&gt;&lt;titles&gt;&lt;title&gt;Reduction Reactions of Electrolyte Salts for Lithium Ion Batteries: LiPF6, LiBF4, LiDFOB, LiBOB, and LiTFSI&lt;/title&gt;&lt;secondary-title&gt;Journal of The Electrochemical Society&lt;/secondary-title&gt;&lt;/titles&gt;&lt;periodical&gt;&lt;full-title&gt;Journal of the Electrochemical Society&lt;/full-title&gt;&lt;abbr-1&gt;J. Electrochem. Soc.&lt;/abbr-1&gt;&lt;/periodical&gt;&lt;pages&gt;A251-A255&lt;/pages&gt;&lt;volume&gt;165&lt;/volume&gt;&lt;number&gt;2&lt;/number&gt;&lt;dates&gt;&lt;year&gt;2018&lt;/year&gt;&lt;/dates&gt;&lt;isbn&gt;0013-4651&lt;/isbn&gt;&lt;urls&gt;&lt;/urls&gt;&lt;/record&gt;&lt;/Cite&gt;&lt;/EndNote&gt;</w:instrText>
      </w:r>
      <w:r w:rsidRPr="0092670C">
        <w:rPr>
          <w:rFonts w:ascii="Arial" w:hAnsi="Arial" w:cs="Arial"/>
        </w:rPr>
        <w:fldChar w:fldCharType="separate"/>
      </w:r>
      <w:r w:rsidR="0034337D">
        <w:rPr>
          <w:rFonts w:ascii="Arial" w:hAnsi="Arial" w:cs="Arial"/>
          <w:noProof/>
        </w:rPr>
        <w:t>[188]</w:t>
      </w:r>
      <w:r w:rsidRPr="0092670C">
        <w:rPr>
          <w:rFonts w:ascii="Arial" w:hAnsi="Arial" w:cs="Arial"/>
        </w:rPr>
        <w:fldChar w:fldCharType="end"/>
      </w:r>
      <w:r w:rsidRPr="0092670C">
        <w:rPr>
          <w:rFonts w:ascii="Arial" w:hAnsi="Arial" w:cs="Arial"/>
        </w:rPr>
        <w:t>. This is the result of LiPF</w:t>
      </w:r>
      <w:r w:rsidRPr="0092670C">
        <w:rPr>
          <w:rFonts w:ascii="Arial" w:hAnsi="Arial" w:cs="Arial"/>
          <w:vertAlign w:val="subscript"/>
        </w:rPr>
        <w:t>6</w:t>
      </w:r>
      <w:r w:rsidRPr="0092670C">
        <w:rPr>
          <w:rFonts w:ascii="Arial" w:hAnsi="Arial" w:cs="Arial"/>
        </w:rPr>
        <w:t xml:space="preserve"> degrading during the pre-lithiation process. This is confirmed with the F1s spectra in </w:t>
      </w:r>
      <w:r w:rsidRPr="0092670C">
        <w:rPr>
          <w:rFonts w:ascii="Arial" w:hAnsi="Arial" w:cs="Arial"/>
        </w:rPr>
        <w:fldChar w:fldCharType="begin"/>
      </w:r>
      <w:r w:rsidRPr="0092670C">
        <w:rPr>
          <w:rFonts w:ascii="Arial" w:hAnsi="Arial" w:cs="Arial"/>
        </w:rPr>
        <w:instrText xml:space="preserve"> REF _Ref31448925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38</w:t>
      </w:r>
      <w:r w:rsidRPr="0092670C">
        <w:rPr>
          <w:rFonts w:ascii="Arial" w:hAnsi="Arial" w:cs="Arial"/>
        </w:rPr>
        <w:fldChar w:fldCharType="end"/>
      </w:r>
      <w:r w:rsidRPr="0092670C">
        <w:rPr>
          <w:rFonts w:ascii="Arial" w:hAnsi="Arial" w:cs="Arial"/>
        </w:rPr>
        <w:t>. The F1s spectra shows a reduction in the P-F content of the SEI and an increase in LiF with increasing pre-lithiation time. After 10 minutes of pre-lithiation there is also a small peak at 139</w:t>
      </w:r>
      <w:r w:rsidR="00613678">
        <w:rPr>
          <w:rFonts w:ascii="Arial" w:hAnsi="Arial" w:cs="Arial"/>
        </w:rPr>
        <w:t xml:space="preserve"> </w:t>
      </w:r>
      <w:r w:rsidRPr="0092670C">
        <w:rPr>
          <w:rFonts w:ascii="Arial" w:hAnsi="Arial" w:cs="Arial"/>
        </w:rPr>
        <w:t>eV which corresponds to PF</w:t>
      </w:r>
      <w:r w:rsidRPr="0092670C">
        <w:rPr>
          <w:rFonts w:ascii="Arial" w:hAnsi="Arial" w:cs="Arial"/>
          <w:vertAlign w:val="subscript"/>
        </w:rPr>
        <w:t>5</w:t>
      </w:r>
      <w:r w:rsidRPr="0092670C">
        <w:rPr>
          <w:rFonts w:ascii="Arial" w:hAnsi="Arial" w:cs="Arial"/>
        </w:rPr>
        <w:t>. This is another electrolyte breakdown product and its disappearance is due to further reaction form Li</w:t>
      </w:r>
      <w:r w:rsidRPr="0092670C">
        <w:rPr>
          <w:rFonts w:ascii="Arial" w:hAnsi="Arial" w:cs="Arial"/>
          <w:vertAlign w:val="subscript"/>
        </w:rPr>
        <w:t>X</w:t>
      </w:r>
      <w:r w:rsidRPr="0092670C">
        <w:rPr>
          <w:rFonts w:ascii="Arial" w:hAnsi="Arial" w:cs="Arial"/>
          <w:b/>
        </w:rPr>
        <w:t>P</w:t>
      </w:r>
      <w:r w:rsidRPr="0092670C">
        <w:rPr>
          <w:rFonts w:ascii="Arial" w:hAnsi="Arial" w:cs="Arial"/>
        </w:rPr>
        <w:t>O</w:t>
      </w:r>
      <w:r w:rsidRPr="0092670C">
        <w:rPr>
          <w:rFonts w:ascii="Arial" w:hAnsi="Arial" w:cs="Arial"/>
          <w:vertAlign w:val="subscript"/>
        </w:rPr>
        <w:t>y</w:t>
      </w:r>
      <w:r w:rsidRPr="0092670C">
        <w:rPr>
          <w:rFonts w:ascii="Arial" w:hAnsi="Arial" w:cs="Arial"/>
        </w:rPr>
        <w:t>F</w:t>
      </w:r>
      <w:r w:rsidRPr="0092670C">
        <w:rPr>
          <w:rFonts w:ascii="Arial" w:hAnsi="Arial" w:cs="Arial"/>
          <w:vertAlign w:val="subscript"/>
        </w:rPr>
        <w:t>z</w:t>
      </w:r>
      <w:r w:rsidRPr="0092670C">
        <w:rPr>
          <w:rFonts w:ascii="Arial" w:hAnsi="Arial" w:cs="Arial"/>
        </w:rPr>
        <w:t xml:space="preserve"> species. </w:t>
      </w:r>
    </w:p>
    <w:p w14:paraId="535103A3" w14:textId="12F37FB9"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12B6E7F8">
          <v:shape id="_x0000_i1102" type="#_x0000_t75" style="width:365.8pt;height:282.2pt" o:ole="">
            <v:imagedata r:id="rId208" o:title=""/>
          </v:shape>
          <o:OLEObject Type="Embed" ProgID="Origin95.Graph" ShapeID="_x0000_i1102" DrawAspect="Content" ObjectID="_1700733991" r:id="rId209"/>
        </w:object>
      </w:r>
      <w:r w:rsidRPr="0092670C">
        <w:rPr>
          <w:rFonts w:ascii="Arial" w:hAnsi="Arial" w:cs="Arial"/>
          <w:noProof/>
        </w:rPr>
      </w:r>
      <w:r w:rsidR="0067644A" w:rsidRPr="0092670C">
        <w:rPr>
          <w:rFonts w:ascii="Arial" w:hAnsi="Arial" w:cs="Arial"/>
          <w:noProof/>
        </w:rPr>
        <w:object w:dxaOrig="6163" w:dyaOrig="4723" w14:anchorId="0DEDE1C0">
          <v:shape id="_x0000_i1103" type="#_x0000_t75" style="width:354.2pt;height:276.1pt" o:ole="">
            <v:imagedata r:id="rId210" o:title=""/>
          </v:shape>
          <o:OLEObject Type="Embed" ProgID="Origin95.Graph" ShapeID="_x0000_i1103" DrawAspect="Content" ObjectID="_1700733992" r:id="rId211"/>
        </w:object>
      </w:r>
    </w:p>
    <w:p w14:paraId="66055429" w14:textId="6B1C3AE7" w:rsidR="00E336EA" w:rsidRPr="0092670C" w:rsidRDefault="00E336EA" w:rsidP="00E336EA">
      <w:pPr>
        <w:spacing w:after="200" w:line="360" w:lineRule="auto"/>
        <w:jc w:val="center"/>
        <w:rPr>
          <w:rFonts w:ascii="Arial" w:hAnsi="Arial" w:cs="Arial"/>
          <w:i/>
          <w:iCs/>
          <w:color w:val="44546A" w:themeColor="text2"/>
          <w:sz w:val="20"/>
          <w:szCs w:val="20"/>
        </w:rPr>
      </w:pPr>
      <w:bookmarkStart w:id="205" w:name="_Ref31449787"/>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37</w:t>
      </w:r>
      <w:r w:rsidR="00356A26">
        <w:rPr>
          <w:rFonts w:ascii="Arial" w:hAnsi="Arial" w:cs="Arial"/>
          <w:i/>
          <w:iCs/>
          <w:color w:val="44546A" w:themeColor="text2"/>
          <w:sz w:val="20"/>
          <w:szCs w:val="20"/>
        </w:rPr>
        <w:fldChar w:fldCharType="end"/>
      </w:r>
      <w:bookmarkEnd w:id="205"/>
      <w:r w:rsidRPr="0092670C">
        <w:rPr>
          <w:rFonts w:ascii="Arial" w:hAnsi="Arial" w:cs="Arial"/>
          <w:i/>
          <w:iCs/>
          <w:color w:val="44546A" w:themeColor="text2"/>
          <w:sz w:val="20"/>
          <w:szCs w:val="20"/>
        </w:rPr>
        <w:t xml:space="preserve">: </w:t>
      </w:r>
      <w:r w:rsidR="00CC643B" w:rsidRPr="0092670C">
        <w:rPr>
          <w:rFonts w:ascii="Arial" w:hAnsi="Arial" w:cs="Arial"/>
          <w:i/>
          <w:iCs/>
          <w:color w:val="44546A" w:themeColor="text2"/>
          <w:sz w:val="20"/>
          <w:szCs w:val="20"/>
        </w:rPr>
        <w:t>D</w:t>
      </w:r>
      <w:r w:rsidRPr="0092670C">
        <w:rPr>
          <w:rFonts w:ascii="Arial" w:hAnsi="Arial" w:cs="Arial"/>
          <w:i/>
          <w:iCs/>
          <w:color w:val="44546A" w:themeColor="text2"/>
          <w:sz w:val="20"/>
          <w:szCs w:val="20"/>
        </w:rPr>
        <w:t>econvoluted C1s spectra after 10 minutes of pre-lithiation (top) and 50 minutes (bottom)</w:t>
      </w:r>
      <w:r w:rsidR="00CC643B" w:rsidRPr="0092670C">
        <w:rPr>
          <w:rFonts w:ascii="Arial" w:hAnsi="Arial" w:cs="Arial"/>
          <w:i/>
          <w:iCs/>
          <w:color w:val="44546A" w:themeColor="text2"/>
          <w:sz w:val="20"/>
          <w:szCs w:val="20"/>
        </w:rPr>
        <w:t>.</w:t>
      </w:r>
    </w:p>
    <w:p w14:paraId="7C9F224C" w14:textId="3D646F00"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79FA2F41">
          <v:shape id="_x0000_i1104" type="#_x0000_t75" style="width:365.8pt;height:282.2pt" o:ole="">
            <v:imagedata r:id="rId212" o:title=""/>
          </v:shape>
          <o:OLEObject Type="Embed" ProgID="Origin95.Graph" ShapeID="_x0000_i1104" DrawAspect="Content" ObjectID="_1700733993" r:id="rId213"/>
        </w:object>
      </w:r>
      <w:r w:rsidRPr="0092670C">
        <w:rPr>
          <w:rFonts w:ascii="Arial" w:hAnsi="Arial" w:cs="Arial"/>
          <w:noProof/>
        </w:rPr>
      </w:r>
      <w:r w:rsidR="0067644A" w:rsidRPr="0092670C">
        <w:rPr>
          <w:rFonts w:ascii="Arial" w:hAnsi="Arial" w:cs="Arial"/>
          <w:noProof/>
        </w:rPr>
        <w:object w:dxaOrig="6163" w:dyaOrig="4723" w14:anchorId="0DF3CCC6">
          <v:shape id="_x0000_i1105" type="#_x0000_t75" style="width:311.8pt;height:239.8pt" o:ole="">
            <v:imagedata r:id="rId214" o:title=""/>
          </v:shape>
          <o:OLEObject Type="Embed" ProgID="Origin95.Graph" ShapeID="_x0000_i1105" DrawAspect="Content" ObjectID="_1700733994" r:id="rId215"/>
        </w:object>
      </w:r>
    </w:p>
    <w:p w14:paraId="7FF3A72E" w14:textId="15DAC823" w:rsidR="00E336EA" w:rsidRPr="0092670C" w:rsidRDefault="00E336EA" w:rsidP="00E336EA">
      <w:pPr>
        <w:spacing w:after="200" w:line="360" w:lineRule="auto"/>
        <w:jc w:val="center"/>
        <w:rPr>
          <w:rFonts w:ascii="Arial" w:hAnsi="Arial" w:cs="Arial"/>
          <w:i/>
          <w:iCs/>
          <w:color w:val="44546A" w:themeColor="text2"/>
          <w:sz w:val="20"/>
          <w:szCs w:val="20"/>
        </w:rPr>
      </w:pPr>
      <w:bookmarkStart w:id="206" w:name="_Ref31449403"/>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38</w:t>
      </w:r>
      <w:r w:rsidR="00356A26">
        <w:rPr>
          <w:rFonts w:ascii="Arial" w:hAnsi="Arial" w:cs="Arial"/>
          <w:i/>
          <w:iCs/>
          <w:color w:val="44546A" w:themeColor="text2"/>
          <w:sz w:val="20"/>
          <w:szCs w:val="20"/>
        </w:rPr>
        <w:fldChar w:fldCharType="end"/>
      </w:r>
      <w:bookmarkEnd w:id="206"/>
      <w:r w:rsidRPr="0092670C">
        <w:rPr>
          <w:rFonts w:ascii="Arial" w:hAnsi="Arial" w:cs="Arial"/>
          <w:i/>
          <w:iCs/>
          <w:color w:val="44546A" w:themeColor="text2"/>
          <w:sz w:val="20"/>
          <w:szCs w:val="20"/>
        </w:rPr>
        <w:t xml:space="preserve">: </w:t>
      </w:r>
      <w:r w:rsidR="00CC643B" w:rsidRPr="0092670C">
        <w:rPr>
          <w:rFonts w:ascii="Arial" w:hAnsi="Arial" w:cs="Arial"/>
          <w:i/>
          <w:iCs/>
          <w:color w:val="44546A" w:themeColor="text2"/>
          <w:sz w:val="20"/>
          <w:szCs w:val="20"/>
        </w:rPr>
        <w:t>D</w:t>
      </w:r>
      <w:r w:rsidRPr="0092670C">
        <w:rPr>
          <w:rFonts w:ascii="Arial" w:hAnsi="Arial" w:cs="Arial"/>
          <w:i/>
          <w:iCs/>
          <w:color w:val="44546A" w:themeColor="text2"/>
          <w:sz w:val="20"/>
          <w:szCs w:val="20"/>
        </w:rPr>
        <w:t>econvoluted P2p spectra after 10 minutes of pre-lithiation (top) and 50 minutes (bottom)</w:t>
      </w:r>
      <w:r w:rsidR="00CC643B" w:rsidRPr="0092670C">
        <w:rPr>
          <w:rFonts w:ascii="Arial" w:hAnsi="Arial" w:cs="Arial"/>
          <w:i/>
          <w:iCs/>
          <w:color w:val="44546A" w:themeColor="text2"/>
          <w:sz w:val="20"/>
          <w:szCs w:val="20"/>
        </w:rPr>
        <w:t>.</w:t>
      </w:r>
    </w:p>
    <w:p w14:paraId="7EED1D2F" w14:textId="7777777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5D037AA8">
          <v:shape id="_x0000_i1106" type="#_x0000_t75" style="width:311.8pt;height:239.8pt" o:ole="">
            <v:imagedata r:id="rId216" o:title=""/>
          </v:shape>
          <o:OLEObject Type="Embed" ProgID="Origin95.Graph" ShapeID="_x0000_i1106" DrawAspect="Content" ObjectID="_1700733995" r:id="rId217"/>
        </w:object>
      </w:r>
      <w:r w:rsidR="00E336EA" w:rsidRPr="0092670C">
        <w:rPr>
          <w:rFonts w:ascii="Arial" w:hAnsi="Arial" w:cs="Arial"/>
        </w:rPr>
        <w:t xml:space="preserve"> </w:t>
      </w:r>
      <w:r w:rsidRPr="0092670C">
        <w:rPr>
          <w:rFonts w:ascii="Arial" w:hAnsi="Arial" w:cs="Arial"/>
          <w:noProof/>
        </w:rPr>
      </w:r>
      <w:r w:rsidR="0067644A" w:rsidRPr="0092670C">
        <w:rPr>
          <w:rFonts w:ascii="Arial" w:hAnsi="Arial" w:cs="Arial"/>
          <w:noProof/>
        </w:rPr>
        <w:object w:dxaOrig="6163" w:dyaOrig="4723" w14:anchorId="698557BE">
          <v:shape id="_x0000_i1107" type="#_x0000_t75" style="width:311.8pt;height:239.8pt" o:ole="">
            <v:imagedata r:id="rId218" o:title=""/>
          </v:shape>
          <o:OLEObject Type="Embed" ProgID="Origin95.Graph" ShapeID="_x0000_i1107" DrawAspect="Content" ObjectID="_1700733996" r:id="rId219"/>
        </w:object>
      </w:r>
    </w:p>
    <w:p w14:paraId="69859E2A" w14:textId="4BDDA39A" w:rsidR="00E336EA" w:rsidRPr="0092670C" w:rsidRDefault="00E336EA" w:rsidP="00E336EA">
      <w:pPr>
        <w:spacing w:after="200" w:line="360" w:lineRule="auto"/>
        <w:jc w:val="center"/>
        <w:rPr>
          <w:rFonts w:ascii="Arial" w:hAnsi="Arial" w:cs="Arial"/>
          <w:i/>
          <w:iCs/>
          <w:color w:val="44546A" w:themeColor="text2"/>
          <w:sz w:val="20"/>
          <w:szCs w:val="20"/>
        </w:rPr>
      </w:pPr>
      <w:bookmarkStart w:id="207" w:name="_Ref31448925"/>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39</w:t>
      </w:r>
      <w:r w:rsidR="00356A26">
        <w:rPr>
          <w:rFonts w:ascii="Arial" w:hAnsi="Arial" w:cs="Arial"/>
          <w:i/>
          <w:iCs/>
          <w:color w:val="44546A" w:themeColor="text2"/>
          <w:sz w:val="20"/>
          <w:szCs w:val="20"/>
        </w:rPr>
        <w:fldChar w:fldCharType="end"/>
      </w:r>
      <w:bookmarkEnd w:id="207"/>
      <w:r w:rsidRPr="0092670C">
        <w:rPr>
          <w:rFonts w:ascii="Arial" w:hAnsi="Arial" w:cs="Arial"/>
          <w:i/>
          <w:iCs/>
          <w:color w:val="44546A" w:themeColor="text2"/>
          <w:sz w:val="20"/>
          <w:szCs w:val="20"/>
        </w:rPr>
        <w:t>: F1s spectra of electrochemically pre-lithiated cells</w:t>
      </w:r>
      <w:r w:rsidR="00CC643B" w:rsidRPr="0092670C">
        <w:rPr>
          <w:rFonts w:ascii="Arial" w:hAnsi="Arial" w:cs="Arial"/>
          <w:i/>
          <w:iCs/>
          <w:color w:val="44546A" w:themeColor="text2"/>
          <w:sz w:val="20"/>
          <w:szCs w:val="20"/>
        </w:rPr>
        <w:t>.</w:t>
      </w:r>
    </w:p>
    <w:p w14:paraId="4611A878" w14:textId="6ADBF181" w:rsidR="00E336EA" w:rsidRPr="0092670C" w:rsidRDefault="00E336EA" w:rsidP="00F01F4C">
      <w:pPr>
        <w:spacing w:line="360" w:lineRule="auto"/>
        <w:jc w:val="both"/>
        <w:rPr>
          <w:rFonts w:ascii="Arial" w:hAnsi="Arial" w:cs="Arial"/>
        </w:rPr>
      </w:pPr>
      <w:r w:rsidRPr="0092670C">
        <w:rPr>
          <w:rFonts w:ascii="Arial" w:hAnsi="Arial" w:cs="Arial"/>
        </w:rPr>
        <w:t>The O1s spectrum after 10 minutes of pre-lithiation</w:t>
      </w:r>
      <w:r w:rsidR="00F01F4C" w:rsidRPr="0092670C">
        <w:rPr>
          <w:rFonts w:ascii="Arial" w:hAnsi="Arial" w:cs="Arial"/>
        </w:rPr>
        <w:t xml:space="preserve"> in </w:t>
      </w:r>
      <w:r w:rsidR="00F01F4C" w:rsidRPr="0092670C">
        <w:rPr>
          <w:rFonts w:ascii="Arial" w:hAnsi="Arial" w:cs="Arial"/>
        </w:rPr>
        <w:fldChar w:fldCharType="begin"/>
      </w:r>
      <w:r w:rsidR="00F01F4C" w:rsidRPr="0092670C">
        <w:rPr>
          <w:rFonts w:ascii="Arial" w:hAnsi="Arial" w:cs="Arial"/>
        </w:rPr>
        <w:instrText xml:space="preserve"> REF _Ref31448731 \h  \* MERGEFORMAT </w:instrText>
      </w:r>
      <w:r w:rsidR="00F01F4C" w:rsidRPr="0092670C">
        <w:rPr>
          <w:rFonts w:ascii="Arial" w:hAnsi="Arial" w:cs="Arial"/>
        </w:rPr>
      </w:r>
      <w:r w:rsidR="00F01F4C"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3</w:t>
      </w:r>
      <w:r w:rsidR="007342C8" w:rsidRPr="007342C8">
        <w:rPr>
          <w:rFonts w:ascii="Arial" w:hAnsi="Arial" w:cs="Arial"/>
          <w:noProof/>
        </w:rPr>
        <w:noBreakHyphen/>
        <w:t>39</w:t>
      </w:r>
      <w:r w:rsidR="00F01F4C" w:rsidRPr="0092670C">
        <w:rPr>
          <w:rFonts w:ascii="Arial" w:hAnsi="Arial" w:cs="Arial"/>
        </w:rPr>
        <w:fldChar w:fldCharType="end"/>
      </w:r>
      <w:r w:rsidRPr="0092670C">
        <w:rPr>
          <w:rFonts w:ascii="Arial" w:hAnsi="Arial" w:cs="Arial"/>
        </w:rPr>
        <w:t xml:space="preserve"> shows that there has been limited electrolyte decomposition at this stage. After 50 minutes there is a drastic change, with a more prominent C=O peak. This suggests that the electrolyte decomposition results in ring opening reactions forming aldehydes such as d</w:t>
      </w:r>
      <w:r w:rsidRPr="0092670C">
        <w:rPr>
          <w:rFonts w:ascii="Arial" w:hAnsi="Arial" w:cs="Arial"/>
          <w:vertAlign w:val="subscript"/>
        </w:rPr>
        <w:t>f</w:t>
      </w:r>
      <w:r w:rsidRPr="0092670C">
        <w:rPr>
          <w:rFonts w:ascii="Arial" w:hAnsi="Arial" w:cs="Arial"/>
        </w:rPr>
        <w:t>-FEC</w:t>
      </w:r>
      <w:r w:rsidR="00992D62"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&lt;EndNote&gt;&lt;Cite&gt;&lt;Author&gt;Okuno&lt;/Author&gt;&lt;Year&gt;2016&lt;/Year&gt;&lt;RecNum&gt;233&lt;/RecNum&gt;&lt;DisplayText&gt;[224]&lt;/DisplayText&gt;&lt;record&gt;&lt;rec-number&gt;233&lt;/rec-number&gt;&lt;foreign-keys&gt;&lt;key app="EN" db-id="5sa9s0e0r0d9fnexra7pr5xdwd5ztevx95s2" timestamp="1556182252"&gt;233&lt;/key&gt;&lt;/foreign-keys&gt;&lt;ref-type name="Journal Article"&gt;17&lt;/ref-type&gt;&lt;contributors&gt;&lt;authors&gt;&lt;author&gt;Okuno, Yukihiro&lt;/author&gt;&lt;author&gt;Ushirogata, Keisuke&lt;/author&gt;&lt;author&gt;Sodeyama, Keitaro&lt;/author&gt;&lt;author&gt;Tateyama, Yoshitaka&lt;/author&gt;&lt;/authors&gt;&lt;/contributors&gt;&lt;titles&gt;&lt;title&gt;Decomposition of the fluoroethylene carbonate additive and the glue effect of lithium fluoride products for the solid electrolyte interphase: an ab initio study&lt;/title&gt;&lt;secondary-title&gt;Physical Chemistry Chemical Physics&lt;/secondary-title&gt;&lt;/titles&gt;&lt;periodical&gt;&lt;full-title&gt;Physical Chemistry Chemical Physics&lt;/full-title&gt;&lt;abbr-1&gt;Phys. Chem. Chem. Phys.&lt;/abbr-1&gt;&lt;/periodical&gt;&lt;pages&gt;8643-8653&lt;/pages&gt;&lt;volume&gt;18&lt;/volume&gt;&lt;number&gt;12&lt;/number&gt;&lt;dates&gt;&lt;year&gt;2016&lt;/year&gt;&lt;/dates&gt;&lt;publisher&gt;The Royal Society of Chemistry&lt;/publisher&gt;&lt;isbn&gt;1463-9076&lt;/isbn&gt;&lt;work-type&gt;10.1039/C5CP07583A&lt;/work-type&gt;&lt;urls&gt;&lt;related-urls&gt;&lt;url&gt;http://dx.doi.org/10.1039/C5CP07583A&lt;/url&gt;&lt;/related-urls&gt;&lt;/urls&gt;&lt;electronic-resource-num&gt;10.1039/C5CP07583A&lt;/electronic-resource-num&gt;&lt;/record&gt;&lt;/Cite&gt;&lt;/EndNote&gt;</w:instrText>
      </w:r>
      <w:r w:rsidRPr="0092670C">
        <w:rPr>
          <w:rFonts w:ascii="Arial" w:hAnsi="Arial" w:cs="Arial"/>
        </w:rPr>
        <w:fldChar w:fldCharType="separate"/>
      </w:r>
      <w:r w:rsidR="0034337D">
        <w:rPr>
          <w:rFonts w:ascii="Arial" w:hAnsi="Arial" w:cs="Arial"/>
          <w:noProof/>
        </w:rPr>
        <w:t>[224]</w:t>
      </w:r>
      <w:r w:rsidRPr="0092670C">
        <w:rPr>
          <w:rFonts w:ascii="Arial" w:hAnsi="Arial" w:cs="Arial"/>
        </w:rPr>
        <w:fldChar w:fldCharType="end"/>
      </w:r>
      <w:r w:rsidRPr="0092670C">
        <w:rPr>
          <w:rFonts w:ascii="Arial" w:hAnsi="Arial" w:cs="Arial"/>
        </w:rPr>
        <w:t>. This data aligns with the XPS taken by Veith et al. when they looked at SEI formation on Si</w:t>
      </w:r>
      <w:r w:rsidR="00992D62"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&lt;EndNote&gt;&lt;Cite&gt;&lt;Author&gt;Veith&lt;/Author&gt;&lt;Year&gt;2017&lt;/Year&gt;&lt;RecNum&gt;234&lt;/RecNum&gt;&lt;DisplayText&gt;[229]&lt;/DisplayText&gt;&lt;record&gt;&lt;rec-number&gt;234&lt;/rec-number&gt;&lt;foreign-keys&gt;&lt;key app="EN" db-id="5sa9s0e0r0d9fnexra7pr5xdwd5ztevx95s2" timestamp="1556545645"&gt;234&lt;/key&gt;&lt;/foreign-keys&gt;&lt;ref-type name="Journal Article"&gt;17&lt;/ref-type&gt;&lt;contributors&gt;&lt;authors&gt;&lt;author&gt;Veith, Gabriel M.&lt;/author&gt;&lt;author&gt;Doucet, Mathieu&lt;/author&gt;&lt;author&gt;Sacci, Robert L.&lt;/author&gt;&lt;author&gt;Vacaliuc, Bogdan&lt;/author&gt;&lt;author&gt;Baldwin, J. Kevin&lt;/author&gt;&lt;author&gt;Browning, James F.&lt;/author&gt;&lt;/authors&gt;&lt;/contributors&gt;&lt;titles&gt;&lt;title&gt;Determination of the Solid Electrolyte Interphase Structure Grown on a Silicon Electrode Using a Fluoroethylene Carbonate Additive&lt;/title&gt;&lt;secondary-title&gt;Scientific Reports&lt;/secondary-title&gt;&lt;/titles&gt;&lt;periodical&gt;&lt;full-title&gt;Scientific Reports&lt;/full-title&gt;&lt;/periodical&gt;&lt;pages&gt;6326&lt;/pages&gt;&lt;volume&gt;7&lt;/volume&gt;&lt;number&gt;1&lt;/number&gt;&lt;dates&gt;&lt;year&gt;2017&lt;/year&gt;&lt;pub-dates&gt;&lt;date&gt;2017/07/24&lt;/date&gt;&lt;/pub-dates&gt;&lt;/dates&gt;&lt;isbn&gt;2045-2322&lt;/isbn&gt;&lt;urls&gt;&lt;related-urls&gt;&lt;url&gt;https://doi.org/10.1038/s41598-017-06555-8&lt;/url&gt;&lt;/related-urls&gt;&lt;/urls&gt;&lt;electronic-resource-num&gt;10.1038/s41598-017-06555-8&lt;/electronic-resource-num&gt;&lt;/record&gt;&lt;/Cite&gt;&lt;/EndNote&gt;</w:instrText>
      </w:r>
      <w:r w:rsidRPr="0092670C">
        <w:rPr>
          <w:rFonts w:ascii="Arial" w:hAnsi="Arial" w:cs="Arial"/>
        </w:rPr>
        <w:fldChar w:fldCharType="separate"/>
      </w:r>
      <w:r w:rsidR="0034337D">
        <w:rPr>
          <w:rFonts w:ascii="Arial" w:hAnsi="Arial" w:cs="Arial"/>
          <w:noProof/>
        </w:rPr>
        <w:t>[229]</w:t>
      </w:r>
      <w:r w:rsidRPr="0092670C">
        <w:rPr>
          <w:rFonts w:ascii="Arial" w:hAnsi="Arial" w:cs="Arial"/>
        </w:rPr>
        <w:fldChar w:fldCharType="end"/>
      </w:r>
      <w:r w:rsidRPr="0092670C">
        <w:rPr>
          <w:rFonts w:ascii="Arial" w:hAnsi="Arial" w:cs="Arial"/>
        </w:rPr>
        <w:t>.  The presence of Li-O bonds shows that the electrode is at a low potential. The O1s spectrum after 50 minutes of pre-lithiation also displays an upwards shift in binding energy from surface charging due to the SEI thickness.</w:t>
      </w:r>
    </w:p>
    <w:p w14:paraId="2E78DD0F" w14:textId="77777777" w:rsidR="00E336EA" w:rsidRPr="0092670C" w:rsidRDefault="00E336EA" w:rsidP="00E336EA">
      <w:pPr>
        <w:spacing w:line="360" w:lineRule="auto"/>
        <w:jc w:val="center"/>
        <w:rPr>
          <w:rFonts w:ascii="Arial" w:hAnsi="Arial" w:cs="Arial"/>
        </w:rPr>
      </w:pPr>
      <w:r w:rsidRPr="0092670C">
        <w:rPr>
          <w:rFonts w:ascii="Arial" w:hAnsi="Arial" w:cs="Arial"/>
        </w:rPr>
        <w:br w:type="textWrapping" w:clear="all"/>
      </w:r>
      <w:r w:rsidR="0067644A" w:rsidRPr="0092670C">
        <w:rPr>
          <w:rFonts w:ascii="Arial" w:hAnsi="Arial" w:cs="Arial"/>
          <w:noProof/>
        </w:rPr>
      </w:r>
      <w:r w:rsidR="0067644A" w:rsidRPr="0092670C">
        <w:rPr>
          <w:rFonts w:ascii="Arial" w:hAnsi="Arial" w:cs="Arial"/>
          <w:noProof/>
        </w:rPr>
        <w:object w:dxaOrig="6163" w:dyaOrig="4723" w14:anchorId="3B8416A0">
          <v:shape id="_x0000_i1108" type="#_x0000_t75" style="width:311.8pt;height:239.8pt" o:ole="">
            <v:imagedata r:id="rId220" o:title=""/>
          </v:shape>
          <o:OLEObject Type="Embed" ProgID="Origin95.Graph" ShapeID="_x0000_i1108" DrawAspect="Content" ObjectID="_1700733997" r:id="rId221"/>
        </w:object>
      </w:r>
    </w:p>
    <w:p w14:paraId="6DC55DA4" w14:textId="77777777" w:rsidR="00E336EA" w:rsidRPr="0092670C" w:rsidRDefault="0067644A" w:rsidP="00E336EA">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5564C29A">
          <v:shape id="_x0000_i1109" type="#_x0000_t75" style="width:311.8pt;height:239.8pt" o:ole="">
            <v:imagedata r:id="rId222" o:title=""/>
          </v:shape>
          <o:OLEObject Type="Embed" ProgID="Origin95.Graph" ShapeID="_x0000_i1109" DrawAspect="Content" ObjectID="_1700733998" r:id="rId223"/>
        </w:object>
      </w:r>
    </w:p>
    <w:p w14:paraId="47A64A93" w14:textId="0B48486E" w:rsidR="00E336EA" w:rsidRDefault="00E336EA" w:rsidP="00E336EA">
      <w:pPr>
        <w:spacing w:after="200" w:line="360" w:lineRule="auto"/>
        <w:jc w:val="center"/>
        <w:rPr>
          <w:rFonts w:ascii="Arial" w:hAnsi="Arial" w:cs="Arial"/>
          <w:i/>
          <w:iCs/>
          <w:color w:val="44546A" w:themeColor="text2"/>
          <w:sz w:val="20"/>
          <w:szCs w:val="20"/>
        </w:rPr>
      </w:pPr>
      <w:bookmarkStart w:id="208" w:name="_Ref3144873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40</w:t>
      </w:r>
      <w:r w:rsidR="00356A26">
        <w:rPr>
          <w:rFonts w:ascii="Arial" w:hAnsi="Arial" w:cs="Arial"/>
          <w:i/>
          <w:iCs/>
          <w:color w:val="44546A" w:themeColor="text2"/>
          <w:sz w:val="20"/>
          <w:szCs w:val="20"/>
        </w:rPr>
        <w:fldChar w:fldCharType="end"/>
      </w:r>
      <w:bookmarkEnd w:id="208"/>
      <w:r w:rsidRPr="0092670C">
        <w:rPr>
          <w:rFonts w:ascii="Arial" w:hAnsi="Arial" w:cs="Arial"/>
          <w:i/>
          <w:iCs/>
          <w:color w:val="44546A" w:themeColor="text2"/>
          <w:sz w:val="20"/>
          <w:szCs w:val="20"/>
        </w:rPr>
        <w:t xml:space="preserve">: </w:t>
      </w:r>
      <w:r w:rsidR="00CC643B" w:rsidRPr="0092670C">
        <w:rPr>
          <w:rFonts w:ascii="Arial" w:hAnsi="Arial" w:cs="Arial"/>
          <w:i/>
          <w:iCs/>
          <w:color w:val="44546A" w:themeColor="text2"/>
          <w:sz w:val="20"/>
          <w:szCs w:val="20"/>
        </w:rPr>
        <w:t>D</w:t>
      </w:r>
      <w:r w:rsidRPr="0092670C">
        <w:rPr>
          <w:rFonts w:ascii="Arial" w:hAnsi="Arial" w:cs="Arial"/>
          <w:i/>
          <w:iCs/>
          <w:color w:val="44546A" w:themeColor="text2"/>
          <w:sz w:val="20"/>
          <w:szCs w:val="20"/>
        </w:rPr>
        <w:t>econvoluted O1s spectra after 10 minutes of pre-lithiation (top) and 50 minutes (bottom)</w:t>
      </w:r>
      <w:r w:rsidR="00CC643B" w:rsidRPr="0092670C">
        <w:rPr>
          <w:rFonts w:ascii="Arial" w:hAnsi="Arial" w:cs="Arial"/>
          <w:i/>
          <w:iCs/>
          <w:color w:val="44546A" w:themeColor="text2"/>
          <w:sz w:val="20"/>
          <w:szCs w:val="20"/>
        </w:rPr>
        <w:t>.</w:t>
      </w:r>
    </w:p>
    <w:p w14:paraId="053F8550" w14:textId="630AC5E1" w:rsidR="008E0846" w:rsidRPr="0092670C" w:rsidRDefault="008E0846" w:rsidP="008E0846">
      <w:pPr>
        <w:spacing w:line="360" w:lineRule="auto"/>
        <w:jc w:val="both"/>
        <w:rPr>
          <w:rFonts w:ascii="Arial" w:hAnsi="Arial" w:cs="Arial"/>
        </w:rPr>
      </w:pPr>
      <w:r w:rsidRPr="0092670C">
        <w:rPr>
          <w:rFonts w:ascii="Arial" w:hAnsi="Arial" w:cs="Arial"/>
        </w:rPr>
        <w:t>Differential scanning calorimetry (DSC) was performed using a Mettler Toledo Star1 system on pre-lithiated cells that had been opened, washed with D</w:t>
      </w:r>
      <w:r>
        <w:rPr>
          <w:rFonts w:ascii="Arial" w:hAnsi="Arial" w:cs="Arial"/>
        </w:rPr>
        <w:t>M</w:t>
      </w:r>
      <w:r w:rsidRPr="0092670C">
        <w:rPr>
          <w:rFonts w:ascii="Arial" w:hAnsi="Arial" w:cs="Arial"/>
        </w:rPr>
        <w:t>C and dried under vacuum overnight. The reference was an uncycled graphite anode that had been covered in electrolyte</w:t>
      </w:r>
      <w:r>
        <w:rPr>
          <w:rFonts w:ascii="Arial" w:hAnsi="Arial" w:cs="Arial"/>
        </w:rPr>
        <w:t xml:space="preserve"> and washed with DMC</w:t>
      </w:r>
      <w:r w:rsidRPr="0092670C">
        <w:rPr>
          <w:rFonts w:ascii="Arial" w:hAnsi="Arial" w:cs="Arial"/>
        </w:rPr>
        <w:t xml:space="preserve">. The large endothermic peak seen in </w:t>
      </w:r>
      <w:r w:rsidRPr="0021688B">
        <w:rPr>
          <w:rFonts w:ascii="Arial" w:hAnsi="Arial" w:cs="Arial"/>
        </w:rPr>
        <w:fldChar w:fldCharType="begin"/>
      </w:r>
      <w:r w:rsidRPr="0021688B">
        <w:rPr>
          <w:rFonts w:ascii="Arial" w:hAnsi="Arial" w:cs="Arial"/>
        </w:rPr>
        <w:instrText xml:space="preserve"> REF _Ref31486262 \h  \* MERGEFORMAT </w:instrText>
      </w:r>
      <w:r w:rsidRPr="0021688B">
        <w:rPr>
          <w:rFonts w:ascii="Arial" w:hAnsi="Arial" w:cs="Arial"/>
        </w:rPr>
      </w:r>
      <w:r w:rsidRPr="0021688B">
        <w:rPr>
          <w:rFonts w:ascii="Arial" w:hAnsi="Arial" w:cs="Arial"/>
        </w:rPr>
        <w:fldChar w:fldCharType="separate"/>
      </w:r>
      <w:r w:rsidRPr="007342C8">
        <w:rPr>
          <w:rFonts w:ascii="Arial" w:hAnsi="Arial" w:cs="Arial"/>
        </w:rPr>
        <w:t xml:space="preserve">Figure </w:t>
      </w:r>
      <w:r w:rsidRPr="007342C8">
        <w:rPr>
          <w:rFonts w:ascii="Arial" w:hAnsi="Arial" w:cs="Arial"/>
          <w:noProof/>
        </w:rPr>
        <w:t>3</w:t>
      </w:r>
      <w:r w:rsidRPr="007342C8">
        <w:rPr>
          <w:rFonts w:ascii="Arial" w:hAnsi="Arial" w:cs="Arial"/>
          <w:noProof/>
        </w:rPr>
        <w:noBreakHyphen/>
        <w:t>11</w:t>
      </w:r>
      <w:r w:rsidRPr="0021688B">
        <w:rPr>
          <w:rFonts w:ascii="Arial" w:hAnsi="Arial" w:cs="Arial"/>
        </w:rPr>
        <w:fldChar w:fldCharType="end"/>
      </w:r>
      <w:r w:rsidRPr="0092670C">
        <w:rPr>
          <w:rFonts w:ascii="Arial" w:hAnsi="Arial" w:cs="Arial"/>
        </w:rPr>
        <w:t xml:space="preserve"> at 220</w:t>
      </w:r>
      <w:r>
        <w:rPr>
          <w:rFonts w:ascii="Arial" w:hAnsi="Arial" w:cs="Arial"/>
        </w:rPr>
        <w:t xml:space="preserve"> </w:t>
      </w:r>
      <w:r w:rsidRPr="0092670C">
        <w:rPr>
          <w:rFonts w:ascii="Arial" w:hAnsi="Arial" w:cs="Arial"/>
        </w:rPr>
        <w:t xml:space="preserve">°C on the reference cell is due to solvent evaporation. </w:t>
      </w:r>
      <w:r>
        <w:rPr>
          <w:rFonts w:ascii="Arial" w:hAnsi="Arial" w:cs="Arial"/>
        </w:rPr>
        <w:t>The electrolyte may still remain after drying under vacuum due to the low vapour pressure of ethylene carbonate and LiPF</w:t>
      </w:r>
      <w:r>
        <w:rPr>
          <w:rFonts w:ascii="Arial" w:hAnsi="Arial" w:cs="Arial"/>
          <w:vertAlign w:val="subscript"/>
        </w:rPr>
        <w:t>6</w:t>
      </w:r>
      <w:r>
        <w:rPr>
          <w:rFonts w:ascii="Arial" w:hAnsi="Arial" w:cs="Arial"/>
        </w:rPr>
        <w:t xml:space="preserve">. </w:t>
      </w:r>
      <w:r w:rsidRPr="0092670C">
        <w:rPr>
          <w:rFonts w:ascii="Arial" w:hAnsi="Arial" w:cs="Arial"/>
        </w:rPr>
        <w:t>The lack of this peak in the pre-lithiated cells suggested that the electrodes were solvent free and only the SEI remained. With the pre-lithiated cells at ≈110</w:t>
      </w:r>
      <w:r>
        <w:rPr>
          <w:rFonts w:ascii="Arial" w:hAnsi="Arial" w:cs="Arial"/>
        </w:rPr>
        <w:t xml:space="preserve"> </w:t>
      </w:r>
      <w:r w:rsidRPr="0092670C">
        <w:rPr>
          <w:rFonts w:ascii="Arial" w:hAnsi="Arial" w:cs="Arial"/>
        </w:rPr>
        <w:t xml:space="preserve">°C SEI decomposition can be seen. This matches well with what is seen in the literature </w:t>
      </w:r>
      <w:r w:rsidRPr="0092670C">
        <w:rPr>
          <w:rFonts w:ascii="Arial" w:hAnsi="Arial" w:cs="Arial"/>
        </w:rPr>
        <w:fldChar w:fldCharType="begin">
          <w:fldData xml:space="preserve">PEVuZE5vdGU+PENpdGU+PEF1dGhvcj5QYXNxdWllcjwvQXV0aG9yPjxZZWFyPjE5OTg8L1llYXI+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PEVuZE5vdGU+PENpdGU+PEF1dGhvcj5QYXNxdWllcjwvQXV0aG9yPjxZZWFyPjE5OTg8L1llYXI+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[209, 210]</w:t>
      </w:r>
      <w:r w:rsidRPr="0092670C">
        <w:rPr>
          <w:rFonts w:ascii="Arial" w:hAnsi="Arial" w:cs="Arial"/>
        </w:rPr>
        <w:fldChar w:fldCharType="end"/>
      </w:r>
      <w:r w:rsidRPr="0092670C">
        <w:rPr>
          <w:rFonts w:ascii="Arial" w:hAnsi="Arial" w:cs="Arial"/>
        </w:rPr>
        <w:t>. The glass transition seen isn’t mentioned in the literature but the SEI is at least partially based on oligomers. Polymers are known to have glass transition temperature and they have been well documented</w:t>
      </w:r>
      <w:r>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&lt;EndNote&gt;&lt;Cite&gt;&lt;Author&gt;Ebnesajjad&lt;/Author&gt;&lt;Year&gt;2016&lt;/Year&gt;&lt;RecNum&gt;176&lt;/RecNum&gt;&lt;DisplayText&gt;[206]&lt;/DisplayText&gt;&lt;record&gt;&lt;rec-number&gt;176&lt;/rec-number&gt;&lt;foreign-keys&gt;&lt;key app="EN" db-id="5sa9s0e0r0d9fnexra7pr5xdwd5ztevx95s2" timestamp="1551097456"&gt;176&lt;/key&gt;&lt;/foreign-keys&gt;&lt;ref-type name="Book Section"&gt;5&lt;/ref-type&gt;&lt;contributors&gt;&lt;authors&gt;&lt;author&gt;Ebnesajjad, Sina&lt;/author&gt;&lt;/authors&gt;&lt;secondary-authors&gt;&lt;author&gt;Baur, Erwin&lt;/author&gt;&lt;author&gt;Ruhrberg, Katja&lt;/author&gt;&lt;author&gt;Woishnis, William&lt;/author&gt;&lt;/secondary-authors&gt;&lt;/contributors&gt;&lt;titles&gt;&lt;title&gt;Introduction to Plastics&lt;/title&gt;&lt;secondary-title&gt;Chemical Resistance of Commodity Thermoplastics&lt;/secondary-title&gt;&lt;/titles&gt;&lt;pages&gt;xiii-xxv&lt;/pages&gt;&lt;dates&gt;&lt;year&gt;2016&lt;/year&gt;&lt;pub-dates&gt;&lt;date&gt;2016/01/01/&lt;/date&gt;&lt;/pub-dates&gt;&lt;/dates&gt;&lt;publisher&gt;William Andrew Publishing&lt;/publisher&gt;&lt;isbn&gt;978-0-323-47358-3&lt;/isbn&gt;&lt;urls&gt;&lt;related-urls&gt;&lt;url&gt;http://www.sciencedirect.com/science/article/pii/B978032347358300017X&lt;/url&gt;&lt;/related-urls&gt;&lt;/urls&gt;&lt;electronic-resource-num&gt;https://doi.org/10.1016/B978-0-323-47358-3.00017-X&lt;/electronic-resource-num&gt;&lt;/record&gt;&lt;/Cite&gt;&lt;/EndNote&gt;</w:instrText>
      </w:r>
      <w:r w:rsidRPr="0092670C">
        <w:rPr>
          <w:rFonts w:ascii="Arial" w:hAnsi="Arial" w:cs="Arial"/>
        </w:rPr>
        <w:fldChar w:fldCharType="separate"/>
      </w:r>
      <w:r w:rsidR="0034337D">
        <w:rPr>
          <w:rFonts w:ascii="Arial" w:hAnsi="Arial" w:cs="Arial"/>
          <w:noProof/>
        </w:rPr>
        <w:t>[206]</w:t>
      </w:r>
      <w:r w:rsidRPr="0092670C">
        <w:rPr>
          <w:rFonts w:ascii="Arial" w:hAnsi="Arial" w:cs="Arial"/>
        </w:rPr>
        <w:fldChar w:fldCharType="end"/>
      </w:r>
      <w:r w:rsidRPr="0092670C">
        <w:rPr>
          <w:rFonts w:ascii="Arial" w:hAnsi="Arial" w:cs="Arial"/>
        </w:rPr>
        <w:t xml:space="preserve">. The electrolyte also contained FEC which is used as a plasticiser and so it could be related to its presence </w:t>
      </w:r>
      <w:r w:rsidRPr="0092670C">
        <w:rPr>
          <w:rFonts w:ascii="Arial" w:hAnsi="Arial" w:cs="Arial"/>
        </w:rPr>
        <w:fldChar w:fldCharType="begin">
          <w:fldData xml:space="preserve">PEVuZE5vdGU+PENpdGU+PEF1dGhvcj5IYXJlZ2V3b2luPC9BdXRob3I+PFllYXI+MjAxNjwvWWVh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PEVuZE5vdGU+PENpdGU+PEF1dGhvcj5IYXJlZ2V3b2luPC9BdXRob3I+PFllYXI+MjAxNjwvWWVh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Pr="0092670C">
        <w:rPr>
          <w:rFonts w:ascii="Arial" w:hAnsi="Arial" w:cs="Arial"/>
        </w:rPr>
      </w:r>
      <w:r w:rsidRPr="0092670C">
        <w:rPr>
          <w:rFonts w:ascii="Arial" w:hAnsi="Arial" w:cs="Arial"/>
        </w:rPr>
        <w:fldChar w:fldCharType="separate"/>
      </w:r>
      <w:r w:rsidR="00C10A8D">
        <w:rPr>
          <w:rFonts w:ascii="Arial" w:hAnsi="Arial" w:cs="Arial"/>
          <w:noProof/>
        </w:rPr>
        <w:t>[73, 86]</w:t>
      </w:r>
      <w:r w:rsidRPr="0092670C">
        <w:rPr>
          <w:rFonts w:ascii="Arial" w:hAnsi="Arial" w:cs="Arial"/>
        </w:rPr>
        <w:fldChar w:fldCharType="end"/>
      </w:r>
      <w:r w:rsidRPr="0092670C">
        <w:rPr>
          <w:rFonts w:ascii="Arial" w:hAnsi="Arial" w:cs="Arial"/>
        </w:rPr>
        <w:t xml:space="preserve">. The last 2 major features are due to CMC oxidation </w:t>
      </w:r>
      <w:r w:rsidRPr="0092670C">
        <w:rPr>
          <w:rFonts w:ascii="Arial" w:hAnsi="Arial" w:cs="Arial"/>
        </w:rPr>
        <w:fldChar w:fldCharType="begin">
          <w:fldData xml:space="preserve">PEVuZE5vdGU+PENpdGU+PEF1dGhvcj5kZSBCcml0dG88L0F1dGhvcj48WWVhcj4yMDA5PC9ZZWFy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PEVuZE5vdGU+PENpdGU+PEF1dGhvcj5kZSBCcml0dG88L0F1dGhvcj48WWVhcj4yMDA5PC9ZZWFy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[207, 208]</w:t>
      </w:r>
      <w:r w:rsidRPr="0092670C">
        <w:rPr>
          <w:rFonts w:ascii="Arial" w:hAnsi="Arial" w:cs="Arial"/>
        </w:rPr>
        <w:fldChar w:fldCharType="end"/>
      </w:r>
      <w:r w:rsidRPr="0092670C">
        <w:rPr>
          <w:rFonts w:ascii="Arial" w:hAnsi="Arial" w:cs="Arial"/>
        </w:rPr>
        <w:t xml:space="preserve">. As a cellulose derivative it burns easily. These results suggest that the pre-lithiated cells have formed an SEI layer, but that Li intercalation has not yet started. These results are in good agreement with the other techniques used. </w:t>
      </w:r>
    </w:p>
    <w:p w14:paraId="70E9FF23" w14:textId="77777777" w:rsidR="008E0846" w:rsidRPr="0092670C" w:rsidRDefault="0067644A" w:rsidP="008E0846">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692" w:dyaOrig="4565" w14:anchorId="6D7038CA">
          <v:shape id="_x0000_i1110" type="#_x0000_t75" style="width:420.1pt;height:245.9pt" o:ole="">
            <v:imagedata r:id="rId224" o:title=""/>
          </v:shape>
          <o:OLEObject Type="Embed" ProgID="Origin95.Graph" ShapeID="_x0000_i1110" DrawAspect="Content" ObjectID="_1700733999" r:id="rId225"/>
        </w:object>
      </w:r>
    </w:p>
    <w:p w14:paraId="5BEDE0F1" w14:textId="77777777" w:rsidR="008E0846" w:rsidRPr="0092670C" w:rsidRDefault="008E0846" w:rsidP="008E0846">
      <w:pPr>
        <w:spacing w:after="200" w:line="360" w:lineRule="auto"/>
        <w:jc w:val="center"/>
        <w:rPr>
          <w:rFonts w:ascii="Arial" w:hAnsi="Arial" w:cs="Arial"/>
          <w:b/>
          <w:i/>
          <w:iCs/>
          <w:color w:val="44546A" w:themeColor="text2"/>
          <w:sz w:val="20"/>
          <w:szCs w:val="20"/>
        </w:rPr>
      </w:pPr>
      <w:bookmarkStart w:id="209" w:name="_Ref31486262"/>
      <w:r w:rsidRPr="0092670C">
        <w:rPr>
          <w:rFonts w:ascii="Arial" w:hAnsi="Arial" w:cs="Arial"/>
          <w:i/>
          <w:iCs/>
          <w:color w:val="44546A" w:themeColor="text2"/>
          <w:sz w:val="20"/>
          <w:szCs w:val="20"/>
        </w:rPr>
        <w:t xml:space="preserve">Figure </w:t>
      </w:r>
      <w:r>
        <w:rPr>
          <w:rFonts w:ascii="Arial" w:hAnsi="Arial" w:cs="Arial"/>
          <w:i/>
          <w:iCs/>
          <w:color w:val="44546A" w:themeColor="text2"/>
          <w:sz w:val="20"/>
          <w:szCs w:val="20"/>
        </w:rPr>
        <w:fldChar w:fldCharType="begin"/>
      </w:r>
      <w:r>
        <w:rPr>
          <w:rFonts w:ascii="Arial" w:hAnsi="Arial" w:cs="Arial"/>
          <w:i/>
          <w:iCs/>
          <w:color w:val="44546A" w:themeColor="text2"/>
          <w:sz w:val="20"/>
          <w:szCs w:val="20"/>
        </w:rPr>
        <w:instrText xml:space="preserve"> STYLEREF 1 \s </w:instrText>
      </w:r>
      <w:r>
        <w:rPr>
          <w:rFonts w:ascii="Arial" w:hAnsi="Arial" w:cs="Arial"/>
          <w:i/>
          <w:iCs/>
          <w:color w:val="44546A" w:themeColor="text2"/>
          <w:sz w:val="20"/>
          <w:szCs w:val="20"/>
        </w:rPr>
        <w:fldChar w:fldCharType="separate"/>
      </w:r>
      <w:r>
        <w:rPr>
          <w:rFonts w:ascii="Arial" w:hAnsi="Arial" w:cs="Arial"/>
          <w:i/>
          <w:iCs/>
          <w:noProof/>
          <w:color w:val="44546A" w:themeColor="text2"/>
          <w:sz w:val="20"/>
          <w:szCs w:val="20"/>
        </w:rPr>
        <w:t>3</w:t>
      </w:r>
      <w:r>
        <w:rPr>
          <w:rFonts w:ascii="Arial" w:hAnsi="Arial" w:cs="Arial"/>
          <w:i/>
          <w:iCs/>
          <w:color w:val="44546A" w:themeColor="text2"/>
          <w:sz w:val="20"/>
          <w:szCs w:val="20"/>
        </w:rPr>
        <w:fldChar w:fldCharType="end"/>
      </w:r>
      <w:r>
        <w:rPr>
          <w:rFonts w:ascii="Arial" w:hAnsi="Arial" w:cs="Arial"/>
          <w:i/>
          <w:iCs/>
          <w:color w:val="44546A" w:themeColor="text2"/>
          <w:sz w:val="20"/>
          <w:szCs w:val="20"/>
        </w:rPr>
        <w:noBreakHyphen/>
      </w:r>
      <w:r>
        <w:rPr>
          <w:rFonts w:ascii="Arial" w:hAnsi="Arial" w:cs="Arial"/>
          <w:i/>
          <w:iCs/>
          <w:color w:val="44546A" w:themeColor="text2"/>
          <w:sz w:val="20"/>
          <w:szCs w:val="20"/>
        </w:rPr>
        <w:fldChar w:fldCharType="begin"/>
      </w:r>
      <w:r>
        <w:rPr>
          <w:rFonts w:ascii="Arial" w:hAnsi="Arial" w:cs="Arial"/>
          <w:i/>
          <w:iCs/>
          <w:color w:val="44546A" w:themeColor="text2"/>
          <w:sz w:val="20"/>
          <w:szCs w:val="20"/>
        </w:rPr>
        <w:instrText xml:space="preserve"> SEQ Figure \* ARABIC \s 1 </w:instrText>
      </w:r>
      <w:r>
        <w:rPr>
          <w:rFonts w:ascii="Arial" w:hAnsi="Arial" w:cs="Arial"/>
          <w:i/>
          <w:iCs/>
          <w:color w:val="44546A" w:themeColor="text2"/>
          <w:sz w:val="20"/>
          <w:szCs w:val="20"/>
        </w:rPr>
        <w:fldChar w:fldCharType="separate"/>
      </w:r>
      <w:r>
        <w:rPr>
          <w:rFonts w:ascii="Arial" w:hAnsi="Arial" w:cs="Arial"/>
          <w:i/>
          <w:iCs/>
          <w:noProof/>
          <w:color w:val="44546A" w:themeColor="text2"/>
          <w:sz w:val="20"/>
          <w:szCs w:val="20"/>
        </w:rPr>
        <w:t>11</w:t>
      </w:r>
      <w:r>
        <w:rPr>
          <w:rFonts w:ascii="Arial" w:hAnsi="Arial" w:cs="Arial"/>
          <w:i/>
          <w:iCs/>
          <w:color w:val="44546A" w:themeColor="text2"/>
          <w:sz w:val="20"/>
          <w:szCs w:val="20"/>
        </w:rPr>
        <w:fldChar w:fldCharType="end"/>
      </w:r>
      <w:bookmarkEnd w:id="209"/>
      <w:r w:rsidRPr="0092670C">
        <w:rPr>
          <w:rFonts w:ascii="Arial" w:hAnsi="Arial" w:cs="Arial"/>
          <w:i/>
          <w:iCs/>
          <w:color w:val="44546A" w:themeColor="text2"/>
          <w:sz w:val="20"/>
          <w:szCs w:val="20"/>
        </w:rPr>
        <w:t>: DSC curves of pre-lithiated cells.</w:t>
      </w:r>
    </w:p>
    <w:p w14:paraId="6F0F65E5" w14:textId="77777777" w:rsidR="008E0846" w:rsidRPr="0092670C" w:rsidRDefault="008E0846" w:rsidP="00E336EA">
      <w:pPr>
        <w:spacing w:after="200" w:line="360" w:lineRule="auto"/>
        <w:jc w:val="center"/>
        <w:rPr>
          <w:rFonts w:ascii="Arial" w:hAnsi="Arial" w:cs="Arial"/>
          <w:i/>
          <w:iCs/>
          <w:color w:val="44546A" w:themeColor="text2"/>
          <w:sz w:val="20"/>
          <w:szCs w:val="20"/>
        </w:rPr>
      </w:pPr>
    </w:p>
    <w:p w14:paraId="5187B5C1" w14:textId="5B6A22EF" w:rsidR="00E336EA" w:rsidRPr="0092670C" w:rsidRDefault="00852991" w:rsidP="00852991">
      <w:pPr>
        <w:pStyle w:val="Heading3"/>
        <w:rPr>
          <w:rFonts w:ascii="Arial" w:hAnsi="Arial" w:cs="Arial"/>
          <w:color w:val="2F5496" w:themeColor="accent1" w:themeShade="BF"/>
          <w:sz w:val="26"/>
          <w:szCs w:val="26"/>
        </w:rPr>
      </w:pPr>
      <w:bookmarkStart w:id="210" w:name="_Toc82538770"/>
      <w:r w:rsidRPr="0092670C">
        <w:rPr>
          <w:rFonts w:ascii="Arial" w:hAnsi="Arial" w:cs="Arial"/>
          <w:color w:val="2F5496" w:themeColor="accent1" w:themeShade="BF"/>
          <w:sz w:val="26"/>
          <w:szCs w:val="26"/>
        </w:rPr>
        <w:t>Conclusion</w:t>
      </w:r>
      <w:bookmarkEnd w:id="210"/>
    </w:p>
    <w:p w14:paraId="5E548A79" w14:textId="144F3026" w:rsidR="00E336EA" w:rsidRPr="0092670C" w:rsidRDefault="00E336EA" w:rsidP="00E336EA">
      <w:pPr>
        <w:spacing w:line="360" w:lineRule="auto"/>
        <w:jc w:val="both"/>
        <w:rPr>
          <w:rFonts w:ascii="Arial" w:hAnsi="Arial" w:cs="Arial"/>
        </w:rPr>
      </w:pPr>
      <w:r w:rsidRPr="0092670C">
        <w:rPr>
          <w:rFonts w:ascii="Arial" w:hAnsi="Arial" w:cs="Arial"/>
        </w:rPr>
        <w:t>Electrochemical pre-lithiation can result in a cell with improved capacity, thicker SEI and higher initial coulombic efficiency. Our results suggest that 20 minutes of pre-lithiation is the optimal time as this maximises capacity whilst maintaining a high initial coulombic efficiency. This amount of pre -lithiation also give a cell a solid R</w:t>
      </w:r>
      <w:r w:rsidRPr="0092670C">
        <w:rPr>
          <w:rFonts w:ascii="Arial" w:hAnsi="Arial" w:cs="Arial"/>
          <w:vertAlign w:val="subscript"/>
        </w:rPr>
        <w:t>SEI</w:t>
      </w:r>
      <w:r w:rsidRPr="0092670C">
        <w:rPr>
          <w:rFonts w:ascii="Arial" w:hAnsi="Arial" w:cs="Arial"/>
        </w:rPr>
        <w:t xml:space="preserve"> value and small ΔE</w:t>
      </w:r>
      <w:r w:rsidRPr="0092670C">
        <w:rPr>
          <w:rFonts w:ascii="Arial" w:hAnsi="Arial" w:cs="Arial"/>
          <w:vertAlign w:val="subscript"/>
        </w:rPr>
        <w:t>p</w:t>
      </w:r>
      <w:r w:rsidRPr="0092670C">
        <w:rPr>
          <w:rFonts w:ascii="Arial" w:hAnsi="Arial" w:cs="Arial"/>
        </w:rPr>
        <w:t xml:space="preserve"> which are also important performance indicators. The quick time to form the SEI makes sense when you consider that the SEI is voltage dependant and these cells start below the widely considered SEI onset voltage of 0.8</w:t>
      </w:r>
      <w:r w:rsidR="0019041A">
        <w:rPr>
          <w:rFonts w:ascii="Arial" w:hAnsi="Arial" w:cs="Arial"/>
        </w:rPr>
        <w:t xml:space="preserve"> </w:t>
      </w:r>
      <w:r w:rsidRPr="0092670C">
        <w:rPr>
          <w:rFonts w:ascii="Arial" w:hAnsi="Arial" w:cs="Arial"/>
        </w:rPr>
        <w:t>V Vs. Li/Li</w:t>
      </w:r>
      <w:r w:rsidRPr="0092670C">
        <w:rPr>
          <w:rFonts w:ascii="Arial" w:hAnsi="Arial" w:cs="Arial"/>
          <w:vertAlign w:val="superscript"/>
        </w:rPr>
        <w:t>+</w:t>
      </w:r>
      <w:r w:rsidRPr="0092670C">
        <w:rPr>
          <w:rFonts w:ascii="Arial" w:hAnsi="Arial" w:cs="Arial"/>
        </w:rPr>
        <w:t xml:space="preserve"> </w:t>
      </w:r>
      <w:r w:rsidRPr="0092670C">
        <w:rPr>
          <w:rFonts w:ascii="Arial" w:hAnsi="Arial" w:cs="Arial"/>
        </w:rPr>
        <w:fldChar w:fldCharType="begin">
          <w:fldData xml:space="preserve">PEVuZE5vdGU+PENpdGU+PEF1dGhvcj5CcnluZ2Vsc3NvbjwvQXV0aG9yPjxZZWFyPjIwMDc8L1ll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PEVuZE5vdGU+PENpdGU+PEF1dGhvcj5CcnluZ2Vsc3NvbjwvQXV0aG9yPjxZZWFyPjIwMDc8L1ll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[63, 215]</w:t>
      </w:r>
      <w:r w:rsidRPr="0092670C">
        <w:rPr>
          <w:rFonts w:ascii="Arial" w:hAnsi="Arial" w:cs="Arial"/>
        </w:rPr>
        <w:fldChar w:fldCharType="end"/>
      </w:r>
      <w:r w:rsidRPr="0092670C">
        <w:rPr>
          <w:rFonts w:ascii="Arial" w:hAnsi="Arial" w:cs="Arial"/>
        </w:rPr>
        <w:t>.</w:t>
      </w:r>
    </w:p>
    <w:p w14:paraId="6C512A3B" w14:textId="77777777" w:rsidR="00E336EA" w:rsidRPr="0092670C" w:rsidRDefault="00E336EA" w:rsidP="00852991">
      <w:pPr>
        <w:pStyle w:val="Heading2"/>
        <w:rPr>
          <w:rFonts w:ascii="Arial" w:hAnsi="Arial" w:cs="Arial"/>
          <w:sz w:val="32"/>
          <w:szCs w:val="32"/>
        </w:rPr>
      </w:pPr>
      <w:bookmarkStart w:id="211" w:name="_Toc8747375"/>
      <w:bookmarkStart w:id="212" w:name="_Toc82538771"/>
      <w:r w:rsidRPr="0092670C">
        <w:rPr>
          <w:rFonts w:ascii="Arial" w:hAnsi="Arial" w:cs="Arial"/>
          <w:sz w:val="32"/>
          <w:szCs w:val="32"/>
        </w:rPr>
        <w:t>Comparing mechanical and electrochemical pre-lithiation</w:t>
      </w:r>
      <w:bookmarkEnd w:id="211"/>
      <w:bookmarkEnd w:id="212"/>
      <w:r w:rsidRPr="0092670C">
        <w:rPr>
          <w:rFonts w:ascii="Arial" w:hAnsi="Arial" w:cs="Arial"/>
          <w:sz w:val="32"/>
          <w:szCs w:val="32"/>
        </w:rPr>
        <w:t xml:space="preserve"> </w:t>
      </w:r>
    </w:p>
    <w:p w14:paraId="00CE1751" w14:textId="77777777" w:rsidR="00E336EA" w:rsidRPr="0092670C" w:rsidRDefault="00E336EA" w:rsidP="00E336EA">
      <w:pPr>
        <w:spacing w:line="360" w:lineRule="auto"/>
        <w:jc w:val="both"/>
        <w:rPr>
          <w:rFonts w:ascii="Arial" w:hAnsi="Arial" w:cs="Arial"/>
        </w:rPr>
      </w:pPr>
      <w:r w:rsidRPr="0092670C">
        <w:rPr>
          <w:rFonts w:ascii="Arial" w:hAnsi="Arial" w:cs="Arial"/>
        </w:rPr>
        <w:t>Both mechanical and electrochemical pre-lithiation have been shown to improve the performance of cells when used correctly. This section will provide an overview on the two techniques and how they compare against each other.</w:t>
      </w:r>
    </w:p>
    <w:p w14:paraId="7D6137E4" w14:textId="77777777" w:rsidR="00E336EA" w:rsidRPr="0092670C" w:rsidRDefault="00E336EA" w:rsidP="00852991">
      <w:pPr>
        <w:pStyle w:val="Heading3"/>
        <w:rPr>
          <w:rFonts w:ascii="Arial" w:hAnsi="Arial" w:cs="Arial"/>
          <w:color w:val="2F5496" w:themeColor="accent1" w:themeShade="BF"/>
          <w:sz w:val="26"/>
          <w:szCs w:val="26"/>
        </w:rPr>
      </w:pPr>
      <w:bookmarkStart w:id="213" w:name="_Toc8747376"/>
      <w:bookmarkStart w:id="214" w:name="_Toc82538772"/>
      <w:r w:rsidRPr="0092670C">
        <w:rPr>
          <w:rFonts w:ascii="Arial" w:hAnsi="Arial" w:cs="Arial"/>
          <w:color w:val="2F5496" w:themeColor="accent1" w:themeShade="BF"/>
          <w:sz w:val="26"/>
          <w:szCs w:val="26"/>
        </w:rPr>
        <w:t>Performance</w:t>
      </w:r>
      <w:bookmarkEnd w:id="213"/>
      <w:bookmarkEnd w:id="214"/>
    </w:p>
    <w:p w14:paraId="15AA323F" w14:textId="71E122C2" w:rsidR="00E336EA" w:rsidRPr="0092670C" w:rsidRDefault="00E336EA" w:rsidP="00E336EA">
      <w:pPr>
        <w:spacing w:line="360" w:lineRule="auto"/>
        <w:jc w:val="both"/>
        <w:rPr>
          <w:rFonts w:ascii="Arial" w:hAnsi="Arial" w:cs="Arial"/>
        </w:rPr>
      </w:pPr>
      <w:r w:rsidRPr="0092670C">
        <w:rPr>
          <w:rFonts w:ascii="Arial" w:hAnsi="Arial" w:cs="Arial"/>
        </w:rPr>
        <w:t xml:space="preserve">There is an appreciable upwards trend in coulombic efficiency with increasing pre-lithiation time seen in both techniques. As mentioned previously the coulombic efficiency is extremely important for full cells as they only have a limited Li supply. This isn’t seen in the half cells as the lithium supply is near limitless from a Li anode. In full cells the cathode is the </w:t>
      </w:r>
      <w:r w:rsidR="00112EA6">
        <w:rPr>
          <w:rFonts w:ascii="Arial" w:hAnsi="Arial" w:cs="Arial"/>
        </w:rPr>
        <w:t>only</w:t>
      </w:r>
      <w:r w:rsidRPr="0092670C">
        <w:rPr>
          <w:rFonts w:ascii="Arial" w:hAnsi="Arial" w:cs="Arial"/>
        </w:rPr>
        <w:t xml:space="preserve"> Li source and </w:t>
      </w:r>
      <w:r w:rsidR="00220C87" w:rsidRPr="0092670C">
        <w:rPr>
          <w:rFonts w:ascii="Arial" w:hAnsi="Arial" w:cs="Arial"/>
        </w:rPr>
        <w:t>it contains</w:t>
      </w:r>
      <w:r w:rsidRPr="0092670C">
        <w:rPr>
          <w:rFonts w:ascii="Arial" w:hAnsi="Arial" w:cs="Arial"/>
        </w:rPr>
        <w:t xml:space="preserve"> a finite amount of Li. Both techniques result in an increase in R</w:t>
      </w:r>
      <w:r w:rsidRPr="0092670C">
        <w:rPr>
          <w:rFonts w:ascii="Arial" w:hAnsi="Arial" w:cs="Arial"/>
          <w:vertAlign w:val="subscript"/>
        </w:rPr>
        <w:t>SEI</w:t>
      </w:r>
      <w:r w:rsidRPr="0092670C">
        <w:rPr>
          <w:rFonts w:ascii="Arial" w:hAnsi="Arial" w:cs="Arial"/>
        </w:rPr>
        <w:t xml:space="preserve"> with increasing pre-lithiation time as it forms a thicker SEI. This also leads to a decrease in ΔE</w:t>
      </w:r>
      <w:r w:rsidRPr="0092670C">
        <w:rPr>
          <w:rFonts w:ascii="Arial" w:hAnsi="Arial" w:cs="Arial"/>
          <w:vertAlign w:val="subscript"/>
        </w:rPr>
        <w:t>p</w:t>
      </w:r>
      <w:r w:rsidRPr="0092670C">
        <w:rPr>
          <w:rFonts w:ascii="Arial" w:hAnsi="Arial" w:cs="Arial"/>
        </w:rPr>
        <w:t xml:space="preserve">. Both also show an upwards trend in cell capacity with increasing pre-lithiation time until the reach a peak. After the peak cell performance starts to decrease rapidly. The point occurs at different times with both techniques, but it does occur in both. The capacity retention of the cells also improves with increasing pre-lithiation time. This is due to the SEI formed beforehand being far more robust than that seen with a fresh cell. </w:t>
      </w:r>
    </w:p>
    <w:p w14:paraId="3D56690A" w14:textId="77777777" w:rsidR="00E336EA" w:rsidRPr="0092670C" w:rsidRDefault="00E336EA" w:rsidP="00852991">
      <w:pPr>
        <w:pStyle w:val="Heading3"/>
        <w:rPr>
          <w:rFonts w:ascii="Arial" w:hAnsi="Arial" w:cs="Arial"/>
          <w:color w:val="2F5496" w:themeColor="accent1" w:themeShade="BF"/>
          <w:sz w:val="26"/>
          <w:szCs w:val="26"/>
        </w:rPr>
      </w:pPr>
      <w:bookmarkStart w:id="215" w:name="_Toc8747377"/>
      <w:bookmarkStart w:id="216" w:name="_Toc82538773"/>
      <w:r w:rsidRPr="0092670C">
        <w:rPr>
          <w:rFonts w:ascii="Arial" w:hAnsi="Arial" w:cs="Arial"/>
          <w:color w:val="2F5496" w:themeColor="accent1" w:themeShade="BF"/>
          <w:sz w:val="26"/>
          <w:szCs w:val="26"/>
        </w:rPr>
        <w:t>Time</w:t>
      </w:r>
      <w:bookmarkEnd w:id="215"/>
      <w:bookmarkEnd w:id="216"/>
      <w:r w:rsidRPr="0092670C">
        <w:rPr>
          <w:rFonts w:ascii="Arial" w:hAnsi="Arial" w:cs="Arial"/>
          <w:color w:val="2F5496" w:themeColor="accent1" w:themeShade="BF"/>
          <w:sz w:val="26"/>
          <w:szCs w:val="26"/>
        </w:rPr>
        <w:t xml:space="preserve"> </w:t>
      </w:r>
    </w:p>
    <w:p w14:paraId="3708696B" w14:textId="77777777" w:rsidR="00E336EA" w:rsidRPr="0092670C" w:rsidRDefault="00E336EA" w:rsidP="00E336EA">
      <w:pPr>
        <w:spacing w:line="360" w:lineRule="auto"/>
        <w:jc w:val="both"/>
        <w:rPr>
          <w:rFonts w:ascii="Arial" w:hAnsi="Arial" w:cs="Arial"/>
        </w:rPr>
      </w:pPr>
      <w:r w:rsidRPr="0092670C">
        <w:rPr>
          <w:rFonts w:ascii="Arial" w:hAnsi="Arial" w:cs="Arial"/>
        </w:rPr>
        <w:t>As has been seen pre-lithiation time impacts the thickness of SEI formed on the cell and hence their performance. This is true for both techniques but what separates them is the timescales over which pre-lithiation occurs. Mechanical pre-lithiation take place over a far longer timescale than electrochemical (galvanostatic) pre-lithiation. This is due to the Galvanostatic technique removing current from the cell, driving SEI formation. In mechanical pre-lithiation the charge has to spend much longer to convert the excess energy into heat.</w:t>
      </w:r>
    </w:p>
    <w:p w14:paraId="58C0FDF8" w14:textId="77777777" w:rsidR="00E336EA" w:rsidRPr="0092670C" w:rsidRDefault="00E336EA" w:rsidP="00852991">
      <w:pPr>
        <w:pStyle w:val="Heading3"/>
        <w:rPr>
          <w:rFonts w:ascii="Arial" w:hAnsi="Arial" w:cs="Arial"/>
          <w:color w:val="2F5496" w:themeColor="accent1" w:themeShade="BF"/>
          <w:sz w:val="26"/>
          <w:szCs w:val="26"/>
        </w:rPr>
      </w:pPr>
      <w:bookmarkStart w:id="217" w:name="_Toc8747378"/>
      <w:bookmarkStart w:id="218" w:name="_Toc82538774"/>
      <w:r w:rsidRPr="0092670C">
        <w:rPr>
          <w:rFonts w:ascii="Arial" w:hAnsi="Arial" w:cs="Arial"/>
          <w:color w:val="2F5496" w:themeColor="accent1" w:themeShade="BF"/>
          <w:sz w:val="26"/>
          <w:szCs w:val="26"/>
        </w:rPr>
        <w:t>Input</w:t>
      </w:r>
      <w:bookmarkEnd w:id="217"/>
      <w:bookmarkEnd w:id="218"/>
    </w:p>
    <w:p w14:paraId="7EDBF399" w14:textId="29B5CC6B" w:rsidR="00E336EA" w:rsidRPr="0092670C" w:rsidRDefault="00E336EA" w:rsidP="00E336EA">
      <w:pPr>
        <w:spacing w:line="360" w:lineRule="auto"/>
        <w:jc w:val="both"/>
        <w:rPr>
          <w:rFonts w:ascii="Arial" w:hAnsi="Arial" w:cs="Arial"/>
        </w:rPr>
      </w:pPr>
      <w:r w:rsidRPr="0092670C">
        <w:rPr>
          <w:rFonts w:ascii="Arial" w:hAnsi="Arial" w:cs="Arial"/>
        </w:rPr>
        <w:t xml:space="preserve">With electrochemical pre-lithiation the cells need to be able to cycle and this limits the inputs available for the cell. With mechanical pre-lithiation there is much more freedom with what can be used as the SEI ‘source’. For example, when mechanically pre-lithiating 100% FEC was used. This wouldn’t be possible in a cell as </w:t>
      </w:r>
      <w:r w:rsidR="00220C87">
        <w:rPr>
          <w:rFonts w:ascii="Arial" w:hAnsi="Arial" w:cs="Arial"/>
        </w:rPr>
        <w:t>it would be ionically insulating.</w:t>
      </w:r>
    </w:p>
    <w:p w14:paraId="571D32FC" w14:textId="77777777" w:rsidR="00E336EA" w:rsidRPr="0092670C" w:rsidRDefault="00E336EA" w:rsidP="00852991">
      <w:pPr>
        <w:pStyle w:val="Heading3"/>
        <w:rPr>
          <w:rFonts w:ascii="Arial" w:hAnsi="Arial" w:cs="Arial"/>
          <w:color w:val="2F5496" w:themeColor="accent1" w:themeShade="BF"/>
          <w:sz w:val="26"/>
          <w:szCs w:val="26"/>
        </w:rPr>
      </w:pPr>
      <w:bookmarkStart w:id="219" w:name="_Toc8747379"/>
      <w:bookmarkStart w:id="220" w:name="_Toc82538775"/>
      <w:r w:rsidRPr="0092670C">
        <w:rPr>
          <w:rFonts w:ascii="Arial" w:hAnsi="Arial" w:cs="Arial"/>
          <w:color w:val="2F5496" w:themeColor="accent1" w:themeShade="BF"/>
          <w:sz w:val="26"/>
          <w:szCs w:val="26"/>
        </w:rPr>
        <w:t>Setup</w:t>
      </w:r>
      <w:bookmarkEnd w:id="219"/>
      <w:bookmarkEnd w:id="220"/>
    </w:p>
    <w:p w14:paraId="1639D7DF" w14:textId="77777777" w:rsidR="00E336EA" w:rsidRPr="0092670C" w:rsidRDefault="00E336EA" w:rsidP="00E336EA">
      <w:pPr>
        <w:spacing w:line="360" w:lineRule="auto"/>
        <w:jc w:val="both"/>
        <w:rPr>
          <w:rFonts w:ascii="Arial" w:hAnsi="Arial" w:cs="Arial"/>
        </w:rPr>
      </w:pPr>
      <w:r w:rsidRPr="0092670C">
        <w:rPr>
          <w:rFonts w:ascii="Arial" w:hAnsi="Arial" w:cs="Arial"/>
        </w:rPr>
        <w:t xml:space="preserve">The Setup is what differentiates the two techniques the most. Electrochemical pre-lithiation relies on a galvanostat to control the power output of the cell. It also needs to be conducted in a cell (at lab scale at least) and this requires the cell to manufactured before pre-lithiation. Mechanical pre-lithiation requires neither of these to work and that helps to make the setup easier. The main requirement for mechanical pre-lithiation is an airtight container to prevent solvent evaporation. </w:t>
      </w:r>
    </w:p>
    <w:p w14:paraId="441B562F" w14:textId="77777777" w:rsidR="00E336EA" w:rsidRPr="0092670C" w:rsidRDefault="00E336EA" w:rsidP="00852991">
      <w:pPr>
        <w:pStyle w:val="Heading3"/>
        <w:rPr>
          <w:rFonts w:ascii="Arial" w:hAnsi="Arial" w:cs="Arial"/>
          <w:color w:val="2F5496" w:themeColor="accent1" w:themeShade="BF"/>
          <w:sz w:val="26"/>
          <w:szCs w:val="26"/>
        </w:rPr>
      </w:pPr>
      <w:bookmarkStart w:id="221" w:name="_Toc8747380"/>
      <w:bookmarkStart w:id="222" w:name="_Toc82538776"/>
      <w:r w:rsidRPr="0092670C">
        <w:rPr>
          <w:rFonts w:ascii="Arial" w:hAnsi="Arial" w:cs="Arial"/>
          <w:color w:val="2F5496" w:themeColor="accent1" w:themeShade="BF"/>
          <w:sz w:val="26"/>
          <w:szCs w:val="26"/>
        </w:rPr>
        <w:t>Summary</w:t>
      </w:r>
      <w:bookmarkEnd w:id="221"/>
      <w:bookmarkEnd w:id="222"/>
      <w:r w:rsidRPr="0092670C">
        <w:rPr>
          <w:rFonts w:ascii="Arial" w:hAnsi="Arial" w:cs="Arial"/>
          <w:color w:val="2F5496" w:themeColor="accent1" w:themeShade="BF"/>
          <w:sz w:val="26"/>
          <w:szCs w:val="26"/>
        </w:rPr>
        <w:t xml:space="preserve"> </w:t>
      </w:r>
    </w:p>
    <w:p w14:paraId="2FDF0A6C" w14:textId="5F14D04F" w:rsidR="006F0AFF" w:rsidRPr="0092670C" w:rsidRDefault="0016482F" w:rsidP="00DD0978">
      <w:pPr>
        <w:spacing w:after="200" w:line="360" w:lineRule="auto"/>
        <w:jc w:val="both"/>
        <w:rPr>
          <w:rFonts w:ascii="Arial" w:hAnsi="Arial" w:cs="Arial"/>
        </w:rPr>
      </w:pPr>
      <w:r w:rsidRPr="0092670C">
        <w:rPr>
          <w:rFonts w:ascii="Arial" w:hAnsi="Arial" w:cs="Arial"/>
        </w:rPr>
        <w:t xml:space="preserve">In summary we can see that both </w:t>
      </w:r>
      <w:r w:rsidR="008F0E8B" w:rsidRPr="0092670C">
        <w:rPr>
          <w:rFonts w:ascii="Arial" w:hAnsi="Arial" w:cs="Arial"/>
        </w:rPr>
        <w:t>mechanical and electrochemical pre-lithiation h</w:t>
      </w:r>
      <w:r w:rsidR="00E06124" w:rsidRPr="0092670C">
        <w:rPr>
          <w:rFonts w:ascii="Arial" w:hAnsi="Arial" w:cs="Arial"/>
        </w:rPr>
        <w:t>ave advantages and disadvantages</w:t>
      </w:r>
      <w:r w:rsidR="00DD0978" w:rsidRPr="0092670C">
        <w:rPr>
          <w:rFonts w:ascii="Arial" w:hAnsi="Arial" w:cs="Arial"/>
        </w:rPr>
        <w:t>. Mechanical pre-lithiation is far easier to conduct with no need for cell disassembly</w:t>
      </w:r>
      <w:r w:rsidR="007853BC" w:rsidRPr="0092670C">
        <w:rPr>
          <w:rFonts w:ascii="Arial" w:hAnsi="Arial" w:cs="Arial"/>
        </w:rPr>
        <w:t xml:space="preserve"> at the lab scale. </w:t>
      </w:r>
      <w:r w:rsidR="00DD0978" w:rsidRPr="0092670C">
        <w:rPr>
          <w:rFonts w:ascii="Arial" w:hAnsi="Arial" w:cs="Arial"/>
        </w:rPr>
        <w:t xml:space="preserve"> </w:t>
      </w:r>
      <w:r w:rsidR="0087550E" w:rsidRPr="0092670C">
        <w:rPr>
          <w:rFonts w:ascii="Arial" w:hAnsi="Arial" w:cs="Arial"/>
        </w:rPr>
        <w:t xml:space="preserve">As there </w:t>
      </w:r>
      <w:r w:rsidR="00EF002F" w:rsidRPr="0092670C">
        <w:rPr>
          <w:rFonts w:ascii="Arial" w:hAnsi="Arial" w:cs="Arial"/>
        </w:rPr>
        <w:t>are</w:t>
      </w:r>
      <w:r w:rsidR="0087550E" w:rsidRPr="0092670C">
        <w:rPr>
          <w:rFonts w:ascii="Arial" w:hAnsi="Arial" w:cs="Arial"/>
        </w:rPr>
        <w:t xml:space="preserve"> no el</w:t>
      </w:r>
      <w:r w:rsidR="009170A1" w:rsidRPr="0092670C">
        <w:rPr>
          <w:rFonts w:ascii="Arial" w:hAnsi="Arial" w:cs="Arial"/>
        </w:rPr>
        <w:t xml:space="preserve">ectrochemical processes occurring it is possible </w:t>
      </w:r>
      <w:r w:rsidR="009A0616" w:rsidRPr="0092670C">
        <w:rPr>
          <w:rFonts w:ascii="Arial" w:hAnsi="Arial" w:cs="Arial"/>
        </w:rPr>
        <w:t>to make</w:t>
      </w:r>
      <w:r w:rsidR="00DD0978" w:rsidRPr="0092670C">
        <w:rPr>
          <w:rFonts w:ascii="Arial" w:hAnsi="Arial" w:cs="Arial"/>
        </w:rPr>
        <w:t xml:space="preserve"> an SEI from starting materials that wouldn’t </w:t>
      </w:r>
      <w:r w:rsidR="009170A1" w:rsidRPr="0092670C">
        <w:rPr>
          <w:rFonts w:ascii="Arial" w:hAnsi="Arial" w:cs="Arial"/>
        </w:rPr>
        <w:t xml:space="preserve">be compatible in a battery </w:t>
      </w:r>
      <w:r w:rsidR="004A4044" w:rsidRPr="0092670C">
        <w:rPr>
          <w:rFonts w:ascii="Arial" w:hAnsi="Arial" w:cs="Arial"/>
        </w:rPr>
        <w:t xml:space="preserve">due to side reactions on the cathode side etc. </w:t>
      </w:r>
      <w:r w:rsidR="0035577C" w:rsidRPr="0092670C">
        <w:rPr>
          <w:rFonts w:ascii="Arial" w:hAnsi="Arial" w:cs="Arial"/>
        </w:rPr>
        <w:t>mechanical pre-lithi</w:t>
      </w:r>
      <w:r w:rsidR="00BC3565" w:rsidRPr="0092670C">
        <w:rPr>
          <w:rFonts w:ascii="Arial" w:hAnsi="Arial" w:cs="Arial"/>
        </w:rPr>
        <w:t>ation</w:t>
      </w:r>
      <w:r w:rsidR="00064BDA" w:rsidRPr="0092670C">
        <w:rPr>
          <w:rFonts w:ascii="Arial" w:hAnsi="Arial" w:cs="Arial"/>
        </w:rPr>
        <w:t xml:space="preserve"> </w:t>
      </w:r>
      <w:r w:rsidR="00BC3565" w:rsidRPr="0092670C">
        <w:rPr>
          <w:rFonts w:ascii="Arial" w:hAnsi="Arial" w:cs="Arial"/>
        </w:rPr>
        <w:t xml:space="preserve">is most effective at a time-scale of </w:t>
      </w:r>
      <w:r w:rsidR="00D64422" w:rsidRPr="0092670C">
        <w:rPr>
          <w:rFonts w:ascii="Arial" w:hAnsi="Arial" w:cs="Arial"/>
        </w:rPr>
        <w:t>one</w:t>
      </w:r>
      <w:r w:rsidR="00BC3565" w:rsidRPr="0092670C">
        <w:rPr>
          <w:rFonts w:ascii="Arial" w:hAnsi="Arial" w:cs="Arial"/>
        </w:rPr>
        <w:t xml:space="preserve"> day which makes it </w:t>
      </w:r>
      <w:r w:rsidR="00D64422" w:rsidRPr="0092670C">
        <w:rPr>
          <w:rFonts w:ascii="Arial" w:hAnsi="Arial" w:cs="Arial"/>
        </w:rPr>
        <w:t xml:space="preserve">unappealing </w:t>
      </w:r>
      <w:r w:rsidR="002E2EDB" w:rsidRPr="0092670C">
        <w:rPr>
          <w:rFonts w:ascii="Arial" w:hAnsi="Arial" w:cs="Arial"/>
        </w:rPr>
        <w:t xml:space="preserve">to </w:t>
      </w:r>
      <w:r w:rsidR="00131D28" w:rsidRPr="0092670C">
        <w:rPr>
          <w:rFonts w:ascii="Arial" w:hAnsi="Arial" w:cs="Arial"/>
        </w:rPr>
        <w:t xml:space="preserve">manufacture due to the bottleneck this would create. As it is </w:t>
      </w:r>
      <w:r w:rsidR="00EF72BE" w:rsidRPr="0092670C">
        <w:rPr>
          <w:rFonts w:ascii="Arial" w:hAnsi="Arial" w:cs="Arial"/>
        </w:rPr>
        <w:t>mechanical pr</w:t>
      </w:r>
      <w:r w:rsidR="00C7701F" w:rsidRPr="0092670C">
        <w:rPr>
          <w:rFonts w:ascii="Arial" w:hAnsi="Arial" w:cs="Arial"/>
        </w:rPr>
        <w:t xml:space="preserve">ocess there is also a risk of </w:t>
      </w:r>
      <w:r w:rsidR="00C50F7D" w:rsidRPr="0092670C">
        <w:rPr>
          <w:rFonts w:ascii="Arial" w:hAnsi="Arial" w:cs="Arial"/>
        </w:rPr>
        <w:t xml:space="preserve">uneven SEI coatings in </w:t>
      </w:r>
      <w:r w:rsidR="00F66EC0" w:rsidRPr="0092670C">
        <w:rPr>
          <w:rFonts w:ascii="Arial" w:hAnsi="Arial" w:cs="Arial"/>
        </w:rPr>
        <w:t>inhomogeneous</w:t>
      </w:r>
      <w:r w:rsidR="00C50F7D" w:rsidRPr="0092670C">
        <w:rPr>
          <w:rFonts w:ascii="Arial" w:hAnsi="Arial" w:cs="Arial"/>
        </w:rPr>
        <w:t xml:space="preserve"> </w:t>
      </w:r>
      <w:r w:rsidR="00F66EC0" w:rsidRPr="0092670C">
        <w:rPr>
          <w:rFonts w:ascii="Arial" w:hAnsi="Arial" w:cs="Arial"/>
        </w:rPr>
        <w:t xml:space="preserve">anodes degrading performance. </w:t>
      </w:r>
    </w:p>
    <w:p w14:paraId="4EB63CC2" w14:textId="46828FE3" w:rsidR="00C4799D" w:rsidRPr="0092670C" w:rsidRDefault="00C4799D" w:rsidP="00DD0978">
      <w:pPr>
        <w:spacing w:after="200" w:line="360" w:lineRule="auto"/>
        <w:jc w:val="both"/>
        <w:rPr>
          <w:rFonts w:ascii="Arial" w:hAnsi="Arial" w:cs="Arial"/>
        </w:rPr>
      </w:pPr>
      <w:r w:rsidRPr="0092670C">
        <w:rPr>
          <w:rFonts w:ascii="Arial" w:hAnsi="Arial" w:cs="Arial"/>
        </w:rPr>
        <w:t xml:space="preserve">Electrochemical pre-lithiation </w:t>
      </w:r>
      <w:r w:rsidR="009A0616" w:rsidRPr="0092670C">
        <w:rPr>
          <w:rFonts w:ascii="Arial" w:hAnsi="Arial" w:cs="Arial"/>
        </w:rPr>
        <w:t xml:space="preserve">is a faster process giving </w:t>
      </w:r>
      <w:r w:rsidR="003134CD" w:rsidRPr="0092670C">
        <w:rPr>
          <w:rFonts w:ascii="Arial" w:hAnsi="Arial" w:cs="Arial"/>
        </w:rPr>
        <w:t>a robust SEI in hours rather than minutes</w:t>
      </w:r>
      <w:r w:rsidR="008C0D00" w:rsidRPr="0092670C">
        <w:rPr>
          <w:rFonts w:ascii="Arial" w:hAnsi="Arial" w:cs="Arial"/>
        </w:rPr>
        <w:t xml:space="preserve">, which is ideal </w:t>
      </w:r>
      <w:r w:rsidR="0032611D" w:rsidRPr="0092670C">
        <w:rPr>
          <w:rFonts w:ascii="Arial" w:hAnsi="Arial" w:cs="Arial"/>
        </w:rPr>
        <w:t xml:space="preserve">when considering manufacturing implications. </w:t>
      </w:r>
      <w:r w:rsidR="006F2017" w:rsidRPr="0092670C">
        <w:rPr>
          <w:rFonts w:ascii="Arial" w:hAnsi="Arial" w:cs="Arial"/>
        </w:rPr>
        <w:t xml:space="preserve">It can also be controlled by monitoring the voltage of the cell </w:t>
      </w:r>
      <w:r w:rsidR="00EC1C23" w:rsidRPr="0092670C">
        <w:rPr>
          <w:rFonts w:ascii="Arial" w:hAnsi="Arial" w:cs="Arial"/>
        </w:rPr>
        <w:t xml:space="preserve">to ensure that pre-lithiation </w:t>
      </w:r>
      <w:r w:rsidR="001E11E0" w:rsidRPr="0092670C">
        <w:rPr>
          <w:rFonts w:ascii="Arial" w:hAnsi="Arial" w:cs="Arial"/>
        </w:rPr>
        <w:t xml:space="preserve">results in a robust SEI. As it is </w:t>
      </w:r>
      <w:r w:rsidR="0039078D" w:rsidRPr="0092670C">
        <w:rPr>
          <w:rFonts w:ascii="Arial" w:hAnsi="Arial" w:cs="Arial"/>
        </w:rPr>
        <w:t xml:space="preserve">performed electrochemically the reagents used to form the SEI </w:t>
      </w:r>
      <w:r w:rsidR="009B48B1" w:rsidRPr="0092670C">
        <w:rPr>
          <w:rFonts w:ascii="Arial" w:hAnsi="Arial" w:cs="Arial"/>
        </w:rPr>
        <w:t>a</w:t>
      </w:r>
      <w:r w:rsidR="0039078D" w:rsidRPr="0092670C">
        <w:rPr>
          <w:rFonts w:ascii="Arial" w:hAnsi="Arial" w:cs="Arial"/>
        </w:rPr>
        <w:t xml:space="preserve">re more limited </w:t>
      </w:r>
      <w:r w:rsidR="009B48B1" w:rsidRPr="0092670C">
        <w:rPr>
          <w:rFonts w:ascii="Arial" w:hAnsi="Arial" w:cs="Arial"/>
        </w:rPr>
        <w:t xml:space="preserve">and have to be compatible with </w:t>
      </w:r>
      <w:r w:rsidR="002D5B7A" w:rsidRPr="0092670C">
        <w:rPr>
          <w:rFonts w:ascii="Arial" w:hAnsi="Arial" w:cs="Arial"/>
        </w:rPr>
        <w:t xml:space="preserve">the electrolyte. </w:t>
      </w:r>
      <w:r w:rsidR="00A15E87" w:rsidRPr="0092670C">
        <w:rPr>
          <w:rFonts w:ascii="Arial" w:hAnsi="Arial" w:cs="Arial"/>
        </w:rPr>
        <w:t xml:space="preserve">In a laboratory it is a </w:t>
      </w:r>
      <w:r w:rsidR="00D65EE0" w:rsidRPr="0092670C">
        <w:rPr>
          <w:rFonts w:ascii="Arial" w:hAnsi="Arial" w:cs="Arial"/>
        </w:rPr>
        <w:t>time-consuming</w:t>
      </w:r>
      <w:r w:rsidR="00A15E87" w:rsidRPr="0092670C">
        <w:rPr>
          <w:rFonts w:ascii="Arial" w:hAnsi="Arial" w:cs="Arial"/>
        </w:rPr>
        <w:t xml:space="preserve"> process a</w:t>
      </w:r>
      <w:r w:rsidR="00BE2EBB" w:rsidRPr="0092670C">
        <w:rPr>
          <w:rFonts w:ascii="Arial" w:hAnsi="Arial" w:cs="Arial"/>
        </w:rPr>
        <w:t xml:space="preserve">s it involves the disassembly </w:t>
      </w:r>
      <w:r w:rsidR="002A46E5" w:rsidRPr="0092670C">
        <w:rPr>
          <w:rFonts w:ascii="Arial" w:hAnsi="Arial" w:cs="Arial"/>
        </w:rPr>
        <w:t xml:space="preserve">and reassembly of the cell. </w:t>
      </w:r>
    </w:p>
    <w:p w14:paraId="71B8DCF6" w14:textId="77777777" w:rsidR="00E336EA" w:rsidRPr="0092670C" w:rsidRDefault="00E336EA" w:rsidP="00852991">
      <w:pPr>
        <w:pStyle w:val="Heading2"/>
        <w:rPr>
          <w:rFonts w:ascii="Arial" w:hAnsi="Arial" w:cs="Arial"/>
          <w:sz w:val="32"/>
          <w:szCs w:val="32"/>
        </w:rPr>
      </w:pPr>
      <w:bookmarkStart w:id="223" w:name="_Toc8747381"/>
      <w:bookmarkStart w:id="224" w:name="_Toc82538777"/>
      <w:r w:rsidRPr="0092670C">
        <w:rPr>
          <w:rFonts w:ascii="Arial" w:hAnsi="Arial" w:cs="Arial"/>
          <w:sz w:val="32"/>
          <w:szCs w:val="32"/>
        </w:rPr>
        <w:t>Conclusion</w:t>
      </w:r>
      <w:bookmarkEnd w:id="223"/>
      <w:bookmarkEnd w:id="224"/>
    </w:p>
    <w:p w14:paraId="5C01AE5E" w14:textId="2158CFE0" w:rsidR="00E336EA" w:rsidRPr="0092670C" w:rsidRDefault="00E336EA" w:rsidP="00E336EA">
      <w:pPr>
        <w:spacing w:line="360" w:lineRule="auto"/>
        <w:jc w:val="both"/>
        <w:rPr>
          <w:rFonts w:ascii="Arial" w:hAnsi="Arial" w:cs="Arial"/>
        </w:rPr>
      </w:pPr>
      <w:r w:rsidRPr="0092670C">
        <w:rPr>
          <w:rFonts w:ascii="Arial" w:hAnsi="Arial" w:cs="Arial"/>
        </w:rPr>
        <w:t xml:space="preserve">Pre-lithiation can have a major impact on cell performance. This work has shown that choosing the correct parameters </w:t>
      </w:r>
      <w:r w:rsidR="00831A47">
        <w:rPr>
          <w:rFonts w:ascii="Arial" w:hAnsi="Arial" w:cs="Arial"/>
        </w:rPr>
        <w:t>is</w:t>
      </w:r>
      <w:r w:rsidRPr="0092670C">
        <w:rPr>
          <w:rFonts w:ascii="Arial" w:hAnsi="Arial" w:cs="Arial"/>
        </w:rPr>
        <w:t xml:space="preserve"> vital to ensure that the cell performs optimally. Pre-lithiation has just as much a chance to reduce cell performance as increase it. </w:t>
      </w:r>
    </w:p>
    <w:p w14:paraId="478B46A8" w14:textId="6CAC00CC" w:rsidR="00E336EA" w:rsidRPr="0092670C" w:rsidRDefault="00E336EA" w:rsidP="00E336EA">
      <w:pPr>
        <w:spacing w:line="360" w:lineRule="auto"/>
        <w:jc w:val="both"/>
        <w:rPr>
          <w:rFonts w:ascii="Arial" w:hAnsi="Arial" w:cs="Arial"/>
        </w:rPr>
      </w:pPr>
      <w:r w:rsidRPr="0092670C">
        <w:rPr>
          <w:rFonts w:ascii="Arial" w:hAnsi="Arial" w:cs="Arial"/>
        </w:rPr>
        <w:t xml:space="preserve">Pre-lithiation need to be performed to the stage where the SEI has become sufficiently thick whilst not starting the intercalation process. As seen in my results the best way to monitor this is by looking at the voltage of the cell. Closely monitoring the voltage of the pre-lithiation process means that the performance of the resulting batteries can be maximised. Maximising the gains from </w:t>
      </w:r>
      <w:r w:rsidR="00831A47" w:rsidRPr="0092670C">
        <w:rPr>
          <w:rFonts w:ascii="Arial" w:hAnsi="Arial" w:cs="Arial"/>
        </w:rPr>
        <w:t>pre-lithiation</w:t>
      </w:r>
      <w:r w:rsidRPr="0092670C">
        <w:rPr>
          <w:rFonts w:ascii="Arial" w:hAnsi="Arial" w:cs="Arial"/>
        </w:rPr>
        <w:t xml:space="preserve"> helps to make the technique more viable for future use in industrial battery processing.  </w:t>
      </w:r>
    </w:p>
    <w:p w14:paraId="45227432" w14:textId="573D64C4" w:rsidR="002C6746" w:rsidRPr="0092670C" w:rsidRDefault="004509AB" w:rsidP="00C17C9D">
      <w:pPr>
        <w:spacing w:line="360" w:lineRule="auto"/>
        <w:jc w:val="both"/>
        <w:rPr>
          <w:rFonts w:ascii="Arial" w:hAnsi="Arial" w:cs="Arial"/>
        </w:rPr>
      </w:pPr>
      <w:r w:rsidRPr="0092670C">
        <w:rPr>
          <w:rFonts w:ascii="Arial" w:hAnsi="Arial" w:cs="Arial"/>
        </w:rPr>
        <w:t>We show</w:t>
      </w:r>
      <w:r w:rsidR="00E336EA" w:rsidRPr="0092670C">
        <w:rPr>
          <w:rFonts w:ascii="Arial" w:hAnsi="Arial" w:cs="Arial"/>
        </w:rPr>
        <w:t xml:space="preserve"> that the material used as the SEI reagent has an important impact on the performance of the cell and it can be decoupled from the electrolyte used. This is important as it gives the potential to use custom sacrificial reagents for SEI formation and then use an electrolyte without the need for additives.</w:t>
      </w:r>
    </w:p>
    <w:p w14:paraId="0ABA0075" w14:textId="4F4B5014" w:rsidR="006E235A" w:rsidRPr="0092670C" w:rsidRDefault="006E235A" w:rsidP="002C6746">
      <w:pPr>
        <w:rPr>
          <w:rFonts w:ascii="Arial" w:hAnsi="Arial" w:cs="Arial"/>
        </w:rPr>
      </w:pPr>
      <w:r w:rsidRPr="0092670C">
        <w:rPr>
          <w:rFonts w:ascii="Arial" w:hAnsi="Arial" w:cs="Arial"/>
        </w:rPr>
        <w:br w:type="page"/>
      </w:r>
    </w:p>
    <w:p w14:paraId="174BFE63" w14:textId="77777777" w:rsidR="00E336EA" w:rsidRPr="0092670C" w:rsidRDefault="00E336EA" w:rsidP="002C6746">
      <w:pPr>
        <w:rPr>
          <w:rFonts w:ascii="Arial" w:hAnsi="Arial" w:cs="Arial"/>
        </w:rPr>
      </w:pPr>
    </w:p>
    <w:p w14:paraId="656CB989" w14:textId="6898F012" w:rsidR="00A93DD5" w:rsidRPr="0092670C" w:rsidRDefault="00A93DD5" w:rsidP="006E235A">
      <w:pPr>
        <w:pStyle w:val="Heading1"/>
        <w:spacing w:before="4000" w:line="360" w:lineRule="auto"/>
        <w:rPr>
          <w:rFonts w:ascii="Arial" w:hAnsi="Arial" w:cs="Arial"/>
          <w:b/>
        </w:rPr>
      </w:pPr>
      <w:bookmarkStart w:id="225" w:name="_Toc82538778"/>
      <w:r w:rsidRPr="0092670C">
        <w:rPr>
          <w:rFonts w:ascii="Arial" w:hAnsi="Arial" w:cs="Arial"/>
          <w:b/>
        </w:rPr>
        <w:t>Pre-lithiation of Si anodes</w:t>
      </w:r>
      <w:bookmarkEnd w:id="225"/>
    </w:p>
    <w:p w14:paraId="682214AD" w14:textId="61B0B01F" w:rsidR="002C6746" w:rsidRPr="0092670C" w:rsidRDefault="009F559B" w:rsidP="00C74F02">
      <w:pPr>
        <w:spacing w:line="360" w:lineRule="auto"/>
        <w:jc w:val="both"/>
        <w:rPr>
          <w:rFonts w:ascii="Arial" w:hAnsi="Arial" w:cs="Arial"/>
        </w:rPr>
      </w:pPr>
      <w:r w:rsidRPr="0092670C">
        <w:rPr>
          <w:rFonts w:ascii="Arial" w:hAnsi="Arial" w:cs="Arial"/>
        </w:rPr>
        <w:t xml:space="preserve">This chapter extends the work performed in chapter </w:t>
      </w:r>
      <w:r w:rsidR="00045129" w:rsidRPr="0092670C">
        <w:rPr>
          <w:rFonts w:ascii="Arial" w:hAnsi="Arial" w:cs="Arial"/>
        </w:rPr>
        <w:t xml:space="preserve">3 and </w:t>
      </w:r>
      <w:r w:rsidR="00215C1B" w:rsidRPr="0092670C">
        <w:rPr>
          <w:rFonts w:ascii="Arial" w:hAnsi="Arial" w:cs="Arial"/>
        </w:rPr>
        <w:t xml:space="preserve">applies the same principles to Si anodes. It details the </w:t>
      </w:r>
      <w:r w:rsidR="00A16953" w:rsidRPr="0092670C">
        <w:rPr>
          <w:rFonts w:ascii="Arial" w:hAnsi="Arial" w:cs="Arial"/>
        </w:rPr>
        <w:t xml:space="preserve">differences </w:t>
      </w:r>
      <w:r w:rsidR="00982C65" w:rsidRPr="0092670C">
        <w:rPr>
          <w:rFonts w:ascii="Arial" w:hAnsi="Arial" w:cs="Arial"/>
        </w:rPr>
        <w:t xml:space="preserve">that are encountered with respect to </w:t>
      </w:r>
      <w:r w:rsidR="00C51F07" w:rsidRPr="0092670C">
        <w:rPr>
          <w:rFonts w:ascii="Arial" w:hAnsi="Arial" w:cs="Arial"/>
        </w:rPr>
        <w:t>graphite and the chemical underpinnings for th</w:t>
      </w:r>
      <w:r w:rsidR="00C74F02" w:rsidRPr="0092670C">
        <w:rPr>
          <w:rFonts w:ascii="Arial" w:hAnsi="Arial" w:cs="Arial"/>
        </w:rPr>
        <w:t xml:space="preserve">ose changes. </w:t>
      </w:r>
      <w:r w:rsidR="007328D0" w:rsidRPr="0092670C">
        <w:rPr>
          <w:rFonts w:ascii="Arial" w:hAnsi="Arial" w:cs="Arial"/>
        </w:rPr>
        <w:t xml:space="preserve">It also leaves a framework for </w:t>
      </w:r>
      <w:r w:rsidR="009E3365" w:rsidRPr="0092670C">
        <w:rPr>
          <w:rFonts w:ascii="Arial" w:hAnsi="Arial" w:cs="Arial"/>
        </w:rPr>
        <w:t xml:space="preserve">how to optimise pre-lithiation </w:t>
      </w:r>
      <w:r w:rsidR="004B2DF3" w:rsidRPr="0092670C">
        <w:rPr>
          <w:rFonts w:ascii="Arial" w:hAnsi="Arial" w:cs="Arial"/>
        </w:rPr>
        <w:t xml:space="preserve">of both high and low </w:t>
      </w:r>
      <w:r w:rsidR="00096117" w:rsidRPr="0092670C">
        <w:rPr>
          <w:rFonts w:ascii="Arial" w:hAnsi="Arial" w:cs="Arial"/>
        </w:rPr>
        <w:t xml:space="preserve">Si content </w:t>
      </w:r>
      <w:r w:rsidR="0092578C" w:rsidRPr="0092670C">
        <w:rPr>
          <w:rFonts w:ascii="Arial" w:hAnsi="Arial" w:cs="Arial"/>
        </w:rPr>
        <w:t>electrodes.</w:t>
      </w:r>
    </w:p>
    <w:p w14:paraId="5AD5DF90" w14:textId="77777777" w:rsidR="002C6746" w:rsidRPr="0092670C" w:rsidRDefault="002C6746" w:rsidP="002C6746">
      <w:pPr>
        <w:rPr>
          <w:rFonts w:ascii="Arial" w:hAnsi="Arial" w:cs="Arial"/>
        </w:rPr>
      </w:pPr>
    </w:p>
    <w:p w14:paraId="0743DADD" w14:textId="77777777" w:rsidR="002C6746" w:rsidRPr="0092670C" w:rsidRDefault="002C6746" w:rsidP="002C6746">
      <w:pPr>
        <w:rPr>
          <w:rFonts w:ascii="Arial" w:hAnsi="Arial" w:cs="Arial"/>
        </w:rPr>
      </w:pPr>
    </w:p>
    <w:p w14:paraId="4048A429" w14:textId="48DDFD1B" w:rsidR="002C6746" w:rsidRPr="0092670C" w:rsidRDefault="002C6746" w:rsidP="002C6746">
      <w:pPr>
        <w:rPr>
          <w:rFonts w:ascii="Arial" w:hAnsi="Arial" w:cs="Arial"/>
        </w:rPr>
      </w:pPr>
      <w:r w:rsidRPr="0092670C">
        <w:rPr>
          <w:rFonts w:ascii="Arial" w:hAnsi="Arial" w:cs="Arial"/>
        </w:rPr>
        <w:br w:type="page"/>
      </w:r>
    </w:p>
    <w:p w14:paraId="1716A3E0" w14:textId="77777777" w:rsidR="00A93DD5" w:rsidRPr="0092670C" w:rsidRDefault="00A93DD5" w:rsidP="00852991">
      <w:pPr>
        <w:pStyle w:val="Heading2"/>
        <w:rPr>
          <w:rFonts w:ascii="Arial" w:hAnsi="Arial" w:cs="Arial"/>
          <w:b/>
        </w:rPr>
      </w:pPr>
      <w:bookmarkStart w:id="226" w:name="_Ref27047920"/>
      <w:bookmarkStart w:id="227" w:name="_Ref27047928"/>
      <w:bookmarkStart w:id="228" w:name="_Toc82538779"/>
      <w:r w:rsidRPr="0092670C">
        <w:rPr>
          <w:rFonts w:ascii="Arial" w:hAnsi="Arial" w:cs="Arial"/>
        </w:rPr>
        <w:t>Si</w:t>
      </w:r>
      <w:r w:rsidRPr="0092670C">
        <w:rPr>
          <w:rFonts w:ascii="Arial" w:hAnsi="Arial" w:cs="Arial"/>
          <w:b/>
        </w:rPr>
        <w:t xml:space="preserve"> </w:t>
      </w:r>
      <w:r w:rsidRPr="0092670C">
        <w:rPr>
          <w:rFonts w:ascii="Arial" w:hAnsi="Arial" w:cs="Arial"/>
        </w:rPr>
        <w:t>Anodes</w:t>
      </w:r>
      <w:bookmarkEnd w:id="226"/>
      <w:bookmarkEnd w:id="227"/>
      <w:bookmarkEnd w:id="228"/>
    </w:p>
    <w:p w14:paraId="5A997974" w14:textId="417D4E48" w:rsidR="00A93DD5" w:rsidRPr="0092670C" w:rsidRDefault="00A93DD5" w:rsidP="00A93DD5">
      <w:pPr>
        <w:spacing w:line="360" w:lineRule="auto"/>
        <w:jc w:val="both"/>
        <w:rPr>
          <w:rFonts w:ascii="Arial" w:hAnsi="Arial" w:cs="Arial"/>
        </w:rPr>
      </w:pPr>
      <w:r w:rsidRPr="0092670C">
        <w:rPr>
          <w:rFonts w:ascii="Arial" w:hAnsi="Arial" w:cs="Arial"/>
        </w:rPr>
        <w:t>Si anodes have been the subject of intense research due to their high theoretical capacity (</w:t>
      </w:r>
      <w:r w:rsidR="00E95355">
        <w:rPr>
          <w:rFonts w:ascii="Arial" w:hAnsi="Arial" w:cs="Arial"/>
        </w:rPr>
        <w:t>3579</w:t>
      </w:r>
      <w:r w:rsidR="001F66C1">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and low potential Vs. Li/Li</w:t>
      </w:r>
      <w:r w:rsidRPr="0092670C">
        <w:rPr>
          <w:rFonts w:ascii="Arial" w:hAnsi="Arial" w:cs="Arial"/>
          <w:vertAlign w:val="superscript"/>
        </w:rPr>
        <w:t>+</w:t>
      </w:r>
      <w:r w:rsidR="009D5925">
        <w:rPr>
          <w:rFonts w:ascii="Arial" w:hAnsi="Arial" w:cs="Arial"/>
        </w:rPr>
        <w:t xml:space="preserve"> </w:t>
      </w:r>
      <w:r w:rsidR="009D5925">
        <w:rPr>
          <w:rFonts w:ascii="Arial" w:hAnsi="Arial" w:cs="Arial"/>
        </w:rPr>
        <w:fldChar w:fldCharType="begin"/>
      </w:r>
      <w:r w:rsidR="004F0EC3">
        <w:rPr>
          <w:rFonts w:ascii="Arial" w:hAnsi="Arial" w:cs="Arial"/>
        </w:rPr>
        <w:instrText xml:space="preserve"> ADDIN EN.CITE &lt;EndNote&gt;&lt;Cite&gt;&lt;Author&gt;Obrovac&lt;/Author&gt;&lt;Year&gt;2007&lt;/Year&gt;&lt;RecNum&gt;7&lt;/RecNum&gt;&lt;DisplayText&gt;[9]&lt;/DisplayText&gt;&lt;record&gt;&lt;rec-number&gt;7&lt;/rec-number&gt;&lt;foreign-keys&gt;&lt;key app="EN" db-id="s90w2xrvxpdeevezztipsv0rrexvavv0swpa" timestamp="1631727852"&gt;7&lt;/key&gt;&lt;/foreign-keys&gt;&lt;ref-type name="Journal Article"&gt;17&lt;/ref-type&gt;&lt;contributors&gt;&lt;authors&gt;&lt;author&gt;Obrovac, M. N.&lt;/author&gt;&lt;author&gt;Krause, L. J.&lt;/author&gt;&lt;/authors&gt;&lt;/contributors&gt;&lt;titles&gt;&lt;title&gt;Reversible Cycling of Crystalline Silicon Powder&lt;/title&gt;&lt;secondary-title&gt;Journal of The Electrochemical Society&lt;/secondary-title&gt;&lt;/titles&gt;&lt;pages&gt;A103&lt;/pages&gt;&lt;volume&gt;154&lt;/volume&gt;&lt;number&gt;2&lt;/number&gt;&lt;dates&gt;&lt;year&gt;2007&lt;/year&gt;&lt;/dates&gt;&lt;publisher&gt;The Electrochemical Society&lt;/publisher&gt;&lt;isbn&gt;0013-4651&lt;/isbn&gt;&lt;urls&gt;&lt;related-urls&gt;&lt;url&gt;http://dx.doi.org/10.1149/1.2402112&lt;/url&gt;&lt;/related-urls&gt;&lt;/urls&gt;&lt;electronic-resource-num&gt;10.1149/1.2402112&lt;/electronic-resource-num&gt;&lt;/record&gt;&lt;/Cite&gt;&lt;/EndNote&gt;</w:instrText>
      </w:r>
      <w:r w:rsidR="009D5925">
        <w:rPr>
          <w:rFonts w:ascii="Arial" w:hAnsi="Arial" w:cs="Arial"/>
        </w:rPr>
        <w:fldChar w:fldCharType="separate"/>
      </w:r>
      <w:r w:rsidR="004F0EC3">
        <w:rPr>
          <w:rFonts w:ascii="Arial" w:hAnsi="Arial" w:cs="Arial"/>
          <w:noProof/>
        </w:rPr>
        <w:t>[9]</w:t>
      </w:r>
      <w:r w:rsidR="009D5925">
        <w:rPr>
          <w:rFonts w:ascii="Arial" w:hAnsi="Arial" w:cs="Arial"/>
        </w:rPr>
        <w:fldChar w:fldCharType="end"/>
      </w:r>
      <w:r w:rsidRPr="0092670C">
        <w:rPr>
          <w:rFonts w:ascii="Arial" w:hAnsi="Arial" w:cs="Arial"/>
        </w:rPr>
        <w:t>. Si has been used as an additive to current graphite anodes to increase capacity although currently it is only a small part of the total anode active material</w:t>
      </w:r>
      <w:r w:rsidR="00793E5A">
        <w:rPr>
          <w:rFonts w:ascii="Arial" w:hAnsi="Arial" w:cs="Arial"/>
        </w:rPr>
        <w:t xml:space="preserve"> (&lt;5%)</w:t>
      </w:r>
      <w:r w:rsidR="005B1F88" w:rsidRPr="0092670C">
        <w:rPr>
          <w:rFonts w:ascii="Arial" w:hAnsi="Arial" w:cs="Arial"/>
        </w:rPr>
        <w:t xml:space="preserve"> </w:t>
      </w:r>
      <w:r w:rsidRPr="0092670C">
        <w:rPr>
          <w:rFonts w:ascii="Arial" w:hAnsi="Arial" w:cs="Arial"/>
        </w:rPr>
        <w:fldChar w:fldCharType="begin"/>
      </w:r>
      <w:r w:rsidR="004F0EC3">
        <w:rPr>
          <w:rFonts w:ascii="Arial" w:hAnsi="Arial" w:cs="Arial"/>
        </w:rPr>
        <w:instrText xml:space="preserve"> ADDIN EN.CITE &lt;EndNote&gt;&lt;Cite&gt;&lt;Author&gt;Wang&lt;/Author&gt;&lt;Year&gt;2015&lt;/Year&gt;&lt;RecNum&gt;198&lt;/RecNum&gt;&lt;DisplayText&gt;[10]&lt;/DisplayText&gt;&lt;record&gt;&lt;rec-number&gt;198&lt;/rec-number&gt;&lt;foreign-keys&gt;&lt;key app="EN" db-id="5sa9s0e0r0d9fnexra7pr5xdwd5ztevx95s2" timestamp="1552480974"&gt;198&lt;/key&gt;&lt;/foreign-keys&gt;&lt;ref-type name="Web Page"&gt;12&lt;/ref-type&gt;&lt;contributors&gt;&lt;authors&gt;&lt;author&gt;Ucilia Wang&lt;/author&gt;&lt;/authors&gt;&lt;/contributors&gt;&lt;titles&gt;&lt;title&gt;Why Tesla Rolls Out Better EV Batteries&lt;/title&gt;&lt;/titles&gt;&lt;volume&gt;2019&lt;/volume&gt;&lt;number&gt;13/03/19&lt;/number&gt;&lt;dates&gt;&lt;year&gt;2015&lt;/year&gt;&lt;/dates&gt;&lt;pub-location&gt;https://www.forbes.com/sites/uciliawang/2015/07/17/why-tesla-rolls-out-better-ev-batteries/#65d09e981dca&lt;/pub-location&gt;&lt;publisher&gt;Forbes&lt;/publisher&gt;&lt;urls&gt;&lt;related-urls&gt;&lt;url&gt;https://www.forbes.com/sites/uciliawang/2015/07/17/why-tesla-rolls-out-better-ev-batteries/#65d09e981dca&lt;/url&gt;&lt;/related-urls&gt;&lt;/urls&gt;&lt;language&gt;English&lt;/language&gt;&lt;/record&gt;&lt;/Cite&gt;&lt;/EndNote&gt;</w:instrText>
      </w:r>
      <w:r w:rsidRPr="0092670C">
        <w:rPr>
          <w:rFonts w:ascii="Arial" w:hAnsi="Arial" w:cs="Arial"/>
        </w:rPr>
        <w:fldChar w:fldCharType="separate"/>
      </w:r>
      <w:r w:rsidR="004F0EC3">
        <w:rPr>
          <w:rFonts w:ascii="Arial" w:hAnsi="Arial" w:cs="Arial"/>
          <w:noProof/>
        </w:rPr>
        <w:t>[10]</w:t>
      </w:r>
      <w:r w:rsidRPr="0092670C">
        <w:rPr>
          <w:rFonts w:ascii="Arial" w:hAnsi="Arial" w:cs="Arial"/>
        </w:rPr>
        <w:fldChar w:fldCharType="end"/>
      </w:r>
      <w:r w:rsidRPr="0092670C">
        <w:rPr>
          <w:rFonts w:ascii="Arial" w:hAnsi="Arial" w:cs="Arial"/>
        </w:rPr>
        <w:t>. Si-based electrodes with higher Si content still aren’t commercially available due to the large volume change that accompanies Si lithiation</w:t>
      </w:r>
      <w:r w:rsidR="00346405" w:rsidRPr="0092670C">
        <w:rPr>
          <w:rFonts w:ascii="Arial" w:hAnsi="Arial" w:cs="Arial"/>
        </w:rPr>
        <w:t xml:space="preserve"> </w:t>
      </w:r>
      <w:r w:rsidRPr="0092670C">
        <w:rPr>
          <w:rFonts w:ascii="Arial" w:hAnsi="Arial" w:cs="Arial"/>
        </w:rPr>
        <w:fldChar w:fldCharType="begin">
          <w:fldData xml:space="preserve">PEVuZE5vdGU+PENpdGU+PEF1dGhvcj5aaGFuZzwvQXV0aG9yPjxZZWFyPjIwMTE8L1llYXI+PFJl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=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PEVuZE5vdGU+PENpdGU+PEF1dGhvcj5aaGFuZzwvQXV0aG9yPjxZZWFyPjIwMTE8L1llYXI+PFJl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=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[231, 232]</w:t>
      </w:r>
      <w:r w:rsidRPr="0092670C">
        <w:rPr>
          <w:rFonts w:ascii="Arial" w:hAnsi="Arial" w:cs="Arial"/>
        </w:rPr>
        <w:fldChar w:fldCharType="end"/>
      </w:r>
      <w:r w:rsidRPr="0092670C">
        <w:rPr>
          <w:rFonts w:ascii="Arial" w:hAnsi="Arial" w:cs="Arial"/>
        </w:rPr>
        <w:t xml:space="preserve">. This volume change causes several problems when creating an electrode. The first of these is the space required to accommodate this change. Batteries are typically tightly packed to maximise the energy density, and this limits the space available for electrode expansion. The second problem is the physical stress that this stress has upon the system. The third is due to the volume change destroying the SEI. This leads to constant SEI formation. </w:t>
      </w:r>
    </w:p>
    <w:p w14:paraId="4CD53001" w14:textId="127DD6B8" w:rsidR="00A93DD5" w:rsidRPr="0092670C" w:rsidRDefault="006C751C" w:rsidP="00585F93">
      <w:pPr>
        <w:pStyle w:val="Heading3"/>
        <w:rPr>
          <w:rFonts w:ascii="Arial" w:hAnsi="Arial" w:cs="Arial"/>
        </w:rPr>
      </w:pPr>
      <w:r>
        <w:rPr>
          <w:rFonts w:ascii="Arial" w:hAnsi="Arial" w:cs="Arial"/>
        </w:rPr>
        <w:t xml:space="preserve">  </w:t>
      </w:r>
      <w:bookmarkStart w:id="229" w:name="_Toc82538780"/>
      <w:r w:rsidR="00A93DD5" w:rsidRPr="0092670C">
        <w:rPr>
          <w:rFonts w:ascii="Arial" w:hAnsi="Arial" w:cs="Arial"/>
        </w:rPr>
        <w:t>1</w:t>
      </w:r>
      <w:r w:rsidR="00A93DD5" w:rsidRPr="0092670C">
        <w:rPr>
          <w:rFonts w:ascii="Arial" w:hAnsi="Arial" w:cs="Arial"/>
          <w:vertAlign w:val="superscript"/>
        </w:rPr>
        <w:t>st</w:t>
      </w:r>
      <w:r w:rsidR="00A93DD5" w:rsidRPr="0092670C">
        <w:rPr>
          <w:rFonts w:ascii="Arial" w:hAnsi="Arial" w:cs="Arial"/>
        </w:rPr>
        <w:t xml:space="preserve"> problem: Expanding into the unexpandable</w:t>
      </w:r>
      <w:bookmarkEnd w:id="229"/>
    </w:p>
    <w:p w14:paraId="299F808A" w14:textId="51C99AA9" w:rsidR="00A93DD5" w:rsidRDefault="00A93DD5" w:rsidP="00A93DD5">
      <w:pPr>
        <w:tabs>
          <w:tab w:val="left" w:pos="2670"/>
        </w:tabs>
        <w:spacing w:line="360" w:lineRule="auto"/>
        <w:jc w:val="both"/>
        <w:rPr>
          <w:rFonts w:ascii="Arial" w:hAnsi="Arial" w:cs="Arial"/>
        </w:rPr>
      </w:pPr>
      <w:r w:rsidRPr="0092670C">
        <w:rPr>
          <w:rFonts w:ascii="Arial" w:hAnsi="Arial" w:cs="Arial"/>
        </w:rPr>
        <w:t>Current commercial Li ion cells are based upon thin electrodes applied to both sides of the current collector. These electrodes are separated by thin polymer sheets with the minimum amount of electrolyte required being used. This is all to maximise the energy density of the cell. This also leaves little space in modern cells for electrode expansion. This poses a problem for Si based anodes due to the large expansion they suffer from during lithiation. This means that either the amount of the lithiation has to be reduced or novel ways have to be created that limit the volume change. Currently the economies of scale that have been achieved with modern battery cell design mean that there is a significant barrier to changing it</w:t>
      </w:r>
      <w:r w:rsidR="00EF009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&lt;EndNote&gt;&lt;Cite&gt;&lt;Author&gt;Curry&lt;/Author&gt;&lt;Year&gt;2017&lt;/Year&gt;&lt;RecNum&gt;155&lt;/RecNum&gt;&lt;DisplayText&gt;[233]&lt;/DisplayText&gt;&lt;record&gt;&lt;rec-number&gt;155&lt;/rec-number&gt;&lt;foreign-keys&gt;&lt;key app="EN" db-id="5sa9s0e0r0d9fnexra7pr5xdwd5ztevx95s2" timestamp="1538044617"&gt;155&lt;/key&gt;&lt;/foreign-keys&gt;&lt;ref-type name="Journal Article"&gt;17&lt;/ref-type&gt;&lt;contributors&gt;&lt;authors&gt;&lt;author&gt;Curry, Claire&lt;/author&gt;&lt;/authors&gt;&lt;/contributors&gt;&lt;titles&gt;&lt;title&gt;Lithium-ion battery costs and market&lt;/title&gt;&lt;secondary-title&gt;Bloomberg New Energy Finance, June&lt;/secondary-title&gt;&lt;/titles&gt;&lt;periodical&gt;&lt;full-title&gt;Bloomberg New Energy Finance, June&lt;/full-title&gt;&lt;/periodical&gt;&lt;dates&gt;&lt;year&gt;2017&lt;/year&gt;&lt;/dates&gt;&lt;urls&gt;&lt;/urls&gt;&lt;/record&gt;&lt;/Cite&gt;&lt;/EndNote&gt;</w:instrText>
      </w:r>
      <w:r w:rsidRPr="0092670C">
        <w:rPr>
          <w:rFonts w:ascii="Arial" w:hAnsi="Arial" w:cs="Arial"/>
        </w:rPr>
        <w:fldChar w:fldCharType="separate"/>
      </w:r>
      <w:r w:rsidR="0034337D">
        <w:rPr>
          <w:rFonts w:ascii="Arial" w:hAnsi="Arial" w:cs="Arial"/>
          <w:noProof/>
        </w:rPr>
        <w:t>[233]</w:t>
      </w:r>
      <w:r w:rsidRPr="0092670C">
        <w:rPr>
          <w:rFonts w:ascii="Arial" w:hAnsi="Arial" w:cs="Arial"/>
        </w:rPr>
        <w:fldChar w:fldCharType="end"/>
      </w:r>
      <w:r w:rsidRPr="0092670C">
        <w:rPr>
          <w:rFonts w:ascii="Arial" w:hAnsi="Arial" w:cs="Arial"/>
        </w:rPr>
        <w:t>.</w:t>
      </w:r>
    </w:p>
    <w:p w14:paraId="209C7B64" w14:textId="77777777" w:rsidR="00CB773E" w:rsidRDefault="001E4B5A" w:rsidP="00CB773E">
      <w:pPr>
        <w:keepNext/>
        <w:tabs>
          <w:tab w:val="left" w:pos="2670"/>
        </w:tabs>
        <w:spacing w:line="360" w:lineRule="auto"/>
        <w:jc w:val="center"/>
      </w:pPr>
      <w:r>
        <w:rPr>
          <w:noProof/>
        </w:rPr>
        <w:drawing>
          <wp:inline distT="0" distB="0" distL="0" distR="0" wp14:anchorId="654CE2E6" wp14:editId="51A97D3A">
            <wp:extent cx="3573780" cy="7094220"/>
            <wp:effectExtent l="0" t="0" r="7620" b="0"/>
            <wp:docPr id="3101" name="Picture 310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Picture 3101" descr="Chart, line chart&#10;&#10;Description automatically generate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573780" cy="7094220"/>
                    </a:xfrm>
                    <a:prstGeom prst="rect">
                      <a:avLst/>
                    </a:prstGeom>
                    <a:noFill/>
                    <a:ln>
                      <a:noFill/>
                    </a:ln>
                  </pic:spPr>
                </pic:pic>
              </a:graphicData>
            </a:graphic>
          </wp:inline>
        </w:drawing>
      </w:r>
    </w:p>
    <w:p w14:paraId="520E7982" w14:textId="649FBF92" w:rsidR="001F49AE" w:rsidRPr="00CB773E" w:rsidRDefault="00CB773E" w:rsidP="00CB773E">
      <w:pPr>
        <w:pStyle w:val="Caption"/>
        <w:jc w:val="center"/>
        <w:rPr>
          <w:rFonts w:ascii="Arial" w:hAnsi="Arial" w:cs="Arial"/>
          <w:sz w:val="20"/>
          <w:szCs w:val="20"/>
        </w:rPr>
      </w:pPr>
      <w:r w:rsidRPr="00CB773E">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r w:rsidRPr="00CB773E">
        <w:rPr>
          <w:rFonts w:ascii="Arial" w:hAnsi="Arial" w:cs="Arial"/>
          <w:sz w:val="20"/>
          <w:szCs w:val="20"/>
        </w:rPr>
        <w:t>: (a) increase in volumetric density for both the anode and total cell with increasing gravimetric content and (b) The impact of increasing Si content on anode density</w:t>
      </w:r>
    </w:p>
    <w:p w14:paraId="4D229D74" w14:textId="0CBD9DA9" w:rsidR="001E4B5A" w:rsidRPr="0092670C" w:rsidRDefault="001C0018" w:rsidP="00A93DD5">
      <w:pPr>
        <w:tabs>
          <w:tab w:val="left" w:pos="2670"/>
        </w:tabs>
        <w:spacing w:line="360" w:lineRule="auto"/>
        <w:jc w:val="both"/>
        <w:rPr>
          <w:rFonts w:ascii="Arial" w:hAnsi="Arial" w:cs="Arial"/>
        </w:rPr>
      </w:pPr>
      <w:r>
        <w:rPr>
          <w:rFonts w:ascii="Arial" w:hAnsi="Arial" w:cs="Arial"/>
        </w:rPr>
        <w:t xml:space="preserve">Work by Copley </w:t>
      </w:r>
      <w:r w:rsidR="00FF7799">
        <w:rPr>
          <w:rFonts w:ascii="Arial" w:hAnsi="Arial" w:cs="Arial"/>
        </w:rPr>
        <w:t>and co-workers</w:t>
      </w:r>
      <w:r>
        <w:rPr>
          <w:rFonts w:ascii="Arial" w:hAnsi="Arial" w:cs="Arial"/>
        </w:rPr>
        <w:t xml:space="preserve"> found that </w:t>
      </w:r>
      <w:r w:rsidR="008F2EC6">
        <w:rPr>
          <w:rFonts w:ascii="Arial" w:hAnsi="Arial" w:cs="Arial"/>
        </w:rPr>
        <w:t xml:space="preserve">the </w:t>
      </w:r>
      <w:r w:rsidR="00D807FE">
        <w:rPr>
          <w:rFonts w:ascii="Arial" w:hAnsi="Arial" w:cs="Arial"/>
        </w:rPr>
        <w:t xml:space="preserve">correlation between </w:t>
      </w:r>
      <w:r w:rsidR="00CF5266">
        <w:rPr>
          <w:rFonts w:ascii="Arial" w:hAnsi="Arial" w:cs="Arial"/>
        </w:rPr>
        <w:t xml:space="preserve">gravimetric and volumetric density is not linear due to the </w:t>
      </w:r>
      <w:r w:rsidR="00400457">
        <w:rPr>
          <w:rFonts w:ascii="Arial" w:hAnsi="Arial" w:cs="Arial"/>
        </w:rPr>
        <w:t xml:space="preserve">increased </w:t>
      </w:r>
      <w:r w:rsidR="0065613D">
        <w:rPr>
          <w:rFonts w:ascii="Arial" w:hAnsi="Arial" w:cs="Arial"/>
        </w:rPr>
        <w:t xml:space="preserve">porosity required with Si </w:t>
      </w:r>
      <w:r w:rsidR="008F0E58">
        <w:rPr>
          <w:rFonts w:ascii="Arial" w:hAnsi="Arial" w:cs="Arial"/>
        </w:rPr>
        <w:t xml:space="preserve">anodes </w:t>
      </w:r>
      <w:r w:rsidR="008F0E58">
        <w:rPr>
          <w:rFonts w:ascii="Arial" w:hAnsi="Arial" w:cs="Arial"/>
        </w:rPr>
        <w:fldChar w:fldCharType="begin"/>
      </w:r>
      <w:r w:rsidR="0034337D">
        <w:rPr>
          <w:rFonts w:ascii="Arial" w:hAnsi="Arial" w:cs="Arial"/>
        </w:rPr>
        <w:instrText xml:space="preserve"> ADDIN EN.CITE &lt;EndNote&gt;&lt;Cite&gt;&lt;Author&gt;Armand&lt;/Author&gt;&lt;Year&gt;2020&lt;/Year&gt;&lt;RecNum&gt;365&lt;/RecNum&gt;&lt;DisplayText&gt;[234]&lt;/DisplayText&gt;&lt;record&gt;&lt;rec-number&gt;365&lt;/rec-number&gt;&lt;foreign-keys&gt;&lt;key app="EN" db-id="5sa9s0e0r0d9fnexra7pr5xdwd5ztevx95s2" timestamp="1630261649"&gt;365&lt;/key&gt;&lt;/foreign-keys&gt;&lt;ref-type name="Journal Article"&gt;17&lt;/ref-type&gt;&lt;contributors&gt;&lt;authors&gt;&lt;author&gt;Armand, Michel&lt;/author&gt;&lt;author&gt;Axmann, Peter&lt;/author&gt;&lt;author&gt;Bresser, Dominic&lt;/author&gt;&lt;author&gt;Copley, Mark&lt;/author&gt;&lt;author&gt;Edström, Kristina&lt;/author&gt;&lt;author&gt;Ekberg, Christian&lt;/author&gt;&lt;author&gt;Guyomard, Dominique&lt;/author&gt;&lt;author&gt;Lestriez, Bernard&lt;/author&gt;&lt;author&gt;Novák, Petr&lt;/author&gt;&lt;author&gt;Petranikova, Martina&lt;/author&gt;&lt;author&gt;Porcher, Willy&lt;/author&gt;&lt;author&gt;Trabesinger, Sigita&lt;/author&gt;&lt;author&gt;Wohlfahrt-Mehrens, Margret&lt;/author&gt;&lt;author&gt;Zhang, Heng&lt;/author&gt;&lt;/authors&gt;&lt;/contributors&gt;&lt;titles&gt;&lt;title&gt;Lithium-ion batteries – Current state of the art and anticipated developments&lt;/title&gt;&lt;secondary-title&gt;Journal of Power Sources&lt;/secondary-title&gt;&lt;/titles&gt;&lt;periodical&gt;&lt;full-title&gt;Journal of Power Sources&lt;/full-title&gt;&lt;/periodical&gt;&lt;pages&gt;228708&lt;/pages&gt;&lt;volume&gt;479&lt;/volume&gt;&lt;keywords&gt;&lt;keyword&gt;Anode&lt;/keyword&gt;&lt;keyword&gt;Cathode&lt;/keyword&gt;&lt;keyword&gt;Electrolyte&lt;/keyword&gt;&lt;keyword&gt;Processing&lt;/keyword&gt;&lt;keyword&gt;Recycling&lt;/keyword&gt;&lt;keyword&gt;Lithium-ion battery&lt;/keyword&gt;&lt;/keywords&gt;&lt;dates&gt;&lt;year&gt;2020&lt;/year&gt;&lt;pub-dates&gt;&lt;date&gt;2020/12/15/&lt;/date&gt;&lt;/pub-dates&gt;&lt;/dates&gt;&lt;isbn&gt;0378-7753&lt;/isbn&gt;&lt;urls&gt;&lt;related-urls&gt;&lt;url&gt;https://www.sciencedirect.com/science/article/pii/S0378775320310120&lt;/url&gt;&lt;/related-urls&gt;&lt;/urls&gt;&lt;electronic-resource-num&gt;https://doi.org/10.1016/j.jpowsour.2020.228708&lt;/electronic-resource-num&gt;&lt;/record&gt;&lt;/Cite&gt;&lt;/EndNote&gt;</w:instrText>
      </w:r>
      <w:r w:rsidR="008F0E58">
        <w:rPr>
          <w:rFonts w:ascii="Arial" w:hAnsi="Arial" w:cs="Arial"/>
        </w:rPr>
        <w:fldChar w:fldCharType="separate"/>
      </w:r>
      <w:r w:rsidR="0034337D">
        <w:rPr>
          <w:rFonts w:ascii="Arial" w:hAnsi="Arial" w:cs="Arial"/>
          <w:noProof/>
        </w:rPr>
        <w:t>[234]</w:t>
      </w:r>
      <w:r w:rsidR="008F0E58">
        <w:rPr>
          <w:rFonts w:ascii="Arial" w:hAnsi="Arial" w:cs="Arial"/>
        </w:rPr>
        <w:fldChar w:fldCharType="end"/>
      </w:r>
      <w:r w:rsidR="008F0E58">
        <w:rPr>
          <w:rFonts w:ascii="Arial" w:hAnsi="Arial" w:cs="Arial"/>
        </w:rPr>
        <w:t>.</w:t>
      </w:r>
      <w:r w:rsidR="008235C8">
        <w:rPr>
          <w:rFonts w:ascii="Arial" w:hAnsi="Arial" w:cs="Arial"/>
        </w:rPr>
        <w:t xml:space="preserve"> </w:t>
      </w:r>
      <w:r w:rsidR="00AA1BA5">
        <w:rPr>
          <w:rFonts w:ascii="Arial" w:hAnsi="Arial" w:cs="Arial"/>
        </w:rPr>
        <w:t xml:space="preserve">This limits the </w:t>
      </w:r>
      <w:r w:rsidR="001E2CC3">
        <w:rPr>
          <w:rFonts w:ascii="Arial" w:hAnsi="Arial" w:cs="Arial"/>
        </w:rPr>
        <w:t xml:space="preserve">total volumetric capacity </w:t>
      </w:r>
      <w:r w:rsidR="009E1FE5">
        <w:rPr>
          <w:rFonts w:ascii="Arial" w:hAnsi="Arial" w:cs="Arial"/>
        </w:rPr>
        <w:t xml:space="preserve">of the cell </w:t>
      </w:r>
      <w:r w:rsidR="00CB773E">
        <w:rPr>
          <w:rFonts w:ascii="Arial" w:hAnsi="Arial" w:cs="Arial"/>
        </w:rPr>
        <w:t xml:space="preserve">to less than 40%, mainly as a result of non-anode components taking up the rest of the cell. </w:t>
      </w:r>
    </w:p>
    <w:p w14:paraId="671B3B97" w14:textId="30BB3DED" w:rsidR="00A93DD5" w:rsidRPr="0092670C" w:rsidRDefault="00A86139" w:rsidP="00585F93">
      <w:pPr>
        <w:pStyle w:val="Heading3"/>
        <w:rPr>
          <w:rFonts w:ascii="Arial" w:hAnsi="Arial" w:cs="Arial"/>
        </w:rPr>
      </w:pPr>
      <w:r>
        <w:rPr>
          <w:rFonts w:ascii="Arial" w:hAnsi="Arial" w:cs="Arial"/>
        </w:rPr>
        <w:t xml:space="preserve">   </w:t>
      </w:r>
      <w:bookmarkStart w:id="230" w:name="_Toc82538781"/>
      <w:r w:rsidR="00A93DD5" w:rsidRPr="0092670C">
        <w:rPr>
          <w:rFonts w:ascii="Arial" w:hAnsi="Arial" w:cs="Arial"/>
        </w:rPr>
        <w:t>2</w:t>
      </w:r>
      <w:r w:rsidR="00A93DD5" w:rsidRPr="0092670C">
        <w:rPr>
          <w:rFonts w:ascii="Arial" w:hAnsi="Arial" w:cs="Arial"/>
          <w:vertAlign w:val="superscript"/>
        </w:rPr>
        <w:t>nd</w:t>
      </w:r>
      <w:r w:rsidR="00A93DD5" w:rsidRPr="0092670C">
        <w:rPr>
          <w:rFonts w:ascii="Arial" w:hAnsi="Arial" w:cs="Arial"/>
        </w:rPr>
        <w:t xml:space="preserve"> problem: anode pulverisation</w:t>
      </w:r>
      <w:bookmarkEnd w:id="230"/>
    </w:p>
    <w:p w14:paraId="1AC9FED4" w14:textId="77777777" w:rsidR="00A93DD5" w:rsidRPr="0092670C" w:rsidRDefault="00A93DD5" w:rsidP="00A93DD5">
      <w:pPr>
        <w:tabs>
          <w:tab w:val="left" w:pos="2670"/>
        </w:tabs>
        <w:spacing w:line="360" w:lineRule="auto"/>
        <w:jc w:val="both"/>
        <w:rPr>
          <w:rFonts w:ascii="Arial" w:hAnsi="Arial" w:cs="Arial"/>
        </w:rPr>
      </w:pPr>
      <w:r w:rsidRPr="0092670C">
        <w:rPr>
          <w:rFonts w:ascii="Arial" w:hAnsi="Arial" w:cs="Arial"/>
        </w:rPr>
        <w:t xml:space="preserve">Arguably the biggest issue with Si anodes is the pulverisation of the active material as it expands/ contracts. This process results in parts of the anode that split off from the main part of the anode, as well as the anode partially delaminating from the current collector. This renders them electrochemically inactive, rapidly reducing the capacity of the anode. This problem is exacerbated by limited ion inventory of the cell. As the peripheral Si pieces break away during the expansion so too does some of the Li in the system. This in turn depletes the already low Li inventory, resulting in excess capacity loss. </w:t>
      </w:r>
    </w:p>
    <w:p w14:paraId="31730FA5" w14:textId="7D805D1B" w:rsidR="00BA5104" w:rsidRPr="0092670C" w:rsidRDefault="00A93DD5" w:rsidP="00A93DD5">
      <w:pPr>
        <w:tabs>
          <w:tab w:val="left" w:pos="2670"/>
        </w:tabs>
        <w:spacing w:line="360" w:lineRule="auto"/>
        <w:jc w:val="both"/>
        <w:rPr>
          <w:rFonts w:ascii="Arial" w:hAnsi="Arial" w:cs="Arial"/>
        </w:rPr>
      </w:pPr>
      <w:r w:rsidRPr="0092670C">
        <w:rPr>
          <w:rFonts w:ascii="Arial" w:hAnsi="Arial" w:cs="Arial"/>
        </w:rPr>
        <w:t>To overcome this several researchers have created novel techniques to reduce or even completely eliminate the pulverisation effect. One of the most common methods to reduce the effect of anode pulverisation is the use of nanotubes, both carbon and silicon to improve the performance. The use of carbon nanotubes has mainly been as a framework for absorbing the Si expansion and conducting electricity in the anode</w:t>
      </w:r>
      <w:r w:rsidR="00F75680"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&lt;EndNote&gt;&lt;Cite&gt;&lt;Author&gt;Kim&lt;/Author&gt;&lt;Year&gt;2006&lt;/Year&gt;&lt;RecNum&gt;199&lt;/RecNum&gt;&lt;DisplayText&gt;[235]&lt;/DisplayText&gt;&lt;record&gt;&lt;rec-number&gt;199&lt;/rec-number&gt;&lt;foreign-keys&gt;&lt;key app="EN" db-id="5sa9s0e0r0d9fnexra7pr5xdwd5ztevx95s2" timestamp="1552489895"&gt;199&lt;/key&gt;&lt;/foreign-keys&gt;&lt;ref-type name="Journal Article"&gt;17&lt;/ref-type&gt;&lt;contributors&gt;&lt;authors&gt;&lt;author&gt;Kim, Taeahn&lt;/author&gt;&lt;author&gt;Mo, Y. H.&lt;/author&gt;&lt;author&gt;Nahm, K. S.&lt;/author&gt;&lt;author&gt;Oh, Seung M.&lt;/author&gt;&lt;/authors&gt;&lt;/contributors&gt;&lt;titles&gt;&lt;title&gt;Carbon nanotubes (CNTs) as a buffer layer in silicon/CNTs composite electrodes for lithium secondary batteries&lt;/title&gt;&lt;secondary-title&gt;Journal of Power Sources&lt;/secondary-title&gt;&lt;/titles&gt;&lt;periodical&gt;&lt;full-title&gt;Journal of Power Sources&lt;/full-title&gt;&lt;/periodical&gt;&lt;pages&gt;1275-1281&lt;/pages&gt;&lt;volume&gt;162&lt;/volume&gt;&lt;number&gt;2&lt;/number&gt;&lt;keywords&gt;&lt;keyword&gt;Lithium secondary batteries&lt;/keyword&gt;&lt;keyword&gt;Silicon negative electrode&lt;/keyword&gt;&lt;keyword&gt;Carbon nanotubes&lt;/keyword&gt;&lt;keyword&gt;Chemical vapour deposition&lt;/keyword&gt;&lt;keyword&gt;Electroless deposition&lt;/keyword&gt;&lt;keyword&gt;Conductive buffering&lt;/keyword&gt;&lt;/keywords&gt;&lt;dates&gt;&lt;year&gt;2006&lt;/year&gt;&lt;pub-dates&gt;&lt;date&gt;2006/11/22/&lt;/date&gt;&lt;/pub-dates&gt;&lt;/dates&gt;&lt;isbn&gt;0378-7753&lt;/isbn&gt;&lt;urls&gt;&lt;related-urls&gt;&lt;url&gt;http://www.sciencedirect.com/science/article/pii/S0378775306014194&lt;/url&gt;&lt;/related-urls&gt;&lt;/urls&gt;&lt;electronic-resource-num&gt;https://doi.org/10.1016/j.jpowsour.2006.07.062&lt;/electronic-resource-num&gt;&lt;/record&gt;&lt;/Cite&gt;&lt;/EndNote&gt;</w:instrText>
      </w:r>
      <w:r w:rsidRPr="0092670C">
        <w:rPr>
          <w:rFonts w:ascii="Arial" w:hAnsi="Arial" w:cs="Arial"/>
        </w:rPr>
        <w:fldChar w:fldCharType="separate"/>
      </w:r>
      <w:r w:rsidR="0034337D">
        <w:rPr>
          <w:rFonts w:ascii="Arial" w:hAnsi="Arial" w:cs="Arial"/>
          <w:noProof/>
        </w:rPr>
        <w:t>[235]</w:t>
      </w:r>
      <w:r w:rsidRPr="0092670C">
        <w:rPr>
          <w:rFonts w:ascii="Arial" w:hAnsi="Arial" w:cs="Arial"/>
        </w:rPr>
        <w:fldChar w:fldCharType="end"/>
      </w:r>
      <w:r w:rsidRPr="0092670C">
        <w:rPr>
          <w:rFonts w:ascii="Arial" w:hAnsi="Arial" w:cs="Arial"/>
        </w:rPr>
        <w:t xml:space="preserve">. With Si nanotubes the mechanism is very different. The basic premise is that the hole in the tube acts as a pore that the Si is allowed to expand into.    </w:t>
      </w:r>
    </w:p>
    <w:p w14:paraId="560FDE8E" w14:textId="40AB279E" w:rsidR="0014549D" w:rsidRDefault="00A93DD5" w:rsidP="00A93DD5">
      <w:pPr>
        <w:tabs>
          <w:tab w:val="left" w:pos="2670"/>
        </w:tabs>
        <w:spacing w:line="360" w:lineRule="auto"/>
        <w:jc w:val="both"/>
        <w:rPr>
          <w:rFonts w:ascii="Arial" w:hAnsi="Arial" w:cs="Arial"/>
        </w:rPr>
      </w:pPr>
      <w:r w:rsidRPr="0092670C">
        <w:rPr>
          <w:rFonts w:ascii="Arial" w:hAnsi="Arial" w:cs="Arial"/>
        </w:rPr>
        <w:t xml:space="preserve">One of these was devised by Choi </w:t>
      </w:r>
      <w:r w:rsidRPr="00245AB0">
        <w:rPr>
          <w:rFonts w:ascii="Arial" w:hAnsi="Arial" w:cs="Arial"/>
          <w:i/>
          <w:iCs/>
        </w:rPr>
        <w:t>et al.</w:t>
      </w:r>
      <w:r w:rsidRPr="0092670C">
        <w:rPr>
          <w:rFonts w:ascii="Arial" w:hAnsi="Arial" w:cs="Arial"/>
        </w:rPr>
        <w:t xml:space="preserve"> in 2017</w:t>
      </w:r>
      <w:r w:rsidR="00EF009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&lt;EndNote&gt;&lt;Cite&gt;&lt;Author&gt;Choi&lt;/Author&gt;&lt;Year&gt;2017&lt;/Year&gt;&lt;RecNum&gt;24&lt;/RecNum&gt;&lt;DisplayText&gt;[236]&lt;/DisplayText&gt;&lt;record&gt;&lt;rec-number&gt;24&lt;/rec-number&gt;&lt;foreign-keys&gt;&lt;key app="EN" db-id="5sa9s0e0r0d9fnexra7pr5xdwd5ztevx95s2" timestamp="1503325330"&gt;24&lt;/key&gt;&lt;/foreign-keys&gt;&lt;ref-type name="Journal Article"&gt;17&lt;/ref-type&gt;&lt;contributors&gt;&lt;authors&gt;&lt;author&gt;Choi, Sunghun&lt;/author&gt;&lt;author&gt;Kwon, Tae-woo&lt;/author&gt;&lt;author&gt;Coskun, Ali&lt;/author&gt;&lt;author&gt;Choi, Jang Wook&lt;/author&gt;&lt;/authors&gt;&lt;/contributors&gt;&lt;titles&gt;&lt;title&gt;Highly elastic binders integrating polyrotaxanes for silicon microparticle anodes in lithium ion batteries&lt;/title&gt;&lt;secondary-title&gt;Science&lt;/secondary-title&gt;&lt;/titles&gt;&lt;periodical&gt;&lt;full-title&gt;Science&lt;/full-title&gt;&lt;/periodical&gt;&lt;pages&gt;279-283&lt;/pages&gt;&lt;volume&gt;357&lt;/volume&gt;&lt;number&gt;6348&lt;/number&gt;&lt;dates&gt;&lt;year&gt;2017&lt;/year&gt;&lt;/dates&gt;&lt;urls&gt;&lt;/urls&gt;&lt;electronic-resource-num&gt;10.1126/science.aal4373&lt;/electronic-resource-num&gt;&lt;/record&gt;&lt;/Cite&gt;&lt;/EndNote&gt;</w:instrText>
      </w:r>
      <w:r w:rsidRPr="0092670C">
        <w:rPr>
          <w:rFonts w:ascii="Arial" w:hAnsi="Arial" w:cs="Arial"/>
        </w:rPr>
        <w:fldChar w:fldCharType="separate"/>
      </w:r>
      <w:r w:rsidR="0034337D">
        <w:rPr>
          <w:rFonts w:ascii="Arial" w:hAnsi="Arial" w:cs="Arial"/>
          <w:noProof/>
        </w:rPr>
        <w:t>[236]</w:t>
      </w:r>
      <w:r w:rsidRPr="0092670C">
        <w:rPr>
          <w:rFonts w:ascii="Arial" w:hAnsi="Arial" w:cs="Arial"/>
        </w:rPr>
        <w:fldChar w:fldCharType="end"/>
      </w:r>
      <w:r w:rsidRPr="0092670C">
        <w:rPr>
          <w:rFonts w:ascii="Arial" w:hAnsi="Arial" w:cs="Arial"/>
        </w:rPr>
        <w:t>. They used the polymer polyrotaxane that was chemically linked to the binder, polyacrylic acid. Polyrotaxane contains several polymer rings that surround a central polymer chain that has chemically capped ends meaning that that rings cannot leave. When Si is lithiated the polymer stretches keeping the Li particles together</w:t>
      </w:r>
      <w:r w:rsidR="004C0F1D">
        <w:rPr>
          <w:rFonts w:ascii="Arial" w:hAnsi="Arial" w:cs="Arial"/>
        </w:rPr>
        <w:t xml:space="preserve">, as seen in </w:t>
      </w:r>
      <w:r w:rsidR="004C0F1D" w:rsidRPr="004C0F1D">
        <w:rPr>
          <w:rFonts w:ascii="Arial" w:hAnsi="Arial" w:cs="Arial"/>
        </w:rPr>
        <w:fldChar w:fldCharType="begin"/>
      </w:r>
      <w:r w:rsidR="004C0F1D" w:rsidRPr="004C0F1D">
        <w:rPr>
          <w:rFonts w:ascii="Arial" w:hAnsi="Arial" w:cs="Arial"/>
        </w:rPr>
        <w:instrText xml:space="preserve"> REF _Ref42982041 \h  \* MERGEFORMAT </w:instrText>
      </w:r>
      <w:r w:rsidR="004C0F1D" w:rsidRPr="004C0F1D">
        <w:rPr>
          <w:rFonts w:ascii="Arial" w:hAnsi="Arial" w:cs="Arial"/>
        </w:rPr>
      </w:r>
      <w:r w:rsidR="004C0F1D" w:rsidRPr="004C0F1D">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2</w:t>
      </w:r>
      <w:r w:rsidR="004C0F1D" w:rsidRPr="004C0F1D">
        <w:rPr>
          <w:rFonts w:ascii="Arial" w:hAnsi="Arial" w:cs="Arial"/>
        </w:rPr>
        <w:fldChar w:fldCharType="end"/>
      </w:r>
      <w:r w:rsidRPr="0092670C">
        <w:rPr>
          <w:rFonts w:ascii="Arial" w:hAnsi="Arial" w:cs="Arial"/>
        </w:rPr>
        <w:t xml:space="preserve">. This limits distance that the particles separate from each other during pulverisation. As soon as the lithiation </w:t>
      </w:r>
      <w:r w:rsidR="008C1CEF">
        <w:rPr>
          <w:rFonts w:ascii="Arial" w:hAnsi="Arial" w:cs="Arial"/>
        </w:rPr>
        <w:t xml:space="preserve">strain </w:t>
      </w:r>
      <w:r w:rsidR="00C17862">
        <w:rPr>
          <w:rFonts w:ascii="Arial" w:hAnsi="Arial" w:cs="Arial"/>
        </w:rPr>
        <w:t xml:space="preserve">stops, entropy </w:t>
      </w:r>
      <w:r w:rsidR="006C4BFD">
        <w:rPr>
          <w:rFonts w:ascii="Arial" w:hAnsi="Arial" w:cs="Arial"/>
        </w:rPr>
        <w:t>causes the rings to separate</w:t>
      </w:r>
      <w:r w:rsidR="008A3EA1">
        <w:rPr>
          <w:rFonts w:ascii="Arial" w:hAnsi="Arial" w:cs="Arial"/>
        </w:rPr>
        <w:t xml:space="preserve">, </w:t>
      </w:r>
      <w:r w:rsidR="007371F3">
        <w:rPr>
          <w:rFonts w:ascii="Arial" w:hAnsi="Arial" w:cs="Arial"/>
        </w:rPr>
        <w:t>drawing the particles together</w:t>
      </w:r>
      <w:r w:rsidRPr="0092670C">
        <w:rPr>
          <w:rFonts w:ascii="Arial" w:hAnsi="Arial" w:cs="Arial"/>
        </w:rPr>
        <w:t>.</w:t>
      </w:r>
      <w:r w:rsidR="00267679">
        <w:rPr>
          <w:rFonts w:ascii="Arial" w:hAnsi="Arial" w:cs="Arial"/>
        </w:rPr>
        <w:t xml:space="preserve"> Because the particles were closer together no bare surface was exposed to the electrolyte, reducing SEI formation.</w:t>
      </w:r>
      <w:r w:rsidRPr="0092670C">
        <w:rPr>
          <w:rFonts w:ascii="Arial" w:hAnsi="Arial" w:cs="Arial"/>
        </w:rPr>
        <w:t xml:space="preserve"> By keeping the Si particles bound together this way the capacity of the call was far more stable and higher than one without.</w:t>
      </w:r>
    </w:p>
    <w:p w14:paraId="794A0A49" w14:textId="77777777" w:rsidR="00F906CF" w:rsidRDefault="0014549D" w:rsidP="00F906CF">
      <w:pPr>
        <w:keepNext/>
        <w:tabs>
          <w:tab w:val="left" w:pos="2670"/>
        </w:tabs>
        <w:spacing w:line="360" w:lineRule="auto"/>
        <w:jc w:val="center"/>
      </w:pPr>
      <w:r>
        <w:rPr>
          <w:noProof/>
        </w:rPr>
        <w:drawing>
          <wp:inline distT="0" distB="0" distL="0" distR="0" wp14:anchorId="1BBAE104" wp14:editId="4ADA634D">
            <wp:extent cx="3230880" cy="2590119"/>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l="1359" t="22070" r="1359" b="21875"/>
                    <a:stretch/>
                  </pic:blipFill>
                  <pic:spPr bwMode="auto">
                    <a:xfrm>
                      <a:off x="0" y="0"/>
                      <a:ext cx="3240720" cy="2598008"/>
                    </a:xfrm>
                    <a:prstGeom prst="rect">
                      <a:avLst/>
                    </a:prstGeom>
                    <a:noFill/>
                    <a:ln>
                      <a:noFill/>
                    </a:ln>
                    <a:extLst>
                      <a:ext uri="{53640926-AAD7-44D8-BBD7-CCE9431645EC}">
                        <a14:shadowObscured xmlns:a14="http://schemas.microsoft.com/office/drawing/2010/main"/>
                      </a:ext>
                    </a:extLst>
                  </pic:spPr>
                </pic:pic>
              </a:graphicData>
            </a:graphic>
          </wp:inline>
        </w:drawing>
      </w:r>
    </w:p>
    <w:p w14:paraId="3F4418CD" w14:textId="10D69483" w:rsidR="00A93DD5" w:rsidRPr="00245AB0" w:rsidRDefault="00F906CF" w:rsidP="00F906CF">
      <w:pPr>
        <w:pStyle w:val="Caption"/>
        <w:jc w:val="center"/>
        <w:rPr>
          <w:rFonts w:ascii="Arial" w:hAnsi="Arial" w:cs="Arial"/>
          <w:i w:val="0"/>
          <w:iCs w:val="0"/>
          <w:sz w:val="20"/>
          <w:szCs w:val="20"/>
        </w:rPr>
      </w:pPr>
      <w:bookmarkStart w:id="231" w:name="_Ref42982041"/>
      <w:r w:rsidRPr="00245AB0">
        <w:rPr>
          <w:rFonts w:ascii="Arial" w:hAnsi="Arial" w:cs="Arial"/>
          <w:i w:val="0"/>
          <w:iCs w:val="0"/>
          <w:sz w:val="20"/>
          <w:szCs w:val="20"/>
        </w:rPr>
        <w:t xml:space="preserve">Figure </w:t>
      </w:r>
      <w:r w:rsidR="00356A26">
        <w:rPr>
          <w:rFonts w:ascii="Arial" w:hAnsi="Arial" w:cs="Arial"/>
          <w:i w:val="0"/>
          <w:iCs w:val="0"/>
          <w:sz w:val="20"/>
          <w:szCs w:val="20"/>
        </w:rPr>
        <w:fldChar w:fldCharType="begin"/>
      </w:r>
      <w:r w:rsidR="00356A26">
        <w:rPr>
          <w:rFonts w:ascii="Arial" w:hAnsi="Arial" w:cs="Arial"/>
          <w:i w:val="0"/>
          <w:iCs w:val="0"/>
          <w:sz w:val="20"/>
          <w:szCs w:val="20"/>
        </w:rPr>
        <w:instrText xml:space="preserve"> STYLEREF 1 \s </w:instrText>
      </w:r>
      <w:r w:rsidR="00356A26">
        <w:rPr>
          <w:rFonts w:ascii="Arial" w:hAnsi="Arial" w:cs="Arial"/>
          <w:i w:val="0"/>
          <w:iCs w:val="0"/>
          <w:sz w:val="20"/>
          <w:szCs w:val="20"/>
        </w:rPr>
        <w:fldChar w:fldCharType="separate"/>
      </w:r>
      <w:r w:rsidR="00356A26">
        <w:rPr>
          <w:rFonts w:ascii="Arial" w:hAnsi="Arial" w:cs="Arial"/>
          <w:i w:val="0"/>
          <w:iCs w:val="0"/>
          <w:noProof/>
          <w:sz w:val="20"/>
          <w:szCs w:val="20"/>
        </w:rPr>
        <w:t>4</w:t>
      </w:r>
      <w:r w:rsidR="00356A26">
        <w:rPr>
          <w:rFonts w:ascii="Arial" w:hAnsi="Arial" w:cs="Arial"/>
          <w:i w:val="0"/>
          <w:iCs w:val="0"/>
          <w:sz w:val="20"/>
          <w:szCs w:val="20"/>
        </w:rPr>
        <w:fldChar w:fldCharType="end"/>
      </w:r>
      <w:r w:rsidR="00356A26">
        <w:rPr>
          <w:rFonts w:ascii="Arial" w:hAnsi="Arial" w:cs="Arial"/>
          <w:i w:val="0"/>
          <w:iCs w:val="0"/>
          <w:sz w:val="20"/>
          <w:szCs w:val="20"/>
        </w:rPr>
        <w:noBreakHyphen/>
      </w:r>
      <w:r w:rsidR="00356A26">
        <w:rPr>
          <w:rFonts w:ascii="Arial" w:hAnsi="Arial" w:cs="Arial"/>
          <w:i w:val="0"/>
          <w:iCs w:val="0"/>
          <w:sz w:val="20"/>
          <w:szCs w:val="20"/>
        </w:rPr>
        <w:fldChar w:fldCharType="begin"/>
      </w:r>
      <w:r w:rsidR="00356A26">
        <w:rPr>
          <w:rFonts w:ascii="Arial" w:hAnsi="Arial" w:cs="Arial"/>
          <w:i w:val="0"/>
          <w:iCs w:val="0"/>
          <w:sz w:val="20"/>
          <w:szCs w:val="20"/>
        </w:rPr>
        <w:instrText xml:space="preserve"> SEQ Figure \* ARABIC \s 1 </w:instrText>
      </w:r>
      <w:r w:rsidR="00356A26">
        <w:rPr>
          <w:rFonts w:ascii="Arial" w:hAnsi="Arial" w:cs="Arial"/>
          <w:i w:val="0"/>
          <w:iCs w:val="0"/>
          <w:sz w:val="20"/>
          <w:szCs w:val="20"/>
        </w:rPr>
        <w:fldChar w:fldCharType="separate"/>
      </w:r>
      <w:r w:rsidR="00356A26">
        <w:rPr>
          <w:rFonts w:ascii="Arial" w:hAnsi="Arial" w:cs="Arial"/>
          <w:i w:val="0"/>
          <w:iCs w:val="0"/>
          <w:noProof/>
          <w:sz w:val="20"/>
          <w:szCs w:val="20"/>
        </w:rPr>
        <w:t>2</w:t>
      </w:r>
      <w:r w:rsidR="00356A26">
        <w:rPr>
          <w:rFonts w:ascii="Arial" w:hAnsi="Arial" w:cs="Arial"/>
          <w:i w:val="0"/>
          <w:iCs w:val="0"/>
          <w:sz w:val="20"/>
          <w:szCs w:val="20"/>
        </w:rPr>
        <w:fldChar w:fldCharType="end"/>
      </w:r>
      <w:bookmarkEnd w:id="231"/>
      <w:r w:rsidRPr="00245AB0">
        <w:rPr>
          <w:rFonts w:ascii="Arial" w:hAnsi="Arial" w:cs="Arial"/>
          <w:i w:val="0"/>
          <w:iCs w:val="0"/>
          <w:sz w:val="20"/>
          <w:szCs w:val="20"/>
        </w:rPr>
        <w:t xml:space="preserve">: </w:t>
      </w:r>
      <w:r w:rsidR="00181228" w:rsidRPr="00245AB0">
        <w:rPr>
          <w:rFonts w:ascii="Arial" w:hAnsi="Arial" w:cs="Arial"/>
          <w:i w:val="0"/>
          <w:iCs w:val="0"/>
          <w:sz w:val="20"/>
          <w:szCs w:val="20"/>
        </w:rPr>
        <w:t>S</w:t>
      </w:r>
      <w:r w:rsidRPr="00245AB0">
        <w:rPr>
          <w:rFonts w:ascii="Arial" w:hAnsi="Arial" w:cs="Arial"/>
          <w:i w:val="0"/>
          <w:iCs w:val="0"/>
          <w:sz w:val="20"/>
          <w:szCs w:val="20"/>
        </w:rPr>
        <w:t xml:space="preserve">tructure of polyrotaxane and the structural rigidity it provides </w:t>
      </w:r>
      <w:r w:rsidRPr="00245AB0">
        <w:rPr>
          <w:rFonts w:ascii="Arial" w:hAnsi="Arial" w:cs="Arial"/>
          <w:i w:val="0"/>
          <w:iCs w:val="0"/>
          <w:sz w:val="20"/>
          <w:szCs w:val="20"/>
        </w:rPr>
        <w:fldChar w:fldCharType="begin"/>
      </w:r>
      <w:r w:rsidR="0034337D">
        <w:rPr>
          <w:rFonts w:ascii="Arial" w:hAnsi="Arial" w:cs="Arial"/>
          <w:i w:val="0"/>
          <w:iCs w:val="0"/>
          <w:sz w:val="20"/>
          <w:szCs w:val="20"/>
        </w:rPr>
        <w:instrText xml:space="preserve"> ADDIN EN.CITE &lt;EndNote&gt;&lt;Cite&gt;&lt;Author&gt;Choi&lt;/Author&gt;&lt;Year&gt;2017&lt;/Year&gt;&lt;RecNum&gt;24&lt;/RecNum&gt;&lt;DisplayText&gt;[236]&lt;/DisplayText&gt;&lt;record&gt;&lt;rec-number&gt;24&lt;/rec-number&gt;&lt;foreign-keys&gt;&lt;key app="EN" db-id="5sa9s0e0r0d9fnexra7pr5xdwd5ztevx95s2" timestamp="1503325330"&gt;24&lt;/key&gt;&lt;/foreign-keys&gt;&lt;ref-type name="Journal Article"&gt;17&lt;/ref-type&gt;&lt;contributors&gt;&lt;authors&gt;&lt;author&gt;Choi, Sunghun&lt;/author&gt;&lt;author&gt;Kwon, Tae-woo&lt;/author&gt;&lt;author&gt;Coskun, Ali&lt;/author&gt;&lt;author&gt;Choi, Jang Wook&lt;/author&gt;&lt;/authors&gt;&lt;/contributors&gt;&lt;titles&gt;&lt;title&gt;Highly elastic binders integrating polyrotaxanes for silicon microparticle anodes in lithium ion batteries&lt;/title&gt;&lt;secondary-title&gt;Science&lt;/secondary-title&gt;&lt;/titles&gt;&lt;periodical&gt;&lt;full-title&gt;Science&lt;/full-title&gt;&lt;/periodical&gt;&lt;pages&gt;279-283&lt;/pages&gt;&lt;volume&gt;357&lt;/volume&gt;&lt;number&gt;6348&lt;/number&gt;&lt;dates&gt;&lt;year&gt;2017&lt;/year&gt;&lt;/dates&gt;&lt;urls&gt;&lt;/urls&gt;&lt;electronic-resource-num&gt;10.1126/science.aal4373&lt;/electronic-resource-num&gt;&lt;/record&gt;&lt;/Cite&gt;&lt;/EndNote&gt;</w:instrText>
      </w:r>
      <w:r w:rsidRPr="00245AB0">
        <w:rPr>
          <w:rFonts w:ascii="Arial" w:hAnsi="Arial" w:cs="Arial"/>
          <w:i w:val="0"/>
          <w:iCs w:val="0"/>
          <w:sz w:val="20"/>
          <w:szCs w:val="20"/>
        </w:rPr>
        <w:fldChar w:fldCharType="separate"/>
      </w:r>
      <w:r w:rsidR="0034337D">
        <w:rPr>
          <w:rFonts w:ascii="Arial" w:hAnsi="Arial" w:cs="Arial"/>
          <w:i w:val="0"/>
          <w:iCs w:val="0"/>
          <w:noProof/>
          <w:sz w:val="20"/>
          <w:szCs w:val="20"/>
        </w:rPr>
        <w:t>[236]</w:t>
      </w:r>
      <w:r w:rsidRPr="00245AB0">
        <w:rPr>
          <w:rFonts w:ascii="Arial" w:hAnsi="Arial" w:cs="Arial"/>
          <w:i w:val="0"/>
          <w:iCs w:val="0"/>
          <w:sz w:val="20"/>
          <w:szCs w:val="20"/>
        </w:rPr>
        <w:fldChar w:fldCharType="end"/>
      </w:r>
      <w:r w:rsidR="00181228" w:rsidRPr="00245AB0">
        <w:rPr>
          <w:rFonts w:ascii="Arial" w:hAnsi="Arial" w:cs="Arial"/>
          <w:i w:val="0"/>
          <w:iCs w:val="0"/>
          <w:sz w:val="20"/>
          <w:szCs w:val="20"/>
        </w:rPr>
        <w:t>.</w:t>
      </w:r>
    </w:p>
    <w:p w14:paraId="32783542" w14:textId="62F654BD" w:rsidR="00A93DD5" w:rsidRPr="0092670C" w:rsidRDefault="00D44B6E" w:rsidP="00585F93">
      <w:pPr>
        <w:pStyle w:val="Heading3"/>
        <w:rPr>
          <w:rFonts w:ascii="Arial" w:hAnsi="Arial" w:cs="Arial"/>
        </w:rPr>
      </w:pPr>
      <w:r>
        <w:rPr>
          <w:rFonts w:ascii="Arial" w:hAnsi="Arial" w:cs="Arial"/>
        </w:rPr>
        <w:t xml:space="preserve">  </w:t>
      </w:r>
      <w:bookmarkStart w:id="232" w:name="_Toc82538782"/>
      <w:r w:rsidR="00A93DD5" w:rsidRPr="0092670C">
        <w:rPr>
          <w:rFonts w:ascii="Arial" w:hAnsi="Arial" w:cs="Arial"/>
        </w:rPr>
        <w:t>3</w:t>
      </w:r>
      <w:r w:rsidR="00A93DD5" w:rsidRPr="0092670C">
        <w:rPr>
          <w:rFonts w:ascii="Arial" w:hAnsi="Arial" w:cs="Arial"/>
          <w:vertAlign w:val="superscript"/>
        </w:rPr>
        <w:t>rd</w:t>
      </w:r>
      <w:r w:rsidR="00A93DD5" w:rsidRPr="0092670C">
        <w:rPr>
          <w:rFonts w:ascii="Arial" w:hAnsi="Arial" w:cs="Arial"/>
        </w:rPr>
        <w:t xml:space="preserve"> </w:t>
      </w:r>
      <w:r w:rsidR="003547C3" w:rsidRPr="0092670C">
        <w:rPr>
          <w:rFonts w:ascii="Arial" w:hAnsi="Arial" w:cs="Arial"/>
        </w:rPr>
        <w:t>problem</w:t>
      </w:r>
      <w:r w:rsidR="00A93DD5" w:rsidRPr="0092670C">
        <w:rPr>
          <w:rFonts w:ascii="Arial" w:hAnsi="Arial" w:cs="Arial"/>
        </w:rPr>
        <w:t>: SEI destruction</w:t>
      </w:r>
      <w:bookmarkEnd w:id="232"/>
    </w:p>
    <w:p w14:paraId="489FF513" w14:textId="77777777" w:rsidR="00A93DD5" w:rsidRPr="0092670C" w:rsidRDefault="00A93DD5" w:rsidP="00A93DD5">
      <w:pPr>
        <w:tabs>
          <w:tab w:val="left" w:pos="2670"/>
        </w:tabs>
        <w:spacing w:line="360" w:lineRule="auto"/>
        <w:jc w:val="both"/>
        <w:rPr>
          <w:rFonts w:ascii="Arial" w:hAnsi="Arial" w:cs="Arial"/>
        </w:rPr>
      </w:pPr>
      <w:r w:rsidRPr="0092670C">
        <w:rPr>
          <w:rFonts w:ascii="Arial" w:hAnsi="Arial" w:cs="Arial"/>
        </w:rPr>
        <w:t xml:space="preserve">The SEI is generally an inflexible layer on the surface on the anode. This poses a problem with Si systems as the anode expansion causes the SEI to crack. This cracking process exposes Fresh Si surface causing further SEI formation. This extra SEI formation leads to a further decrease in the Li inventory of the cell as well as removing vital electrolyte, both reducing the capacity of the cell. </w:t>
      </w:r>
    </w:p>
    <w:p w14:paraId="3B89BA69" w14:textId="1685EDD1" w:rsidR="00A93DD5" w:rsidRPr="0092670C" w:rsidRDefault="00A93DD5" w:rsidP="00A93DD5">
      <w:pPr>
        <w:tabs>
          <w:tab w:val="left" w:pos="2670"/>
        </w:tabs>
        <w:spacing w:line="360" w:lineRule="auto"/>
        <w:jc w:val="both"/>
        <w:rPr>
          <w:rFonts w:ascii="Arial" w:hAnsi="Arial" w:cs="Arial"/>
        </w:rPr>
      </w:pPr>
      <w:r w:rsidRPr="0092670C">
        <w:rPr>
          <w:rFonts w:ascii="Arial" w:hAnsi="Arial" w:cs="Arial"/>
        </w:rPr>
        <w:t xml:space="preserve">The work by Choi </w:t>
      </w:r>
      <w:r w:rsidRPr="00245AB0">
        <w:rPr>
          <w:rFonts w:ascii="Arial" w:hAnsi="Arial" w:cs="Arial"/>
          <w:i/>
          <w:iCs/>
        </w:rPr>
        <w:t>et al.</w:t>
      </w:r>
      <w:r w:rsidRPr="0092670C">
        <w:rPr>
          <w:rFonts w:ascii="Arial" w:hAnsi="Arial" w:cs="Arial"/>
        </w:rPr>
        <w:t xml:space="preserve"> also lead to less SEI formation</w:t>
      </w:r>
      <w:r w:rsidR="00EF009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&lt;EndNote&gt;&lt;Cite&gt;&lt;Author&gt;Choi&lt;/Author&gt;&lt;Year&gt;2017&lt;/Year&gt;&lt;RecNum&gt;24&lt;/RecNum&gt;&lt;DisplayText&gt;[236]&lt;/DisplayText&gt;&lt;record&gt;&lt;rec-number&gt;24&lt;/rec-number&gt;&lt;foreign-keys&gt;&lt;key app="EN" db-id="5sa9s0e0r0d9fnexra7pr5xdwd5ztevx95s2" timestamp="1503325330"&gt;24&lt;/key&gt;&lt;/foreign-keys&gt;&lt;ref-type name="Journal Article"&gt;17&lt;/ref-type&gt;&lt;contributors&gt;&lt;authors&gt;&lt;author&gt;Choi, Sunghun&lt;/author&gt;&lt;author&gt;Kwon, Tae-woo&lt;/author&gt;&lt;author&gt;Coskun, Ali&lt;/author&gt;&lt;author&gt;Choi, Jang Wook&lt;/author&gt;&lt;/authors&gt;&lt;/contributors&gt;&lt;titles&gt;&lt;title&gt;Highly elastic binders integrating polyrotaxanes for silicon microparticle anodes in lithium ion batteries&lt;/title&gt;&lt;secondary-title&gt;Science&lt;/secondary-title&gt;&lt;/titles&gt;&lt;periodical&gt;&lt;full-title&gt;Science&lt;/full-title&gt;&lt;/periodical&gt;&lt;pages&gt;279-283&lt;/pages&gt;&lt;volume&gt;357&lt;/volume&gt;&lt;number&gt;6348&lt;/number&gt;&lt;dates&gt;&lt;year&gt;2017&lt;/year&gt;&lt;/dates&gt;&lt;urls&gt;&lt;/urls&gt;&lt;electronic-resource-num&gt;10.1126/science.aal4373&lt;/electronic-resource-num&gt;&lt;/record&gt;&lt;/Cite&gt;&lt;/EndNote&gt;</w:instrText>
      </w:r>
      <w:r w:rsidRPr="0092670C">
        <w:rPr>
          <w:rFonts w:ascii="Arial" w:hAnsi="Arial" w:cs="Arial"/>
        </w:rPr>
        <w:fldChar w:fldCharType="separate"/>
      </w:r>
      <w:r w:rsidR="0034337D">
        <w:rPr>
          <w:rFonts w:ascii="Arial" w:hAnsi="Arial" w:cs="Arial"/>
          <w:noProof/>
        </w:rPr>
        <w:t>[236]</w:t>
      </w:r>
      <w:r w:rsidRPr="0092670C">
        <w:rPr>
          <w:rFonts w:ascii="Arial" w:hAnsi="Arial" w:cs="Arial"/>
        </w:rPr>
        <w:fldChar w:fldCharType="end"/>
      </w:r>
      <w:r w:rsidRPr="0092670C">
        <w:rPr>
          <w:rFonts w:ascii="Arial" w:hAnsi="Arial" w:cs="Arial"/>
        </w:rPr>
        <w:t xml:space="preserve">. By keeping the particles close together, the Si surface between them isn’t exposed to the electrolyte. This prevents excess SEI formation, saving both lithium inventory and electrolyte.   </w:t>
      </w:r>
    </w:p>
    <w:p w14:paraId="2DC12630" w14:textId="77777777" w:rsidR="00A93DD5" w:rsidRPr="0092670C" w:rsidRDefault="00A93DD5" w:rsidP="00A93DD5">
      <w:pPr>
        <w:tabs>
          <w:tab w:val="left" w:pos="2670"/>
        </w:tabs>
        <w:spacing w:line="360" w:lineRule="auto"/>
        <w:jc w:val="both"/>
        <w:rPr>
          <w:rFonts w:ascii="Arial" w:hAnsi="Arial" w:cs="Arial"/>
        </w:rPr>
      </w:pPr>
      <w:r w:rsidRPr="0092670C">
        <w:rPr>
          <w:rFonts w:ascii="Arial" w:hAnsi="Arial" w:cs="Arial"/>
        </w:rPr>
        <w:t xml:space="preserve">The issues surround Si as an anode choice means that more work is still required to see higher content Si anodes in commercial cells. </w:t>
      </w:r>
      <w:r w:rsidRPr="0092670C">
        <w:rPr>
          <w:rFonts w:ascii="Arial" w:hAnsi="Arial" w:cs="Arial"/>
        </w:rPr>
        <w:tab/>
      </w:r>
    </w:p>
    <w:p w14:paraId="65E2C352" w14:textId="77777777" w:rsidR="00A93DD5" w:rsidRPr="0092670C" w:rsidRDefault="00A93DD5" w:rsidP="003547C3">
      <w:pPr>
        <w:pStyle w:val="Heading2"/>
        <w:rPr>
          <w:rFonts w:ascii="Arial" w:hAnsi="Arial" w:cs="Arial"/>
        </w:rPr>
      </w:pPr>
      <w:bookmarkStart w:id="233" w:name="_Toc82538783"/>
      <w:r w:rsidRPr="0092670C">
        <w:rPr>
          <w:rFonts w:ascii="Arial" w:hAnsi="Arial" w:cs="Arial"/>
        </w:rPr>
        <w:t>Si pre-lithiation</w:t>
      </w:r>
      <w:bookmarkEnd w:id="233"/>
      <w:r w:rsidRPr="0092670C">
        <w:rPr>
          <w:rFonts w:ascii="Arial" w:hAnsi="Arial" w:cs="Arial"/>
        </w:rPr>
        <w:t xml:space="preserve"> </w:t>
      </w:r>
    </w:p>
    <w:p w14:paraId="17BC5EA9" w14:textId="6551C8EE" w:rsidR="00A93DD5" w:rsidRPr="0092670C" w:rsidRDefault="00A93DD5" w:rsidP="00A93DD5">
      <w:pPr>
        <w:spacing w:line="360" w:lineRule="auto"/>
        <w:jc w:val="both"/>
        <w:rPr>
          <w:rFonts w:ascii="Arial" w:hAnsi="Arial" w:cs="Arial"/>
        </w:rPr>
      </w:pPr>
      <w:r w:rsidRPr="0092670C">
        <w:rPr>
          <w:rFonts w:ascii="Arial" w:hAnsi="Arial" w:cs="Arial"/>
        </w:rPr>
        <w:t>Pre-lithiation is a technique that has been shown to increase the capacity of Si electrodes as well as carbon electrodes. In 2017 Domi et al. mechanically lithiated silicon, although in a different way to that seen in the previous chapter</w:t>
      </w:r>
      <w:r w:rsidR="00F75680"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&lt;EndNote&gt;&lt;Cite&gt;&lt;Author&gt;Domi&lt;/Author&gt;&lt;Year&gt;2017&lt;/Year&gt;&lt;RecNum&gt;136&lt;/RecNum&gt;&lt;DisplayText&gt;[158]&lt;/DisplayText&gt;&lt;record&gt;&lt;rec-number&gt;136&lt;/rec-number&gt;&lt;foreign-keys&gt;&lt;key app="EN" db-id="5sa9s0e0r0d9fnexra7pr5xdwd5ztevx95s2" timestamp="1524752808"&gt;136&lt;/key&gt;&lt;/foreign-keys&gt;&lt;ref-type name="Journal Article"&gt;17&lt;/ref-type&gt;&lt;contributors&gt;&lt;authors&gt;&lt;author&gt;Domi, Yasuhiro&lt;/author&gt;&lt;author&gt;Usui, Hiroyuki&lt;/author&gt;&lt;author&gt;Iwanari, Daichi&lt;/author&gt;&lt;author&gt;Sakaguchi, Hiroki&lt;/author&gt;&lt;/authors&gt;&lt;/contributors&gt;&lt;titles&gt;&lt;title&gt;Effect of Mechanical Pre-Lithiation on Electrochemical Performance of Silicon Negative Electrode for Lithium-Ion Batteries&lt;/title&gt;&lt;secondary-title&gt;Journal of The Electrochemical Society&lt;/secondary-title&gt;&lt;/titles&gt;&lt;periodical&gt;&lt;full-title&gt;Journal of the Electrochemical Society&lt;/full-title&gt;&lt;abbr-1&gt;J. Electrochem. Soc.&lt;/abbr-1&gt;&lt;/periodical&gt;&lt;pages&gt;A1651-A1654&lt;/pages&gt;&lt;volume&gt;164&lt;/volume&gt;&lt;number&gt;7&lt;/number&gt;&lt;dates&gt;&lt;year&gt;2017&lt;/year&gt;&lt;pub-dates&gt;&lt;date&gt;January 1, 2017&lt;/date&gt;&lt;/pub-dates&gt;&lt;/dates&gt;&lt;urls&gt;&lt;related-urls&gt;&lt;url&gt;http://jes.ecsdl.org/content/164/7/A1651.abstract&lt;/url&gt;&lt;/related-urls&gt;&lt;/urls&gt;&lt;electronic-resource-num&gt;10.1149/2.1361707jes&lt;/electronic-resource-num&gt;&lt;/record&gt;&lt;/Cite&gt;&lt;/EndNote&gt;</w:instrText>
      </w:r>
      <w:r w:rsidRPr="0092670C">
        <w:rPr>
          <w:rFonts w:ascii="Arial" w:hAnsi="Arial" w:cs="Arial"/>
        </w:rPr>
        <w:fldChar w:fldCharType="separate"/>
      </w:r>
      <w:r w:rsidR="0034337D">
        <w:rPr>
          <w:rFonts w:ascii="Arial" w:hAnsi="Arial" w:cs="Arial"/>
          <w:noProof/>
        </w:rPr>
        <w:t>[158]</w:t>
      </w:r>
      <w:r w:rsidRPr="0092670C">
        <w:rPr>
          <w:rFonts w:ascii="Arial" w:hAnsi="Arial" w:cs="Arial"/>
        </w:rPr>
        <w:fldChar w:fldCharType="end"/>
      </w:r>
      <w:r w:rsidRPr="0092670C">
        <w:rPr>
          <w:rFonts w:ascii="Arial" w:hAnsi="Arial" w:cs="Arial"/>
        </w:rPr>
        <w:t>. They used a process known as mechanical alloying to make their electrodes, effectively by using a ball mill to force the Li and Si to alloy together</w:t>
      </w:r>
      <w:r w:rsidR="00F75680"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&lt;EndNote&gt;&lt;Cite&gt;&lt;Author&gt;Sakaguchi&lt;/Author&gt;&lt;Year&gt;2009&lt;/Year&gt;&lt;RecNum&gt;194&lt;/RecNum&gt;&lt;DisplayText&gt;[237]&lt;/DisplayText&gt;&lt;record&gt;&lt;rec-number&gt;194&lt;/rec-number&gt;&lt;foreign-keys&gt;&lt;key app="EN" db-id="5sa9s0e0r0d9fnexra7pr5xdwd5ztevx95s2" timestamp="1552049970"&gt;194&lt;/key&gt;&lt;/foreign-keys&gt;&lt;ref-type name="Journal Article"&gt;17&lt;/ref-type&gt;&lt;contributors&gt;&lt;authors&gt;&lt;author&gt;Sakaguchi, Hiroki&lt;/author&gt;&lt;author&gt;Iida, Takahisa&lt;/author&gt;&lt;author&gt;Itoh, Mamoru&lt;/author&gt;&lt;author&gt;Shibamura, Natsumi&lt;/author&gt;&lt;author&gt;Hirono, Tomoki&lt;/author&gt;&lt;/authors&gt;&lt;/contributors&gt;&lt;titles&gt;&lt;title&gt;Anode properties of LaSi2/Si composite thick-film electrodes for lithium secondary batteries&lt;/title&gt;&lt;secondary-title&gt;IOP Conference Series: Materials Science and Engineering&lt;/secondary-title&gt;&lt;/titles&gt;&lt;periodical&gt;&lt;full-title&gt;IOP Conference Series: Materials Science and Engineering&lt;/full-title&gt;&lt;/periodical&gt;&lt;pages&gt;012030&lt;/pages&gt;&lt;volume&gt;1&lt;/volume&gt;&lt;dates&gt;&lt;year&gt;2009&lt;/year&gt;&lt;pub-dates&gt;&lt;date&gt;2009/02/01&lt;/date&gt;&lt;/pub-dates&gt;&lt;/dates&gt;&lt;publisher&gt;IOP Publishing&lt;/publisher&gt;&lt;isbn&gt;1757-899X&lt;/isbn&gt;&lt;urls&gt;&lt;related-urls&gt;&lt;url&gt;http://dx.doi.org/10.1088/1757-8981/1/1/012030&lt;/url&gt;&lt;/related-urls&gt;&lt;/urls&gt;&lt;electronic-resource-num&gt;10.1088/1757-8981/1/1/012030&lt;/electronic-resource-num&gt;&lt;/record&gt;&lt;/Cite&gt;&lt;/EndNote&gt;</w:instrText>
      </w:r>
      <w:r w:rsidRPr="0092670C">
        <w:rPr>
          <w:rFonts w:ascii="Arial" w:hAnsi="Arial" w:cs="Arial"/>
        </w:rPr>
        <w:fldChar w:fldCharType="separate"/>
      </w:r>
      <w:r w:rsidR="0034337D">
        <w:rPr>
          <w:rFonts w:ascii="Arial" w:hAnsi="Arial" w:cs="Arial"/>
          <w:noProof/>
        </w:rPr>
        <w:t>[237]</w:t>
      </w:r>
      <w:r w:rsidRPr="0092670C">
        <w:rPr>
          <w:rFonts w:ascii="Arial" w:hAnsi="Arial" w:cs="Arial"/>
        </w:rPr>
        <w:fldChar w:fldCharType="end"/>
      </w:r>
      <w:r w:rsidRPr="0092670C">
        <w:rPr>
          <w:rFonts w:ascii="Arial" w:hAnsi="Arial" w:cs="Arial"/>
        </w:rPr>
        <w:t>. This method did nothing to form an SEI for the electrode however, and the SEI was not mentioned at all in the paper. They found that this pre-lithiation process had a positive effect on the performance of the cell although this was limited. The lack of SEI optimisation meant that they limited the capacity of the cell to 500</w:t>
      </w:r>
      <w:r w:rsidR="00F75680" w:rsidRPr="0092670C">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and even then the cell could not reach 500 cycles. This paper shows that the whilst the process of lithiating the anode itself may have benefits for the cell it isn’t enough to make the cell a viable replacement for graphite. To replace graphite the cells would require further pre-lithiation to further the cell performance. Some SiO</w:t>
      </w:r>
      <w:r w:rsidRPr="0092670C">
        <w:rPr>
          <w:rFonts w:ascii="Arial" w:hAnsi="Arial" w:cs="Arial"/>
          <w:vertAlign w:val="subscript"/>
        </w:rPr>
        <w:t xml:space="preserve">x </w:t>
      </w:r>
      <w:r w:rsidRPr="0092670C">
        <w:rPr>
          <w:rFonts w:ascii="Arial" w:hAnsi="Arial" w:cs="Arial"/>
        </w:rPr>
        <w:t>species have also been pre-lithiated and this has shown to improve the performance</w:t>
      </w:r>
      <w:r w:rsidR="00EF009D"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&lt;EndNote&gt;&lt;Cite&gt;&lt;Author&gt;Kim&lt;/Author&gt;&lt;Year&gt;2016&lt;/Year&gt;&lt;RecNum&gt;145&lt;/RecNum&gt;&lt;DisplayText&gt;[137]&lt;/DisplayText&gt;&lt;record&gt;&lt;rec-number&gt;145&lt;/rec-number&gt;&lt;foreign-keys&gt;&lt;key app="EN" db-id="5sa9s0e0r0d9fnexra7pr5xdwd5ztevx95s2" timestamp="1536587428"&gt;145&lt;/key&gt;&lt;/foreign-keys&gt;&lt;ref-type name="Journal Article"&gt;17&lt;/ref-type&gt;&lt;contributors&gt;&lt;authors&gt;&lt;author&gt;Kim, Hye Jin&lt;/author&gt;&lt;author&gt;Choi, Sunghun&lt;/author&gt;&lt;author&gt;Lee, Seung Jong&lt;/author&gt;&lt;author&gt;Seo, Myung Won&lt;/author&gt;&lt;author&gt;Lee, Jae Goo&lt;/author&gt;&lt;author&gt;Deniz, Erhan&lt;/author&gt;&lt;author&gt;Lee, Yong Ju&lt;/author&gt;&lt;author&gt;Kim, Eun Kyung&lt;/author&gt;&lt;author&gt;Choi, Jang Wook&lt;/author&gt;&lt;/authors&gt;&lt;/contributors&gt;&lt;titles&gt;&lt;title&gt;Controlled Prelithiation of Silicon Monoxide for High Performance Lithium-Ion Rechargeable Full Cells&lt;/title&gt;&lt;secondary-title&gt;Nano Letters&lt;/secondary-title&gt;&lt;/titles&gt;&lt;periodical&gt;&lt;full-title&gt;Nano Letters&lt;/full-title&gt;&lt;abbr-1&gt;Nano Lett.&lt;/abbr-1&gt;&lt;/periodical&gt;&lt;pages&gt;282-288&lt;/pages&gt;&lt;volume&gt;16&lt;/volume&gt;&lt;number&gt;1&lt;/number&gt;&lt;dates&gt;&lt;year&gt;2016&lt;/year&gt;&lt;pub-dates&gt;&lt;date&gt;2016/01/13&lt;/date&gt;&lt;/pub-dates&gt;&lt;/dates&gt;&lt;publisher&gt;American Chemical Society&lt;/publisher&gt;&lt;isbn&gt;1530-6984&lt;/isbn&gt;&lt;urls&gt;&lt;related-urls&gt;&lt;url&gt;https://doi.org/10.1021/acs.nanolett.5b03776&lt;/url&gt;&lt;/related-urls&gt;&lt;/urls&gt;&lt;electronic-resource-num&gt;10.1021/acs.nanolett.5b03776&lt;/electronic-resource-num&gt;&lt;/record&gt;&lt;/Cite&gt;&lt;/EndNote&gt;</w:instrText>
      </w:r>
      <w:r w:rsidRPr="0092670C">
        <w:rPr>
          <w:rFonts w:ascii="Arial" w:hAnsi="Arial" w:cs="Arial"/>
        </w:rPr>
        <w:fldChar w:fldCharType="separate"/>
      </w:r>
      <w:r w:rsidR="0034337D">
        <w:rPr>
          <w:rFonts w:ascii="Arial" w:hAnsi="Arial" w:cs="Arial"/>
          <w:noProof/>
        </w:rPr>
        <w:t>[137]</w:t>
      </w:r>
      <w:r w:rsidRPr="0092670C">
        <w:rPr>
          <w:rFonts w:ascii="Arial" w:hAnsi="Arial" w:cs="Arial"/>
        </w:rPr>
        <w:fldChar w:fldCharType="end"/>
      </w:r>
      <w:r w:rsidRPr="0092670C">
        <w:rPr>
          <w:rFonts w:ascii="Arial" w:hAnsi="Arial" w:cs="Arial"/>
        </w:rPr>
        <w:t xml:space="preserve">. </w:t>
      </w:r>
    </w:p>
    <w:p w14:paraId="30882694" w14:textId="77777777" w:rsidR="00A93DD5" w:rsidRPr="0092670C" w:rsidRDefault="00A93DD5" w:rsidP="00516791">
      <w:pPr>
        <w:pStyle w:val="Heading2"/>
        <w:rPr>
          <w:rFonts w:ascii="Arial" w:hAnsi="Arial" w:cs="Arial"/>
          <w:bCs/>
        </w:rPr>
      </w:pPr>
      <w:bookmarkStart w:id="234" w:name="_Toc82538784"/>
      <w:r w:rsidRPr="0092670C">
        <w:rPr>
          <w:rFonts w:ascii="Arial" w:hAnsi="Arial" w:cs="Arial"/>
          <w:bCs/>
        </w:rPr>
        <w:t>Electrolyte optimisation for pre-lithiation</w:t>
      </w:r>
      <w:bookmarkEnd w:id="234"/>
      <w:r w:rsidRPr="0092670C">
        <w:rPr>
          <w:rFonts w:ascii="Arial" w:hAnsi="Arial" w:cs="Arial"/>
          <w:bCs/>
        </w:rPr>
        <w:t xml:space="preserve"> </w:t>
      </w:r>
    </w:p>
    <w:p w14:paraId="723CC38B" w14:textId="49D5C45E" w:rsidR="00A93DD5" w:rsidRPr="0092670C" w:rsidRDefault="00A93DD5" w:rsidP="00A93DD5">
      <w:pPr>
        <w:spacing w:line="360" w:lineRule="auto"/>
        <w:jc w:val="both"/>
        <w:rPr>
          <w:rFonts w:ascii="Arial" w:hAnsi="Arial" w:cs="Arial"/>
        </w:rPr>
      </w:pPr>
      <w:r w:rsidRPr="0092670C">
        <w:rPr>
          <w:rFonts w:ascii="Arial" w:hAnsi="Arial" w:cs="Arial"/>
        </w:rPr>
        <w:t>Due to the issues with Si anodes as seen above it is even more vital that the electrolyte facilitates SEI creation and maintains the cell conductivity. FEC has frequently been used along with another additive</w:t>
      </w:r>
      <w:r w:rsidR="0091537A">
        <w:rPr>
          <w:rFonts w:ascii="Arial" w:hAnsi="Arial" w:cs="Arial"/>
        </w:rPr>
        <w:t>,</w:t>
      </w:r>
      <w:r w:rsidRPr="0092670C">
        <w:rPr>
          <w:rFonts w:ascii="Arial" w:hAnsi="Arial" w:cs="Arial"/>
        </w:rPr>
        <w:t xml:space="preserve"> Vinylene carbonate (VC)</w:t>
      </w:r>
      <w:r w:rsidR="0091537A">
        <w:rPr>
          <w:rFonts w:ascii="Arial" w:hAnsi="Arial" w:cs="Arial"/>
        </w:rPr>
        <w:t>,</w:t>
      </w:r>
      <w:r w:rsidRPr="0092670C">
        <w:rPr>
          <w:rFonts w:ascii="Arial" w:hAnsi="Arial" w:cs="Arial"/>
        </w:rPr>
        <w:t xml:space="preserve"> to increase the capacity and cycle life of Si-based anodes. This is a</w:t>
      </w:r>
      <w:r w:rsidR="00E36943">
        <w:rPr>
          <w:rFonts w:ascii="Arial" w:hAnsi="Arial" w:cs="Arial"/>
        </w:rPr>
        <w:t xml:space="preserve"> </w:t>
      </w:r>
      <w:r w:rsidRPr="0092670C">
        <w:rPr>
          <w:rFonts w:ascii="Arial" w:hAnsi="Arial" w:cs="Arial"/>
        </w:rPr>
        <w:t xml:space="preserve">wasteful process though with the additives being entirely sacrificial for SEI formation and doesn’t go towards optimising other facets of electrolyte performance such as conduction. </w:t>
      </w:r>
    </w:p>
    <w:p w14:paraId="2026AC26" w14:textId="2F95D142" w:rsidR="00A93DD5" w:rsidRPr="0092670C" w:rsidRDefault="00B5109B" w:rsidP="00A93DD5">
      <w:pPr>
        <w:spacing w:line="360" w:lineRule="auto"/>
        <w:jc w:val="both"/>
        <w:rPr>
          <w:rFonts w:ascii="Arial" w:hAnsi="Arial" w:cs="Arial"/>
        </w:rPr>
      </w:pPr>
      <w:r>
        <w:rPr>
          <w:rFonts w:ascii="Arial" w:hAnsi="Arial" w:cs="Arial"/>
        </w:rPr>
        <w:t xml:space="preserve">The work here </w:t>
      </w:r>
      <w:r w:rsidR="00253AA1">
        <w:rPr>
          <w:rFonts w:ascii="Arial" w:hAnsi="Arial" w:cs="Arial"/>
        </w:rPr>
        <w:t>determines</w:t>
      </w:r>
      <w:r w:rsidR="00A93DD5" w:rsidRPr="0092670C">
        <w:rPr>
          <w:rFonts w:ascii="Arial" w:hAnsi="Arial" w:cs="Arial"/>
        </w:rPr>
        <w:t xml:space="preserve"> </w:t>
      </w:r>
      <w:r>
        <w:rPr>
          <w:rFonts w:ascii="Arial" w:hAnsi="Arial" w:cs="Arial"/>
        </w:rPr>
        <w:t>i</w:t>
      </w:r>
      <w:r w:rsidR="00A93DD5" w:rsidRPr="0092670C">
        <w:rPr>
          <w:rFonts w:ascii="Arial" w:hAnsi="Arial" w:cs="Arial"/>
        </w:rPr>
        <w:t>f pre-lithiation of the electrode using a traditional electrolyte additive could replace the need for additives in the cell. This would be advantageous as it would reduce the need for</w:t>
      </w:r>
      <w:r w:rsidR="005D72F9">
        <w:rPr>
          <w:rFonts w:ascii="Arial" w:hAnsi="Arial" w:cs="Arial"/>
        </w:rPr>
        <w:t xml:space="preserve"> </w:t>
      </w:r>
      <w:r w:rsidR="00A93DD5" w:rsidRPr="0092670C">
        <w:rPr>
          <w:rFonts w:ascii="Arial" w:hAnsi="Arial" w:cs="Arial"/>
        </w:rPr>
        <w:t>electrolyte additives</w:t>
      </w:r>
      <w:r w:rsidR="005D72F9">
        <w:rPr>
          <w:rFonts w:ascii="Arial" w:hAnsi="Arial" w:cs="Arial"/>
        </w:rPr>
        <w:t xml:space="preserve">, increasing the energy density of the cell. </w:t>
      </w:r>
      <w:bookmarkStart w:id="235" w:name="_Hlk83287146"/>
      <w:r w:rsidR="00E121FD">
        <w:rPr>
          <w:rFonts w:ascii="Arial" w:hAnsi="Arial" w:cs="Arial"/>
        </w:rPr>
        <w:t>Having a Si anode with comparable or greater capacity retention than a graphite anode would be an ideal goal to achieve with pre-lithiation.</w:t>
      </w:r>
      <w:bookmarkEnd w:id="235"/>
    </w:p>
    <w:p w14:paraId="06A70301" w14:textId="77777777" w:rsidR="00A93DD5" w:rsidRPr="0092670C" w:rsidRDefault="00A93DD5" w:rsidP="003547C3">
      <w:pPr>
        <w:pStyle w:val="Heading3"/>
        <w:rPr>
          <w:rFonts w:ascii="Arial" w:hAnsi="Arial" w:cs="Arial"/>
        </w:rPr>
      </w:pPr>
      <w:bookmarkStart w:id="236" w:name="_Toc82538785"/>
      <w:r w:rsidRPr="0092670C">
        <w:rPr>
          <w:rFonts w:ascii="Arial" w:hAnsi="Arial" w:cs="Arial"/>
        </w:rPr>
        <w:t>Experimental</w:t>
      </w:r>
      <w:bookmarkEnd w:id="236"/>
    </w:p>
    <w:p w14:paraId="35FA896E" w14:textId="4B096D5D" w:rsidR="003D7EE3" w:rsidRPr="003D7EE3" w:rsidRDefault="003D7EE3" w:rsidP="003D7EE3">
      <w:pPr>
        <w:spacing w:line="360" w:lineRule="auto"/>
        <w:jc w:val="both"/>
        <w:rPr>
          <w:rFonts w:ascii="Arial" w:hAnsi="Arial" w:cs="Arial"/>
        </w:rPr>
      </w:pPr>
      <w:r w:rsidRPr="003D7EE3">
        <w:rPr>
          <w:rFonts w:ascii="Arial" w:hAnsi="Arial" w:cs="Arial"/>
        </w:rPr>
        <w:t>Si electrodes were kindly provided by Dr. Entwistle</w:t>
      </w:r>
      <w:r w:rsidR="0006719D">
        <w:rPr>
          <w:rFonts w:ascii="Arial" w:hAnsi="Arial" w:cs="Arial"/>
        </w:rPr>
        <w:t xml:space="preserve"> </w:t>
      </w:r>
      <w:r w:rsidR="001B77BA">
        <w:rPr>
          <w:rFonts w:ascii="Arial" w:hAnsi="Arial" w:cs="Arial"/>
        </w:rPr>
        <w:t xml:space="preserve">with the material prepared as described in </w:t>
      </w:r>
      <w:r w:rsidR="000E3944">
        <w:rPr>
          <w:rFonts w:ascii="Arial" w:hAnsi="Arial" w:cs="Arial"/>
        </w:rPr>
        <w:fldChar w:fldCharType="begin"/>
      </w:r>
      <w:r w:rsidR="000E3944">
        <w:rPr>
          <w:rFonts w:ascii="Arial" w:hAnsi="Arial" w:cs="Arial"/>
        </w:rPr>
        <w:instrText xml:space="preserve"> REF _Ref82861713 \r \h </w:instrText>
      </w:r>
      <w:r w:rsidR="000E3944">
        <w:rPr>
          <w:rFonts w:ascii="Arial" w:hAnsi="Arial" w:cs="Arial"/>
        </w:rPr>
      </w:r>
      <w:r w:rsidR="000E3944">
        <w:rPr>
          <w:rFonts w:ascii="Arial" w:hAnsi="Arial" w:cs="Arial"/>
        </w:rPr>
        <w:fldChar w:fldCharType="separate"/>
      </w:r>
      <w:r w:rsidR="000E3944">
        <w:rPr>
          <w:rFonts w:ascii="Arial" w:hAnsi="Arial" w:cs="Arial"/>
        </w:rPr>
        <w:t>2.1.2</w:t>
      </w:r>
      <w:r w:rsidR="000E3944">
        <w:rPr>
          <w:rFonts w:ascii="Arial" w:hAnsi="Arial" w:cs="Arial"/>
        </w:rPr>
        <w:fldChar w:fldCharType="end"/>
      </w:r>
      <w:r w:rsidRPr="003D7EE3">
        <w:rPr>
          <w:rFonts w:ascii="Arial" w:hAnsi="Arial" w:cs="Arial"/>
        </w:rPr>
        <w:t xml:space="preserve">. They were produced using the same method as that outlined in </w:t>
      </w:r>
      <w:r w:rsidR="00227961">
        <w:rPr>
          <w:rFonts w:ascii="Arial" w:hAnsi="Arial" w:cs="Arial"/>
        </w:rPr>
        <w:fldChar w:fldCharType="begin"/>
      </w:r>
      <w:r w:rsidR="00227961">
        <w:rPr>
          <w:rFonts w:ascii="Arial" w:hAnsi="Arial" w:cs="Arial"/>
        </w:rPr>
        <w:instrText xml:space="preserve"> REF _Ref82861747 \r \h </w:instrText>
      </w:r>
      <w:r w:rsidR="00227961">
        <w:rPr>
          <w:rFonts w:ascii="Arial" w:hAnsi="Arial" w:cs="Arial"/>
        </w:rPr>
      </w:r>
      <w:r w:rsidR="00227961">
        <w:rPr>
          <w:rFonts w:ascii="Arial" w:hAnsi="Arial" w:cs="Arial"/>
        </w:rPr>
        <w:fldChar w:fldCharType="separate"/>
      </w:r>
      <w:r w:rsidR="00227961">
        <w:rPr>
          <w:rFonts w:ascii="Arial" w:hAnsi="Arial" w:cs="Arial"/>
        </w:rPr>
        <w:t>2.2.1</w:t>
      </w:r>
      <w:r w:rsidR="00227961">
        <w:rPr>
          <w:rFonts w:ascii="Arial" w:hAnsi="Arial" w:cs="Arial"/>
        </w:rPr>
        <w:fldChar w:fldCharType="end"/>
      </w:r>
      <w:r w:rsidR="00227961">
        <w:rPr>
          <w:rFonts w:ascii="Arial" w:hAnsi="Arial" w:cs="Arial"/>
        </w:rPr>
        <w:t xml:space="preserve">. </w:t>
      </w:r>
      <w:r w:rsidRPr="003D7EE3">
        <w:rPr>
          <w:rFonts w:ascii="Arial" w:hAnsi="Arial" w:cs="Arial"/>
        </w:rPr>
        <w:t>Electrodes were then pre-lithiated for 24 hours with either LP30 (1.0M LiPF</w:t>
      </w:r>
      <w:r w:rsidRPr="003D7EE3">
        <w:rPr>
          <w:rFonts w:ascii="Arial" w:hAnsi="Arial" w:cs="Arial"/>
          <w:vertAlign w:val="subscript"/>
        </w:rPr>
        <w:t>6</w:t>
      </w:r>
      <w:r w:rsidRPr="003D7EE3">
        <w:rPr>
          <w:rFonts w:ascii="Arial" w:hAnsi="Arial" w:cs="Arial"/>
        </w:rPr>
        <w:t xml:space="preserve"> in EC/DMC=50/50 (v/v), battery grade, Sigma Aldrich) or FEC (98%, Alfa Aesar) as outlined in 2.3.1. These electrodes were then assembled into coin cells using either LP30 or LP30 + 10wt.% FEC as the electrolyte. The coin cells were cycled at C/10 for 100 cycles using CC/CV cycling for the charge on a Maccor series 4000M at 25°C. For reference fresh electrodes were cycled in either LP30 or LP30 + 10wt.% FEC.</w:t>
      </w:r>
    </w:p>
    <w:p w14:paraId="17ABB935" w14:textId="77777777" w:rsidR="00A93DD5" w:rsidRPr="0092670C" w:rsidRDefault="00A93DD5" w:rsidP="00516791">
      <w:pPr>
        <w:pStyle w:val="Heading3"/>
        <w:rPr>
          <w:rFonts w:ascii="Arial" w:hAnsi="Arial" w:cs="Arial"/>
        </w:rPr>
      </w:pPr>
      <w:bookmarkStart w:id="237" w:name="_Toc82538786"/>
      <w:r w:rsidRPr="0092670C">
        <w:rPr>
          <w:rFonts w:ascii="Arial" w:hAnsi="Arial" w:cs="Arial"/>
        </w:rPr>
        <w:t>Results</w:t>
      </w:r>
      <w:bookmarkEnd w:id="237"/>
    </w:p>
    <w:p w14:paraId="3DFD008F" w14:textId="0D7E0D0B" w:rsidR="00A93DD5" w:rsidRDefault="00A93DD5" w:rsidP="00A93DD5">
      <w:pPr>
        <w:spacing w:line="360" w:lineRule="auto"/>
        <w:jc w:val="both"/>
        <w:rPr>
          <w:rFonts w:ascii="Arial" w:hAnsi="Arial" w:cs="Arial"/>
        </w:rPr>
      </w:pPr>
      <w:r w:rsidRPr="0092670C">
        <w:rPr>
          <w:rFonts w:ascii="Arial" w:hAnsi="Arial" w:cs="Arial"/>
        </w:rPr>
        <w:t>Th</w:t>
      </w:r>
      <w:r w:rsidR="00DE0333">
        <w:rPr>
          <w:rFonts w:ascii="Arial" w:hAnsi="Arial" w:cs="Arial"/>
        </w:rPr>
        <w:t>e</w:t>
      </w:r>
      <w:r w:rsidRPr="0092670C">
        <w:rPr>
          <w:rFonts w:ascii="Arial" w:hAnsi="Arial" w:cs="Arial"/>
        </w:rPr>
        <w:t xml:space="preserve"> cycling data </w:t>
      </w:r>
      <w:r w:rsidR="00F217D3" w:rsidRPr="0092670C">
        <w:rPr>
          <w:rFonts w:ascii="Arial" w:hAnsi="Arial" w:cs="Arial"/>
        </w:rPr>
        <w:t xml:space="preserve">in </w:t>
      </w:r>
      <w:r w:rsidR="00F217D3" w:rsidRPr="0092670C">
        <w:rPr>
          <w:rFonts w:ascii="Arial" w:hAnsi="Arial" w:cs="Arial"/>
        </w:rPr>
        <w:fldChar w:fldCharType="begin"/>
      </w:r>
      <w:r w:rsidR="00F217D3" w:rsidRPr="0092670C">
        <w:rPr>
          <w:rFonts w:ascii="Arial" w:hAnsi="Arial" w:cs="Arial"/>
        </w:rPr>
        <w:instrText xml:space="preserve"> REF _Ref31443621 \h  \* MERGEFORMAT </w:instrText>
      </w:r>
      <w:r w:rsidR="00F217D3" w:rsidRPr="0092670C">
        <w:rPr>
          <w:rFonts w:ascii="Arial" w:hAnsi="Arial" w:cs="Arial"/>
        </w:rPr>
      </w:r>
      <w:r w:rsidR="00F217D3"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3</w:t>
      </w:r>
      <w:r w:rsidR="00F217D3" w:rsidRPr="0092670C">
        <w:rPr>
          <w:rFonts w:ascii="Arial" w:hAnsi="Arial" w:cs="Arial"/>
        </w:rPr>
        <w:fldChar w:fldCharType="end"/>
      </w:r>
      <w:r w:rsidR="00F217D3" w:rsidRPr="0092670C">
        <w:rPr>
          <w:rFonts w:ascii="Arial" w:hAnsi="Arial" w:cs="Arial"/>
        </w:rPr>
        <w:t xml:space="preserve"> </w:t>
      </w:r>
      <w:r w:rsidRPr="0092670C">
        <w:rPr>
          <w:rFonts w:ascii="Arial" w:hAnsi="Arial" w:cs="Arial"/>
        </w:rPr>
        <w:t xml:space="preserve">shows that pre-lithiation can lead to a large increase in the initial capacity of the cells. The pre-lithiated electrodes with LP30 electrolyte suffer from rapid capacity fade, only retaining ≈50% capacity after 100 cycles. For all cells where FEC was present in the electrolyte the capacity fade was reduced dramatically. This suggests that whilst pre-lithiation helps to improve the initial charge capacity FEC is still </w:t>
      </w:r>
      <w:r w:rsidR="004C7AEB">
        <w:rPr>
          <w:rFonts w:ascii="Arial" w:hAnsi="Arial" w:cs="Arial"/>
        </w:rPr>
        <w:t>required</w:t>
      </w:r>
      <w:r w:rsidRPr="0092670C">
        <w:rPr>
          <w:rFonts w:ascii="Arial" w:hAnsi="Arial" w:cs="Arial"/>
        </w:rPr>
        <w:t xml:space="preserve"> in the electrolyte for longer term cycling. It should be noted that even with the presence of FEC the capacity fade is unacceptably high and still higher in pre-lithiated cells than it is in the reference. This difference is most likely due to the destruction of the original SEI and the replacement that require Li. </w:t>
      </w:r>
      <w:r w:rsidR="009E73FF">
        <w:rPr>
          <w:rFonts w:ascii="Arial" w:hAnsi="Arial" w:cs="Arial"/>
        </w:rPr>
        <w:t xml:space="preserve">Such </w:t>
      </w:r>
      <w:r w:rsidR="00CB08DE">
        <w:rPr>
          <w:rFonts w:ascii="Arial" w:hAnsi="Arial" w:cs="Arial"/>
        </w:rPr>
        <w:t xml:space="preserve">regimes have been mention previously in the literature </w:t>
      </w:r>
      <w:r w:rsidR="00E946FF">
        <w:rPr>
          <w:rFonts w:ascii="Arial" w:hAnsi="Arial" w:cs="Arial"/>
        </w:rPr>
        <w:t>the SEI not being robust after the strains of multiple lithiation-delithiation reactions</w:t>
      </w:r>
      <w:r w:rsidR="00CB08DE">
        <w:rPr>
          <w:rFonts w:ascii="Arial" w:hAnsi="Arial" w:cs="Arial"/>
        </w:rPr>
        <w:t xml:space="preserve"> </w:t>
      </w:r>
      <w:r w:rsidR="00E65FAA">
        <w:rPr>
          <w:rFonts w:ascii="Arial" w:hAnsi="Arial" w:cs="Arial"/>
        </w:rPr>
        <w:fldChar w:fldCharType="begin">
          <w:fldData xml:space="preserve">PEVuZE5vdGU+PENpdGU+PEF1dGhvcj5Pa3VubzwvQXV0aG9yPjxZZWFyPjIwMTY8L1llYXI+PFJl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PEVuZE5vdGU+PENpdGU+PEF1dGhvcj5Pa3VubzwvQXV0aG9yPjxZZWFyPjIwMTY8L1llYXI+PFJl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00E65FAA">
        <w:rPr>
          <w:rFonts w:ascii="Arial" w:hAnsi="Arial" w:cs="Arial"/>
        </w:rPr>
      </w:r>
      <w:r w:rsidR="00E65FAA">
        <w:rPr>
          <w:rFonts w:ascii="Arial" w:hAnsi="Arial" w:cs="Arial"/>
        </w:rPr>
        <w:fldChar w:fldCharType="separate"/>
      </w:r>
      <w:r w:rsidR="0034337D">
        <w:rPr>
          <w:rFonts w:ascii="Arial" w:hAnsi="Arial" w:cs="Arial"/>
          <w:noProof/>
        </w:rPr>
        <w:t>[224, 229]</w:t>
      </w:r>
      <w:r w:rsidR="00E65FAA">
        <w:rPr>
          <w:rFonts w:ascii="Arial" w:hAnsi="Arial" w:cs="Arial"/>
        </w:rPr>
        <w:fldChar w:fldCharType="end"/>
      </w:r>
      <w:r w:rsidR="0098387E">
        <w:rPr>
          <w:rFonts w:ascii="Arial" w:hAnsi="Arial" w:cs="Arial"/>
        </w:rPr>
        <w:t>.</w:t>
      </w:r>
    </w:p>
    <w:p w14:paraId="10A4475D" w14:textId="6CD3BE01" w:rsidR="00DE0333" w:rsidRPr="0092670C" w:rsidRDefault="0067644A" w:rsidP="00DE0333">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7855DA4A">
          <v:shape id="_x0000_i1111" type="#_x0000_t75" style="width:348.1pt;height:270pt" o:ole="">
            <v:imagedata r:id="rId228" o:title=""/>
          </v:shape>
          <o:OLEObject Type="Embed" ProgID="Origin50.Graph" ShapeID="_x0000_i1111" DrawAspect="Content" ObjectID="_1700734000" r:id="rId229"/>
        </w:object>
      </w:r>
    </w:p>
    <w:p w14:paraId="095285A4" w14:textId="205A9715" w:rsidR="00DE0333" w:rsidRPr="0092670C" w:rsidRDefault="00DE0333" w:rsidP="00DE0333">
      <w:pPr>
        <w:pStyle w:val="Caption"/>
        <w:jc w:val="center"/>
        <w:rPr>
          <w:rFonts w:ascii="Arial" w:hAnsi="Arial" w:cs="Arial"/>
        </w:rPr>
      </w:pPr>
      <w:bookmarkStart w:id="238" w:name="_Ref31443621"/>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3</w:t>
      </w:r>
      <w:r w:rsidR="00356A26">
        <w:rPr>
          <w:rFonts w:ascii="Arial" w:hAnsi="Arial" w:cs="Arial"/>
          <w:sz w:val="20"/>
          <w:szCs w:val="20"/>
        </w:rPr>
        <w:fldChar w:fldCharType="end"/>
      </w:r>
      <w:bookmarkEnd w:id="238"/>
      <w:r w:rsidRPr="0092670C">
        <w:rPr>
          <w:rFonts w:ascii="Arial" w:hAnsi="Arial" w:cs="Arial"/>
          <w:sz w:val="20"/>
          <w:szCs w:val="20"/>
        </w:rPr>
        <w:t>: The effect of electrolyte choice on cell capacity.</w:t>
      </w:r>
    </w:p>
    <w:p w14:paraId="2E0B4DC9" w14:textId="07451AD9" w:rsidR="00A93DD5" w:rsidRPr="0092670C" w:rsidRDefault="00A93DD5" w:rsidP="00A93DD5">
      <w:pPr>
        <w:spacing w:line="360" w:lineRule="auto"/>
        <w:jc w:val="both"/>
        <w:rPr>
          <w:rFonts w:ascii="Arial" w:hAnsi="Arial" w:cs="Arial"/>
        </w:rPr>
      </w:pPr>
      <w:r w:rsidRPr="0092670C">
        <w:rPr>
          <w:rFonts w:ascii="Arial" w:hAnsi="Arial" w:cs="Arial"/>
        </w:rPr>
        <w:t>Differential capacity plots</w:t>
      </w:r>
      <w:r w:rsidR="002663FF" w:rsidRPr="0092670C">
        <w:rPr>
          <w:rFonts w:ascii="Arial" w:hAnsi="Arial" w:cs="Arial"/>
        </w:rPr>
        <w:t xml:space="preserve"> seen in </w:t>
      </w:r>
      <w:r w:rsidR="002663FF" w:rsidRPr="0092670C">
        <w:rPr>
          <w:rFonts w:ascii="Arial" w:hAnsi="Arial" w:cs="Arial"/>
        </w:rPr>
        <w:fldChar w:fldCharType="begin"/>
      </w:r>
      <w:r w:rsidR="002663FF" w:rsidRPr="0092670C">
        <w:rPr>
          <w:rFonts w:ascii="Arial" w:hAnsi="Arial" w:cs="Arial"/>
        </w:rPr>
        <w:instrText xml:space="preserve"> REF _Ref31403473 \h  \* MERGEFORMAT </w:instrText>
      </w:r>
      <w:r w:rsidR="002663FF" w:rsidRPr="0092670C">
        <w:rPr>
          <w:rFonts w:ascii="Arial" w:hAnsi="Arial" w:cs="Arial"/>
        </w:rPr>
      </w:r>
      <w:r w:rsidR="002663FF"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4</w:t>
      </w:r>
      <w:r w:rsidR="002663FF" w:rsidRPr="0092670C">
        <w:rPr>
          <w:rFonts w:ascii="Arial" w:hAnsi="Arial" w:cs="Arial"/>
        </w:rPr>
        <w:fldChar w:fldCharType="end"/>
      </w:r>
      <w:r w:rsidRPr="0092670C">
        <w:rPr>
          <w:rFonts w:ascii="Arial" w:hAnsi="Arial" w:cs="Arial"/>
        </w:rPr>
        <w:t xml:space="preserve"> show that the choice of electrolyte for pre-lithiation affects the Si </w:t>
      </w:r>
      <w:r w:rsidR="002B6100">
        <w:rPr>
          <w:rFonts w:ascii="Arial" w:hAnsi="Arial" w:cs="Arial"/>
        </w:rPr>
        <w:t>alloying</w:t>
      </w:r>
      <w:r w:rsidRPr="0092670C">
        <w:rPr>
          <w:rFonts w:ascii="Arial" w:hAnsi="Arial" w:cs="Arial"/>
        </w:rPr>
        <w:t xml:space="preserve">. Using FEC further reduced the voltage gap between </w:t>
      </w:r>
      <w:r w:rsidRPr="0092670C">
        <w:rPr>
          <w:rFonts w:ascii="Arial" w:hAnsi="Arial" w:cs="Arial"/>
          <w:i/>
        </w:rPr>
        <w:t>E</w:t>
      </w:r>
      <w:r w:rsidRPr="0092670C">
        <w:rPr>
          <w:rFonts w:ascii="Arial" w:hAnsi="Arial" w:cs="Arial"/>
          <w:i/>
          <w:vertAlign w:val="subscript"/>
        </w:rPr>
        <w:t>pa</w:t>
      </w:r>
      <w:r w:rsidRPr="0092670C">
        <w:rPr>
          <w:rFonts w:ascii="Arial" w:hAnsi="Arial" w:cs="Arial"/>
          <w:i/>
        </w:rPr>
        <w:t xml:space="preserve"> </w:t>
      </w:r>
      <w:r w:rsidRPr="0092670C">
        <w:rPr>
          <w:rFonts w:ascii="Arial" w:hAnsi="Arial" w:cs="Arial"/>
        </w:rPr>
        <w:t>&amp;</w:t>
      </w:r>
      <w:r w:rsidRPr="0092670C">
        <w:rPr>
          <w:rFonts w:ascii="Arial" w:hAnsi="Arial" w:cs="Arial"/>
          <w:i/>
        </w:rPr>
        <w:t xml:space="preserve"> E</w:t>
      </w:r>
      <w:r w:rsidRPr="0092670C">
        <w:rPr>
          <w:rFonts w:ascii="Arial" w:hAnsi="Arial" w:cs="Arial"/>
          <w:i/>
          <w:vertAlign w:val="subscript"/>
        </w:rPr>
        <w:t>pc</w:t>
      </w:r>
      <w:r w:rsidRPr="0092670C">
        <w:rPr>
          <w:rFonts w:ascii="Arial" w:hAnsi="Arial" w:cs="Arial"/>
        </w:rPr>
        <w:t xml:space="preserve">, helping to keep the lithiation reaction </w:t>
      </w:r>
      <w:r w:rsidR="00205077">
        <w:rPr>
          <w:rFonts w:ascii="Arial" w:hAnsi="Arial" w:cs="Arial"/>
        </w:rPr>
        <w:t>quasi-</w:t>
      </w:r>
      <w:r w:rsidRPr="0092670C">
        <w:rPr>
          <w:rFonts w:ascii="Arial" w:hAnsi="Arial" w:cs="Arial"/>
        </w:rPr>
        <w:t>reversible. The number of peaks seen suggest that the Si is already amorphous. The gap is much larger than is seen in graphite electrodes but this is typical and has been attributed to the high internal resistance of Si</w:t>
      </w:r>
      <w:r w:rsidR="00245AB0">
        <w:rPr>
          <w:rFonts w:ascii="Arial" w:hAnsi="Arial" w:cs="Arial"/>
        </w:rPr>
        <w:t> </w:t>
      </w:r>
      <w:r w:rsidRPr="0092670C">
        <w:rPr>
          <w:rFonts w:ascii="Arial" w:hAnsi="Arial" w:cs="Arial"/>
        </w:rPr>
        <w:fldChar w:fldCharType="begin"/>
      </w:r>
      <w:r w:rsidR="0034337D">
        <w:rPr>
          <w:rFonts w:ascii="Arial" w:hAnsi="Arial" w:cs="Arial"/>
        </w:rPr>
        <w:instrText xml:space="preserve"> ADDIN EN.CITE &lt;EndNote&gt;&lt;Cite&gt;&lt;Author&gt;Baranchugov&lt;/Author&gt;&lt;Year&gt;2007&lt;/Year&gt;&lt;RecNum&gt;348&lt;/RecNum&gt;&lt;DisplayText&gt;[238]&lt;/DisplayText&gt;&lt;record&gt;&lt;rec-number&gt;348&lt;/rec-number&gt;&lt;foreign-keys&gt;&lt;key app="EN" db-id="5sa9s0e0r0d9fnexra7pr5xdwd5ztevx95s2" timestamp="1564407544"&gt;348&lt;/key&gt;&lt;/foreign-keys&gt;&lt;ref-type name="Journal Article"&gt;17&lt;/ref-type&gt;&lt;contributors&gt;&lt;authors&gt;&lt;author&gt;Baranchugov, V.&lt;/author&gt;&lt;author&gt;Markevich, E.&lt;/author&gt;&lt;author&gt;Pollak, E.&lt;/author&gt;&lt;author&gt;Salitra, G.&lt;/author&gt;&lt;author&gt;Aurbach, D.&lt;/author&gt;&lt;/authors&gt;&lt;/contributors&gt;&lt;titles&gt;&lt;title&gt;Amorphous silicon thin films as a high capacity anodes for Li-ion batteries in ionic liquid electrolytes&lt;/title&gt;&lt;secondary-title&gt;Electrochemistry Communications&lt;/secondary-title&gt;&lt;/titles&gt;&lt;periodical&gt;&lt;full-title&gt;Electrochemistry Communications&lt;/full-title&gt;&lt;/periodical&gt;&lt;pages&gt;796-800&lt;/pages&gt;&lt;volume&gt;9&lt;/volume&gt;&lt;number&gt;4&lt;/number&gt;&lt;keywords&gt;&lt;keyword&gt;Ionic liquids&lt;/keyword&gt;&lt;keyword&gt;Lithium batteries&lt;/keyword&gt;&lt;keyword&gt;Amorphous silicon&lt;/keyword&gt;&lt;keyword&gt;Silicon anodes&lt;/keyword&gt;&lt;/keywords&gt;&lt;dates&gt;&lt;year&gt;2007&lt;/year&gt;&lt;pub-dates&gt;&lt;date&gt;2007/04/01/&lt;/date&gt;&lt;/pub-dates&gt;&lt;/dates&gt;&lt;isbn&gt;1388-2481&lt;/isbn&gt;&lt;urls&gt;&lt;related-urls&gt;&lt;url&gt;http://www.sciencedirect.com/science/article/pii/S1388248106005261&lt;/url&gt;&lt;/related-urls&gt;&lt;/urls&gt;&lt;electronic-resource-num&gt;https://doi.org/10.1016/j.elecom.2006.11.014&lt;/electronic-resource-num&gt;&lt;/record&gt;&lt;/Cite&gt;&lt;/EndNote&gt;</w:instrText>
      </w:r>
      <w:r w:rsidRPr="0092670C">
        <w:rPr>
          <w:rFonts w:ascii="Arial" w:hAnsi="Arial" w:cs="Arial"/>
        </w:rPr>
        <w:fldChar w:fldCharType="separate"/>
      </w:r>
      <w:r w:rsidR="0034337D">
        <w:rPr>
          <w:rFonts w:ascii="Arial" w:hAnsi="Arial" w:cs="Arial"/>
          <w:noProof/>
        </w:rPr>
        <w:t>[238]</w:t>
      </w:r>
      <w:r w:rsidRPr="0092670C">
        <w:rPr>
          <w:rFonts w:ascii="Arial" w:hAnsi="Arial" w:cs="Arial"/>
        </w:rPr>
        <w:fldChar w:fldCharType="end"/>
      </w:r>
      <w:r w:rsidRPr="0092670C">
        <w:rPr>
          <w:rFonts w:ascii="Arial" w:hAnsi="Arial" w:cs="Arial"/>
        </w:rPr>
        <w:t>.</w:t>
      </w:r>
    </w:p>
    <w:p w14:paraId="02B3D7B6" w14:textId="77777777"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2" w:dyaOrig="4722" w14:anchorId="6EEDCEA6">
          <v:shape id="_x0000_i1112" type="#_x0000_t75" style="width:312.1pt;height:240.1pt" o:ole="">
            <v:imagedata r:id="rId230" o:title=""/>
          </v:shape>
          <o:OLEObject Type="Embed" ProgID="Origin95.Graph" ShapeID="_x0000_i1112" DrawAspect="Content" ObjectID="_1700734001" r:id="rId231"/>
        </w:object>
      </w:r>
    </w:p>
    <w:p w14:paraId="486723BA" w14:textId="6C24F179" w:rsidR="00A93DD5" w:rsidRPr="0092670C" w:rsidRDefault="00A93DD5" w:rsidP="00A93DD5">
      <w:pPr>
        <w:pStyle w:val="Caption"/>
        <w:spacing w:line="360" w:lineRule="auto"/>
        <w:jc w:val="center"/>
        <w:rPr>
          <w:rFonts w:ascii="Arial" w:hAnsi="Arial" w:cs="Arial"/>
          <w:sz w:val="20"/>
          <w:szCs w:val="20"/>
        </w:rPr>
      </w:pPr>
      <w:bookmarkStart w:id="239" w:name="_Ref31403473"/>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bookmarkEnd w:id="239"/>
      <w:r w:rsidRPr="0092670C">
        <w:rPr>
          <w:rFonts w:ascii="Arial" w:hAnsi="Arial" w:cs="Arial"/>
          <w:sz w:val="20"/>
          <w:szCs w:val="20"/>
        </w:rPr>
        <w:t xml:space="preserve">: </w:t>
      </w:r>
      <w:r w:rsidR="00F7366F" w:rsidRPr="0092670C">
        <w:rPr>
          <w:rFonts w:ascii="Arial" w:hAnsi="Arial" w:cs="Arial"/>
          <w:sz w:val="20"/>
          <w:szCs w:val="20"/>
        </w:rPr>
        <w:t>D</w:t>
      </w:r>
      <w:r w:rsidRPr="0092670C">
        <w:rPr>
          <w:rFonts w:ascii="Arial" w:hAnsi="Arial" w:cs="Arial"/>
          <w:sz w:val="20"/>
          <w:szCs w:val="20"/>
        </w:rPr>
        <w:t>ifferential capacity plot comparing cells pre-lithiated in LP30 &amp; FEC</w:t>
      </w:r>
      <w:r w:rsidR="00F7366F" w:rsidRPr="0092670C">
        <w:rPr>
          <w:rFonts w:ascii="Arial" w:hAnsi="Arial" w:cs="Arial"/>
          <w:sz w:val="20"/>
          <w:szCs w:val="20"/>
        </w:rPr>
        <w:t>.</w:t>
      </w:r>
    </w:p>
    <w:p w14:paraId="37D282C5" w14:textId="77777777" w:rsidR="00A93DD5" w:rsidRPr="0092670C" w:rsidRDefault="00A93DD5" w:rsidP="00516791">
      <w:pPr>
        <w:pStyle w:val="Heading3"/>
        <w:rPr>
          <w:rFonts w:ascii="Arial" w:hAnsi="Arial" w:cs="Arial"/>
          <w:bCs/>
        </w:rPr>
      </w:pPr>
      <w:bookmarkStart w:id="240" w:name="_Toc82538787"/>
      <w:r w:rsidRPr="0092670C">
        <w:rPr>
          <w:rFonts w:ascii="Arial" w:hAnsi="Arial" w:cs="Arial"/>
          <w:bCs/>
        </w:rPr>
        <w:t>Conclusion</w:t>
      </w:r>
      <w:bookmarkEnd w:id="240"/>
    </w:p>
    <w:p w14:paraId="21EF9523" w14:textId="5568C86B" w:rsidR="00A93DD5" w:rsidRPr="0092670C" w:rsidRDefault="00A93DD5" w:rsidP="00A93DD5">
      <w:pPr>
        <w:spacing w:line="360" w:lineRule="auto"/>
        <w:jc w:val="both"/>
        <w:rPr>
          <w:rFonts w:ascii="Arial" w:hAnsi="Arial" w:cs="Arial"/>
          <w:bCs/>
        </w:rPr>
      </w:pPr>
      <w:r w:rsidRPr="0092670C">
        <w:rPr>
          <w:rFonts w:ascii="Arial" w:hAnsi="Arial" w:cs="Arial"/>
          <w:bCs/>
        </w:rPr>
        <w:t xml:space="preserve">Using FEC is vital to ensure that pre-lithiated cells have the lowest amount of capacity fade possible. Pre-lithiation on its own increases the initial capacities improves capacity in the early stages but quickly falls behind dropping below the reference cell. </w:t>
      </w:r>
      <w:r w:rsidR="0014629D" w:rsidRPr="0092670C">
        <w:rPr>
          <w:rFonts w:ascii="Arial" w:hAnsi="Arial" w:cs="Arial"/>
          <w:bCs/>
        </w:rPr>
        <w:t>This is most likely due</w:t>
      </w:r>
      <w:r w:rsidR="00210CF7" w:rsidRPr="0092670C">
        <w:rPr>
          <w:rFonts w:ascii="Arial" w:hAnsi="Arial" w:cs="Arial"/>
          <w:bCs/>
        </w:rPr>
        <w:t xml:space="preserve"> to </w:t>
      </w:r>
      <w:r w:rsidR="000E1D98" w:rsidRPr="0092670C">
        <w:rPr>
          <w:rFonts w:ascii="Arial" w:hAnsi="Arial" w:cs="Arial"/>
          <w:bCs/>
        </w:rPr>
        <w:t xml:space="preserve">Si expansion destroying some of the pre-lithiated SEI. </w:t>
      </w:r>
      <w:r w:rsidRPr="0092670C">
        <w:rPr>
          <w:rFonts w:ascii="Arial" w:hAnsi="Arial" w:cs="Arial"/>
          <w:bCs/>
        </w:rPr>
        <w:t xml:space="preserve">Combining FEC based electrolyte and pre-lithiating the electrode in FEC give the cell much higher capacity and a </w:t>
      </w:r>
      <w:r w:rsidR="00212652" w:rsidRPr="0092670C">
        <w:rPr>
          <w:rFonts w:ascii="Arial" w:hAnsi="Arial" w:cs="Arial"/>
          <w:bCs/>
        </w:rPr>
        <w:t>smaller</w:t>
      </w:r>
      <w:r w:rsidRPr="0092670C">
        <w:rPr>
          <w:rFonts w:ascii="Arial" w:hAnsi="Arial" w:cs="Arial"/>
          <w:bCs/>
        </w:rPr>
        <w:t xml:space="preserve"> capacity fade tha</w:t>
      </w:r>
      <w:r w:rsidR="00212652" w:rsidRPr="0092670C">
        <w:rPr>
          <w:rFonts w:ascii="Arial" w:hAnsi="Arial" w:cs="Arial"/>
          <w:bCs/>
        </w:rPr>
        <w:t>n the cells pre-lithiated in LP30</w:t>
      </w:r>
      <w:r w:rsidR="0093055E" w:rsidRPr="0092670C">
        <w:rPr>
          <w:rFonts w:ascii="Arial" w:hAnsi="Arial" w:cs="Arial"/>
          <w:bCs/>
        </w:rPr>
        <w:t xml:space="preserve">. </w:t>
      </w:r>
      <w:r w:rsidR="0066168B" w:rsidRPr="0092670C">
        <w:rPr>
          <w:rFonts w:ascii="Arial" w:hAnsi="Arial" w:cs="Arial"/>
          <w:bCs/>
        </w:rPr>
        <w:t>This combination</w:t>
      </w:r>
      <w:r w:rsidRPr="0092670C">
        <w:rPr>
          <w:rFonts w:ascii="Arial" w:hAnsi="Arial" w:cs="Arial"/>
          <w:bCs/>
        </w:rPr>
        <w:t xml:space="preserve"> gives the cell a substantial performance improvement over the reference cell. </w:t>
      </w:r>
    </w:p>
    <w:p w14:paraId="37D575B9" w14:textId="2945D6EC" w:rsidR="00516791" w:rsidRPr="0092670C" w:rsidRDefault="00A93DD5" w:rsidP="00AB2C02">
      <w:pPr>
        <w:pStyle w:val="Heading2"/>
        <w:rPr>
          <w:rFonts w:ascii="Arial" w:hAnsi="Arial" w:cs="Arial"/>
        </w:rPr>
      </w:pPr>
      <w:bookmarkStart w:id="241" w:name="_Toc82538788"/>
      <w:r w:rsidRPr="0092670C">
        <w:rPr>
          <w:rFonts w:ascii="Arial" w:hAnsi="Arial" w:cs="Arial"/>
        </w:rPr>
        <w:t>Electrochemical pre-lithiation of silicon</w:t>
      </w:r>
      <w:bookmarkEnd w:id="241"/>
    </w:p>
    <w:p w14:paraId="7752ECBB" w14:textId="71B9436D" w:rsidR="00AB2C02" w:rsidRPr="0092670C" w:rsidRDefault="00A83A5B" w:rsidP="0003109F">
      <w:pPr>
        <w:spacing w:line="360" w:lineRule="auto"/>
        <w:jc w:val="both"/>
        <w:rPr>
          <w:rFonts w:ascii="Arial" w:hAnsi="Arial" w:cs="Arial"/>
        </w:rPr>
      </w:pPr>
      <w:r w:rsidRPr="0092670C">
        <w:rPr>
          <w:rFonts w:ascii="Arial" w:hAnsi="Arial" w:cs="Arial"/>
        </w:rPr>
        <w:t>Si/SiO</w:t>
      </w:r>
      <w:r w:rsidRPr="0092670C">
        <w:rPr>
          <w:rFonts w:ascii="Arial" w:hAnsi="Arial" w:cs="Arial"/>
          <w:vertAlign w:val="subscript"/>
        </w:rPr>
        <w:t xml:space="preserve">x </w:t>
      </w:r>
      <w:r w:rsidR="00546409" w:rsidRPr="0092670C">
        <w:rPr>
          <w:rFonts w:ascii="Arial" w:hAnsi="Arial" w:cs="Arial"/>
        </w:rPr>
        <w:t xml:space="preserve">composites </w:t>
      </w:r>
      <w:r w:rsidRPr="0092670C">
        <w:rPr>
          <w:rFonts w:ascii="Arial" w:hAnsi="Arial" w:cs="Arial"/>
        </w:rPr>
        <w:t xml:space="preserve">have previously </w:t>
      </w:r>
      <w:r w:rsidR="00F95EE6" w:rsidRPr="0092670C">
        <w:rPr>
          <w:rFonts w:ascii="Arial" w:hAnsi="Arial" w:cs="Arial"/>
        </w:rPr>
        <w:t xml:space="preserve">been </w:t>
      </w:r>
      <w:r w:rsidR="00546409" w:rsidRPr="0092670C">
        <w:rPr>
          <w:rFonts w:ascii="Arial" w:hAnsi="Arial" w:cs="Arial"/>
        </w:rPr>
        <w:t xml:space="preserve">electrochemically pre-lithiated </w:t>
      </w:r>
      <w:r w:rsidR="006016F6" w:rsidRPr="0092670C">
        <w:rPr>
          <w:rFonts w:ascii="Arial" w:hAnsi="Arial" w:cs="Arial"/>
        </w:rPr>
        <w:t xml:space="preserve">over a range of times to </w:t>
      </w:r>
      <w:r w:rsidR="00754B28" w:rsidRPr="0092670C">
        <w:rPr>
          <w:rFonts w:ascii="Arial" w:hAnsi="Arial" w:cs="Arial"/>
        </w:rPr>
        <w:t xml:space="preserve">demonstrates the effectiveness of this method for </w:t>
      </w:r>
      <w:r w:rsidR="00F34BD1" w:rsidRPr="0092670C">
        <w:rPr>
          <w:rFonts w:ascii="Arial" w:hAnsi="Arial" w:cs="Arial"/>
        </w:rPr>
        <w:t>Si</w:t>
      </w:r>
      <w:r w:rsidR="00DE3C14" w:rsidRPr="0092670C">
        <w:rPr>
          <w:rFonts w:ascii="Arial" w:hAnsi="Arial" w:cs="Arial"/>
        </w:rPr>
        <w:t xml:space="preserve"> electrodes</w:t>
      </w:r>
      <w:r w:rsidR="00FD699B" w:rsidRPr="0092670C">
        <w:rPr>
          <w:rFonts w:ascii="Arial" w:hAnsi="Arial" w:cs="Arial"/>
        </w:rPr>
        <w:t xml:space="preserve"> </w:t>
      </w:r>
      <w:r w:rsidR="00830858" w:rsidRPr="0092670C">
        <w:rPr>
          <w:rFonts w:ascii="Arial" w:hAnsi="Arial" w:cs="Arial"/>
        </w:rPr>
        <w:fldChar w:fldCharType="begin"/>
      </w:r>
      <w:r w:rsidR="0034337D">
        <w:rPr>
          <w:rFonts w:ascii="Arial" w:hAnsi="Arial" w:cs="Arial"/>
        </w:rPr>
        <w:instrText xml:space="preserve"> ADDIN EN.CITE &lt;EndNote&gt;&lt;Cite&gt;&lt;Author&gt;Kim&lt;/Author&gt;&lt;Year&gt;2016&lt;/Year&gt;&lt;RecNum&gt;145&lt;/RecNum&gt;&lt;DisplayText&gt;[137]&lt;/DisplayText&gt;&lt;record&gt;&lt;rec-number&gt;145&lt;/rec-number&gt;&lt;foreign-keys&gt;&lt;key app="EN" db-id="5sa9s0e0r0d9fnexra7pr5xdwd5ztevx95s2" timestamp="1536587428"&gt;145&lt;/key&gt;&lt;/foreign-keys&gt;&lt;ref-type name="Journal Article"&gt;17&lt;/ref-type&gt;&lt;contributors&gt;&lt;authors&gt;&lt;author&gt;Kim, Hye Jin&lt;/author&gt;&lt;author&gt;Choi, Sunghun&lt;/author&gt;&lt;author&gt;Lee, Seung Jong&lt;/author&gt;&lt;author&gt;Seo, Myung Won&lt;/author&gt;&lt;author&gt;Lee, Jae Goo&lt;/author&gt;&lt;author&gt;Deniz, Erhan&lt;/author&gt;&lt;author&gt;Lee, Yong Ju&lt;/author&gt;&lt;author&gt;Kim, Eun Kyung&lt;/author&gt;&lt;author&gt;Choi, Jang Wook&lt;/author&gt;&lt;/authors&gt;&lt;/contributors&gt;&lt;titles&gt;&lt;title&gt;Controlled Prelithiation of Silicon Monoxide for High Performance Lithium-Ion Rechargeable Full Cells&lt;/title&gt;&lt;secondary-title&gt;Nano Letters&lt;/secondary-title&gt;&lt;/titles&gt;&lt;periodical&gt;&lt;full-title&gt;Nano Letters&lt;/full-title&gt;&lt;abbr-1&gt;Nano Lett.&lt;/abbr-1&gt;&lt;/periodical&gt;&lt;pages&gt;282-288&lt;/pages&gt;&lt;volume&gt;16&lt;/volume&gt;&lt;number&gt;1&lt;/number&gt;&lt;dates&gt;&lt;year&gt;2016&lt;/year&gt;&lt;pub-dates&gt;&lt;date&gt;2016/01/13&lt;/date&gt;&lt;/pub-dates&gt;&lt;/dates&gt;&lt;publisher&gt;American Chemical Society&lt;/publisher&gt;&lt;isbn&gt;1530-6984&lt;/isbn&gt;&lt;urls&gt;&lt;related-urls&gt;&lt;url&gt;https://doi.org/10.1021/acs.nanolett.5b03776&lt;/url&gt;&lt;/related-urls&gt;&lt;/urls&gt;&lt;electronic-resource-num&gt;10.1021/acs.nanolett.5b03776&lt;/electronic-resource-num&gt;&lt;/record&gt;&lt;/Cite&gt;&lt;/EndNote&gt;</w:instrText>
      </w:r>
      <w:r w:rsidR="00830858" w:rsidRPr="0092670C">
        <w:rPr>
          <w:rFonts w:ascii="Arial" w:hAnsi="Arial" w:cs="Arial"/>
        </w:rPr>
        <w:fldChar w:fldCharType="separate"/>
      </w:r>
      <w:r w:rsidR="0034337D">
        <w:rPr>
          <w:rFonts w:ascii="Arial" w:hAnsi="Arial" w:cs="Arial"/>
          <w:noProof/>
        </w:rPr>
        <w:t>[137]</w:t>
      </w:r>
      <w:r w:rsidR="00830858" w:rsidRPr="0092670C">
        <w:rPr>
          <w:rFonts w:ascii="Arial" w:hAnsi="Arial" w:cs="Arial"/>
        </w:rPr>
        <w:fldChar w:fldCharType="end"/>
      </w:r>
      <w:r w:rsidR="00A4276B" w:rsidRPr="0092670C">
        <w:rPr>
          <w:rFonts w:ascii="Arial" w:hAnsi="Arial" w:cs="Arial"/>
        </w:rPr>
        <w:t xml:space="preserve">. </w:t>
      </w:r>
      <w:r w:rsidR="00F06354" w:rsidRPr="0092670C">
        <w:rPr>
          <w:rFonts w:ascii="Arial" w:hAnsi="Arial" w:cs="Arial"/>
        </w:rPr>
        <w:t xml:space="preserve">This </w:t>
      </w:r>
      <w:r w:rsidR="00A33B1E" w:rsidRPr="0092670C">
        <w:rPr>
          <w:rFonts w:ascii="Arial" w:hAnsi="Arial" w:cs="Arial"/>
        </w:rPr>
        <w:t xml:space="preserve">research was only focused on a single type of Si based anode and exclusively used </w:t>
      </w:r>
      <w:r w:rsidR="004906BF" w:rsidRPr="0092670C">
        <w:rPr>
          <w:rFonts w:ascii="Arial" w:hAnsi="Arial" w:cs="Arial"/>
        </w:rPr>
        <w:t xml:space="preserve">electrochemical pre-lithiation. Due to the </w:t>
      </w:r>
      <w:r w:rsidR="00804C4A" w:rsidRPr="0092670C">
        <w:rPr>
          <w:rFonts w:ascii="Arial" w:hAnsi="Arial" w:cs="Arial"/>
        </w:rPr>
        <w:t>r</w:t>
      </w:r>
      <w:r w:rsidR="00213C45" w:rsidRPr="0092670C">
        <w:rPr>
          <w:rFonts w:ascii="Arial" w:hAnsi="Arial" w:cs="Arial"/>
        </w:rPr>
        <w:t xml:space="preserve">ange of different Si </w:t>
      </w:r>
      <w:r w:rsidR="0069461A" w:rsidRPr="0092670C">
        <w:rPr>
          <w:rFonts w:ascii="Arial" w:hAnsi="Arial" w:cs="Arial"/>
        </w:rPr>
        <w:t>materials</w:t>
      </w:r>
      <w:r w:rsidR="00213C45" w:rsidRPr="0092670C">
        <w:rPr>
          <w:rFonts w:ascii="Arial" w:hAnsi="Arial" w:cs="Arial"/>
        </w:rPr>
        <w:t xml:space="preserve"> under investigation </w:t>
      </w:r>
      <w:r w:rsidR="0069461A" w:rsidRPr="0092670C">
        <w:rPr>
          <w:rFonts w:ascii="Arial" w:hAnsi="Arial" w:cs="Arial"/>
        </w:rPr>
        <w:t xml:space="preserve">it </w:t>
      </w:r>
      <w:r w:rsidR="00E2048D" w:rsidRPr="0092670C">
        <w:rPr>
          <w:rFonts w:ascii="Arial" w:hAnsi="Arial" w:cs="Arial"/>
        </w:rPr>
        <w:t xml:space="preserve">is important to </w:t>
      </w:r>
      <w:r w:rsidR="00EB10C0" w:rsidRPr="0092670C">
        <w:rPr>
          <w:rFonts w:ascii="Arial" w:hAnsi="Arial" w:cs="Arial"/>
        </w:rPr>
        <w:t xml:space="preserve">observe if this technique is </w:t>
      </w:r>
      <w:r w:rsidR="005B4C29" w:rsidRPr="0092670C">
        <w:rPr>
          <w:rFonts w:ascii="Arial" w:hAnsi="Arial" w:cs="Arial"/>
        </w:rPr>
        <w:t xml:space="preserve">transferable to other </w:t>
      </w:r>
      <w:r w:rsidR="00DF474D" w:rsidRPr="0092670C">
        <w:rPr>
          <w:rFonts w:ascii="Arial" w:hAnsi="Arial" w:cs="Arial"/>
        </w:rPr>
        <w:t>Si anode types</w:t>
      </w:r>
      <w:r w:rsidR="00CD7295" w:rsidRPr="0092670C">
        <w:rPr>
          <w:rFonts w:ascii="Arial" w:hAnsi="Arial" w:cs="Arial"/>
        </w:rPr>
        <w:t>.</w:t>
      </w:r>
    </w:p>
    <w:p w14:paraId="4E2033C3" w14:textId="5D94FDB2" w:rsidR="00A93DD5" w:rsidRPr="0092670C" w:rsidRDefault="00A93DD5" w:rsidP="00516791">
      <w:pPr>
        <w:pStyle w:val="Heading3"/>
        <w:rPr>
          <w:rFonts w:ascii="Arial" w:hAnsi="Arial" w:cs="Arial"/>
          <w:bCs/>
        </w:rPr>
      </w:pPr>
      <w:bookmarkStart w:id="242" w:name="_Toc82538789"/>
      <w:r w:rsidRPr="0092670C">
        <w:rPr>
          <w:rFonts w:ascii="Arial" w:hAnsi="Arial" w:cs="Arial"/>
          <w:bCs/>
        </w:rPr>
        <w:t>Experimental</w:t>
      </w:r>
      <w:bookmarkEnd w:id="242"/>
    </w:p>
    <w:p w14:paraId="199183AC" w14:textId="5F0C3EA9" w:rsidR="00F30AFA" w:rsidRPr="00F30AFA" w:rsidRDefault="00F30AFA" w:rsidP="00F30AFA">
      <w:pPr>
        <w:spacing w:line="360" w:lineRule="auto"/>
        <w:jc w:val="both"/>
        <w:rPr>
          <w:rFonts w:ascii="Arial" w:hAnsi="Arial" w:cs="Arial"/>
        </w:rPr>
      </w:pPr>
      <w:r w:rsidRPr="00F30AFA">
        <w:rPr>
          <w:rFonts w:ascii="Arial" w:hAnsi="Arial" w:cs="Arial"/>
        </w:rPr>
        <w:t>Si electrodes were kindly provided by Dr. Entwistle</w:t>
      </w:r>
      <w:r w:rsidR="002C6D7A">
        <w:rPr>
          <w:rFonts w:ascii="Arial" w:hAnsi="Arial" w:cs="Arial"/>
        </w:rPr>
        <w:t xml:space="preserve"> with the material made </w:t>
      </w:r>
      <w:r w:rsidR="0081739D">
        <w:rPr>
          <w:rFonts w:ascii="Arial" w:hAnsi="Arial" w:cs="Arial"/>
        </w:rPr>
        <w:t xml:space="preserve">as described in </w:t>
      </w:r>
      <w:r w:rsidR="0081739D">
        <w:rPr>
          <w:rFonts w:ascii="Arial" w:hAnsi="Arial" w:cs="Arial"/>
        </w:rPr>
        <w:fldChar w:fldCharType="begin"/>
      </w:r>
      <w:r w:rsidR="0081739D">
        <w:rPr>
          <w:rFonts w:ascii="Arial" w:hAnsi="Arial" w:cs="Arial"/>
        </w:rPr>
        <w:instrText xml:space="preserve"> REF _Ref82862201 \r \h </w:instrText>
      </w:r>
      <w:r w:rsidR="0081739D">
        <w:rPr>
          <w:rFonts w:ascii="Arial" w:hAnsi="Arial" w:cs="Arial"/>
        </w:rPr>
      </w:r>
      <w:r w:rsidR="0081739D">
        <w:rPr>
          <w:rFonts w:ascii="Arial" w:hAnsi="Arial" w:cs="Arial"/>
        </w:rPr>
        <w:fldChar w:fldCharType="separate"/>
      </w:r>
      <w:r w:rsidR="0081739D">
        <w:rPr>
          <w:rFonts w:ascii="Arial" w:hAnsi="Arial" w:cs="Arial"/>
        </w:rPr>
        <w:t>2.1.2</w:t>
      </w:r>
      <w:r w:rsidR="0081739D">
        <w:rPr>
          <w:rFonts w:ascii="Arial" w:hAnsi="Arial" w:cs="Arial"/>
        </w:rPr>
        <w:fldChar w:fldCharType="end"/>
      </w:r>
      <w:r w:rsidRPr="00F30AFA">
        <w:rPr>
          <w:rFonts w:ascii="Arial" w:hAnsi="Arial" w:cs="Arial"/>
        </w:rPr>
        <w:t xml:space="preserve">. They were produced using the same method as that outlined in 2.2.1. More about the production of the Si active material can be found in Entwistle et al. paper </w:t>
      </w:r>
      <w:r w:rsidRPr="00F30AFA">
        <w:rPr>
          <w:rFonts w:ascii="Arial" w:hAnsi="Arial" w:cs="Arial"/>
        </w:rPr>
        <w:fldChar w:fldCharType="begin"/>
      </w:r>
      <w:r w:rsidR="0034337D">
        <w:rPr>
          <w:rFonts w:ascii="Arial" w:hAnsi="Arial" w:cs="Arial"/>
        </w:rPr>
        <w:instrText xml:space="preserve"> ADDIN EN.CITE &lt;EndNote&gt;&lt;Cite&gt;&lt;Author&gt;Entwistle&lt;/Author&gt;&lt;Year&gt;2018&lt;/Year&gt;&lt;RecNum&gt;346&lt;/RecNum&gt;&lt;DisplayText&gt;[239]&lt;/DisplayText&gt;&lt;record&gt;&lt;rec-number&gt;346&lt;/rec-number&gt;&lt;foreign-keys&gt;&lt;key app="EN" db-id="5sa9s0e0r0d9fnexra7pr5xdwd5ztevx95s2" timestamp="1564164298"&gt;346&lt;/key&gt;&lt;/foreign-keys&gt;&lt;ref-type name="Journal Article"&gt;17&lt;/ref-type&gt;&lt;contributors&gt;&lt;authors&gt;&lt;author&gt;Entwistle, Jake&lt;/author&gt;&lt;author&gt;Rennie, Anthony&lt;/author&gt;&lt;author&gt;Patwardhan, Siddharth&lt;/author&gt;&lt;/authors&gt;&lt;/contributors&gt;&lt;titles&gt;&lt;title&gt;A review of magnesiothermic reduction of silica to porous silicon for lithium-ion battery applications and beyond&lt;/title&gt;&lt;secondary-title&gt;Journal of Materials Chemistry A&lt;/secondary-title&gt;&lt;/titles&gt;&lt;periodical&gt;&lt;full-title&gt;Journal of Materials Chemistry A&lt;/full-title&gt;&lt;/periodical&gt;&lt;pages&gt;18344-18356&lt;/pages&gt;&lt;volume&gt;6&lt;/volume&gt;&lt;number&gt;38&lt;/number&gt;&lt;dates&gt;&lt;year&gt;2018&lt;/year&gt;&lt;/dates&gt;&lt;publisher&gt;The Royal Society of Chemistry&lt;/publisher&gt;&lt;isbn&gt;2050-7488&lt;/isbn&gt;&lt;work-type&gt;10.1039/C8TA06370B&lt;/work-type&gt;&lt;urls&gt;&lt;related-urls&gt;&lt;url&gt;http://dx.doi.org/10.1039/C8TA06370B&lt;/url&gt;&lt;/related-urls&gt;&lt;/urls&gt;&lt;electronic-resource-num&gt;10.1039/C8TA06370B&lt;/electronic-resource-num&gt;&lt;/record&gt;&lt;/Cite&gt;&lt;/EndNote&gt;</w:instrText>
      </w:r>
      <w:r w:rsidRPr="00F30AFA">
        <w:rPr>
          <w:rFonts w:ascii="Arial" w:hAnsi="Arial" w:cs="Arial"/>
        </w:rPr>
        <w:fldChar w:fldCharType="separate"/>
      </w:r>
      <w:r w:rsidR="0034337D">
        <w:rPr>
          <w:rFonts w:ascii="Arial" w:hAnsi="Arial" w:cs="Arial"/>
          <w:noProof/>
        </w:rPr>
        <w:t>[239]</w:t>
      </w:r>
      <w:r w:rsidRPr="00F30AFA">
        <w:rPr>
          <w:rFonts w:ascii="Arial" w:hAnsi="Arial" w:cs="Arial"/>
        </w:rPr>
        <w:fldChar w:fldCharType="end"/>
      </w:r>
      <w:r w:rsidRPr="00F30AFA">
        <w:rPr>
          <w:rFonts w:ascii="Arial" w:hAnsi="Arial" w:cs="Arial"/>
        </w:rPr>
        <w:t>. Electrodes were then made into coin cells and pre-lithiated electrochemically as described in 2.3.2 using LP30 + 10wt.% FEC as the electrolyte. These electrodes were then assembled into coin cells using either LP30 + 10wt.% FEC as the electrolyte. The coin cells were cycled at C/10 for 100 cycles using CC/CV cycling for the charge on a Maccor series 4000M at 25°C. For reference fresh electrodes were cycled in LP30 + 10wt.% FEC.</w:t>
      </w:r>
    </w:p>
    <w:p w14:paraId="62D97092" w14:textId="77777777" w:rsidR="00A93DD5" w:rsidRPr="0092670C" w:rsidRDefault="00A93DD5" w:rsidP="00516791">
      <w:pPr>
        <w:pStyle w:val="Heading3"/>
        <w:rPr>
          <w:rFonts w:ascii="Arial" w:hAnsi="Arial" w:cs="Arial"/>
        </w:rPr>
      </w:pPr>
      <w:bookmarkStart w:id="243" w:name="_Toc82538790"/>
      <w:r w:rsidRPr="0092670C">
        <w:rPr>
          <w:rFonts w:ascii="Arial" w:hAnsi="Arial" w:cs="Arial"/>
        </w:rPr>
        <w:t>Results</w:t>
      </w:r>
      <w:bookmarkEnd w:id="243"/>
    </w:p>
    <w:p w14:paraId="0827C475" w14:textId="05C8D87C" w:rsidR="00F81CEE" w:rsidRDefault="00C50B93" w:rsidP="00A93DD5">
      <w:pPr>
        <w:spacing w:line="360" w:lineRule="auto"/>
        <w:jc w:val="both"/>
        <w:rPr>
          <w:rFonts w:ascii="Arial" w:hAnsi="Arial" w:cs="Arial"/>
        </w:rPr>
      </w:pPr>
      <w:r w:rsidRPr="0092670C">
        <w:rPr>
          <w:rFonts w:ascii="Arial" w:hAnsi="Arial" w:cs="Arial"/>
        </w:rPr>
        <w:fldChar w:fldCharType="begin"/>
      </w:r>
      <w:r w:rsidRPr="0092670C">
        <w:rPr>
          <w:rFonts w:ascii="Arial" w:hAnsi="Arial" w:cs="Arial"/>
        </w:rPr>
        <w:instrText xml:space="preserve"> REF _Ref1994252 \h </w:instrText>
      </w:r>
      <w:r w:rsidR="00B06371" w:rsidRPr="0092670C">
        <w:rPr>
          <w:rFonts w:ascii="Arial" w:hAnsi="Arial" w:cs="Arial"/>
        </w:rPr>
        <w:instrText xml:space="preserve">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5</w:t>
      </w:r>
      <w:r w:rsidRPr="0092670C">
        <w:rPr>
          <w:rFonts w:ascii="Arial" w:hAnsi="Arial" w:cs="Arial"/>
        </w:rPr>
        <w:fldChar w:fldCharType="end"/>
      </w:r>
      <w:r w:rsidRPr="0092670C">
        <w:rPr>
          <w:rFonts w:ascii="Arial" w:hAnsi="Arial" w:cs="Arial"/>
        </w:rPr>
        <w:t xml:space="preserve"> demonstrates the effect </w:t>
      </w:r>
      <w:r w:rsidR="00951240" w:rsidRPr="0092670C">
        <w:rPr>
          <w:rFonts w:ascii="Arial" w:hAnsi="Arial" w:cs="Arial"/>
        </w:rPr>
        <w:t>that pre-</w:t>
      </w:r>
      <w:r w:rsidR="00CD0DCA" w:rsidRPr="0092670C">
        <w:rPr>
          <w:rFonts w:ascii="Arial" w:hAnsi="Arial" w:cs="Arial"/>
        </w:rPr>
        <w:t>lithiating</w:t>
      </w:r>
      <w:r w:rsidR="00951240" w:rsidRPr="0092670C">
        <w:rPr>
          <w:rFonts w:ascii="Arial" w:hAnsi="Arial" w:cs="Arial"/>
        </w:rPr>
        <w:t xml:space="preserve"> the silicon has on the </w:t>
      </w:r>
      <w:r w:rsidR="00BD18F8" w:rsidRPr="0092670C">
        <w:rPr>
          <w:rFonts w:ascii="Arial" w:hAnsi="Arial" w:cs="Arial"/>
        </w:rPr>
        <w:t>charge capacity</w:t>
      </w:r>
      <w:r w:rsidR="00531EA6" w:rsidRPr="0092670C">
        <w:rPr>
          <w:rFonts w:ascii="Arial" w:hAnsi="Arial" w:cs="Arial"/>
        </w:rPr>
        <w:t xml:space="preserve"> with </w:t>
      </w:r>
      <w:r w:rsidR="002F5EE6" w:rsidRPr="0092670C">
        <w:rPr>
          <w:rFonts w:ascii="Arial" w:hAnsi="Arial" w:cs="Arial"/>
        </w:rPr>
        <w:t>most</w:t>
      </w:r>
      <w:r w:rsidR="00531EA6" w:rsidRPr="0092670C">
        <w:rPr>
          <w:rFonts w:ascii="Arial" w:hAnsi="Arial" w:cs="Arial"/>
        </w:rPr>
        <w:t xml:space="preserve"> of the pre-lithiated cells having </w:t>
      </w:r>
      <w:r w:rsidR="002F5EE6" w:rsidRPr="0092670C">
        <w:rPr>
          <w:rFonts w:ascii="Arial" w:hAnsi="Arial" w:cs="Arial"/>
        </w:rPr>
        <w:t xml:space="preserve">a higher </w:t>
      </w:r>
      <w:r w:rsidR="00CE2ADC" w:rsidRPr="0092670C">
        <w:rPr>
          <w:rFonts w:ascii="Arial" w:hAnsi="Arial" w:cs="Arial"/>
        </w:rPr>
        <w:t xml:space="preserve">initial capacity </w:t>
      </w:r>
      <w:r w:rsidR="00712770" w:rsidRPr="0092670C">
        <w:rPr>
          <w:rFonts w:ascii="Arial" w:hAnsi="Arial" w:cs="Arial"/>
        </w:rPr>
        <w:t xml:space="preserve">than </w:t>
      </w:r>
      <w:r w:rsidR="00DE5A46" w:rsidRPr="0092670C">
        <w:rPr>
          <w:rFonts w:ascii="Arial" w:hAnsi="Arial" w:cs="Arial"/>
        </w:rPr>
        <w:t xml:space="preserve">the cell without pre-lithiation. </w:t>
      </w:r>
      <w:r w:rsidR="00695FA6" w:rsidRPr="0092670C">
        <w:rPr>
          <w:rFonts w:ascii="Arial" w:hAnsi="Arial" w:cs="Arial"/>
        </w:rPr>
        <w:t xml:space="preserve">It also reveals that despite the promising </w:t>
      </w:r>
      <w:r w:rsidR="00A0384B" w:rsidRPr="0092670C">
        <w:rPr>
          <w:rFonts w:ascii="Arial" w:hAnsi="Arial" w:cs="Arial"/>
        </w:rPr>
        <w:t xml:space="preserve">initial results </w:t>
      </w:r>
      <w:r w:rsidR="006473C8" w:rsidRPr="0092670C">
        <w:rPr>
          <w:rFonts w:ascii="Arial" w:hAnsi="Arial" w:cs="Arial"/>
        </w:rPr>
        <w:t xml:space="preserve">the capacity fade is greater </w:t>
      </w:r>
      <w:r w:rsidR="00957602" w:rsidRPr="0092670C">
        <w:rPr>
          <w:rFonts w:ascii="Arial" w:hAnsi="Arial" w:cs="Arial"/>
        </w:rPr>
        <w:t xml:space="preserve">in the pre-lithiated cells and only one has a greater capacity after </w:t>
      </w:r>
      <w:r w:rsidR="0091048B" w:rsidRPr="0092670C">
        <w:rPr>
          <w:rFonts w:ascii="Arial" w:hAnsi="Arial" w:cs="Arial"/>
        </w:rPr>
        <w:t>100 cycles.</w:t>
      </w:r>
      <w:r w:rsidR="0029449B" w:rsidRPr="0092670C">
        <w:rPr>
          <w:rFonts w:ascii="Arial" w:hAnsi="Arial" w:cs="Arial"/>
        </w:rPr>
        <w:t xml:space="preserve"> </w:t>
      </w:r>
      <w:r w:rsidR="00F50B70" w:rsidRPr="0092670C">
        <w:rPr>
          <w:rFonts w:ascii="Arial" w:hAnsi="Arial" w:cs="Arial"/>
        </w:rPr>
        <w:t>This suggests that whilst pre-lithiation facilita</w:t>
      </w:r>
      <w:r w:rsidR="004B468C" w:rsidRPr="0092670C">
        <w:rPr>
          <w:rFonts w:ascii="Arial" w:hAnsi="Arial" w:cs="Arial"/>
        </w:rPr>
        <w:t xml:space="preserve">tes </w:t>
      </w:r>
      <w:r w:rsidR="00CF667F" w:rsidRPr="0092670C">
        <w:rPr>
          <w:rFonts w:ascii="Arial" w:hAnsi="Arial" w:cs="Arial"/>
        </w:rPr>
        <w:t>the alloying</w:t>
      </w:r>
      <w:r w:rsidR="003B0B6F" w:rsidRPr="0092670C">
        <w:rPr>
          <w:rFonts w:ascii="Arial" w:hAnsi="Arial" w:cs="Arial"/>
        </w:rPr>
        <w:t>/dealloying couple</w:t>
      </w:r>
      <w:r w:rsidR="00467551" w:rsidRPr="0092670C">
        <w:rPr>
          <w:rFonts w:ascii="Arial" w:hAnsi="Arial" w:cs="Arial"/>
        </w:rPr>
        <w:t xml:space="preserve">, the </w:t>
      </w:r>
      <w:r w:rsidR="00386FFC" w:rsidRPr="0092670C">
        <w:rPr>
          <w:rFonts w:ascii="Arial" w:hAnsi="Arial" w:cs="Arial"/>
        </w:rPr>
        <w:t>volume changes breaks th</w:t>
      </w:r>
      <w:r w:rsidR="005A7949" w:rsidRPr="0092670C">
        <w:rPr>
          <w:rFonts w:ascii="Arial" w:hAnsi="Arial" w:cs="Arial"/>
        </w:rPr>
        <w:t xml:space="preserve">e otherwise stable SEI </w:t>
      </w:r>
      <w:r w:rsidR="002153DE" w:rsidRPr="0092670C">
        <w:rPr>
          <w:rFonts w:ascii="Arial" w:hAnsi="Arial" w:cs="Arial"/>
        </w:rPr>
        <w:t xml:space="preserve">and </w:t>
      </w:r>
      <w:r w:rsidR="0068002A" w:rsidRPr="0092670C">
        <w:rPr>
          <w:rFonts w:ascii="Arial" w:hAnsi="Arial" w:cs="Arial"/>
        </w:rPr>
        <w:t>r</w:t>
      </w:r>
      <w:r w:rsidR="00047DA9" w:rsidRPr="0092670C">
        <w:rPr>
          <w:rFonts w:ascii="Arial" w:hAnsi="Arial" w:cs="Arial"/>
        </w:rPr>
        <w:t xml:space="preserve">esults in </w:t>
      </w:r>
      <w:r w:rsidR="00E90DAD" w:rsidRPr="0092670C">
        <w:rPr>
          <w:rFonts w:ascii="Arial" w:hAnsi="Arial" w:cs="Arial"/>
        </w:rPr>
        <w:t xml:space="preserve">lithium </w:t>
      </w:r>
      <w:r w:rsidR="0058354F" w:rsidRPr="0092670C">
        <w:rPr>
          <w:rFonts w:ascii="Arial" w:hAnsi="Arial" w:cs="Arial"/>
        </w:rPr>
        <w:t xml:space="preserve">being trapped and </w:t>
      </w:r>
      <w:r w:rsidR="00F01F4C" w:rsidRPr="0092670C">
        <w:rPr>
          <w:rFonts w:ascii="Arial" w:hAnsi="Arial" w:cs="Arial"/>
        </w:rPr>
        <w:t>unusable</w:t>
      </w:r>
      <w:r w:rsidR="0058354F" w:rsidRPr="0092670C">
        <w:rPr>
          <w:rFonts w:ascii="Arial" w:hAnsi="Arial" w:cs="Arial"/>
        </w:rPr>
        <w:t xml:space="preserve"> for further cycling</w:t>
      </w:r>
      <w:r w:rsidR="00B332E0">
        <w:rPr>
          <w:rFonts w:ascii="Arial" w:hAnsi="Arial" w:cs="Arial"/>
        </w:rPr>
        <w:t>, leading to the faster capacity fade seen</w:t>
      </w:r>
      <w:r w:rsidR="0058354F" w:rsidRPr="0092670C">
        <w:rPr>
          <w:rFonts w:ascii="Arial" w:hAnsi="Arial" w:cs="Arial"/>
        </w:rPr>
        <w:t>.</w:t>
      </w:r>
    </w:p>
    <w:p w14:paraId="27133021" w14:textId="2EE66143" w:rsidR="001C2E41" w:rsidRPr="0092670C" w:rsidRDefault="0067644A" w:rsidP="001C2E4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3A71493B">
          <v:shape id="_x0000_i1113" type="#_x0000_t75" style="width:365.8pt;height:282.2pt" o:ole="">
            <v:imagedata r:id="rId232" o:title=""/>
          </v:shape>
          <o:OLEObject Type="Embed" ProgID="Origin95.Graph" ShapeID="_x0000_i1113" DrawAspect="Content" ObjectID="_1700734002" r:id="rId233"/>
        </w:object>
      </w:r>
    </w:p>
    <w:p w14:paraId="7413E50D" w14:textId="7C856626" w:rsidR="001C2E41" w:rsidRPr="001C2E41" w:rsidRDefault="001C2E41" w:rsidP="001C2E41">
      <w:pPr>
        <w:pStyle w:val="Caption"/>
        <w:spacing w:line="360" w:lineRule="auto"/>
        <w:jc w:val="center"/>
        <w:rPr>
          <w:rFonts w:ascii="Arial" w:hAnsi="Arial" w:cs="Arial"/>
          <w:sz w:val="20"/>
          <w:szCs w:val="20"/>
        </w:rPr>
      </w:pPr>
      <w:bookmarkStart w:id="244" w:name="_Ref1994252"/>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bookmarkEnd w:id="244"/>
      <w:r w:rsidRPr="0092670C">
        <w:rPr>
          <w:rFonts w:ascii="Arial" w:hAnsi="Arial" w:cs="Arial"/>
          <w:sz w:val="20"/>
          <w:szCs w:val="20"/>
        </w:rPr>
        <w:t>: Cell capacity with increasing cycle number.</w:t>
      </w:r>
    </w:p>
    <w:p w14:paraId="5446BA99" w14:textId="2F85D395" w:rsidR="00A93DD5" w:rsidRPr="0092670C" w:rsidRDefault="004C702D" w:rsidP="001C2E41">
      <w:pPr>
        <w:spacing w:line="360" w:lineRule="auto"/>
        <w:jc w:val="both"/>
        <w:rPr>
          <w:rFonts w:ascii="Arial" w:hAnsi="Arial" w:cs="Arial"/>
        </w:rPr>
      </w:pPr>
      <w:r w:rsidRPr="0092670C">
        <w:rPr>
          <w:rFonts w:ascii="Arial" w:hAnsi="Arial" w:cs="Arial"/>
        </w:rPr>
        <w:t xml:space="preserve">In </w:t>
      </w:r>
      <w:r w:rsidR="00B625F6" w:rsidRPr="0092670C">
        <w:rPr>
          <w:rFonts w:ascii="Arial" w:hAnsi="Arial" w:cs="Arial"/>
        </w:rPr>
        <w:fldChar w:fldCharType="begin"/>
      </w:r>
      <w:r w:rsidR="00B625F6" w:rsidRPr="0092670C">
        <w:rPr>
          <w:rFonts w:ascii="Arial" w:hAnsi="Arial" w:cs="Arial"/>
        </w:rPr>
        <w:instrText xml:space="preserve"> REF _Ref31443709 \h  \* MERGEFORMAT </w:instrText>
      </w:r>
      <w:r w:rsidR="00B625F6" w:rsidRPr="0092670C">
        <w:rPr>
          <w:rFonts w:ascii="Arial" w:hAnsi="Arial" w:cs="Arial"/>
        </w:rPr>
      </w:r>
      <w:r w:rsidR="00B625F6"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6</w:t>
      </w:r>
      <w:r w:rsidR="00B625F6" w:rsidRPr="0092670C">
        <w:rPr>
          <w:rFonts w:ascii="Arial" w:hAnsi="Arial" w:cs="Arial"/>
        </w:rPr>
        <w:fldChar w:fldCharType="end"/>
      </w:r>
      <w:r w:rsidR="00B625F6" w:rsidRPr="0092670C">
        <w:rPr>
          <w:rFonts w:ascii="Arial" w:hAnsi="Arial" w:cs="Arial"/>
        </w:rPr>
        <w:t xml:space="preserve"> </w:t>
      </w:r>
      <w:r w:rsidR="003D7818" w:rsidRPr="0092670C">
        <w:rPr>
          <w:rFonts w:ascii="Arial" w:hAnsi="Arial" w:cs="Arial"/>
        </w:rPr>
        <w:t>t</w:t>
      </w:r>
      <w:r w:rsidR="00A93DD5" w:rsidRPr="0092670C">
        <w:rPr>
          <w:rFonts w:ascii="Arial" w:hAnsi="Arial" w:cs="Arial"/>
        </w:rPr>
        <w:t>he charge capacity</w:t>
      </w:r>
      <w:r w:rsidR="003D7818" w:rsidRPr="0092670C">
        <w:rPr>
          <w:rFonts w:ascii="Arial" w:hAnsi="Arial" w:cs="Arial"/>
        </w:rPr>
        <w:t xml:space="preserve"> of the ha</w:t>
      </w:r>
      <w:r w:rsidR="001A5410" w:rsidRPr="0092670C">
        <w:rPr>
          <w:rFonts w:ascii="Arial" w:hAnsi="Arial" w:cs="Arial"/>
        </w:rPr>
        <w:t>lf cells</w:t>
      </w:r>
      <w:r w:rsidR="00A93DD5" w:rsidRPr="0092670C">
        <w:rPr>
          <w:rFonts w:ascii="Arial" w:hAnsi="Arial" w:cs="Arial"/>
        </w:rPr>
        <w:t xml:space="preserve"> can be seen to increase with increasing pre-lithiation time until 30 minutes when it reaches its peak. After 30 minutes the cell capacity starts to decrease dramatically. This decrease occurs at a similar time to the graphite systems seen earlier. This suggests that the SEI is facilitating further lithiation-delithiation of the graphite and not using it </w:t>
      </w:r>
      <w:r w:rsidR="001C4BD8">
        <w:rPr>
          <w:rFonts w:ascii="Arial" w:hAnsi="Arial" w:cs="Arial"/>
        </w:rPr>
        <w:t>for</w:t>
      </w:r>
      <w:r w:rsidR="00A93DD5" w:rsidRPr="0092670C">
        <w:rPr>
          <w:rFonts w:ascii="Arial" w:hAnsi="Arial" w:cs="Arial"/>
        </w:rPr>
        <w:t xml:space="preserve"> excessive SEI formation.</w:t>
      </w:r>
    </w:p>
    <w:p w14:paraId="54B9755C" w14:textId="466C2C92"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71A1F9F9">
          <v:shape id="_x0000_i1114" type="#_x0000_t75" style="width:311.8pt;height:240.1pt" o:ole="">
            <v:imagedata r:id="rId234" o:title=""/>
          </v:shape>
          <o:OLEObject Type="Embed" ProgID="Origin95.Graph" ShapeID="_x0000_i1114" DrawAspect="Content" ObjectID="_1700734003" r:id="rId235"/>
        </w:object>
      </w:r>
    </w:p>
    <w:p w14:paraId="22E5BC2C" w14:textId="41226FFB" w:rsidR="00A93DD5" w:rsidRPr="0092670C" w:rsidRDefault="00A93DD5" w:rsidP="006877AB">
      <w:pPr>
        <w:pStyle w:val="Caption"/>
        <w:spacing w:line="360" w:lineRule="auto"/>
        <w:jc w:val="center"/>
        <w:rPr>
          <w:rFonts w:ascii="Arial" w:hAnsi="Arial" w:cs="Arial"/>
          <w:sz w:val="20"/>
          <w:szCs w:val="20"/>
        </w:rPr>
      </w:pPr>
      <w:bookmarkStart w:id="245" w:name="_Ref31443709"/>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bookmarkEnd w:id="245"/>
      <w:r w:rsidRPr="0092670C">
        <w:rPr>
          <w:rFonts w:ascii="Arial" w:hAnsi="Arial" w:cs="Arial"/>
          <w:sz w:val="20"/>
          <w:szCs w:val="20"/>
        </w:rPr>
        <w:t>: Charge capacity as a function of pre-lithiation time</w:t>
      </w:r>
      <w:r w:rsidR="00F7366F" w:rsidRPr="0092670C">
        <w:rPr>
          <w:rFonts w:ascii="Arial" w:hAnsi="Arial" w:cs="Arial"/>
          <w:sz w:val="20"/>
          <w:szCs w:val="20"/>
        </w:rPr>
        <w:t>.</w:t>
      </w:r>
    </w:p>
    <w:p w14:paraId="62709AC1" w14:textId="4E2A151D" w:rsidR="00A93DD5" w:rsidRPr="0092670C" w:rsidRDefault="00A93DD5" w:rsidP="00A93DD5">
      <w:pPr>
        <w:spacing w:line="360" w:lineRule="auto"/>
        <w:jc w:val="both"/>
        <w:rPr>
          <w:rFonts w:ascii="Arial" w:hAnsi="Arial" w:cs="Arial"/>
        </w:rPr>
      </w:pPr>
      <w:r w:rsidRPr="0092670C">
        <w:rPr>
          <w:rFonts w:ascii="Arial" w:hAnsi="Arial" w:cs="Arial"/>
        </w:rPr>
        <w:t>Despite improving the initial charge capacity, the pre-lithiated cells also show a lower capacity retention than the reference cell. This was the opposite to what was seen in graphite based systems. Several of the cells that initially had higher capacity than the reference cell finished below it. This suggests that the SEI isn’t as effective as the references. Th</w:t>
      </w:r>
      <w:r w:rsidR="00643808">
        <w:rPr>
          <w:rFonts w:ascii="Arial" w:hAnsi="Arial" w:cs="Arial"/>
        </w:rPr>
        <w:t>e</w:t>
      </w:r>
      <w:r w:rsidRPr="0092670C">
        <w:rPr>
          <w:rFonts w:ascii="Arial" w:hAnsi="Arial" w:cs="Arial"/>
        </w:rPr>
        <w:t xml:space="preserve"> most likely cause for this is the volume expansion of the Si cracks the SEI and it is replaced with LP30 </w:t>
      </w:r>
      <w:r w:rsidR="00DA2637">
        <w:rPr>
          <w:rFonts w:ascii="Arial" w:hAnsi="Arial" w:cs="Arial"/>
        </w:rPr>
        <w:t>electrolyte</w:t>
      </w:r>
      <w:r w:rsidR="0054768A">
        <w:rPr>
          <w:rFonts w:ascii="Arial" w:hAnsi="Arial" w:cs="Arial"/>
        </w:rPr>
        <w:t xml:space="preserve"> degradation products</w:t>
      </w:r>
      <w:r w:rsidR="00DA2637">
        <w:rPr>
          <w:rFonts w:ascii="Arial" w:hAnsi="Arial" w:cs="Arial"/>
        </w:rPr>
        <w:t xml:space="preserve"> </w:t>
      </w:r>
      <w:r w:rsidR="0054768A">
        <w:rPr>
          <w:rFonts w:ascii="Arial" w:hAnsi="Arial" w:cs="Arial"/>
        </w:rPr>
        <w:t xml:space="preserve">which </w:t>
      </w:r>
      <w:r w:rsidR="006724B2">
        <w:rPr>
          <w:rFonts w:ascii="Arial" w:hAnsi="Arial" w:cs="Arial"/>
        </w:rPr>
        <w:t>are</w:t>
      </w:r>
      <w:r w:rsidR="0054768A">
        <w:rPr>
          <w:rFonts w:ascii="Arial" w:hAnsi="Arial" w:cs="Arial"/>
        </w:rPr>
        <w:t xml:space="preserve"> more resistive </w:t>
      </w:r>
      <w:r w:rsidR="004373BC">
        <w:rPr>
          <w:rFonts w:ascii="Arial" w:hAnsi="Arial" w:cs="Arial"/>
        </w:rPr>
        <w:fldChar w:fldCharType="begin">
          <w:fldData xml:space="preserve">PEVuZE5vdGU+PENpdGU+PEF1dGhvcj5WZWl0aDwvQXV0aG9yPjxZZWFyPjIwMTc8L1llYXI+PFJl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PEVuZE5vdGU+PENpdGU+PEF1dGhvcj5WZWl0aDwvQXV0aG9yPjxZZWFyPjIwMTc8L1llYXI+PFJl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004373BC">
        <w:rPr>
          <w:rFonts w:ascii="Arial" w:hAnsi="Arial" w:cs="Arial"/>
        </w:rPr>
      </w:r>
      <w:r w:rsidR="004373BC">
        <w:rPr>
          <w:rFonts w:ascii="Arial" w:hAnsi="Arial" w:cs="Arial"/>
        </w:rPr>
        <w:fldChar w:fldCharType="separate"/>
      </w:r>
      <w:r w:rsidR="0034337D">
        <w:rPr>
          <w:rFonts w:ascii="Arial" w:hAnsi="Arial" w:cs="Arial"/>
          <w:noProof/>
        </w:rPr>
        <w:t>[224, 229]</w:t>
      </w:r>
      <w:r w:rsidR="004373BC">
        <w:rPr>
          <w:rFonts w:ascii="Arial" w:hAnsi="Arial" w:cs="Arial"/>
        </w:rPr>
        <w:fldChar w:fldCharType="end"/>
      </w:r>
      <w:r w:rsidRPr="0092670C">
        <w:rPr>
          <w:rFonts w:ascii="Arial" w:hAnsi="Arial" w:cs="Arial"/>
        </w:rPr>
        <w:t xml:space="preserve">. </w:t>
      </w:r>
    </w:p>
    <w:p w14:paraId="14EDD5DA" w14:textId="074FD2CB"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DFFB77F">
          <v:shape id="_x0000_i1115" type="#_x0000_t75" style="width:311.8pt;height:240.1pt" o:ole="">
            <v:imagedata r:id="rId236" o:title=""/>
          </v:shape>
          <o:OLEObject Type="Embed" ProgID="Origin95.Graph" ShapeID="_x0000_i1115" DrawAspect="Content" ObjectID="_1700734004" r:id="rId237"/>
        </w:object>
      </w:r>
    </w:p>
    <w:p w14:paraId="0331C9B7" w14:textId="090782A5" w:rsidR="00A93DD5" w:rsidRPr="0092670C" w:rsidRDefault="00A93DD5" w:rsidP="00A93DD5">
      <w:pPr>
        <w:pStyle w:val="Caption"/>
        <w:spacing w:line="360" w:lineRule="auto"/>
        <w:jc w:val="center"/>
        <w:rPr>
          <w:rFonts w:ascii="Arial" w:hAnsi="Arial" w:cs="Arial"/>
          <w:sz w:val="20"/>
          <w:szCs w:val="20"/>
        </w:rPr>
      </w:pPr>
      <w:bookmarkStart w:id="246" w:name="_Ref1994266"/>
      <w:bookmarkStart w:id="247" w:name="_Ref1994238"/>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7</w:t>
      </w:r>
      <w:r w:rsidR="00356A26">
        <w:rPr>
          <w:rFonts w:ascii="Arial" w:hAnsi="Arial" w:cs="Arial"/>
          <w:sz w:val="20"/>
          <w:szCs w:val="20"/>
        </w:rPr>
        <w:fldChar w:fldCharType="end"/>
      </w:r>
      <w:bookmarkEnd w:id="246"/>
      <w:r w:rsidRPr="0092670C">
        <w:rPr>
          <w:rFonts w:ascii="Arial" w:hAnsi="Arial" w:cs="Arial"/>
          <w:sz w:val="20"/>
          <w:szCs w:val="20"/>
        </w:rPr>
        <w:t>: Graph demonstrating the correlation between pre-lithiation and ICE</w:t>
      </w:r>
      <w:bookmarkEnd w:id="247"/>
      <w:r w:rsidR="00F7366F" w:rsidRPr="0092670C">
        <w:rPr>
          <w:rFonts w:ascii="Arial" w:hAnsi="Arial" w:cs="Arial"/>
          <w:sz w:val="20"/>
          <w:szCs w:val="20"/>
        </w:rPr>
        <w:t>.</w:t>
      </w:r>
    </w:p>
    <w:p w14:paraId="281429D4" w14:textId="77FD5ECC" w:rsidR="00A93DD5" w:rsidRPr="0092670C" w:rsidRDefault="00A93DD5" w:rsidP="00A93DD5">
      <w:pPr>
        <w:spacing w:line="360" w:lineRule="auto"/>
        <w:jc w:val="both"/>
        <w:rPr>
          <w:rFonts w:ascii="Arial" w:hAnsi="Arial" w:cs="Arial"/>
        </w:rPr>
      </w:pPr>
      <w:r w:rsidRPr="0092670C">
        <w:rPr>
          <w:rFonts w:ascii="Arial" w:hAnsi="Arial" w:cs="Arial"/>
        </w:rPr>
        <w:fldChar w:fldCharType="begin"/>
      </w:r>
      <w:r w:rsidRPr="0092670C">
        <w:rPr>
          <w:rFonts w:ascii="Arial" w:hAnsi="Arial" w:cs="Arial"/>
        </w:rPr>
        <w:instrText xml:space="preserve"> REF _Ref1994266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7</w:t>
      </w:r>
      <w:r w:rsidRPr="0092670C">
        <w:rPr>
          <w:rFonts w:ascii="Arial" w:hAnsi="Arial" w:cs="Arial"/>
        </w:rPr>
        <w:fldChar w:fldCharType="end"/>
      </w:r>
      <w:r w:rsidRPr="0092670C">
        <w:rPr>
          <w:rFonts w:ascii="Arial" w:hAnsi="Arial" w:cs="Arial"/>
        </w:rPr>
        <w:t xml:space="preserve"> shows the increasing initial coulombic efficiency as the pre-lithiation time is increased. This increase show that the pre-lithiation process is helping to form an SEI that better facilitates Li intercalation. The values seen are still far lower than those seen in graphite-based systems </w:t>
      </w:r>
      <w:r w:rsidR="00C91ED2" w:rsidRPr="0092670C">
        <w:rPr>
          <w:rFonts w:ascii="Arial" w:hAnsi="Arial" w:cs="Arial"/>
        </w:rPr>
        <w:t xml:space="preserve">(chapter </w:t>
      </w:r>
      <w:r w:rsidR="003E56A0" w:rsidRPr="0092670C">
        <w:rPr>
          <w:rFonts w:ascii="Arial" w:hAnsi="Arial" w:cs="Arial"/>
        </w:rPr>
        <w:fldChar w:fldCharType="begin"/>
      </w:r>
      <w:r w:rsidR="003E56A0" w:rsidRPr="0092670C">
        <w:rPr>
          <w:rFonts w:ascii="Arial" w:hAnsi="Arial" w:cs="Arial"/>
        </w:rPr>
        <w:instrText xml:space="preserve"> REF _Ref31402978 \r \h </w:instrText>
      </w:r>
      <w:r w:rsidR="003E56A0" w:rsidRPr="0092670C">
        <w:rPr>
          <w:rFonts w:ascii="Arial" w:hAnsi="Arial" w:cs="Arial"/>
        </w:rPr>
      </w:r>
      <w:r w:rsidR="003E56A0" w:rsidRPr="0092670C">
        <w:rPr>
          <w:rFonts w:ascii="Arial" w:hAnsi="Arial" w:cs="Arial"/>
        </w:rPr>
        <w:fldChar w:fldCharType="separate"/>
      </w:r>
      <w:r w:rsidR="007342C8">
        <w:rPr>
          <w:rFonts w:ascii="Arial" w:hAnsi="Arial" w:cs="Arial"/>
        </w:rPr>
        <w:t>3.3.2</w:t>
      </w:r>
      <w:r w:rsidR="003E56A0" w:rsidRPr="0092670C">
        <w:rPr>
          <w:rFonts w:ascii="Arial" w:hAnsi="Arial" w:cs="Arial"/>
        </w:rPr>
        <w:fldChar w:fldCharType="end"/>
      </w:r>
      <w:r w:rsidR="00C91ED2" w:rsidRPr="0092670C">
        <w:rPr>
          <w:rFonts w:ascii="Arial" w:hAnsi="Arial" w:cs="Arial"/>
        </w:rPr>
        <w:t>)</w:t>
      </w:r>
      <w:r w:rsidRPr="0092670C">
        <w:rPr>
          <w:rFonts w:ascii="Arial" w:hAnsi="Arial" w:cs="Arial"/>
        </w:rPr>
        <w:t xml:space="preserve"> which suggest that substantial SEI formation is still occurring. This could be due to the large expansion that happens during Li intercalation exposing some fresh Si surface to SEI formation. This increase is still important, reducing Q</w:t>
      </w:r>
      <w:r w:rsidRPr="0092670C">
        <w:rPr>
          <w:rFonts w:ascii="Arial" w:hAnsi="Arial" w:cs="Arial"/>
          <w:vertAlign w:val="subscript"/>
        </w:rPr>
        <w:t>irr</w:t>
      </w:r>
      <w:r w:rsidRPr="0092670C">
        <w:rPr>
          <w:rFonts w:ascii="Arial" w:hAnsi="Arial" w:cs="Arial"/>
        </w:rPr>
        <w:t xml:space="preserve"> although it will be necessary to increase it further to compete with </w:t>
      </w:r>
      <w:r w:rsidR="00B06371" w:rsidRPr="0092670C">
        <w:rPr>
          <w:rFonts w:ascii="Arial" w:hAnsi="Arial" w:cs="Arial"/>
        </w:rPr>
        <w:t>graphite-based</w:t>
      </w:r>
      <w:r w:rsidRPr="0092670C">
        <w:rPr>
          <w:rFonts w:ascii="Arial" w:hAnsi="Arial" w:cs="Arial"/>
        </w:rPr>
        <w:t xml:space="preserve"> cells.</w:t>
      </w:r>
    </w:p>
    <w:p w14:paraId="28957446" w14:textId="77777777"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062F6EAA">
          <v:shape id="_x0000_i1116" type="#_x0000_t75" style="width:311.8pt;height:239.8pt" o:ole="">
            <v:imagedata r:id="rId238" o:title=""/>
          </v:shape>
          <o:OLEObject Type="Embed" ProgID="Origin95.Graph" ShapeID="_x0000_i1116" DrawAspect="Content" ObjectID="_1700734005" r:id="rId239"/>
        </w:object>
      </w:r>
    </w:p>
    <w:p w14:paraId="089A6C23" w14:textId="2CE5CF92" w:rsidR="00A93DD5" w:rsidRPr="0092670C" w:rsidRDefault="00A93DD5" w:rsidP="00A93DD5">
      <w:pPr>
        <w:pStyle w:val="Caption"/>
        <w:spacing w:line="360" w:lineRule="auto"/>
        <w:jc w:val="center"/>
        <w:rPr>
          <w:rFonts w:ascii="Arial" w:hAnsi="Arial" w:cs="Arial"/>
          <w:sz w:val="20"/>
          <w:szCs w:val="20"/>
        </w:rPr>
      </w:pPr>
      <w:bookmarkStart w:id="248" w:name="_Ref31401588"/>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8</w:t>
      </w:r>
      <w:r w:rsidR="00356A26">
        <w:rPr>
          <w:rFonts w:ascii="Arial" w:hAnsi="Arial" w:cs="Arial"/>
          <w:sz w:val="20"/>
          <w:szCs w:val="20"/>
        </w:rPr>
        <w:fldChar w:fldCharType="end"/>
      </w:r>
      <w:bookmarkEnd w:id="248"/>
      <w:r w:rsidRPr="0092670C">
        <w:rPr>
          <w:rFonts w:ascii="Arial" w:hAnsi="Arial" w:cs="Arial"/>
          <w:sz w:val="20"/>
          <w:szCs w:val="20"/>
        </w:rPr>
        <w:t>: Differential capacity plots of the first cycle</w:t>
      </w:r>
      <w:r w:rsidR="00C46A08" w:rsidRPr="0092670C">
        <w:rPr>
          <w:rFonts w:ascii="Arial" w:hAnsi="Arial" w:cs="Arial"/>
          <w:sz w:val="20"/>
          <w:szCs w:val="20"/>
        </w:rPr>
        <w:t>.</w:t>
      </w:r>
    </w:p>
    <w:p w14:paraId="273331DD" w14:textId="698CBF5D" w:rsidR="00A93DD5" w:rsidRPr="0092670C" w:rsidRDefault="000D746D" w:rsidP="00A93DD5">
      <w:pPr>
        <w:spacing w:line="360" w:lineRule="auto"/>
        <w:jc w:val="both"/>
        <w:rPr>
          <w:rFonts w:ascii="Arial" w:hAnsi="Arial" w:cs="Arial"/>
        </w:rPr>
      </w:pPr>
      <w:r w:rsidRPr="00DE0333">
        <w:rPr>
          <w:rFonts w:ascii="Arial" w:hAnsi="Arial" w:cs="Arial"/>
        </w:rPr>
        <w:fldChar w:fldCharType="begin"/>
      </w:r>
      <w:r w:rsidRPr="00DE0333">
        <w:rPr>
          <w:rFonts w:ascii="Arial" w:hAnsi="Arial" w:cs="Arial"/>
        </w:rPr>
        <w:instrText xml:space="preserve"> REF _Ref31400856 \h </w:instrText>
      </w:r>
      <w:r w:rsidR="00DE0333">
        <w:rPr>
          <w:rFonts w:ascii="Arial" w:hAnsi="Arial" w:cs="Arial"/>
        </w:rPr>
        <w:instrText xml:space="preserve"> \* MERGEFORMAT </w:instrText>
      </w:r>
      <w:r w:rsidRPr="00DE0333">
        <w:rPr>
          <w:rFonts w:ascii="Arial" w:hAnsi="Arial" w:cs="Arial"/>
        </w:rPr>
      </w:r>
      <w:r w:rsidRPr="00DE0333">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9</w:t>
      </w:r>
      <w:r w:rsidRPr="00DE0333">
        <w:rPr>
          <w:rFonts w:ascii="Arial" w:hAnsi="Arial" w:cs="Arial"/>
        </w:rPr>
        <w:fldChar w:fldCharType="end"/>
      </w:r>
      <w:r w:rsidRPr="0092670C">
        <w:rPr>
          <w:rFonts w:ascii="Arial" w:hAnsi="Arial" w:cs="Arial"/>
        </w:rPr>
        <w:t xml:space="preserve"> </w:t>
      </w:r>
      <w:r w:rsidR="00A93DD5" w:rsidRPr="0092670C">
        <w:rPr>
          <w:rFonts w:ascii="Arial" w:hAnsi="Arial" w:cs="Arial"/>
        </w:rPr>
        <w:t>show</w:t>
      </w:r>
      <w:r w:rsidRPr="0092670C">
        <w:rPr>
          <w:rFonts w:ascii="Arial" w:hAnsi="Arial" w:cs="Arial"/>
        </w:rPr>
        <w:t>s</w:t>
      </w:r>
      <w:r w:rsidR="002A04FA" w:rsidRPr="0092670C">
        <w:rPr>
          <w:rFonts w:ascii="Arial" w:hAnsi="Arial" w:cs="Arial"/>
        </w:rPr>
        <w:t xml:space="preserve"> that as</w:t>
      </w:r>
      <w:r w:rsidR="00A93DD5" w:rsidRPr="0092670C">
        <w:rPr>
          <w:rFonts w:ascii="Arial" w:hAnsi="Arial" w:cs="Arial"/>
        </w:rPr>
        <w:t xml:space="preserve"> pre-lithiation</w:t>
      </w:r>
      <w:r w:rsidR="00297F02" w:rsidRPr="0092670C">
        <w:rPr>
          <w:rFonts w:ascii="Arial" w:hAnsi="Arial" w:cs="Arial"/>
        </w:rPr>
        <w:t xml:space="preserve"> time</w:t>
      </w:r>
      <w:r w:rsidR="00A93DD5" w:rsidRPr="0092670C">
        <w:rPr>
          <w:rFonts w:ascii="Arial" w:hAnsi="Arial" w:cs="Arial"/>
        </w:rPr>
        <w:t xml:space="preserve"> increas</w:t>
      </w:r>
      <w:r w:rsidR="00297F02" w:rsidRPr="0092670C">
        <w:rPr>
          <w:rFonts w:ascii="Arial" w:hAnsi="Arial" w:cs="Arial"/>
        </w:rPr>
        <w:t>es</w:t>
      </w:r>
      <w:r w:rsidR="00DC0177" w:rsidRPr="0092670C">
        <w:rPr>
          <w:rFonts w:ascii="Arial" w:hAnsi="Arial" w:cs="Arial"/>
        </w:rPr>
        <w:t xml:space="preserve"> so too does</w:t>
      </w:r>
      <w:r w:rsidR="00A93DD5" w:rsidRPr="0092670C">
        <w:rPr>
          <w:rFonts w:ascii="Arial" w:hAnsi="Arial" w:cs="Arial"/>
        </w:rPr>
        <w:t xml:space="preserve"> ΔE</w:t>
      </w:r>
      <w:r w:rsidR="00A93DD5" w:rsidRPr="0092670C">
        <w:rPr>
          <w:rFonts w:ascii="Arial" w:hAnsi="Arial" w:cs="Arial"/>
          <w:vertAlign w:val="subscript"/>
        </w:rPr>
        <w:t>p</w:t>
      </w:r>
      <w:r w:rsidR="00A93DD5" w:rsidRPr="0092670C">
        <w:rPr>
          <w:rFonts w:ascii="Arial" w:hAnsi="Arial" w:cs="Arial"/>
        </w:rPr>
        <w:t>. This increase suggests that pre-lithiation is increasing the resistance of the cell. This is expected as the influence of SEI formation on ΔE</w:t>
      </w:r>
      <w:r w:rsidR="00A93DD5" w:rsidRPr="0092670C">
        <w:rPr>
          <w:rFonts w:ascii="Arial" w:hAnsi="Arial" w:cs="Arial"/>
          <w:vertAlign w:val="subscript"/>
        </w:rPr>
        <w:t>p</w:t>
      </w:r>
      <w:r w:rsidR="00A93DD5" w:rsidRPr="0092670C">
        <w:rPr>
          <w:rFonts w:ascii="Arial" w:hAnsi="Arial" w:cs="Arial"/>
        </w:rPr>
        <w:t xml:space="preserve"> is small when compared to the resistance of the Si. This resistance increases the voltage drop seen. </w:t>
      </w:r>
      <w:bookmarkStart w:id="249" w:name="_Hlk14786393"/>
      <w:r w:rsidR="00A93DD5" w:rsidRPr="0092670C">
        <w:rPr>
          <w:rFonts w:ascii="Arial" w:hAnsi="Arial" w:cs="Arial"/>
        </w:rPr>
        <w:t>ΔE</w:t>
      </w:r>
      <w:r w:rsidR="00A93DD5" w:rsidRPr="0092670C">
        <w:rPr>
          <w:rFonts w:ascii="Arial" w:hAnsi="Arial" w:cs="Arial"/>
          <w:vertAlign w:val="subscript"/>
        </w:rPr>
        <w:t>p</w:t>
      </w:r>
      <w:bookmarkEnd w:id="249"/>
      <w:r w:rsidR="00A93DD5" w:rsidRPr="0092670C">
        <w:rPr>
          <w:rFonts w:ascii="Arial" w:hAnsi="Arial" w:cs="Arial"/>
        </w:rPr>
        <w:t xml:space="preserve"> has been shown to decrease once Si alloying has begun due to the </w:t>
      </w:r>
      <w:r w:rsidR="00150E8D" w:rsidRPr="0092670C">
        <w:rPr>
          <w:rFonts w:ascii="Arial" w:hAnsi="Arial" w:cs="Arial"/>
        </w:rPr>
        <w:t>higher</w:t>
      </w:r>
      <w:r w:rsidR="00A93DD5" w:rsidRPr="0092670C">
        <w:rPr>
          <w:rFonts w:ascii="Arial" w:hAnsi="Arial" w:cs="Arial"/>
        </w:rPr>
        <w:t xml:space="preserve"> conductivity of the Li</w:t>
      </w:r>
      <w:r w:rsidR="00A93DD5" w:rsidRPr="0092670C">
        <w:rPr>
          <w:rFonts w:ascii="Arial" w:hAnsi="Arial" w:cs="Arial"/>
          <w:vertAlign w:val="subscript"/>
        </w:rPr>
        <w:t>x</w:t>
      </w:r>
      <w:r w:rsidR="00A93DD5" w:rsidRPr="0092670C">
        <w:rPr>
          <w:rFonts w:ascii="Arial" w:hAnsi="Arial" w:cs="Arial"/>
        </w:rPr>
        <w:t xml:space="preserve">Si phases </w:t>
      </w:r>
      <w:r w:rsidR="00A93DD5" w:rsidRPr="0092670C">
        <w:rPr>
          <w:rFonts w:ascii="Arial" w:hAnsi="Arial" w:cs="Arial"/>
        </w:rPr>
        <w:fldChar w:fldCharType="begin"/>
      </w:r>
      <w:r w:rsidR="0034337D">
        <w:rPr>
          <w:rFonts w:ascii="Arial" w:hAnsi="Arial" w:cs="Arial"/>
        </w:rPr>
        <w:instrText xml:space="preserve"> ADDIN EN.CITE &lt;EndNote&gt;&lt;Cite&gt;&lt;Author&gt;Domi&lt;/Author&gt;&lt;Year&gt;2017&lt;/Year&gt;&lt;RecNum&gt;136&lt;/RecNum&gt;&lt;DisplayText&gt;[158]&lt;/DisplayText&gt;&lt;record&gt;&lt;rec-number&gt;136&lt;/rec-number&gt;&lt;foreign-keys&gt;&lt;key app="EN" db-id="5sa9s0e0r0d9fnexra7pr5xdwd5ztevx95s2" timestamp="1524752808"&gt;136&lt;/key&gt;&lt;/foreign-keys&gt;&lt;ref-type name="Journal Article"&gt;17&lt;/ref-type&gt;&lt;contributors&gt;&lt;authors&gt;&lt;author&gt;Domi, Yasuhiro&lt;/author&gt;&lt;author&gt;Usui, Hiroyuki&lt;/author&gt;&lt;author&gt;Iwanari, Daichi&lt;/author&gt;&lt;author&gt;Sakaguchi, Hiroki&lt;/author&gt;&lt;/authors&gt;&lt;/contributors&gt;&lt;titles&gt;&lt;title&gt;Effect of Mechanical Pre-Lithiation on Electrochemical Performance of Silicon Negative Electrode for Lithium-Ion Batteries&lt;/title&gt;&lt;secondary-title&gt;Journal of The Electrochemical Society&lt;/secondary-title&gt;&lt;/titles&gt;&lt;periodical&gt;&lt;full-title&gt;Journal of the Electrochemical Society&lt;/full-title&gt;&lt;abbr-1&gt;J. Electrochem. Soc.&lt;/abbr-1&gt;&lt;/periodical&gt;&lt;pages&gt;A1651-A1654&lt;/pages&gt;&lt;volume&gt;164&lt;/volume&gt;&lt;number&gt;7&lt;/number&gt;&lt;dates&gt;&lt;year&gt;2017&lt;/year&gt;&lt;pub-dates&gt;&lt;date&gt;January 1, 2017&lt;/date&gt;&lt;/pub-dates&gt;&lt;/dates&gt;&lt;urls&gt;&lt;related-urls&gt;&lt;url&gt;http://jes.ecsdl.org/content/164/7/A1651.abstract&lt;/url&gt;&lt;/related-urls&gt;&lt;/urls&gt;&lt;electronic-resource-num&gt;10.1149/2.1361707jes&lt;/electronic-resource-num&gt;&lt;/record&gt;&lt;/Cite&gt;&lt;/EndNote&gt;</w:instrText>
      </w:r>
      <w:r w:rsidR="00A93DD5" w:rsidRPr="0092670C">
        <w:rPr>
          <w:rFonts w:ascii="Arial" w:hAnsi="Arial" w:cs="Arial"/>
        </w:rPr>
        <w:fldChar w:fldCharType="separate"/>
      </w:r>
      <w:r w:rsidR="0034337D">
        <w:rPr>
          <w:rFonts w:ascii="Arial" w:hAnsi="Arial" w:cs="Arial"/>
          <w:noProof/>
        </w:rPr>
        <w:t>[158]</w:t>
      </w:r>
      <w:r w:rsidR="00A93DD5" w:rsidRPr="0092670C">
        <w:rPr>
          <w:rFonts w:ascii="Arial" w:hAnsi="Arial" w:cs="Arial"/>
        </w:rPr>
        <w:fldChar w:fldCharType="end"/>
      </w:r>
      <w:r w:rsidR="00A93DD5" w:rsidRPr="0092670C">
        <w:rPr>
          <w:rFonts w:ascii="Arial" w:hAnsi="Arial" w:cs="Arial"/>
        </w:rPr>
        <w:t xml:space="preserve">. The fact that this hasn’t occurred suggests that alloying hasn’t started and the Li used in SEI formation purely goes towards SEI formation. </w:t>
      </w:r>
    </w:p>
    <w:p w14:paraId="720CB922" w14:textId="541DECD9"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4B5160B">
          <v:shape id="_x0000_i1117" type="#_x0000_t75" style="width:324.3pt;height:252pt" o:ole="">
            <v:imagedata r:id="rId240" o:title=""/>
          </v:shape>
          <o:OLEObject Type="Embed" ProgID="Origin95.Graph" ShapeID="_x0000_i1117" DrawAspect="Content" ObjectID="_1700734006" r:id="rId241"/>
        </w:object>
      </w:r>
    </w:p>
    <w:p w14:paraId="6D2742FD" w14:textId="714C22C7" w:rsidR="00A93DD5" w:rsidRPr="0092670C" w:rsidRDefault="00A93DD5" w:rsidP="00A93DD5">
      <w:pPr>
        <w:pStyle w:val="Caption"/>
        <w:spacing w:line="360" w:lineRule="auto"/>
        <w:jc w:val="center"/>
        <w:rPr>
          <w:rFonts w:ascii="Arial" w:hAnsi="Arial" w:cs="Arial"/>
          <w:sz w:val="20"/>
          <w:szCs w:val="20"/>
        </w:rPr>
      </w:pPr>
      <w:bookmarkStart w:id="250" w:name="_Ref31400856"/>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9</w:t>
      </w:r>
      <w:r w:rsidR="00356A26">
        <w:rPr>
          <w:rFonts w:ascii="Arial" w:hAnsi="Arial" w:cs="Arial"/>
          <w:sz w:val="20"/>
          <w:szCs w:val="20"/>
        </w:rPr>
        <w:fldChar w:fldCharType="end"/>
      </w:r>
      <w:bookmarkEnd w:id="250"/>
      <w:r w:rsidRPr="0092670C">
        <w:rPr>
          <w:rFonts w:ascii="Arial" w:hAnsi="Arial" w:cs="Arial"/>
          <w:sz w:val="20"/>
          <w:szCs w:val="20"/>
        </w:rPr>
        <w:t>: ΔE</w:t>
      </w:r>
      <w:r w:rsidRPr="0092670C">
        <w:rPr>
          <w:rFonts w:ascii="Arial" w:hAnsi="Arial" w:cs="Arial"/>
          <w:sz w:val="20"/>
          <w:szCs w:val="20"/>
          <w:vertAlign w:val="subscript"/>
        </w:rPr>
        <w:t>p</w:t>
      </w:r>
      <w:r w:rsidRPr="0092670C">
        <w:rPr>
          <w:rFonts w:ascii="Arial" w:hAnsi="Arial" w:cs="Arial"/>
          <w:sz w:val="20"/>
          <w:szCs w:val="20"/>
        </w:rPr>
        <w:t xml:space="preserve"> as a function of pre-lithiation time</w:t>
      </w:r>
      <w:r w:rsidR="00C46A08" w:rsidRPr="0092670C">
        <w:rPr>
          <w:rFonts w:ascii="Arial" w:hAnsi="Arial" w:cs="Arial"/>
          <w:sz w:val="20"/>
          <w:szCs w:val="20"/>
        </w:rPr>
        <w:t>.</w:t>
      </w:r>
    </w:p>
    <w:p w14:paraId="1641C4A5" w14:textId="77777777" w:rsidR="00A93DD5" w:rsidRPr="0092670C" w:rsidRDefault="00A93DD5" w:rsidP="00516791">
      <w:pPr>
        <w:pStyle w:val="Heading3"/>
        <w:rPr>
          <w:rFonts w:ascii="Arial" w:hAnsi="Arial" w:cs="Arial"/>
        </w:rPr>
      </w:pPr>
      <w:bookmarkStart w:id="251" w:name="_Toc82538791"/>
      <w:r w:rsidRPr="0092670C">
        <w:rPr>
          <w:rFonts w:ascii="Arial" w:hAnsi="Arial" w:cs="Arial"/>
        </w:rPr>
        <w:t>Conclusion</w:t>
      </w:r>
      <w:bookmarkEnd w:id="251"/>
    </w:p>
    <w:p w14:paraId="7421B499" w14:textId="653FF474" w:rsidR="00A93DD5" w:rsidRPr="0092670C" w:rsidRDefault="00A93DD5" w:rsidP="00C6663E">
      <w:pPr>
        <w:spacing w:line="360" w:lineRule="auto"/>
        <w:jc w:val="both"/>
        <w:rPr>
          <w:rFonts w:ascii="Arial" w:hAnsi="Arial" w:cs="Arial"/>
        </w:rPr>
      </w:pPr>
      <w:r w:rsidRPr="0092670C">
        <w:rPr>
          <w:rFonts w:ascii="Arial" w:hAnsi="Arial" w:cs="Arial"/>
        </w:rPr>
        <w:t xml:space="preserve">Electrochemical pre-lithiation of </w:t>
      </w:r>
      <w:r w:rsidR="007B57B2">
        <w:rPr>
          <w:rFonts w:ascii="Arial" w:hAnsi="Arial" w:cs="Arial"/>
        </w:rPr>
        <w:t>silicon</w:t>
      </w:r>
      <w:r w:rsidRPr="0092670C">
        <w:rPr>
          <w:rFonts w:ascii="Arial" w:hAnsi="Arial" w:cs="Arial"/>
        </w:rPr>
        <w:t xml:space="preserve"> improved the initial charge capacity of the cell. The </w:t>
      </w:r>
      <w:r w:rsidR="004C62F0">
        <w:rPr>
          <w:rFonts w:ascii="Arial" w:hAnsi="Arial" w:cs="Arial"/>
        </w:rPr>
        <w:t>ra</w:t>
      </w:r>
      <w:r w:rsidR="000F1E6B">
        <w:rPr>
          <w:rFonts w:ascii="Arial" w:hAnsi="Arial" w:cs="Arial"/>
        </w:rPr>
        <w:t>p</w:t>
      </w:r>
      <w:r w:rsidR="004C62F0">
        <w:rPr>
          <w:rFonts w:ascii="Arial" w:hAnsi="Arial" w:cs="Arial"/>
        </w:rPr>
        <w:t xml:space="preserve">id capacity fade </w:t>
      </w:r>
      <w:r w:rsidR="00BE56C6">
        <w:rPr>
          <w:rFonts w:ascii="Arial" w:hAnsi="Arial" w:cs="Arial"/>
        </w:rPr>
        <w:t>se</w:t>
      </w:r>
      <w:r w:rsidR="00466F16">
        <w:rPr>
          <w:rFonts w:ascii="Arial" w:hAnsi="Arial" w:cs="Arial"/>
        </w:rPr>
        <w:t xml:space="preserve">en in the cells means that the technique could not be used commercially and that </w:t>
      </w:r>
      <w:r w:rsidR="001B0880">
        <w:rPr>
          <w:rFonts w:ascii="Arial" w:hAnsi="Arial" w:cs="Arial"/>
        </w:rPr>
        <w:t xml:space="preserve">improvements are required </w:t>
      </w:r>
      <w:r w:rsidR="00DB39A6">
        <w:rPr>
          <w:rFonts w:ascii="Arial" w:hAnsi="Arial" w:cs="Arial"/>
        </w:rPr>
        <w:t xml:space="preserve">to </w:t>
      </w:r>
      <w:r w:rsidR="00DB39A6" w:rsidRPr="0092670C">
        <w:rPr>
          <w:rFonts w:ascii="Arial" w:hAnsi="Arial" w:cs="Arial"/>
        </w:rPr>
        <w:t>provide</w:t>
      </w:r>
      <w:r w:rsidR="001B0880">
        <w:rPr>
          <w:rFonts w:ascii="Arial" w:hAnsi="Arial" w:cs="Arial"/>
        </w:rPr>
        <w:t xml:space="preserve"> a stable capacity over </w:t>
      </w:r>
      <w:r w:rsidR="00C6663E">
        <w:rPr>
          <w:rFonts w:ascii="Arial" w:hAnsi="Arial" w:cs="Arial"/>
        </w:rPr>
        <w:t xml:space="preserve">1000 cycles as required. </w:t>
      </w:r>
      <w:r w:rsidR="00F3014F">
        <w:rPr>
          <w:rFonts w:ascii="Arial" w:hAnsi="Arial" w:cs="Arial"/>
        </w:rPr>
        <w:t>This</w:t>
      </w:r>
      <w:r w:rsidR="00786798">
        <w:rPr>
          <w:rFonts w:ascii="Arial" w:hAnsi="Arial" w:cs="Arial"/>
        </w:rPr>
        <w:t xml:space="preserve"> will also be influenced by the choice of </w:t>
      </w:r>
      <w:r w:rsidR="00E330A8">
        <w:rPr>
          <w:rFonts w:ascii="Arial" w:hAnsi="Arial" w:cs="Arial"/>
        </w:rPr>
        <w:t>Si material used with the m</w:t>
      </w:r>
      <w:r w:rsidR="00C747F5">
        <w:rPr>
          <w:rFonts w:ascii="Arial" w:hAnsi="Arial" w:cs="Arial"/>
        </w:rPr>
        <w:t>a</w:t>
      </w:r>
      <w:r w:rsidR="00E330A8">
        <w:rPr>
          <w:rFonts w:ascii="Arial" w:hAnsi="Arial" w:cs="Arial"/>
        </w:rPr>
        <w:t xml:space="preserve">gnesiothermically reduced Si </w:t>
      </w:r>
      <w:r w:rsidR="000E64D0">
        <w:rPr>
          <w:rFonts w:ascii="Arial" w:hAnsi="Arial" w:cs="Arial"/>
        </w:rPr>
        <w:t xml:space="preserve">still causing enough strain to the material to </w:t>
      </w:r>
      <w:r w:rsidR="00422DA6">
        <w:rPr>
          <w:rFonts w:ascii="Arial" w:hAnsi="Arial" w:cs="Arial"/>
        </w:rPr>
        <w:t xml:space="preserve">break the SEI. </w:t>
      </w:r>
    </w:p>
    <w:p w14:paraId="4C1A366F" w14:textId="65C87DCA" w:rsidR="00A93DD5" w:rsidRPr="0092670C" w:rsidRDefault="00A93DD5" w:rsidP="003547C3">
      <w:pPr>
        <w:pStyle w:val="Heading2"/>
        <w:rPr>
          <w:rFonts w:ascii="Arial" w:hAnsi="Arial" w:cs="Arial"/>
        </w:rPr>
      </w:pPr>
      <w:bookmarkStart w:id="252" w:name="_Toc82538792"/>
      <w:r w:rsidRPr="0092670C">
        <w:rPr>
          <w:rFonts w:ascii="Arial" w:hAnsi="Arial" w:cs="Arial"/>
        </w:rPr>
        <w:t>Mechanical pre-lithiation of silicon</w:t>
      </w:r>
      <w:bookmarkEnd w:id="252"/>
    </w:p>
    <w:p w14:paraId="578E9928" w14:textId="68210BF9" w:rsidR="00516791" w:rsidRPr="0092670C" w:rsidRDefault="00DD0C20" w:rsidP="00095BAB">
      <w:pPr>
        <w:spacing w:line="360" w:lineRule="auto"/>
        <w:jc w:val="both"/>
        <w:rPr>
          <w:rFonts w:ascii="Arial" w:hAnsi="Arial" w:cs="Arial"/>
        </w:rPr>
      </w:pPr>
      <w:r w:rsidRPr="0092670C">
        <w:rPr>
          <w:rFonts w:ascii="Arial" w:hAnsi="Arial" w:cs="Arial"/>
        </w:rPr>
        <w:t xml:space="preserve">Whilst the paper </w:t>
      </w:r>
      <w:r w:rsidR="007E4A5C" w:rsidRPr="0092670C">
        <w:rPr>
          <w:rFonts w:ascii="Arial" w:hAnsi="Arial" w:cs="Arial"/>
        </w:rPr>
        <w:t xml:space="preserve">above </w:t>
      </w:r>
      <w:r w:rsidRPr="0092670C">
        <w:rPr>
          <w:rFonts w:ascii="Arial" w:hAnsi="Arial" w:cs="Arial"/>
        </w:rPr>
        <w:t>and my own research has sho</w:t>
      </w:r>
      <w:r w:rsidR="009B4466" w:rsidRPr="0092670C">
        <w:rPr>
          <w:rFonts w:ascii="Arial" w:hAnsi="Arial" w:cs="Arial"/>
        </w:rPr>
        <w:t xml:space="preserve">wn the benefits of </w:t>
      </w:r>
      <w:r w:rsidR="00CE5230" w:rsidRPr="0092670C">
        <w:rPr>
          <w:rFonts w:ascii="Arial" w:hAnsi="Arial" w:cs="Arial"/>
        </w:rPr>
        <w:t>electro</w:t>
      </w:r>
      <w:r w:rsidR="00864696" w:rsidRPr="0092670C">
        <w:rPr>
          <w:rFonts w:ascii="Arial" w:hAnsi="Arial" w:cs="Arial"/>
        </w:rPr>
        <w:t xml:space="preserve">chemical </w:t>
      </w:r>
      <w:r w:rsidR="00133545" w:rsidRPr="0092670C">
        <w:rPr>
          <w:rFonts w:ascii="Arial" w:hAnsi="Arial" w:cs="Arial"/>
        </w:rPr>
        <w:t>pre-lithiation b</w:t>
      </w:r>
      <w:r w:rsidR="007C489D" w:rsidRPr="0092670C">
        <w:rPr>
          <w:rFonts w:ascii="Arial" w:hAnsi="Arial" w:cs="Arial"/>
        </w:rPr>
        <w:t>ut nothing about mechanical pre-lithiation.</w:t>
      </w:r>
      <w:r w:rsidR="007E4A5C" w:rsidRPr="0092670C">
        <w:rPr>
          <w:rFonts w:ascii="Arial" w:hAnsi="Arial" w:cs="Arial"/>
        </w:rPr>
        <w:t xml:space="preserve"> Observing the effect of mechanic</w:t>
      </w:r>
      <w:r w:rsidR="00E360DC" w:rsidRPr="0092670C">
        <w:rPr>
          <w:rFonts w:ascii="Arial" w:hAnsi="Arial" w:cs="Arial"/>
        </w:rPr>
        <w:t xml:space="preserve">al pre-lithiation and its effects on cell cycle life </w:t>
      </w:r>
      <w:r w:rsidR="002B3811" w:rsidRPr="0092670C">
        <w:rPr>
          <w:rFonts w:ascii="Arial" w:hAnsi="Arial" w:cs="Arial"/>
        </w:rPr>
        <w:t xml:space="preserve">is important to compare its effectiveness with </w:t>
      </w:r>
      <w:r w:rsidR="00095BAB" w:rsidRPr="0092670C">
        <w:rPr>
          <w:rFonts w:ascii="Arial" w:hAnsi="Arial" w:cs="Arial"/>
        </w:rPr>
        <w:t xml:space="preserve">electrochemical pre-lithiation. </w:t>
      </w:r>
    </w:p>
    <w:p w14:paraId="24A72D0C" w14:textId="77777777" w:rsidR="00A93DD5" w:rsidRPr="0092670C" w:rsidRDefault="00A93DD5" w:rsidP="00516791">
      <w:pPr>
        <w:pStyle w:val="Heading3"/>
        <w:rPr>
          <w:rFonts w:ascii="Arial" w:hAnsi="Arial" w:cs="Arial"/>
        </w:rPr>
      </w:pPr>
      <w:bookmarkStart w:id="253" w:name="_Toc82538793"/>
      <w:r w:rsidRPr="0092670C">
        <w:rPr>
          <w:rFonts w:ascii="Arial" w:hAnsi="Arial" w:cs="Arial"/>
        </w:rPr>
        <w:t>Experimental</w:t>
      </w:r>
      <w:bookmarkEnd w:id="253"/>
      <w:r w:rsidRPr="0092670C">
        <w:rPr>
          <w:rFonts w:ascii="Arial" w:hAnsi="Arial" w:cs="Arial"/>
        </w:rPr>
        <w:t xml:space="preserve"> </w:t>
      </w:r>
    </w:p>
    <w:p w14:paraId="4B19CFB5" w14:textId="1BB9A209" w:rsidR="001F6EAB" w:rsidRPr="001F6EAB" w:rsidRDefault="001F6EAB" w:rsidP="001F6EAB">
      <w:pPr>
        <w:spacing w:line="360" w:lineRule="auto"/>
        <w:jc w:val="both"/>
        <w:rPr>
          <w:rFonts w:ascii="Arial" w:hAnsi="Arial" w:cs="Arial"/>
        </w:rPr>
      </w:pPr>
      <w:r w:rsidRPr="001F6EAB">
        <w:rPr>
          <w:rFonts w:ascii="Arial" w:hAnsi="Arial" w:cs="Arial"/>
        </w:rPr>
        <w:t>Si electrodes were kindly provided by Dr. Entwistle</w:t>
      </w:r>
      <w:r w:rsidR="00F64F1F">
        <w:rPr>
          <w:rFonts w:ascii="Arial" w:hAnsi="Arial" w:cs="Arial"/>
        </w:rPr>
        <w:t xml:space="preserve"> </w:t>
      </w:r>
      <w:r w:rsidR="002D367A">
        <w:rPr>
          <w:rFonts w:ascii="Arial" w:hAnsi="Arial" w:cs="Arial"/>
        </w:rPr>
        <w:t>with the material</w:t>
      </w:r>
      <w:r w:rsidR="009E4910">
        <w:rPr>
          <w:rFonts w:ascii="Arial" w:hAnsi="Arial" w:cs="Arial"/>
        </w:rPr>
        <w:t xml:space="preserve"> made</w:t>
      </w:r>
      <w:r w:rsidR="002D367A">
        <w:rPr>
          <w:rFonts w:ascii="Arial" w:hAnsi="Arial" w:cs="Arial"/>
        </w:rPr>
        <w:t xml:space="preserve"> </w:t>
      </w:r>
      <w:r w:rsidR="00E02E74">
        <w:rPr>
          <w:rFonts w:ascii="Arial" w:hAnsi="Arial" w:cs="Arial"/>
        </w:rPr>
        <w:t xml:space="preserve">as </w:t>
      </w:r>
      <w:r w:rsidR="002D367A">
        <w:rPr>
          <w:rFonts w:ascii="Arial" w:hAnsi="Arial" w:cs="Arial"/>
        </w:rPr>
        <w:t xml:space="preserve">described </w:t>
      </w:r>
      <w:r w:rsidR="00E02E74">
        <w:rPr>
          <w:rFonts w:ascii="Arial" w:hAnsi="Arial" w:cs="Arial"/>
        </w:rPr>
        <w:t xml:space="preserve">in </w:t>
      </w:r>
      <w:r w:rsidR="009E4910">
        <w:rPr>
          <w:rFonts w:ascii="Arial" w:hAnsi="Arial" w:cs="Arial"/>
        </w:rPr>
        <w:fldChar w:fldCharType="begin"/>
      </w:r>
      <w:r w:rsidR="009E4910">
        <w:rPr>
          <w:rFonts w:ascii="Arial" w:hAnsi="Arial" w:cs="Arial"/>
        </w:rPr>
        <w:instrText xml:space="preserve"> REF _Ref82866623 \r \h </w:instrText>
      </w:r>
      <w:r w:rsidR="009E4910">
        <w:rPr>
          <w:rFonts w:ascii="Arial" w:hAnsi="Arial" w:cs="Arial"/>
        </w:rPr>
      </w:r>
      <w:r w:rsidR="009E4910">
        <w:rPr>
          <w:rFonts w:ascii="Arial" w:hAnsi="Arial" w:cs="Arial"/>
        </w:rPr>
        <w:fldChar w:fldCharType="separate"/>
      </w:r>
      <w:r w:rsidR="009E4910">
        <w:rPr>
          <w:rFonts w:ascii="Arial" w:hAnsi="Arial" w:cs="Arial"/>
        </w:rPr>
        <w:t>2.1.2</w:t>
      </w:r>
      <w:r w:rsidR="009E4910">
        <w:rPr>
          <w:rFonts w:ascii="Arial" w:hAnsi="Arial" w:cs="Arial"/>
        </w:rPr>
        <w:fldChar w:fldCharType="end"/>
      </w:r>
      <w:r w:rsidRPr="001F6EAB">
        <w:rPr>
          <w:rFonts w:ascii="Arial" w:hAnsi="Arial" w:cs="Arial"/>
        </w:rPr>
        <w:t>. They were produced using the same method as that outlined in 2.2.1. More about the production of the Si active material can be found in Entwistle et al. paper. Electrodes were then pre-lithiated with FEC (98%, Alfa Aesar) as outlined in 2.3.1 between 1 and 48hrs. These electrodes were then assembled into coin cells using either LP30 + 10wt.% FEC as the electrolyte. The coin cells were cycled at C/10 for 100 cycles using CC/CV cycling for the charge on a Maccor series 4000M at 25°C. For reference fresh electrodes were cycled in LP30 + 10wt.% FEC.</w:t>
      </w:r>
    </w:p>
    <w:p w14:paraId="5FFF564C" w14:textId="77777777" w:rsidR="00A93DD5" w:rsidRPr="0092670C" w:rsidRDefault="00A93DD5" w:rsidP="003547C3">
      <w:pPr>
        <w:pStyle w:val="Heading3"/>
        <w:rPr>
          <w:rFonts w:ascii="Arial" w:hAnsi="Arial" w:cs="Arial"/>
        </w:rPr>
      </w:pPr>
      <w:bookmarkStart w:id="254" w:name="_Toc82538794"/>
      <w:r w:rsidRPr="0092670C">
        <w:rPr>
          <w:rFonts w:ascii="Arial" w:hAnsi="Arial" w:cs="Arial"/>
        </w:rPr>
        <w:t>Results</w:t>
      </w:r>
      <w:bookmarkEnd w:id="254"/>
    </w:p>
    <w:p w14:paraId="619E8184" w14:textId="74CEC668"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121B9D3C">
          <v:shape id="_x0000_i1118" type="#_x0000_t75" style="width:365.8pt;height:282.2pt" o:ole="">
            <v:imagedata r:id="rId242" o:title=""/>
          </v:shape>
          <o:OLEObject Type="Embed" ProgID="Origin95.Graph" ShapeID="_x0000_i1118" DrawAspect="Content" ObjectID="_1700734007" r:id="rId243"/>
        </w:object>
      </w:r>
    </w:p>
    <w:p w14:paraId="18DB91FA" w14:textId="58BC0CDA" w:rsidR="00A93DD5" w:rsidRPr="0092670C" w:rsidRDefault="00A93DD5" w:rsidP="00A93DD5">
      <w:pPr>
        <w:pStyle w:val="Caption"/>
        <w:spacing w:line="360" w:lineRule="auto"/>
        <w:jc w:val="center"/>
        <w:rPr>
          <w:rFonts w:ascii="Arial" w:hAnsi="Arial" w:cs="Arial"/>
          <w:sz w:val="20"/>
          <w:szCs w:val="20"/>
        </w:rPr>
      </w:pPr>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10</w:t>
      </w:r>
      <w:r w:rsidR="00356A26">
        <w:rPr>
          <w:rFonts w:ascii="Arial" w:hAnsi="Arial" w:cs="Arial"/>
          <w:sz w:val="20"/>
          <w:szCs w:val="20"/>
        </w:rPr>
        <w:fldChar w:fldCharType="end"/>
      </w:r>
      <w:r w:rsidRPr="0092670C">
        <w:rPr>
          <w:rFonts w:ascii="Arial" w:hAnsi="Arial" w:cs="Arial"/>
          <w:sz w:val="20"/>
          <w:szCs w:val="20"/>
        </w:rPr>
        <w:t xml:space="preserve">: </w:t>
      </w:r>
      <w:r w:rsidR="00C46A08" w:rsidRPr="0092670C">
        <w:rPr>
          <w:rFonts w:ascii="Arial" w:hAnsi="Arial" w:cs="Arial"/>
          <w:sz w:val="20"/>
          <w:szCs w:val="20"/>
        </w:rPr>
        <w:t>E</w:t>
      </w:r>
      <w:r w:rsidRPr="0092670C">
        <w:rPr>
          <w:rFonts w:ascii="Arial" w:hAnsi="Arial" w:cs="Arial"/>
          <w:sz w:val="20"/>
          <w:szCs w:val="20"/>
        </w:rPr>
        <w:t>lectrochemical performance of pre-lithiated Si cells</w:t>
      </w:r>
      <w:r w:rsidR="00C46A08" w:rsidRPr="0092670C">
        <w:rPr>
          <w:rFonts w:ascii="Arial" w:hAnsi="Arial" w:cs="Arial"/>
          <w:sz w:val="20"/>
          <w:szCs w:val="20"/>
        </w:rPr>
        <w:t>.</w:t>
      </w:r>
    </w:p>
    <w:p w14:paraId="3A7BE250" w14:textId="7C94C9F8" w:rsidR="00A93DD5" w:rsidRPr="0092670C" w:rsidRDefault="00A93DD5" w:rsidP="00A93DD5">
      <w:pPr>
        <w:spacing w:line="360" w:lineRule="auto"/>
        <w:jc w:val="both"/>
        <w:rPr>
          <w:rFonts w:ascii="Arial" w:hAnsi="Arial" w:cs="Arial"/>
        </w:rPr>
      </w:pPr>
      <w:r w:rsidRPr="0092670C">
        <w:rPr>
          <w:rFonts w:ascii="Arial" w:hAnsi="Arial" w:cs="Arial"/>
        </w:rPr>
        <w:t>Pre-lithiation increased cell capacity before starting to decrease after 24</w:t>
      </w:r>
      <w:r w:rsidR="00564119">
        <w:rPr>
          <w:rFonts w:ascii="Arial" w:hAnsi="Arial" w:cs="Arial"/>
        </w:rPr>
        <w:t xml:space="preserve"> </w:t>
      </w:r>
      <w:r w:rsidRPr="0092670C">
        <w:rPr>
          <w:rFonts w:ascii="Arial" w:hAnsi="Arial" w:cs="Arial"/>
        </w:rPr>
        <w:t xml:space="preserve">hrs resulting in </w:t>
      </w:r>
      <w:r w:rsidR="002A3324" w:rsidRPr="0092670C">
        <w:rPr>
          <w:rFonts w:ascii="Arial" w:hAnsi="Arial" w:cs="Arial"/>
        </w:rPr>
        <w:t>the</w:t>
      </w:r>
      <w:r w:rsidRPr="0092670C">
        <w:rPr>
          <w:rFonts w:ascii="Arial" w:hAnsi="Arial" w:cs="Arial"/>
        </w:rPr>
        <w:t xml:space="preserve"> plot</w:t>
      </w:r>
      <w:r w:rsidR="006443C1">
        <w:rPr>
          <w:rFonts w:ascii="Arial" w:hAnsi="Arial" w:cs="Arial"/>
        </w:rPr>
        <w:t xml:space="preserve"> shown</w:t>
      </w:r>
      <w:r w:rsidR="002A3324" w:rsidRPr="0092670C">
        <w:rPr>
          <w:rFonts w:ascii="Arial" w:hAnsi="Arial" w:cs="Arial"/>
        </w:rPr>
        <w:t xml:space="preserve"> </w:t>
      </w:r>
      <w:r w:rsidR="00D029EC" w:rsidRPr="0092670C">
        <w:rPr>
          <w:rFonts w:ascii="Arial" w:hAnsi="Arial" w:cs="Arial"/>
        </w:rPr>
        <w:t xml:space="preserve">in </w:t>
      </w:r>
      <w:r w:rsidR="00D029EC" w:rsidRPr="0092670C">
        <w:rPr>
          <w:rFonts w:ascii="Arial" w:hAnsi="Arial" w:cs="Arial"/>
        </w:rPr>
        <w:fldChar w:fldCharType="begin"/>
      </w:r>
      <w:r w:rsidR="00D029EC" w:rsidRPr="0092670C">
        <w:rPr>
          <w:rFonts w:ascii="Arial" w:hAnsi="Arial" w:cs="Arial"/>
        </w:rPr>
        <w:instrText xml:space="preserve"> REF _Ref31316291 \h  \* MERGEFORMAT </w:instrText>
      </w:r>
      <w:r w:rsidR="00D029EC" w:rsidRPr="0092670C">
        <w:rPr>
          <w:rFonts w:ascii="Arial" w:hAnsi="Arial" w:cs="Arial"/>
        </w:rPr>
      </w:r>
      <w:r w:rsidR="00D029EC"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11</w:t>
      </w:r>
      <w:r w:rsidR="00D029EC" w:rsidRPr="0092670C">
        <w:rPr>
          <w:rFonts w:ascii="Arial" w:hAnsi="Arial" w:cs="Arial"/>
        </w:rPr>
        <w:fldChar w:fldCharType="end"/>
      </w:r>
      <w:r w:rsidRPr="0092670C">
        <w:rPr>
          <w:rFonts w:ascii="Arial" w:hAnsi="Arial" w:cs="Arial"/>
        </w:rPr>
        <w:t xml:space="preserve">. This shows how important the SEI is to cell cycling. Picking the maxima is going to be vital for industry to ensure that the cells are of the highest capacity and performance. </w:t>
      </w:r>
    </w:p>
    <w:p w14:paraId="3DA5DD45" w14:textId="687F29B5"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486BB63A">
          <v:shape id="_x0000_i1119" type="#_x0000_t75" style="width:336.2pt;height:258.1pt" o:ole="">
            <v:imagedata r:id="rId244" o:title=""/>
          </v:shape>
          <o:OLEObject Type="Embed" ProgID="Origin95.Graph" ShapeID="_x0000_i1119" DrawAspect="Content" ObjectID="_1700734008" r:id="rId245"/>
        </w:object>
      </w:r>
    </w:p>
    <w:p w14:paraId="1F26817A" w14:textId="73CABC96" w:rsidR="00A93DD5" w:rsidRPr="0092670C" w:rsidRDefault="00A93DD5" w:rsidP="00A93DD5">
      <w:pPr>
        <w:pStyle w:val="Caption"/>
        <w:spacing w:line="360" w:lineRule="auto"/>
        <w:jc w:val="center"/>
        <w:rPr>
          <w:rFonts w:ascii="Arial" w:hAnsi="Arial" w:cs="Arial"/>
          <w:sz w:val="20"/>
          <w:szCs w:val="20"/>
        </w:rPr>
      </w:pPr>
      <w:bookmarkStart w:id="255" w:name="_Ref31316291"/>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11</w:t>
      </w:r>
      <w:r w:rsidR="00356A26">
        <w:rPr>
          <w:rFonts w:ascii="Arial" w:hAnsi="Arial" w:cs="Arial"/>
          <w:sz w:val="20"/>
          <w:szCs w:val="20"/>
        </w:rPr>
        <w:fldChar w:fldCharType="end"/>
      </w:r>
      <w:bookmarkEnd w:id="255"/>
      <w:r w:rsidRPr="0092670C">
        <w:rPr>
          <w:rFonts w:ascii="Arial" w:hAnsi="Arial" w:cs="Arial"/>
          <w:sz w:val="20"/>
          <w:szCs w:val="20"/>
        </w:rPr>
        <w:t>:</w:t>
      </w:r>
      <w:r w:rsidR="00C46A08" w:rsidRPr="0092670C">
        <w:rPr>
          <w:rFonts w:ascii="Arial" w:hAnsi="Arial" w:cs="Arial"/>
          <w:sz w:val="20"/>
          <w:szCs w:val="20"/>
        </w:rPr>
        <w:t xml:space="preserve"> </w:t>
      </w:r>
      <w:r w:rsidRPr="0092670C">
        <w:rPr>
          <w:rFonts w:ascii="Arial" w:hAnsi="Arial" w:cs="Arial"/>
          <w:sz w:val="20"/>
          <w:szCs w:val="20"/>
        </w:rPr>
        <w:t>Volcano plot showing the maxima for cell capacity</w:t>
      </w:r>
      <w:r w:rsidR="00C46A08" w:rsidRPr="0092670C">
        <w:rPr>
          <w:rFonts w:ascii="Arial" w:hAnsi="Arial" w:cs="Arial"/>
          <w:sz w:val="20"/>
          <w:szCs w:val="20"/>
        </w:rPr>
        <w:t>.</w:t>
      </w:r>
    </w:p>
    <w:p w14:paraId="2341DDE5" w14:textId="02411968" w:rsidR="00A93DD5" w:rsidRPr="0092670C" w:rsidRDefault="00A93DD5" w:rsidP="00A93DD5">
      <w:pPr>
        <w:spacing w:line="360" w:lineRule="auto"/>
        <w:jc w:val="both"/>
        <w:rPr>
          <w:rFonts w:ascii="Arial" w:hAnsi="Arial" w:cs="Arial"/>
        </w:rPr>
      </w:pPr>
      <w:r w:rsidRPr="0092670C">
        <w:rPr>
          <w:rFonts w:ascii="Arial" w:hAnsi="Arial" w:cs="Arial"/>
        </w:rPr>
        <w:t>Capacity retention on the other hand</w:t>
      </w:r>
      <w:r w:rsidR="000C2010" w:rsidRPr="0092670C">
        <w:rPr>
          <w:rFonts w:ascii="Arial" w:hAnsi="Arial" w:cs="Arial"/>
        </w:rPr>
        <w:t xml:space="preserve"> was seen</w:t>
      </w:r>
      <w:r w:rsidR="00703701" w:rsidRPr="0092670C">
        <w:rPr>
          <w:rFonts w:ascii="Arial" w:hAnsi="Arial" w:cs="Arial"/>
        </w:rPr>
        <w:t xml:space="preserve"> to</w:t>
      </w:r>
      <w:r w:rsidRPr="0092670C">
        <w:rPr>
          <w:rFonts w:ascii="Arial" w:hAnsi="Arial" w:cs="Arial"/>
        </w:rPr>
        <w:t xml:space="preserve"> ke</w:t>
      </w:r>
      <w:r w:rsidR="00703701" w:rsidRPr="0092670C">
        <w:rPr>
          <w:rFonts w:ascii="Arial" w:hAnsi="Arial" w:cs="Arial"/>
        </w:rPr>
        <w:t>ep</w:t>
      </w:r>
      <w:r w:rsidRPr="0092670C">
        <w:rPr>
          <w:rFonts w:ascii="Arial" w:hAnsi="Arial" w:cs="Arial"/>
        </w:rPr>
        <w:t xml:space="preserve"> rising</w:t>
      </w:r>
      <w:r w:rsidR="00703701" w:rsidRPr="0092670C">
        <w:rPr>
          <w:rFonts w:ascii="Arial" w:hAnsi="Arial" w:cs="Arial"/>
        </w:rPr>
        <w:t xml:space="preserve"> in </w:t>
      </w:r>
      <w:r w:rsidR="00703701" w:rsidRPr="0092670C">
        <w:rPr>
          <w:rFonts w:ascii="Arial" w:hAnsi="Arial" w:cs="Arial"/>
        </w:rPr>
        <w:fldChar w:fldCharType="begin"/>
      </w:r>
      <w:r w:rsidR="00703701" w:rsidRPr="0092670C">
        <w:rPr>
          <w:rFonts w:ascii="Arial" w:hAnsi="Arial" w:cs="Arial"/>
        </w:rPr>
        <w:instrText xml:space="preserve"> REF _Ref31316581 \h  \* MERGEFORMAT </w:instrText>
      </w:r>
      <w:r w:rsidR="00703701" w:rsidRPr="0092670C">
        <w:rPr>
          <w:rFonts w:ascii="Arial" w:hAnsi="Arial" w:cs="Arial"/>
        </w:rPr>
      </w:r>
      <w:r w:rsidR="00703701"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12</w:t>
      </w:r>
      <w:r w:rsidR="00703701" w:rsidRPr="0092670C">
        <w:rPr>
          <w:rFonts w:ascii="Arial" w:hAnsi="Arial" w:cs="Arial"/>
        </w:rPr>
        <w:fldChar w:fldCharType="end"/>
      </w:r>
      <w:r w:rsidRPr="0092670C">
        <w:rPr>
          <w:rFonts w:ascii="Arial" w:hAnsi="Arial" w:cs="Arial"/>
        </w:rPr>
        <w:t>. Capacity retention is of vital importance for Si cells as their low capacity retention has prevented them from being used commercially. At 48</w:t>
      </w:r>
      <w:r w:rsidR="00564119">
        <w:rPr>
          <w:rFonts w:ascii="Arial" w:hAnsi="Arial" w:cs="Arial"/>
        </w:rPr>
        <w:t xml:space="preserve"> </w:t>
      </w:r>
      <w:r w:rsidRPr="0092670C">
        <w:rPr>
          <w:rFonts w:ascii="Arial" w:hAnsi="Arial" w:cs="Arial"/>
        </w:rPr>
        <w:t xml:space="preserve">hrs the silicon has become partially lithiated with an initial coulombic efficiency of 492%. Whilst the headline value is above 100% this doesn’t reflect the fact that extra </w:t>
      </w:r>
      <w:r w:rsidR="00E233F5">
        <w:rPr>
          <w:rFonts w:ascii="Arial" w:hAnsi="Arial" w:cs="Arial"/>
        </w:rPr>
        <w:t>charge</w:t>
      </w:r>
      <w:r w:rsidRPr="0092670C">
        <w:rPr>
          <w:rFonts w:ascii="Arial" w:hAnsi="Arial" w:cs="Arial"/>
        </w:rPr>
        <w:t xml:space="preserve"> has already been put into the cell via the pre-lithiation process. </w:t>
      </w:r>
    </w:p>
    <w:p w14:paraId="30EA52FD" w14:textId="2DEC78AC" w:rsidR="00A93DD5" w:rsidRPr="0092670C" w:rsidRDefault="00A93DD5" w:rsidP="00A93DD5">
      <w:pPr>
        <w:spacing w:line="360" w:lineRule="auto"/>
        <w:jc w:val="both"/>
        <w:rPr>
          <w:rFonts w:ascii="Arial" w:hAnsi="Arial" w:cs="Arial"/>
        </w:rPr>
      </w:pPr>
      <w:r w:rsidRPr="0092670C">
        <w:rPr>
          <w:rFonts w:ascii="Arial" w:hAnsi="Arial" w:cs="Arial"/>
        </w:rPr>
        <w:t>The pre-lithiation process has</w:t>
      </w:r>
      <w:r w:rsidR="00AA22A0">
        <w:rPr>
          <w:rFonts w:ascii="Arial" w:hAnsi="Arial" w:cs="Arial"/>
        </w:rPr>
        <w:t xml:space="preserve"> caused some pulverisation of the Si </w:t>
      </w:r>
      <w:r w:rsidRPr="0092670C">
        <w:rPr>
          <w:rFonts w:ascii="Arial" w:hAnsi="Arial" w:cs="Arial"/>
        </w:rPr>
        <w:t xml:space="preserve">that would have </w:t>
      </w:r>
      <w:r w:rsidR="00F403DC">
        <w:rPr>
          <w:rFonts w:ascii="Arial" w:hAnsi="Arial" w:cs="Arial"/>
        </w:rPr>
        <w:t>occurred during cycling</w:t>
      </w:r>
      <w:r w:rsidRPr="0092670C">
        <w:rPr>
          <w:rFonts w:ascii="Arial" w:hAnsi="Arial" w:cs="Arial"/>
        </w:rPr>
        <w:t xml:space="preserve">. This helps to give a more even profile to the anode making it more suitable for further development. This “premature aging” may be required in the future to ensure that an Si anode can have the stability required for an anode. </w:t>
      </w:r>
    </w:p>
    <w:p w14:paraId="287E819D" w14:textId="37ADBD39"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73AA815">
          <v:shape id="_x0000_i1120" type="#_x0000_t75" style="width:342pt;height:263.9pt" o:ole="">
            <v:imagedata r:id="rId246" o:title=""/>
          </v:shape>
          <o:OLEObject Type="Embed" ProgID="Origin95.Graph" ShapeID="_x0000_i1120" DrawAspect="Content" ObjectID="_1700734009" r:id="rId247"/>
        </w:object>
      </w:r>
    </w:p>
    <w:p w14:paraId="183F2560" w14:textId="72BECEDA" w:rsidR="00A93DD5" w:rsidRPr="0092670C" w:rsidRDefault="00A93DD5" w:rsidP="00A93DD5">
      <w:pPr>
        <w:pStyle w:val="Caption"/>
        <w:spacing w:line="360" w:lineRule="auto"/>
        <w:jc w:val="center"/>
        <w:rPr>
          <w:rFonts w:ascii="Arial" w:hAnsi="Arial" w:cs="Arial"/>
          <w:sz w:val="20"/>
          <w:szCs w:val="20"/>
        </w:rPr>
      </w:pPr>
      <w:bookmarkStart w:id="256" w:name="_Ref31316581"/>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12</w:t>
      </w:r>
      <w:r w:rsidR="00356A26">
        <w:rPr>
          <w:rFonts w:ascii="Arial" w:hAnsi="Arial" w:cs="Arial"/>
          <w:sz w:val="20"/>
          <w:szCs w:val="20"/>
        </w:rPr>
        <w:fldChar w:fldCharType="end"/>
      </w:r>
      <w:bookmarkEnd w:id="256"/>
      <w:r w:rsidRPr="0092670C">
        <w:rPr>
          <w:rFonts w:ascii="Arial" w:hAnsi="Arial" w:cs="Arial"/>
          <w:sz w:val="20"/>
          <w:szCs w:val="20"/>
        </w:rPr>
        <w:t>: Capacity retention as a function of pre-lithiation time</w:t>
      </w:r>
      <w:r w:rsidR="00C46A08" w:rsidRPr="0092670C">
        <w:rPr>
          <w:rFonts w:ascii="Arial" w:hAnsi="Arial" w:cs="Arial"/>
          <w:sz w:val="20"/>
          <w:szCs w:val="20"/>
        </w:rPr>
        <w:t>.</w:t>
      </w:r>
    </w:p>
    <w:p w14:paraId="49899656" w14:textId="17A92452" w:rsidR="00A93DD5" w:rsidRPr="0092670C" w:rsidRDefault="00A93DD5" w:rsidP="00A93DD5">
      <w:pPr>
        <w:spacing w:line="360" w:lineRule="auto"/>
        <w:jc w:val="both"/>
        <w:rPr>
          <w:rFonts w:ascii="Arial" w:hAnsi="Arial" w:cs="Arial"/>
        </w:rPr>
      </w:pPr>
      <w:r w:rsidRPr="0092670C">
        <w:rPr>
          <w:rFonts w:ascii="Arial" w:hAnsi="Arial" w:cs="Arial"/>
        </w:rPr>
        <w:t xml:space="preserve">As discussed previously the initial coulombic efficiency (ICE) of a cell determines is viability and a high coulombic efficiency is required to keep a cell cycling at close to its maximum capacity. </w:t>
      </w:r>
      <w:r w:rsidR="006731E1" w:rsidRPr="0092670C">
        <w:rPr>
          <w:rFonts w:ascii="Arial" w:hAnsi="Arial" w:cs="Arial"/>
        </w:rPr>
        <w:t>I</w:t>
      </w:r>
      <w:r w:rsidR="00C45717" w:rsidRPr="0092670C">
        <w:rPr>
          <w:rFonts w:ascii="Arial" w:hAnsi="Arial" w:cs="Arial"/>
        </w:rPr>
        <w:t xml:space="preserve">n </w:t>
      </w:r>
      <w:r w:rsidR="00C45717" w:rsidRPr="0092670C">
        <w:rPr>
          <w:rFonts w:ascii="Arial" w:hAnsi="Arial" w:cs="Arial"/>
        </w:rPr>
        <w:fldChar w:fldCharType="begin"/>
      </w:r>
      <w:r w:rsidR="00C45717" w:rsidRPr="0092670C">
        <w:rPr>
          <w:rFonts w:ascii="Arial" w:hAnsi="Arial" w:cs="Arial"/>
        </w:rPr>
        <w:instrText xml:space="preserve"> REF _Ref31314906 \h  \* MERGEFORMAT </w:instrText>
      </w:r>
      <w:r w:rsidR="00C45717" w:rsidRPr="0092670C">
        <w:rPr>
          <w:rFonts w:ascii="Arial" w:hAnsi="Arial" w:cs="Arial"/>
        </w:rPr>
      </w:r>
      <w:r w:rsidR="00C45717"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13</w:t>
      </w:r>
      <w:r w:rsidR="00C45717" w:rsidRPr="0092670C">
        <w:rPr>
          <w:rFonts w:ascii="Arial" w:hAnsi="Arial" w:cs="Arial"/>
        </w:rPr>
        <w:fldChar w:fldCharType="end"/>
      </w:r>
      <w:r w:rsidR="00C45717" w:rsidRPr="0092670C">
        <w:rPr>
          <w:rFonts w:ascii="Arial" w:hAnsi="Arial" w:cs="Arial"/>
        </w:rPr>
        <w:t xml:space="preserve"> </w:t>
      </w:r>
      <w:r w:rsidR="00D40CE0" w:rsidRPr="0092670C">
        <w:rPr>
          <w:rFonts w:ascii="Arial" w:hAnsi="Arial" w:cs="Arial"/>
        </w:rPr>
        <w:t>it can be observed that as</w:t>
      </w:r>
      <w:r w:rsidRPr="0092670C">
        <w:rPr>
          <w:rFonts w:ascii="Arial" w:hAnsi="Arial" w:cs="Arial"/>
        </w:rPr>
        <w:t xml:space="preserve"> pre-lithiation time increases so too does the ICE. This allows the cell to deliver extra capacity, cycling for longer.</w:t>
      </w:r>
      <w:r w:rsidR="00B4017E">
        <w:rPr>
          <w:rFonts w:ascii="Arial" w:hAnsi="Arial" w:cs="Arial"/>
        </w:rPr>
        <w:t xml:space="preserve"> It should be noted that the </w:t>
      </w:r>
      <w:r w:rsidR="00E70576">
        <w:rPr>
          <w:rFonts w:ascii="Arial" w:hAnsi="Arial" w:cs="Arial"/>
        </w:rPr>
        <w:t>after 24</w:t>
      </w:r>
      <w:r w:rsidR="00220561">
        <w:rPr>
          <w:rFonts w:ascii="Arial" w:hAnsi="Arial" w:cs="Arial"/>
        </w:rPr>
        <w:t>hrs of pre-lithiation the coulombic efficiency i</w:t>
      </w:r>
      <w:r w:rsidR="0081235E">
        <w:rPr>
          <w:rFonts w:ascii="Arial" w:hAnsi="Arial" w:cs="Arial"/>
        </w:rPr>
        <w:t>s g</w:t>
      </w:r>
      <w:r w:rsidR="00220561">
        <w:rPr>
          <w:rFonts w:ascii="Arial" w:hAnsi="Arial" w:cs="Arial"/>
        </w:rPr>
        <w:t>reater than 100%. This is because the Li</w:t>
      </w:r>
      <w:r w:rsidR="00870DE1">
        <w:rPr>
          <w:rFonts w:ascii="Arial" w:hAnsi="Arial" w:cs="Arial"/>
        </w:rPr>
        <w:t xml:space="preserve"> has started to alloy with the Si</w:t>
      </w:r>
      <w:r w:rsidR="00D61D97">
        <w:rPr>
          <w:rFonts w:ascii="Arial" w:hAnsi="Arial" w:cs="Arial"/>
        </w:rPr>
        <w:t xml:space="preserve"> creating Li</w:t>
      </w:r>
      <w:r w:rsidR="00D61D97">
        <w:rPr>
          <w:rFonts w:ascii="Arial" w:hAnsi="Arial" w:cs="Arial"/>
          <w:vertAlign w:val="subscript"/>
        </w:rPr>
        <w:t>X</w:t>
      </w:r>
      <w:r w:rsidR="00D61D97">
        <w:rPr>
          <w:rFonts w:ascii="Arial" w:hAnsi="Arial" w:cs="Arial"/>
        </w:rPr>
        <w:t>Si</w:t>
      </w:r>
      <w:r w:rsidR="0018374D">
        <w:rPr>
          <w:rFonts w:ascii="Arial" w:hAnsi="Arial" w:cs="Arial"/>
        </w:rPr>
        <w:t xml:space="preserve">. This means that </w:t>
      </w:r>
      <w:r w:rsidR="00BD4B00">
        <w:rPr>
          <w:rFonts w:ascii="Arial" w:hAnsi="Arial" w:cs="Arial"/>
        </w:rPr>
        <w:t xml:space="preserve">more Li is released from the Si </w:t>
      </w:r>
      <w:r w:rsidR="003F79DC">
        <w:rPr>
          <w:rFonts w:ascii="Arial" w:hAnsi="Arial" w:cs="Arial"/>
        </w:rPr>
        <w:t xml:space="preserve">than it took in during the first discharge of the cell. </w:t>
      </w:r>
      <w:r w:rsidR="00A47FC3">
        <w:rPr>
          <w:rFonts w:ascii="Arial" w:hAnsi="Arial" w:cs="Arial"/>
        </w:rPr>
        <w:t>The actual coulombic efficiency</w:t>
      </w:r>
      <w:r w:rsidR="005C62D0">
        <w:rPr>
          <w:rFonts w:ascii="Arial" w:hAnsi="Arial" w:cs="Arial"/>
        </w:rPr>
        <w:t xml:space="preserve"> is less than 100% when excluding the Li </w:t>
      </w:r>
      <w:r w:rsidR="007F7C7E">
        <w:rPr>
          <w:rFonts w:ascii="Arial" w:hAnsi="Arial" w:cs="Arial"/>
        </w:rPr>
        <w:t xml:space="preserve">from the pre-lithiation step. </w:t>
      </w:r>
    </w:p>
    <w:p w14:paraId="3E593F81" w14:textId="1C3A1841"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504F25BD">
          <v:shape id="_x0000_i1121" type="#_x0000_t75" style="width:342pt;height:263.9pt" o:ole="">
            <v:imagedata r:id="rId248" o:title=""/>
          </v:shape>
          <o:OLEObject Type="Embed" ProgID="Origin95.Graph" ShapeID="_x0000_i1121" DrawAspect="Content" ObjectID="_1700734010" r:id="rId249"/>
        </w:object>
      </w:r>
    </w:p>
    <w:p w14:paraId="00E5FEAD" w14:textId="53108A2B" w:rsidR="00A93DD5" w:rsidRPr="0092670C" w:rsidRDefault="00A93DD5" w:rsidP="00A93DD5">
      <w:pPr>
        <w:pStyle w:val="Caption"/>
        <w:spacing w:line="360" w:lineRule="auto"/>
        <w:jc w:val="center"/>
        <w:rPr>
          <w:rFonts w:ascii="Arial" w:hAnsi="Arial" w:cs="Arial"/>
          <w:sz w:val="20"/>
          <w:szCs w:val="20"/>
        </w:rPr>
      </w:pPr>
      <w:bookmarkStart w:id="257" w:name="_Ref31314906"/>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13</w:t>
      </w:r>
      <w:r w:rsidR="00356A26">
        <w:rPr>
          <w:rFonts w:ascii="Arial" w:hAnsi="Arial" w:cs="Arial"/>
          <w:sz w:val="20"/>
          <w:szCs w:val="20"/>
        </w:rPr>
        <w:fldChar w:fldCharType="end"/>
      </w:r>
      <w:bookmarkEnd w:id="257"/>
      <w:r w:rsidRPr="0092670C">
        <w:rPr>
          <w:rFonts w:ascii="Arial" w:hAnsi="Arial" w:cs="Arial"/>
          <w:sz w:val="20"/>
          <w:szCs w:val="20"/>
        </w:rPr>
        <w:t>: Initial coulombic efficiency as a function of pre-lithiation time</w:t>
      </w:r>
      <w:r w:rsidR="00C46A08" w:rsidRPr="0092670C">
        <w:rPr>
          <w:rFonts w:ascii="Arial" w:hAnsi="Arial" w:cs="Arial"/>
          <w:sz w:val="20"/>
          <w:szCs w:val="20"/>
        </w:rPr>
        <w:t>.</w:t>
      </w:r>
    </w:p>
    <w:p w14:paraId="22C1246D" w14:textId="77777777" w:rsidR="00B7494D" w:rsidRPr="0092670C" w:rsidRDefault="0067644A" w:rsidP="00B7494D">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0767A406">
          <v:shape id="_x0000_i1122" type="#_x0000_t75" style="width:311.8pt;height:239.8pt" o:ole="">
            <v:imagedata r:id="rId250" o:title=""/>
          </v:shape>
          <o:OLEObject Type="Embed" ProgID="Origin95.Graph" ShapeID="_x0000_i1122" DrawAspect="Content" ObjectID="_1700734011" r:id="rId251"/>
        </w:object>
      </w:r>
    </w:p>
    <w:p w14:paraId="1267D8EA" w14:textId="0FC9EDAC" w:rsidR="00A93DD5" w:rsidRPr="0092670C" w:rsidRDefault="00B7494D" w:rsidP="00B7494D">
      <w:pPr>
        <w:pStyle w:val="Caption"/>
        <w:jc w:val="center"/>
        <w:rPr>
          <w:rFonts w:ascii="Arial" w:hAnsi="Arial" w:cs="Arial"/>
          <w:sz w:val="20"/>
          <w:szCs w:val="20"/>
        </w:rPr>
      </w:pPr>
      <w:bookmarkStart w:id="258" w:name="_Ref31314438"/>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14</w:t>
      </w:r>
      <w:r w:rsidR="00356A26">
        <w:rPr>
          <w:rFonts w:ascii="Arial" w:hAnsi="Arial" w:cs="Arial"/>
          <w:sz w:val="20"/>
          <w:szCs w:val="20"/>
        </w:rPr>
        <w:fldChar w:fldCharType="end"/>
      </w:r>
      <w:bookmarkEnd w:id="258"/>
      <w:r w:rsidRPr="0092670C">
        <w:rPr>
          <w:rFonts w:ascii="Arial" w:hAnsi="Arial" w:cs="Arial"/>
          <w:sz w:val="20"/>
          <w:szCs w:val="20"/>
        </w:rPr>
        <w:t>: DSC curves of Si anodes after pre-lithiation</w:t>
      </w:r>
      <w:r w:rsidR="00C46A08" w:rsidRPr="0092670C">
        <w:rPr>
          <w:rFonts w:ascii="Arial" w:hAnsi="Arial" w:cs="Arial"/>
          <w:sz w:val="20"/>
          <w:szCs w:val="20"/>
        </w:rPr>
        <w:t>.</w:t>
      </w:r>
    </w:p>
    <w:p w14:paraId="5A24AC1D" w14:textId="40EDE5B3" w:rsidR="00A93DD5" w:rsidRPr="0092670C" w:rsidRDefault="00A93DD5" w:rsidP="00A93DD5">
      <w:pPr>
        <w:spacing w:line="360" w:lineRule="auto"/>
        <w:jc w:val="both"/>
        <w:rPr>
          <w:rFonts w:ascii="Arial" w:hAnsi="Arial" w:cs="Arial"/>
        </w:rPr>
      </w:pPr>
      <w:r w:rsidRPr="0092670C">
        <w:rPr>
          <w:rFonts w:ascii="Arial" w:hAnsi="Arial" w:cs="Arial"/>
        </w:rPr>
        <w:t>DSC was performed on pre-lithiated electrodes</w:t>
      </w:r>
      <w:r w:rsidR="00597F6B" w:rsidRPr="0092670C">
        <w:rPr>
          <w:rFonts w:ascii="Arial" w:hAnsi="Arial" w:cs="Arial"/>
        </w:rPr>
        <w:t xml:space="preserve"> and the results are </w:t>
      </w:r>
      <w:r w:rsidR="00D60266" w:rsidRPr="0092670C">
        <w:rPr>
          <w:rFonts w:ascii="Arial" w:hAnsi="Arial" w:cs="Arial"/>
        </w:rPr>
        <w:t xml:space="preserve">shown in </w:t>
      </w:r>
      <w:r w:rsidR="00D60266" w:rsidRPr="00DE0333">
        <w:rPr>
          <w:rFonts w:ascii="Arial" w:hAnsi="Arial" w:cs="Arial"/>
        </w:rPr>
        <w:fldChar w:fldCharType="begin"/>
      </w:r>
      <w:r w:rsidR="00D60266" w:rsidRPr="00DE0333">
        <w:rPr>
          <w:rFonts w:ascii="Arial" w:hAnsi="Arial" w:cs="Arial"/>
        </w:rPr>
        <w:instrText xml:space="preserve"> REF _Ref31314438 \h  \* MERGEFORMAT </w:instrText>
      </w:r>
      <w:r w:rsidR="00D60266" w:rsidRPr="00DE0333">
        <w:rPr>
          <w:rFonts w:ascii="Arial" w:hAnsi="Arial" w:cs="Arial"/>
        </w:rPr>
      </w:r>
      <w:r w:rsidR="00D60266" w:rsidRPr="00DE0333">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14</w:t>
      </w:r>
      <w:r w:rsidR="00D60266" w:rsidRPr="00DE0333">
        <w:rPr>
          <w:rFonts w:ascii="Arial" w:hAnsi="Arial" w:cs="Arial"/>
        </w:rPr>
        <w:fldChar w:fldCharType="end"/>
      </w:r>
      <w:r w:rsidRPr="00DE0333">
        <w:rPr>
          <w:rFonts w:ascii="Arial" w:hAnsi="Arial" w:cs="Arial"/>
        </w:rPr>
        <w:t>.</w:t>
      </w:r>
      <w:r w:rsidRPr="0092670C">
        <w:rPr>
          <w:rFonts w:ascii="Arial" w:hAnsi="Arial" w:cs="Arial"/>
        </w:rPr>
        <w:t xml:space="preserve"> These results are in good agreement with those seen in literature </w:t>
      </w:r>
      <w:r w:rsidRPr="0092670C">
        <w:rPr>
          <w:rFonts w:ascii="Arial" w:hAnsi="Arial" w:cs="Arial"/>
        </w:rPr>
        <w:fldChar w:fldCharType="begin"/>
      </w:r>
      <w:r w:rsidR="0034337D">
        <w:rPr>
          <w:rFonts w:ascii="Arial" w:hAnsi="Arial" w:cs="Arial"/>
        </w:rPr>
        <w:instrText xml:space="preserve"> ADDIN EN.CITE &lt;EndNote&gt;&lt;Cite&gt;&lt;Author&gt;Lv&lt;/Author&gt;&lt;Year&gt;2015&lt;/Year&gt;&lt;RecNum&gt;178&lt;/RecNum&gt;&lt;DisplayText&gt;[240]&lt;/DisplayText&gt;&lt;record&gt;&lt;rec-number&gt;178&lt;/rec-number&gt;&lt;foreign-keys&gt;&lt;key app="EN" db-id="5sa9s0e0r0d9fnexra7pr5xdwd5ztevx95s2" timestamp="1551118807"&gt;178&lt;/key&gt;&lt;/foreign-keys&gt;&lt;ref-type name="Journal Article"&gt;17&lt;/ref-type&gt;&lt;contributors&gt;&lt;authors&gt;&lt;author&gt;Lv, Qiuliang&lt;/author&gt;&lt;author&gt;Liu, Yuan&lt;/author&gt;&lt;author&gt;Ma, Tianyi&lt;/author&gt;&lt;author&gt;Zhu, Wentao&lt;/author&gt;&lt;author&gt;Qiu, Xinping&lt;/author&gt;&lt;/authors&gt;&lt;/contributors&gt;&lt;titles&gt;&lt;title&gt;Hollow Structured Silicon Anodes with Stabilized Solid Electrolyte Interphase Film for Lithium-Ion Batteries&lt;/title&gt;&lt;secondary-title&gt;ACS Applied Materials &amp;amp; Interfaces&lt;/secondary-title&gt;&lt;/titles&gt;&lt;periodical&gt;&lt;full-title&gt;ACS Applied Materials &amp;amp; Interfaces&lt;/full-title&gt;&lt;/periodical&gt;&lt;pages&gt;23501-23506&lt;/pages&gt;&lt;volume&gt;7&lt;/volume&gt;&lt;number&gt;42&lt;/number&gt;&lt;dates&gt;&lt;year&gt;2015&lt;/year&gt;&lt;/dates&gt;&lt;publisher&gt;American Chemical Society (ACS)&lt;/publisher&gt;&lt;isbn&gt;1944-8244&lt;/isbn&gt;&lt;urls&gt;&lt;related-urls&gt;&lt;url&gt;https://dx.doi.org/10.1021/acsami.5b05970&lt;/url&gt;&lt;/related-urls&gt;&lt;pdf-urls&gt;&lt;url&gt;file://C:\Users\danie\Downloads\kopernio\Lv-2015-Hollow-structured-silicon-anodes-wi.pdf&lt;/url&gt;&lt;/pdf-urls&gt;&lt;/urls&gt;&lt;electronic-resource-num&gt;10.1021/acsami.5b05970&lt;/electronic-resource-num&gt;&lt;/record&gt;&lt;/Cite&gt;&lt;/EndNote&gt;</w:instrText>
      </w:r>
      <w:r w:rsidRPr="0092670C">
        <w:rPr>
          <w:rFonts w:ascii="Arial" w:hAnsi="Arial" w:cs="Arial"/>
        </w:rPr>
        <w:fldChar w:fldCharType="separate"/>
      </w:r>
      <w:r w:rsidR="0034337D">
        <w:rPr>
          <w:rFonts w:ascii="Arial" w:hAnsi="Arial" w:cs="Arial"/>
          <w:noProof/>
        </w:rPr>
        <w:t>[240]</w:t>
      </w:r>
      <w:r w:rsidRPr="0092670C">
        <w:rPr>
          <w:rFonts w:ascii="Arial" w:hAnsi="Arial" w:cs="Arial"/>
        </w:rPr>
        <w:fldChar w:fldCharType="end"/>
      </w:r>
      <w:r w:rsidRPr="0092670C">
        <w:rPr>
          <w:rFonts w:ascii="Arial" w:hAnsi="Arial" w:cs="Arial"/>
        </w:rPr>
        <w:t>. This initial change seen is a glass transition. This is where some components of the SEI deform as they are oligomers.  Polymers often have glass transitions and these are well recorded</w:t>
      </w:r>
      <w:r w:rsidR="00D05174"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&lt;EndNote&gt;&lt;Cite&gt;&lt;Author&gt;Ebnesajjad&lt;/Author&gt;&lt;Year&gt;2016&lt;/Year&gt;&lt;RecNum&gt;176&lt;/RecNum&gt;&lt;DisplayText&gt;[206]&lt;/DisplayText&gt;&lt;record&gt;&lt;rec-number&gt;176&lt;/rec-number&gt;&lt;foreign-keys&gt;&lt;key app="EN" db-id="5sa9s0e0r0d9fnexra7pr5xdwd5ztevx95s2" timestamp="1551097456"&gt;176&lt;/key&gt;&lt;/foreign-keys&gt;&lt;ref-type name="Book Section"&gt;5&lt;/ref-type&gt;&lt;contributors&gt;&lt;authors&gt;&lt;author&gt;Ebnesajjad, Sina&lt;/author&gt;&lt;/authors&gt;&lt;secondary-authors&gt;&lt;author&gt;Baur, Erwin&lt;/author&gt;&lt;author&gt;Ruhrberg, Katja&lt;/author&gt;&lt;author&gt;Woishnis, William&lt;/author&gt;&lt;/secondary-authors&gt;&lt;/contributors&gt;&lt;titles&gt;&lt;title&gt;Introduction to Plastics&lt;/title&gt;&lt;secondary-title&gt;Chemical Resistance of Commodity Thermoplastics&lt;/secondary-title&gt;&lt;/titles&gt;&lt;pages&gt;xiii-xxv&lt;/pages&gt;&lt;dates&gt;&lt;year&gt;2016&lt;/year&gt;&lt;pub-dates&gt;&lt;date&gt;2016/01/01/&lt;/date&gt;&lt;/pub-dates&gt;&lt;/dates&gt;&lt;publisher&gt;William Andrew Publishing&lt;/publisher&gt;&lt;isbn&gt;978-0-323-47358-3&lt;/isbn&gt;&lt;urls&gt;&lt;related-urls&gt;&lt;url&gt;http://www.sciencedirect.com/science/article/pii/B978032347358300017X&lt;/url&gt;&lt;/related-urls&gt;&lt;/urls&gt;&lt;electronic-resource-num&gt;https://doi.org/10.1016/B978-0-323-47358-3.00017-X&lt;/electronic-resource-num&gt;&lt;/record&gt;&lt;/Cite&gt;&lt;/EndNote&gt;</w:instrText>
      </w:r>
      <w:r w:rsidRPr="0092670C">
        <w:rPr>
          <w:rFonts w:ascii="Arial" w:hAnsi="Arial" w:cs="Arial"/>
        </w:rPr>
        <w:fldChar w:fldCharType="separate"/>
      </w:r>
      <w:r w:rsidR="0034337D">
        <w:rPr>
          <w:rFonts w:ascii="Arial" w:hAnsi="Arial" w:cs="Arial"/>
          <w:noProof/>
        </w:rPr>
        <w:t>[206]</w:t>
      </w:r>
      <w:r w:rsidRPr="0092670C">
        <w:rPr>
          <w:rFonts w:ascii="Arial" w:hAnsi="Arial" w:cs="Arial"/>
        </w:rPr>
        <w:fldChar w:fldCharType="end"/>
      </w:r>
      <w:r w:rsidRPr="0092670C">
        <w:rPr>
          <w:rFonts w:ascii="Arial" w:hAnsi="Arial" w:cs="Arial"/>
        </w:rPr>
        <w:t>. The next feature seen is an exothermic peak at ≈140</w:t>
      </w:r>
      <w:r w:rsidR="00E268B1">
        <w:rPr>
          <w:rFonts w:ascii="Arial" w:hAnsi="Arial" w:cs="Arial"/>
        </w:rPr>
        <w:t xml:space="preserve"> </w:t>
      </w:r>
      <w:r w:rsidRPr="0092670C">
        <w:rPr>
          <w:rFonts w:ascii="Arial" w:hAnsi="Arial" w:cs="Arial"/>
        </w:rPr>
        <w:t>°C. This is due to some SEI components starting to decompose</w:t>
      </w:r>
      <w:r w:rsidR="00D3643C">
        <w:rPr>
          <w:rFonts w:ascii="Arial" w:hAnsi="Arial" w:cs="Arial"/>
        </w:rPr>
        <w:t xml:space="preserve"> </w:t>
      </w:r>
      <w:r w:rsidR="00D3643C">
        <w:rPr>
          <w:rFonts w:ascii="Arial" w:hAnsi="Arial" w:cs="Arial"/>
        </w:rPr>
        <w:fldChar w:fldCharType="begin"/>
      </w:r>
      <w:r w:rsidR="0034337D">
        <w:rPr>
          <w:rFonts w:ascii="Arial" w:hAnsi="Arial" w:cs="Arial"/>
        </w:rPr>
        <w:instrText xml:space="preserve"> ADDIN EN.CITE &lt;EndNote&gt;&lt;Cite&gt;&lt;Author&gt;Son&lt;/Author&gt;&lt;Year&gt;2019&lt;/Year&gt;&lt;RecNum&gt;379&lt;/RecNum&gt;&lt;DisplayText&gt;[211]&lt;/DisplayText&gt;&lt;record&gt;&lt;rec-number&gt;379&lt;/rec-number&gt;&lt;foreign-keys&gt;&lt;key app="EN" db-id="5sa9s0e0r0d9fnexra7pr5xdwd5ztevx95s2" timestamp="1631895491"&gt;379&lt;/key&gt;&lt;/foreign-keys&gt;&lt;ref-type name="Journal Article"&gt;17&lt;/ref-type&gt;&lt;contributors&gt;&lt;authors&gt;&lt;author&gt;Son, Kihyun&lt;/author&gt;&lt;author&gt;Hwang, Soo Min&lt;/author&gt;&lt;author&gt;Woo, Seok-Gyun&lt;/author&gt;&lt;author&gt;Paik, Meenseon&lt;/author&gt;&lt;author&gt;Song, Eui Hwan&lt;/author&gt;&lt;author&gt;Kim, Young-Jun&lt;/author&gt;&lt;/authors&gt;&lt;/contributors&gt;&lt;titles&gt;&lt;title&gt;Thermal and chemical characterization of the solid-electrolyte interphase in Li-ion batteries using a novel separator sampling method&lt;/title&gt;&lt;secondary-title&gt;Journal of Power Sources&lt;/secondary-title&gt;&lt;/titles&gt;&lt;periodical&gt;&lt;full-title&gt;Journal of Power Sources&lt;/full-title&gt;&lt;/periodical&gt;&lt;pages&gt;227083&lt;/pages&gt;&lt;volume&gt;440&lt;/volume&gt;&lt;keywords&gt;&lt;keyword&gt;DSC&lt;/keyword&gt;&lt;keyword&gt;Safety&lt;/keyword&gt;&lt;keyword&gt;SEI&lt;/keyword&gt;&lt;keyword&gt;Separator&lt;/keyword&gt;&lt;keyword&gt;LIBs&lt;/keyword&gt;&lt;/keywords&gt;&lt;dates&gt;&lt;year&gt;2019&lt;/year&gt;&lt;pub-dates&gt;&lt;date&gt;2019/11/15/&lt;/date&gt;&lt;/pub-dates&gt;&lt;/dates&gt;&lt;isbn&gt;0378-7753&lt;/isbn&gt;&lt;urls&gt;&lt;related-urls&gt;&lt;url&gt;https://www.sciencedirect.com/science/article/pii/S0378775319310766&lt;/url&gt;&lt;/related-urls&gt;&lt;/urls&gt;&lt;electronic-resource-num&gt;https://doi.org/10.1016/j.jpowsour.2019.227083&lt;/electronic-resource-num&gt;&lt;/record&gt;&lt;/Cite&gt;&lt;/EndNote&gt;</w:instrText>
      </w:r>
      <w:r w:rsidR="00D3643C">
        <w:rPr>
          <w:rFonts w:ascii="Arial" w:hAnsi="Arial" w:cs="Arial"/>
        </w:rPr>
        <w:fldChar w:fldCharType="separate"/>
      </w:r>
      <w:r w:rsidR="0034337D">
        <w:rPr>
          <w:rFonts w:ascii="Arial" w:hAnsi="Arial" w:cs="Arial"/>
          <w:noProof/>
        </w:rPr>
        <w:t>[211]</w:t>
      </w:r>
      <w:r w:rsidR="00D3643C">
        <w:rPr>
          <w:rFonts w:ascii="Arial" w:hAnsi="Arial" w:cs="Arial"/>
        </w:rPr>
        <w:fldChar w:fldCharType="end"/>
      </w:r>
      <w:r w:rsidRPr="0092670C">
        <w:rPr>
          <w:rFonts w:ascii="Arial" w:hAnsi="Arial" w:cs="Arial"/>
        </w:rPr>
        <w:t>.</w:t>
      </w:r>
    </w:p>
    <w:p w14:paraId="4BEBBB13" w14:textId="559FAB3B" w:rsidR="00A93DD5" w:rsidRPr="0092670C" w:rsidRDefault="00A93DD5" w:rsidP="00A93DD5">
      <w:pPr>
        <w:spacing w:line="360" w:lineRule="auto"/>
        <w:jc w:val="both"/>
        <w:rPr>
          <w:rFonts w:ascii="Arial" w:hAnsi="Arial" w:cs="Arial"/>
        </w:rPr>
      </w:pPr>
      <w:r w:rsidRPr="0092670C">
        <w:rPr>
          <w:rFonts w:ascii="Arial" w:hAnsi="Arial" w:cs="Arial"/>
        </w:rPr>
        <w:t>The small exothermic peak ≈280</w:t>
      </w:r>
      <w:r w:rsidR="00E268B1">
        <w:rPr>
          <w:rFonts w:ascii="Arial" w:hAnsi="Arial" w:cs="Arial"/>
        </w:rPr>
        <w:t xml:space="preserve"> </w:t>
      </w:r>
      <w:r w:rsidRPr="0092670C">
        <w:rPr>
          <w:rFonts w:ascii="Arial" w:hAnsi="Arial" w:cs="Arial"/>
        </w:rPr>
        <w:t>°C seen in the reference electrode is due to CMC oxidation</w:t>
      </w:r>
      <w:r w:rsidR="006D4921" w:rsidRPr="0092670C">
        <w:rPr>
          <w:rFonts w:ascii="Arial" w:hAnsi="Arial" w:cs="Arial"/>
        </w:rPr>
        <w:t xml:space="preserve"> </w:t>
      </w:r>
      <w:r w:rsidRPr="0092670C">
        <w:rPr>
          <w:rFonts w:ascii="Arial" w:hAnsi="Arial" w:cs="Arial"/>
        </w:rPr>
        <w:fldChar w:fldCharType="begin">
          <w:fldData xml:space="preserve">PEVuZE5vdGU+PENpdGU+PEF1dGhvcj5FbC1TYXllZDwvQXV0aG9yPjxZZWFyPjIwMTE8L1llYXI+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PEVuZE5vdGU+PENpdGU+PEF1dGhvcj5FbC1TYXllZDwvQXV0aG9yPjxZZWFyPjIwMTE8L1llYXI+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[207, 208]</w:t>
      </w:r>
      <w:r w:rsidRPr="0092670C">
        <w:rPr>
          <w:rFonts w:ascii="Arial" w:hAnsi="Arial" w:cs="Arial"/>
        </w:rPr>
        <w:fldChar w:fldCharType="end"/>
      </w:r>
      <w:r w:rsidRPr="0092670C">
        <w:rPr>
          <w:rFonts w:ascii="Arial" w:hAnsi="Arial" w:cs="Arial"/>
        </w:rPr>
        <w:t>.  As soon as pre-lithiation begins the exothermic peak shifts to ≈300</w:t>
      </w:r>
      <w:r w:rsidR="008C210D">
        <w:rPr>
          <w:rFonts w:ascii="Arial" w:hAnsi="Arial" w:cs="Arial"/>
        </w:rPr>
        <w:t> </w:t>
      </w:r>
      <w:r w:rsidRPr="0092670C">
        <w:rPr>
          <w:rFonts w:ascii="Arial" w:hAnsi="Arial" w:cs="Arial"/>
        </w:rPr>
        <w:t>°C and it can be seen to increase with increasing pre-lithiation time. This is due reactions between Lithiated Si and the remaining SEI material. once pre-lithiation causes the anode voltage to drop low enough Si starts to alloy with Li and this high energy material readily reacts with the SEI. As pre lithiation time increases more Li</w:t>
      </w:r>
      <w:r w:rsidRPr="0092670C">
        <w:rPr>
          <w:rFonts w:ascii="Arial" w:hAnsi="Arial" w:cs="Arial"/>
          <w:vertAlign w:val="subscript"/>
        </w:rPr>
        <w:t>x</w:t>
      </w:r>
      <w:r w:rsidRPr="0092670C">
        <w:rPr>
          <w:rFonts w:ascii="Arial" w:hAnsi="Arial" w:cs="Arial"/>
        </w:rPr>
        <w:t>Si is formed and this increases the heat flux seen emanating from the cell.  This also causes the reaction to shift to slightly higher temperatures with an additional peak just before 400</w:t>
      </w:r>
      <w:r w:rsidR="00E268B1">
        <w:rPr>
          <w:rFonts w:ascii="Arial" w:hAnsi="Arial" w:cs="Arial"/>
        </w:rPr>
        <w:t> </w:t>
      </w:r>
      <w:r w:rsidRPr="0092670C">
        <w:rPr>
          <w:rFonts w:ascii="Arial" w:hAnsi="Arial" w:cs="Arial"/>
        </w:rPr>
        <w:t xml:space="preserve">°C being seen.  </w:t>
      </w:r>
    </w:p>
    <w:p w14:paraId="2D74A4AA" w14:textId="77777777" w:rsidR="00A93DD5" w:rsidRPr="0092670C" w:rsidRDefault="00A93DD5" w:rsidP="00E962F4">
      <w:pPr>
        <w:pStyle w:val="Heading3"/>
        <w:rPr>
          <w:rFonts w:ascii="Arial" w:hAnsi="Arial" w:cs="Arial"/>
        </w:rPr>
      </w:pPr>
      <w:bookmarkStart w:id="259" w:name="_Toc82538795"/>
      <w:r w:rsidRPr="0092670C">
        <w:rPr>
          <w:rFonts w:ascii="Arial" w:hAnsi="Arial" w:cs="Arial"/>
        </w:rPr>
        <w:t>Conclusion</w:t>
      </w:r>
      <w:bookmarkEnd w:id="259"/>
    </w:p>
    <w:p w14:paraId="6EDDE2A6" w14:textId="36461FA8" w:rsidR="00A93DD5" w:rsidRPr="0092670C" w:rsidRDefault="00A93DD5" w:rsidP="005F7D7D">
      <w:pPr>
        <w:spacing w:line="360" w:lineRule="auto"/>
        <w:jc w:val="both"/>
        <w:rPr>
          <w:rFonts w:ascii="Arial" w:hAnsi="Arial" w:cs="Arial"/>
        </w:rPr>
      </w:pPr>
      <w:r w:rsidRPr="0092670C">
        <w:rPr>
          <w:rFonts w:ascii="Arial" w:hAnsi="Arial" w:cs="Arial"/>
        </w:rPr>
        <w:t xml:space="preserve">Pre-lithiating Si has shown to help improve the initial coulombic efficiency of cells drastically. This </w:t>
      </w:r>
      <w:r w:rsidR="00120ECB">
        <w:rPr>
          <w:rFonts w:ascii="Arial" w:hAnsi="Arial" w:cs="Arial"/>
        </w:rPr>
        <w:t xml:space="preserve">will be </w:t>
      </w:r>
      <w:r w:rsidR="002D1064">
        <w:rPr>
          <w:rFonts w:ascii="Arial" w:hAnsi="Arial" w:cs="Arial"/>
        </w:rPr>
        <w:t xml:space="preserve">important as </w:t>
      </w:r>
      <w:r w:rsidR="00710CF7">
        <w:rPr>
          <w:rFonts w:ascii="Arial" w:hAnsi="Arial" w:cs="Arial"/>
        </w:rPr>
        <w:t>state-of-the-art</w:t>
      </w:r>
      <w:r w:rsidR="002D1064">
        <w:rPr>
          <w:rFonts w:ascii="Arial" w:hAnsi="Arial" w:cs="Arial"/>
        </w:rPr>
        <w:t xml:space="preserve"> Si/ NMC 811 full cells require multiple </w:t>
      </w:r>
      <w:r w:rsidR="00E724CB">
        <w:rPr>
          <w:rFonts w:ascii="Arial" w:hAnsi="Arial" w:cs="Arial"/>
        </w:rPr>
        <w:t xml:space="preserve">electrolyte additives to minimise capacity fade </w:t>
      </w:r>
      <w:r w:rsidR="00B65A0A">
        <w:rPr>
          <w:rFonts w:ascii="Arial" w:hAnsi="Arial" w:cs="Arial"/>
        </w:rPr>
        <w:fldChar w:fldCharType="begin"/>
      </w:r>
      <w:r w:rsidR="0034337D">
        <w:rPr>
          <w:rFonts w:ascii="Arial" w:hAnsi="Arial" w:cs="Arial"/>
        </w:rPr>
        <w:instrText xml:space="preserve"> ADDIN EN.CITE &lt;EndNote&gt;&lt;Cite&gt;&lt;Author&gt;An&lt;/Author&gt;&lt;Year&gt;2019&lt;/Year&gt;&lt;RecNum&gt;361&lt;/RecNum&gt;&lt;DisplayText&gt;[241]&lt;/DisplayText&gt;&lt;record&gt;&lt;rec-number&gt;361&lt;/rec-number&gt;&lt;foreign-keys&gt;&lt;key app="EN" db-id="5sa9s0e0r0d9fnexra7pr5xdwd5ztevx95s2" timestamp="1593884386"&gt;361&lt;/key&gt;&lt;/foreign-keys&gt;&lt;ref-type name="Journal Article"&gt;17&lt;/ref-type&gt;&lt;contributors&gt;&lt;authors&gt;&lt;author&gt;An, Fuqiang&lt;/author&gt;&lt;author&gt;Zhao, Hongliang&lt;/author&gt;&lt;author&gt;Zhou, Weinan&lt;/author&gt;&lt;author&gt;Ma, Yonghong&lt;/author&gt;&lt;author&gt;Li, Ping&lt;/author&gt;&lt;/authors&gt;&lt;/contributors&gt;&lt;titles&gt;&lt;title&gt;S-containing and Si-containing compounds as highly effective electrolyte additives for SiOx -based anodes/NCM 811 cathodes in lithium ion cells&lt;/title&gt;&lt;secondary-title&gt;Scientific Reports&lt;/secondary-title&gt;&lt;/titles&gt;&lt;periodical&gt;&lt;full-title&gt;Scientific Reports&lt;/full-title&gt;&lt;/periodical&gt;&lt;volume&gt;9&lt;/volume&gt;&lt;number&gt;1&lt;/number&gt;&lt;dates&gt;&lt;year&gt;2019&lt;/year&gt;&lt;/dates&gt;&lt;publisher&gt;Springer Science and Business Media LLC&lt;/publisher&gt;&lt;isbn&gt;2045-2322&lt;/isbn&gt;&lt;urls&gt;&lt;related-urls&gt;&lt;url&gt;https://dx.doi.org/10.1038/s41598-019-49568-1&lt;/url&gt;&lt;/related-urls&gt;&lt;/urls&gt;&lt;electronic-resource-num&gt;10.1038/s41598-019-49568-1&lt;/electronic-resource-num&gt;&lt;/record&gt;&lt;/Cite&gt;&lt;/EndNote&gt;</w:instrText>
      </w:r>
      <w:r w:rsidR="00B65A0A">
        <w:rPr>
          <w:rFonts w:ascii="Arial" w:hAnsi="Arial" w:cs="Arial"/>
        </w:rPr>
        <w:fldChar w:fldCharType="separate"/>
      </w:r>
      <w:r w:rsidR="0034337D">
        <w:rPr>
          <w:rFonts w:ascii="Arial" w:hAnsi="Arial" w:cs="Arial"/>
          <w:noProof/>
        </w:rPr>
        <w:t>[241]</w:t>
      </w:r>
      <w:r w:rsidR="00B65A0A">
        <w:rPr>
          <w:rFonts w:ascii="Arial" w:hAnsi="Arial" w:cs="Arial"/>
        </w:rPr>
        <w:fldChar w:fldCharType="end"/>
      </w:r>
      <w:r w:rsidR="00606DFF">
        <w:rPr>
          <w:rFonts w:ascii="Arial" w:hAnsi="Arial" w:cs="Arial"/>
        </w:rPr>
        <w:t xml:space="preserve">. </w:t>
      </w:r>
      <w:r w:rsidR="00175AD1">
        <w:rPr>
          <w:rFonts w:ascii="Arial" w:hAnsi="Arial" w:cs="Arial"/>
        </w:rPr>
        <w:t xml:space="preserve">This work has shown that the performance of the cell can be improved </w:t>
      </w:r>
      <w:r w:rsidR="00AD7333">
        <w:rPr>
          <w:rFonts w:ascii="Arial" w:hAnsi="Arial" w:cs="Arial"/>
        </w:rPr>
        <w:t>without additives in the final cel</w:t>
      </w:r>
      <w:r w:rsidR="00373120">
        <w:rPr>
          <w:rFonts w:ascii="Arial" w:hAnsi="Arial" w:cs="Arial"/>
        </w:rPr>
        <w:t xml:space="preserve">l, </w:t>
      </w:r>
      <w:r w:rsidR="00223779">
        <w:rPr>
          <w:rFonts w:ascii="Arial" w:hAnsi="Arial" w:cs="Arial"/>
        </w:rPr>
        <w:t xml:space="preserve">although they would still be </w:t>
      </w:r>
      <w:r w:rsidR="0018602B">
        <w:rPr>
          <w:rFonts w:ascii="Arial" w:hAnsi="Arial" w:cs="Arial"/>
        </w:rPr>
        <w:t>beneficial at this stage.</w:t>
      </w:r>
    </w:p>
    <w:p w14:paraId="12E09C35" w14:textId="424E5212" w:rsidR="00A93DD5" w:rsidRPr="0092670C" w:rsidRDefault="001F3E2A" w:rsidP="00A93DD5">
      <w:pPr>
        <w:spacing w:line="360" w:lineRule="auto"/>
        <w:jc w:val="both"/>
        <w:rPr>
          <w:rFonts w:ascii="Arial" w:hAnsi="Arial" w:cs="Arial"/>
        </w:rPr>
      </w:pPr>
      <w:r>
        <w:rPr>
          <w:rFonts w:ascii="Arial" w:hAnsi="Arial" w:cs="Arial"/>
        </w:rPr>
        <w:t xml:space="preserve">By comparing mechanical and electrochemical pre-lithiation </w:t>
      </w:r>
      <w:r w:rsidR="00220E1F">
        <w:rPr>
          <w:rFonts w:ascii="Arial" w:hAnsi="Arial" w:cs="Arial"/>
        </w:rPr>
        <w:t xml:space="preserve">we can see </w:t>
      </w:r>
      <w:r w:rsidR="00E601B2">
        <w:rPr>
          <w:rFonts w:ascii="Arial" w:hAnsi="Arial" w:cs="Arial"/>
        </w:rPr>
        <w:t>the diffe</w:t>
      </w:r>
      <w:r w:rsidR="00A50537">
        <w:rPr>
          <w:rFonts w:ascii="Arial" w:hAnsi="Arial" w:cs="Arial"/>
        </w:rPr>
        <w:t>re</w:t>
      </w:r>
      <w:r w:rsidR="00E601B2">
        <w:rPr>
          <w:rFonts w:ascii="Arial" w:hAnsi="Arial" w:cs="Arial"/>
        </w:rPr>
        <w:t>nces</w:t>
      </w:r>
      <w:r w:rsidR="00A50537">
        <w:rPr>
          <w:rFonts w:ascii="Arial" w:hAnsi="Arial" w:cs="Arial"/>
        </w:rPr>
        <w:t xml:space="preserve"> between both techniques. </w:t>
      </w:r>
      <w:r w:rsidR="00A93DD5" w:rsidRPr="0092670C">
        <w:rPr>
          <w:rFonts w:ascii="Arial" w:hAnsi="Arial" w:cs="Arial"/>
        </w:rPr>
        <w:t>Both methods result in an increased initial capacity for a cell. As the capacity is similar from both techniques it suggests that the SEI that they form is similar. The time saving aspect of electrochemical lithiation is a big advantage. Electrochemical lithiation also gives more control and easier monitoring of the pre-lithiation process.</w:t>
      </w:r>
      <w:r w:rsidR="00FB7099">
        <w:rPr>
          <w:rFonts w:ascii="Arial" w:hAnsi="Arial" w:cs="Arial"/>
        </w:rPr>
        <w:t xml:space="preserve"> </w:t>
      </w:r>
      <w:r w:rsidR="00A93DD5" w:rsidRPr="0092670C">
        <w:rPr>
          <w:rFonts w:ascii="Arial" w:hAnsi="Arial" w:cs="Arial"/>
        </w:rPr>
        <w:t xml:space="preserve"> </w:t>
      </w:r>
    </w:p>
    <w:p w14:paraId="4DD56B41" w14:textId="77777777" w:rsidR="00A93DD5" w:rsidRPr="0092670C" w:rsidRDefault="00A93DD5" w:rsidP="00E962F4">
      <w:pPr>
        <w:pStyle w:val="Heading2"/>
        <w:rPr>
          <w:rFonts w:ascii="Arial" w:hAnsi="Arial" w:cs="Arial"/>
        </w:rPr>
      </w:pPr>
      <w:bookmarkStart w:id="260" w:name="_Toc82538796"/>
      <w:r w:rsidRPr="0092670C">
        <w:rPr>
          <w:rFonts w:ascii="Arial" w:hAnsi="Arial" w:cs="Arial"/>
        </w:rPr>
        <w:t>The choice of Si used for cycling</w:t>
      </w:r>
      <w:bookmarkEnd w:id="260"/>
    </w:p>
    <w:p w14:paraId="0F8079D4" w14:textId="3EFCC371" w:rsidR="00A93DD5" w:rsidRPr="0092670C" w:rsidRDefault="00A93DD5" w:rsidP="00A93DD5">
      <w:pPr>
        <w:spacing w:line="360" w:lineRule="auto"/>
        <w:jc w:val="both"/>
        <w:rPr>
          <w:rFonts w:ascii="Arial" w:hAnsi="Arial" w:cs="Arial"/>
        </w:rPr>
      </w:pPr>
      <w:r w:rsidRPr="0092670C">
        <w:rPr>
          <w:rFonts w:ascii="Arial" w:hAnsi="Arial" w:cs="Arial"/>
        </w:rPr>
        <w:t>The previous examples all used a low Si content electrode for the experiments. These have a far lower capacity than what Si is theoretically capable of</w:t>
      </w:r>
      <w:r w:rsidR="003F1B5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&lt;EndNote&gt;&lt;Cite&gt;&lt;Author&gt;Zhang&lt;/Author&gt;&lt;Year&gt;2011&lt;/Year&gt;&lt;RecNum&gt;189&lt;/RecNum&gt;&lt;DisplayText&gt;[231]&lt;/DisplayText&gt;&lt;record&gt;&lt;rec-number&gt;189&lt;/rec-number&gt;&lt;foreign-keys&gt;&lt;key app="EN" db-id="5sa9s0e0r0d9fnexra7pr5xdwd5ztevx95s2" timestamp="1551719339"&gt;189&lt;/key&gt;&lt;/foreign-keys&gt;&lt;ref-type name="Journal Article"&gt;17&lt;/ref-type&gt;&lt;contributors&gt;&lt;authors&gt;&lt;author&gt;Zhang, Wei-Jun&lt;/author&gt;&lt;/authors&gt;&lt;/contributors&gt;&lt;titles&gt;&lt;title&gt;A review of the electrochemical performance of alloy anodes for lithium-ion batteries&lt;/title&gt;&lt;secondary-title&gt;Journal of Power Sources&lt;/secondary-title&gt;&lt;/titles&gt;&lt;periodical&gt;&lt;full-title&gt;Journal of Power Sources&lt;/full-title&gt;&lt;/periodical&gt;&lt;pages&gt;13-24&lt;/pages&gt;&lt;volume&gt;196&lt;/volume&gt;&lt;number&gt;1&lt;/number&gt;&lt;keywords&gt;&lt;keyword&gt;Lithium-ion batteries&lt;/keyword&gt;&lt;keyword&gt;Alloy anodes&lt;/keyword&gt;&lt;keyword&gt;Energy density&lt;/keyword&gt;&lt;keyword&gt;Cycle life&lt;/keyword&gt;&lt;keyword&gt;Capacity loss&lt;/keyword&gt;&lt;/keywords&gt;&lt;dates&gt;&lt;year&gt;2011&lt;/year&gt;&lt;pub-dates&gt;&lt;date&gt;2011/01/01/&lt;/date&gt;&lt;/pub-dates&gt;&lt;/dates&gt;&lt;isbn&gt;0378-7753&lt;/isbn&gt;&lt;urls&gt;&lt;related-urls&gt;&lt;url&gt;http://www.sciencedirect.com/science/article/pii/S0378775310011699&lt;/url&gt;&lt;/related-urls&gt;&lt;/urls&gt;&lt;electronic-resource-num&gt;https://doi.org/10.1016/j.jpowsour.2010.07.020&lt;/electronic-resource-num&gt;&lt;/record&gt;&lt;/Cite&gt;&lt;/EndNote&gt;</w:instrText>
      </w:r>
      <w:r w:rsidRPr="0092670C">
        <w:rPr>
          <w:rFonts w:ascii="Arial" w:hAnsi="Arial" w:cs="Arial"/>
        </w:rPr>
        <w:fldChar w:fldCharType="separate"/>
      </w:r>
      <w:r w:rsidR="0034337D">
        <w:rPr>
          <w:rFonts w:ascii="Arial" w:hAnsi="Arial" w:cs="Arial"/>
          <w:noProof/>
        </w:rPr>
        <w:t>[231]</w:t>
      </w:r>
      <w:r w:rsidRPr="0092670C">
        <w:rPr>
          <w:rFonts w:ascii="Arial" w:hAnsi="Arial" w:cs="Arial"/>
        </w:rPr>
        <w:fldChar w:fldCharType="end"/>
      </w:r>
      <w:r w:rsidRPr="0092670C">
        <w:rPr>
          <w:rFonts w:ascii="Arial" w:hAnsi="Arial" w:cs="Arial"/>
        </w:rPr>
        <w:t xml:space="preserve">. Increasing the Si content higher can improve the gravimetric density of the electrodes but it also exacerbates the issues described earlier with electrode pulverisation. This makes robust SEI formation more important to ensure reasonable cell cycling. </w:t>
      </w:r>
    </w:p>
    <w:p w14:paraId="4ECE6BFE" w14:textId="77777777" w:rsidR="00A93DD5" w:rsidRPr="0092670C" w:rsidRDefault="00A93DD5" w:rsidP="00E962F4">
      <w:pPr>
        <w:pStyle w:val="Heading3"/>
        <w:rPr>
          <w:rFonts w:ascii="Arial" w:hAnsi="Arial" w:cs="Arial"/>
        </w:rPr>
      </w:pPr>
      <w:bookmarkStart w:id="261" w:name="_Toc82538797"/>
      <w:r w:rsidRPr="0092670C">
        <w:rPr>
          <w:rFonts w:ascii="Arial" w:hAnsi="Arial" w:cs="Arial"/>
        </w:rPr>
        <w:t>Experimental</w:t>
      </w:r>
      <w:bookmarkEnd w:id="261"/>
    </w:p>
    <w:p w14:paraId="5152D05D" w14:textId="3A2C3D56" w:rsidR="00897ABC" w:rsidRPr="00897ABC" w:rsidRDefault="00897ABC" w:rsidP="00897ABC">
      <w:pPr>
        <w:spacing w:line="360" w:lineRule="auto"/>
        <w:jc w:val="both"/>
        <w:rPr>
          <w:rFonts w:ascii="Arial" w:hAnsi="Arial" w:cs="Arial"/>
        </w:rPr>
      </w:pPr>
      <w:r w:rsidRPr="00897ABC">
        <w:rPr>
          <w:rFonts w:ascii="Arial" w:hAnsi="Arial" w:cs="Arial"/>
        </w:rPr>
        <w:t>Si electrodes were kindly provided by Dr. Entwistle</w:t>
      </w:r>
      <w:r w:rsidR="00614ED1">
        <w:rPr>
          <w:rFonts w:ascii="Arial" w:hAnsi="Arial" w:cs="Arial"/>
        </w:rPr>
        <w:t xml:space="preserve"> with the material made </w:t>
      </w:r>
      <w:r w:rsidR="00B33127">
        <w:rPr>
          <w:rFonts w:ascii="Arial" w:hAnsi="Arial" w:cs="Arial"/>
        </w:rPr>
        <w:t xml:space="preserve">as detailed in </w:t>
      </w:r>
      <w:r w:rsidR="00B33127">
        <w:rPr>
          <w:rFonts w:ascii="Arial" w:hAnsi="Arial" w:cs="Arial"/>
        </w:rPr>
        <w:fldChar w:fldCharType="begin"/>
      </w:r>
      <w:r w:rsidR="00B33127">
        <w:rPr>
          <w:rFonts w:ascii="Arial" w:hAnsi="Arial" w:cs="Arial"/>
        </w:rPr>
        <w:instrText xml:space="preserve"> REF _Ref82867708 \r \h </w:instrText>
      </w:r>
      <w:r w:rsidR="00B33127">
        <w:rPr>
          <w:rFonts w:ascii="Arial" w:hAnsi="Arial" w:cs="Arial"/>
        </w:rPr>
      </w:r>
      <w:r w:rsidR="00B33127">
        <w:rPr>
          <w:rFonts w:ascii="Arial" w:hAnsi="Arial" w:cs="Arial"/>
        </w:rPr>
        <w:fldChar w:fldCharType="separate"/>
      </w:r>
      <w:r w:rsidR="00B33127">
        <w:rPr>
          <w:rFonts w:ascii="Arial" w:hAnsi="Arial" w:cs="Arial"/>
        </w:rPr>
        <w:t>2.1.2</w:t>
      </w:r>
      <w:r w:rsidR="00B33127">
        <w:rPr>
          <w:rFonts w:ascii="Arial" w:hAnsi="Arial" w:cs="Arial"/>
        </w:rPr>
        <w:fldChar w:fldCharType="end"/>
      </w:r>
      <w:r w:rsidRPr="00897ABC">
        <w:rPr>
          <w:rFonts w:ascii="Arial" w:hAnsi="Arial" w:cs="Arial"/>
        </w:rPr>
        <w:t>. The</w:t>
      </w:r>
      <w:r w:rsidR="0018602B">
        <w:rPr>
          <w:rFonts w:ascii="Arial" w:hAnsi="Arial" w:cs="Arial"/>
        </w:rPr>
        <w:t xml:space="preserve"> electrodes</w:t>
      </w:r>
      <w:r w:rsidRPr="00897ABC">
        <w:rPr>
          <w:rFonts w:ascii="Arial" w:hAnsi="Arial" w:cs="Arial"/>
        </w:rPr>
        <w:t xml:space="preserve"> were produced using the same method as that outlined in 2.2.1. More about the production of the Si active material can be found in Entwistle et al. paper</w:t>
      </w:r>
      <w:r w:rsidR="00963680">
        <w:rPr>
          <w:rFonts w:ascii="Arial" w:hAnsi="Arial" w:cs="Arial"/>
        </w:rPr>
        <w:t xml:space="preserve"> </w:t>
      </w:r>
      <w:r w:rsidR="00963680">
        <w:rPr>
          <w:rFonts w:ascii="Arial" w:hAnsi="Arial" w:cs="Arial"/>
        </w:rPr>
        <w:fldChar w:fldCharType="begin"/>
      </w:r>
      <w:r w:rsidR="0034337D">
        <w:rPr>
          <w:rFonts w:ascii="Arial" w:hAnsi="Arial" w:cs="Arial"/>
        </w:rPr>
        <w:instrText xml:space="preserve"> ADDIN EN.CITE &lt;EndNote&gt;&lt;Cite&gt;&lt;Author&gt;Entwistle&lt;/Author&gt;&lt;Year&gt;2018&lt;/Year&gt;&lt;RecNum&gt;346&lt;/RecNum&gt;&lt;DisplayText&gt;[239]&lt;/DisplayText&gt;&lt;record&gt;&lt;rec-number&gt;346&lt;/rec-number&gt;&lt;foreign-keys&gt;&lt;key app="EN" db-id="5sa9s0e0r0d9fnexra7pr5xdwd5ztevx95s2" timestamp="1564164298"&gt;346&lt;/key&gt;&lt;/foreign-keys&gt;&lt;ref-type name="Journal Article"&gt;17&lt;/ref-type&gt;&lt;contributors&gt;&lt;authors&gt;&lt;author&gt;Entwistle, Jake&lt;/author&gt;&lt;author&gt;Rennie, Anthony&lt;/author&gt;&lt;author&gt;Patwardhan, Siddharth&lt;/author&gt;&lt;/authors&gt;&lt;/contributors&gt;&lt;titles&gt;&lt;title&gt;A review of magnesiothermic reduction of silica to porous silicon for lithium-ion battery applications and beyond&lt;/title&gt;&lt;secondary-title&gt;Journal of Materials Chemistry A&lt;/secondary-title&gt;&lt;/titles&gt;&lt;periodical&gt;&lt;full-title&gt;Journal of Materials Chemistry A&lt;/full-title&gt;&lt;/periodical&gt;&lt;pages&gt;18344-18356&lt;/pages&gt;&lt;volume&gt;6&lt;/volume&gt;&lt;number&gt;38&lt;/number&gt;&lt;dates&gt;&lt;year&gt;2018&lt;/year&gt;&lt;/dates&gt;&lt;publisher&gt;The Royal Society of Chemistry&lt;/publisher&gt;&lt;isbn&gt;2050-7488&lt;/isbn&gt;&lt;work-type&gt;10.1039/C8TA06370B&lt;/work-type&gt;&lt;urls&gt;&lt;related-urls&gt;&lt;url&gt;http://dx.doi.org/10.1039/C8TA06370B&lt;/url&gt;&lt;/related-urls&gt;&lt;/urls&gt;&lt;electronic-resource-num&gt;10.1039/C8TA06370B&lt;/electronic-resource-num&gt;&lt;/record&gt;&lt;/Cite&gt;&lt;/EndNote&gt;</w:instrText>
      </w:r>
      <w:r w:rsidR="00963680">
        <w:rPr>
          <w:rFonts w:ascii="Arial" w:hAnsi="Arial" w:cs="Arial"/>
        </w:rPr>
        <w:fldChar w:fldCharType="separate"/>
      </w:r>
      <w:r w:rsidR="0034337D">
        <w:rPr>
          <w:rFonts w:ascii="Arial" w:hAnsi="Arial" w:cs="Arial"/>
          <w:noProof/>
        </w:rPr>
        <w:t>[239]</w:t>
      </w:r>
      <w:r w:rsidR="00963680">
        <w:rPr>
          <w:rFonts w:ascii="Arial" w:hAnsi="Arial" w:cs="Arial"/>
        </w:rPr>
        <w:fldChar w:fldCharType="end"/>
      </w:r>
      <w:r w:rsidRPr="00897ABC">
        <w:rPr>
          <w:rFonts w:ascii="Arial" w:hAnsi="Arial" w:cs="Arial"/>
        </w:rPr>
        <w:t>. Electrodes were then pre-lithiated with FEC (98%, Alfa Aesar) as outlined in 2.3.1 between 1 and 48hrs. These electrodes were then assembled into coin cells using LP30 + 10wt.% FEC as the electrolyte. The coin cells were cycled at C/10 for 100 cycles using CC/CV cycling for the charge</w:t>
      </w:r>
      <w:r w:rsidR="00963680">
        <w:rPr>
          <w:rFonts w:ascii="Arial" w:hAnsi="Arial" w:cs="Arial"/>
        </w:rPr>
        <w:t xml:space="preserve"> step</w:t>
      </w:r>
      <w:r w:rsidRPr="00897ABC">
        <w:rPr>
          <w:rFonts w:ascii="Arial" w:hAnsi="Arial" w:cs="Arial"/>
        </w:rPr>
        <w:t xml:space="preserve"> on a Maccor series 4000M at 25°C. For reference fresh electrodes were cycled in LP30 + 10wt.% FEC.</w:t>
      </w:r>
    </w:p>
    <w:p w14:paraId="0AA38B02" w14:textId="77777777" w:rsidR="00A93DD5" w:rsidRPr="0092670C" w:rsidRDefault="00A93DD5" w:rsidP="00E962F4">
      <w:pPr>
        <w:pStyle w:val="Heading3"/>
        <w:rPr>
          <w:rFonts w:ascii="Arial" w:hAnsi="Arial" w:cs="Arial"/>
        </w:rPr>
      </w:pPr>
      <w:bookmarkStart w:id="262" w:name="_Toc82538798"/>
      <w:r w:rsidRPr="0092670C">
        <w:rPr>
          <w:rFonts w:ascii="Arial" w:hAnsi="Arial" w:cs="Arial"/>
        </w:rPr>
        <w:t>Results</w:t>
      </w:r>
      <w:bookmarkEnd w:id="262"/>
    </w:p>
    <w:p w14:paraId="2C86A087" w14:textId="1D6731E6" w:rsidR="00A93DD5" w:rsidRPr="0092670C" w:rsidRDefault="00A93DD5" w:rsidP="00E66392">
      <w:pPr>
        <w:spacing w:line="360" w:lineRule="auto"/>
        <w:jc w:val="both"/>
        <w:rPr>
          <w:rFonts w:ascii="Arial" w:hAnsi="Arial" w:cs="Arial"/>
        </w:rPr>
      </w:pPr>
      <w:r w:rsidRPr="0092670C">
        <w:rPr>
          <w:rFonts w:ascii="Arial" w:hAnsi="Arial" w:cs="Arial"/>
          <w:noProof/>
        </w:rPr>
        <mc:AlternateContent>
          <mc:Choice Requires="wps">
            <w:drawing>
              <wp:anchor distT="0" distB="0" distL="114300" distR="114300" simplePos="0" relativeHeight="251658254" behindDoc="0" locked="0" layoutInCell="1" allowOverlap="1" wp14:anchorId="7AE07F39" wp14:editId="117D9C14">
                <wp:simplePos x="0" y="0"/>
                <wp:positionH relativeFrom="column">
                  <wp:posOffset>904875</wp:posOffset>
                </wp:positionH>
                <wp:positionV relativeFrom="paragraph">
                  <wp:posOffset>3056890</wp:posOffset>
                </wp:positionV>
                <wp:extent cx="3913505" cy="276225"/>
                <wp:effectExtent l="0" t="0" r="0" b="9525"/>
                <wp:wrapSquare wrapText="bothSides"/>
                <wp:docPr id="42" name="Text Box 42"/>
                <wp:cNvGraphicFramePr/>
                <a:graphic xmlns:a="http://schemas.openxmlformats.org/drawingml/2006/main">
                  <a:graphicData uri="http://schemas.microsoft.com/office/word/2010/wordprocessingShape">
                    <wps:wsp>
                      <wps:cNvSpPr txBox="1"/>
                      <wps:spPr>
                        <a:xfrm>
                          <a:off x="0" y="0"/>
                          <a:ext cx="3913505" cy="276225"/>
                        </a:xfrm>
                        <a:prstGeom prst="rect">
                          <a:avLst/>
                        </a:prstGeom>
                        <a:solidFill>
                          <a:prstClr val="white"/>
                        </a:solidFill>
                        <a:ln>
                          <a:noFill/>
                        </a:ln>
                      </wps:spPr>
                      <wps:txbx>
                        <w:txbxContent>
                          <w:p w14:paraId="315E5D38" w14:textId="5CA19A81" w:rsidR="000E4910" w:rsidRPr="00B7494D" w:rsidRDefault="000E4910" w:rsidP="00A93DD5">
                            <w:pPr>
                              <w:pStyle w:val="Caption"/>
                              <w:jc w:val="center"/>
                              <w:rPr>
                                <w:noProof/>
                                <w:sz w:val="20"/>
                                <w:szCs w:val="20"/>
                              </w:rPr>
                            </w:pPr>
                            <w:bookmarkStart w:id="263" w:name="_Ref31313620"/>
                            <w:r w:rsidRPr="00B7494D">
                              <w:rPr>
                                <w:sz w:val="20"/>
                                <w:szCs w:val="20"/>
                              </w:rPr>
                              <w:t xml:space="preserve">Figure </w:t>
                            </w:r>
                            <w:r w:rsidR="00356A26">
                              <w:rPr>
                                <w:sz w:val="20"/>
                                <w:szCs w:val="20"/>
                              </w:rPr>
                              <w:fldChar w:fldCharType="begin"/>
                            </w:r>
                            <w:r w:rsidR="00356A26">
                              <w:rPr>
                                <w:sz w:val="20"/>
                                <w:szCs w:val="20"/>
                              </w:rPr>
                              <w:instrText xml:space="preserve"> STYLEREF 1 \s </w:instrText>
                            </w:r>
                            <w:r w:rsidR="00356A26">
                              <w:rPr>
                                <w:sz w:val="20"/>
                                <w:szCs w:val="20"/>
                              </w:rPr>
                              <w:fldChar w:fldCharType="separate"/>
                            </w:r>
                            <w:r w:rsidR="00356A26">
                              <w:rPr>
                                <w:noProof/>
                                <w:sz w:val="20"/>
                                <w:szCs w:val="20"/>
                              </w:rPr>
                              <w:t>4</w:t>
                            </w:r>
                            <w:r w:rsidR="00356A26">
                              <w:rPr>
                                <w:sz w:val="20"/>
                                <w:szCs w:val="20"/>
                              </w:rPr>
                              <w:fldChar w:fldCharType="end"/>
                            </w:r>
                            <w:r w:rsidR="00356A26">
                              <w:rPr>
                                <w:sz w:val="20"/>
                                <w:szCs w:val="20"/>
                              </w:rPr>
                              <w:noBreakHyphen/>
                            </w:r>
                            <w:r w:rsidR="00356A26">
                              <w:rPr>
                                <w:sz w:val="20"/>
                                <w:szCs w:val="20"/>
                              </w:rPr>
                              <w:fldChar w:fldCharType="begin"/>
                            </w:r>
                            <w:r w:rsidR="00356A26">
                              <w:rPr>
                                <w:sz w:val="20"/>
                                <w:szCs w:val="20"/>
                              </w:rPr>
                              <w:instrText xml:space="preserve"> SEQ Figure \* ARABIC \s 1 </w:instrText>
                            </w:r>
                            <w:r w:rsidR="00356A26">
                              <w:rPr>
                                <w:sz w:val="20"/>
                                <w:szCs w:val="20"/>
                              </w:rPr>
                              <w:fldChar w:fldCharType="separate"/>
                            </w:r>
                            <w:r w:rsidR="00356A26">
                              <w:rPr>
                                <w:noProof/>
                                <w:sz w:val="20"/>
                                <w:szCs w:val="20"/>
                              </w:rPr>
                              <w:t>15</w:t>
                            </w:r>
                            <w:r w:rsidR="00356A26">
                              <w:rPr>
                                <w:sz w:val="20"/>
                                <w:szCs w:val="20"/>
                              </w:rPr>
                              <w:fldChar w:fldCharType="end"/>
                            </w:r>
                            <w:bookmarkEnd w:id="263"/>
                            <w:r w:rsidRPr="00B7494D">
                              <w:rPr>
                                <w:sz w:val="20"/>
                                <w:szCs w:val="20"/>
                              </w:rPr>
                              <w:t>:</w:t>
                            </w:r>
                            <w:r>
                              <w:rPr>
                                <w:sz w:val="20"/>
                                <w:szCs w:val="20"/>
                              </w:rPr>
                              <w:t xml:space="preserve"> </w:t>
                            </w:r>
                            <w:r w:rsidRPr="00B7494D">
                              <w:rPr>
                                <w:sz w:val="20"/>
                                <w:szCs w:val="20"/>
                              </w:rPr>
                              <w:t>Charge capacity for varying pre-lithiation times</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07F39" id="Text Box 42" o:spid="_x0000_s1040" type="#_x0000_t202" style="position:absolute;left:0;text-align:left;margin-left:71.25pt;margin-top:240.7pt;width:308.15pt;height:21.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" stroked="f">
                <v:textbox inset="0,0,0,0">
                  <w:txbxContent>
                    <w:p w14:paraId="315E5D38" w14:textId="5CA19A81" w:rsidR="000E4910" w:rsidRPr="00B7494D" w:rsidRDefault="000E4910" w:rsidP="00A93DD5">
                      <w:pPr>
                        <w:pStyle w:val="Caption"/>
                        <w:jc w:val="center"/>
                        <w:rPr>
                          <w:noProof/>
                          <w:sz w:val="20"/>
                          <w:szCs w:val="20"/>
                        </w:rPr>
                      </w:pPr>
                      <w:bookmarkStart w:id="264" w:name="_Ref31313620"/>
                      <w:r w:rsidRPr="00B7494D">
                        <w:rPr>
                          <w:sz w:val="20"/>
                          <w:szCs w:val="20"/>
                        </w:rPr>
                        <w:t xml:space="preserve">Figure </w:t>
                      </w:r>
                      <w:r w:rsidR="00356A26">
                        <w:rPr>
                          <w:sz w:val="20"/>
                          <w:szCs w:val="20"/>
                        </w:rPr>
                        <w:fldChar w:fldCharType="begin"/>
                      </w:r>
                      <w:r w:rsidR="00356A26">
                        <w:rPr>
                          <w:sz w:val="20"/>
                          <w:szCs w:val="20"/>
                        </w:rPr>
                        <w:instrText xml:space="preserve"> STYLEREF 1 \s </w:instrText>
                      </w:r>
                      <w:r w:rsidR="00356A26">
                        <w:rPr>
                          <w:sz w:val="20"/>
                          <w:szCs w:val="20"/>
                        </w:rPr>
                        <w:fldChar w:fldCharType="separate"/>
                      </w:r>
                      <w:r w:rsidR="00356A26">
                        <w:rPr>
                          <w:noProof/>
                          <w:sz w:val="20"/>
                          <w:szCs w:val="20"/>
                        </w:rPr>
                        <w:t>4</w:t>
                      </w:r>
                      <w:r w:rsidR="00356A26">
                        <w:rPr>
                          <w:sz w:val="20"/>
                          <w:szCs w:val="20"/>
                        </w:rPr>
                        <w:fldChar w:fldCharType="end"/>
                      </w:r>
                      <w:r w:rsidR="00356A26">
                        <w:rPr>
                          <w:sz w:val="20"/>
                          <w:szCs w:val="20"/>
                        </w:rPr>
                        <w:noBreakHyphen/>
                      </w:r>
                      <w:r w:rsidR="00356A26">
                        <w:rPr>
                          <w:sz w:val="20"/>
                          <w:szCs w:val="20"/>
                        </w:rPr>
                        <w:fldChar w:fldCharType="begin"/>
                      </w:r>
                      <w:r w:rsidR="00356A26">
                        <w:rPr>
                          <w:sz w:val="20"/>
                          <w:szCs w:val="20"/>
                        </w:rPr>
                        <w:instrText xml:space="preserve"> SEQ Figure \* ARABIC \s 1 </w:instrText>
                      </w:r>
                      <w:r w:rsidR="00356A26">
                        <w:rPr>
                          <w:sz w:val="20"/>
                          <w:szCs w:val="20"/>
                        </w:rPr>
                        <w:fldChar w:fldCharType="separate"/>
                      </w:r>
                      <w:r w:rsidR="00356A26">
                        <w:rPr>
                          <w:noProof/>
                          <w:sz w:val="20"/>
                          <w:szCs w:val="20"/>
                        </w:rPr>
                        <w:t>15</w:t>
                      </w:r>
                      <w:r w:rsidR="00356A26">
                        <w:rPr>
                          <w:sz w:val="20"/>
                          <w:szCs w:val="20"/>
                        </w:rPr>
                        <w:fldChar w:fldCharType="end"/>
                      </w:r>
                      <w:bookmarkEnd w:id="264"/>
                      <w:r w:rsidRPr="00B7494D">
                        <w:rPr>
                          <w:sz w:val="20"/>
                          <w:szCs w:val="20"/>
                        </w:rPr>
                        <w:t>:</w:t>
                      </w:r>
                      <w:r>
                        <w:rPr>
                          <w:sz w:val="20"/>
                          <w:szCs w:val="20"/>
                        </w:rPr>
                        <w:t xml:space="preserve"> </w:t>
                      </w:r>
                      <w:r w:rsidRPr="00B7494D">
                        <w:rPr>
                          <w:sz w:val="20"/>
                          <w:szCs w:val="20"/>
                        </w:rPr>
                        <w:t>Charge capacity for varying pre-lithiation times</w:t>
                      </w:r>
                      <w:r>
                        <w:rPr>
                          <w:sz w:val="20"/>
                          <w:szCs w:val="20"/>
                        </w:rPr>
                        <w:t>.</w:t>
                      </w:r>
                    </w:p>
                  </w:txbxContent>
                </v:textbox>
                <w10:wrap type="square"/>
              </v:shape>
            </w:pict>
          </mc:Fallback>
        </mc:AlternateContent>
      </w:r>
      <w:r w:rsidR="0067644A">
        <w:rPr>
          <w:rFonts w:ascii="Arial" w:hAnsi="Arial" w:cs="Arial"/>
          <w:noProof/>
        </w:rPr>
      </w:r>
      <w:r w:rsidR="0067644A">
        <w:rPr>
          <w:rFonts w:ascii="Arial" w:hAnsi="Arial" w:cs="Arial"/>
          <w:noProof/>
        </w:rPr>
        <w:pict w14:anchorId="3BF41812">
          <v:shape id="_x0000_s1145" type="#_x0000_t75" style="position:absolute;left:0;text-align:left;margin-left:71.25pt;margin-top:0;width:308.15pt;height:236.15pt;z-index:251692032;mso-position-horizontal-relative:text;mso-position-vertical-relative:text">
            <v:imagedata r:id="rId252" o:title=""/>
            <w10:wrap type="square" side="left"/>
          </v:shape>
        </w:pict>
      </w:r>
      <w:r w:rsidRPr="0092670C">
        <w:rPr>
          <w:rFonts w:ascii="Arial" w:hAnsi="Arial" w:cs="Arial"/>
        </w:rPr>
        <w:br w:type="textWrapping" w:clear="all"/>
        <w:t>Pre-lithiation improves the initial capacity of the cells dramatically, up to 300</w:t>
      </w:r>
      <w:r w:rsidR="008C0EA2">
        <w:rPr>
          <w:rFonts w:ascii="Arial" w:hAnsi="Arial" w:cs="Arial"/>
        </w:rPr>
        <w:t xml:space="preserve"> </w:t>
      </w:r>
      <w:r w:rsidRPr="0092670C">
        <w:rPr>
          <w:rFonts w:ascii="Arial" w:hAnsi="Arial" w:cs="Arial"/>
        </w:rPr>
        <w:t>mAhg</w:t>
      </w:r>
      <w:r w:rsidRPr="0092670C">
        <w:rPr>
          <w:rFonts w:ascii="Arial" w:hAnsi="Arial" w:cs="Arial"/>
          <w:vertAlign w:val="superscript"/>
        </w:rPr>
        <w:t>-1</w:t>
      </w:r>
      <w:r w:rsidRPr="0092670C">
        <w:rPr>
          <w:rFonts w:ascii="Arial" w:hAnsi="Arial" w:cs="Arial"/>
        </w:rPr>
        <w:t xml:space="preserve"> more than the reference cell’s capacity in the initial cycle</w:t>
      </w:r>
      <w:r w:rsidR="00224B87" w:rsidRPr="0092670C">
        <w:rPr>
          <w:rFonts w:ascii="Arial" w:hAnsi="Arial" w:cs="Arial"/>
        </w:rPr>
        <w:t xml:space="preserve"> </w:t>
      </w:r>
      <w:r w:rsidR="009104AD" w:rsidRPr="0092670C">
        <w:rPr>
          <w:rFonts w:ascii="Arial" w:hAnsi="Arial" w:cs="Arial"/>
        </w:rPr>
        <w:t xml:space="preserve">as seen in </w:t>
      </w:r>
      <w:r w:rsidR="002F0656" w:rsidRPr="0092670C">
        <w:rPr>
          <w:rFonts w:ascii="Arial" w:hAnsi="Arial" w:cs="Arial"/>
        </w:rPr>
        <w:fldChar w:fldCharType="begin"/>
      </w:r>
      <w:r w:rsidR="002F0656" w:rsidRPr="0092670C">
        <w:rPr>
          <w:rFonts w:ascii="Arial" w:hAnsi="Arial" w:cs="Arial"/>
        </w:rPr>
        <w:instrText xml:space="preserve"> REF _Ref31313620 \h </w:instrText>
      </w:r>
      <w:r w:rsidR="007D0ABD" w:rsidRPr="0092670C">
        <w:rPr>
          <w:rFonts w:ascii="Arial" w:hAnsi="Arial" w:cs="Arial"/>
        </w:rPr>
        <w:instrText xml:space="preserve"> \* MERGEFORMAT </w:instrText>
      </w:r>
      <w:r w:rsidR="002F0656" w:rsidRPr="0092670C">
        <w:rPr>
          <w:rFonts w:ascii="Arial" w:hAnsi="Arial" w:cs="Arial"/>
        </w:rPr>
      </w:r>
      <w:r w:rsidR="002F0656"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15</w:t>
      </w:r>
      <w:r w:rsidR="002F0656" w:rsidRPr="0092670C">
        <w:rPr>
          <w:rFonts w:ascii="Arial" w:hAnsi="Arial" w:cs="Arial"/>
        </w:rPr>
        <w:fldChar w:fldCharType="end"/>
      </w:r>
      <w:r w:rsidRPr="0092670C">
        <w:rPr>
          <w:rFonts w:ascii="Arial" w:hAnsi="Arial" w:cs="Arial"/>
        </w:rPr>
        <w:t xml:space="preserve">. This is a substantial increase that demonstrates the potential of pre-lithiation to improve Si performance. </w:t>
      </w:r>
      <w:r w:rsidR="005A6D56" w:rsidRPr="0092670C">
        <w:rPr>
          <w:rFonts w:ascii="Arial" w:hAnsi="Arial" w:cs="Arial"/>
        </w:rPr>
        <w:t xml:space="preserve">By looking at </w:t>
      </w:r>
      <w:r w:rsidR="004E636E" w:rsidRPr="0092670C">
        <w:rPr>
          <w:rFonts w:ascii="Arial" w:hAnsi="Arial" w:cs="Arial"/>
        </w:rPr>
        <w:fldChar w:fldCharType="begin"/>
      </w:r>
      <w:r w:rsidR="004E636E" w:rsidRPr="0092670C">
        <w:rPr>
          <w:rFonts w:ascii="Arial" w:hAnsi="Arial" w:cs="Arial"/>
        </w:rPr>
        <w:instrText xml:space="preserve"> REF _Ref31312963 \h </w:instrText>
      </w:r>
      <w:r w:rsidR="000E5F0C" w:rsidRPr="0092670C">
        <w:rPr>
          <w:rFonts w:ascii="Arial" w:hAnsi="Arial" w:cs="Arial"/>
        </w:rPr>
        <w:instrText xml:space="preserve"> \* MERGEFORMAT </w:instrText>
      </w:r>
      <w:r w:rsidR="004E636E" w:rsidRPr="0092670C">
        <w:rPr>
          <w:rFonts w:ascii="Arial" w:hAnsi="Arial" w:cs="Arial"/>
        </w:rPr>
      </w:r>
      <w:r w:rsidR="004E636E"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16</w:t>
      </w:r>
      <w:r w:rsidR="004E636E" w:rsidRPr="0092670C">
        <w:rPr>
          <w:rFonts w:ascii="Arial" w:hAnsi="Arial" w:cs="Arial"/>
        </w:rPr>
        <w:fldChar w:fldCharType="end"/>
      </w:r>
      <w:r w:rsidR="000E5F0C" w:rsidRPr="0092670C">
        <w:rPr>
          <w:rFonts w:ascii="Arial" w:hAnsi="Arial" w:cs="Arial"/>
        </w:rPr>
        <w:t xml:space="preserve"> we can </w:t>
      </w:r>
      <w:r w:rsidR="00C146D8" w:rsidRPr="0092670C">
        <w:rPr>
          <w:rFonts w:ascii="Arial" w:hAnsi="Arial" w:cs="Arial"/>
        </w:rPr>
        <w:t xml:space="preserve">see that </w:t>
      </w:r>
      <w:r w:rsidR="00906DBC">
        <w:rPr>
          <w:rFonts w:ascii="Arial" w:hAnsi="Arial" w:cs="Arial"/>
        </w:rPr>
        <w:t>u</w:t>
      </w:r>
      <w:r w:rsidRPr="0092670C">
        <w:rPr>
          <w:rFonts w:ascii="Arial" w:hAnsi="Arial" w:cs="Arial"/>
        </w:rPr>
        <w:t>nfortunately</w:t>
      </w:r>
      <w:r w:rsidR="001271C2" w:rsidRPr="0092670C">
        <w:rPr>
          <w:rFonts w:ascii="Arial" w:hAnsi="Arial" w:cs="Arial"/>
        </w:rPr>
        <w:t>,</w:t>
      </w:r>
      <w:r w:rsidR="00C146D8" w:rsidRPr="0092670C">
        <w:rPr>
          <w:rFonts w:ascii="Arial" w:hAnsi="Arial" w:cs="Arial"/>
        </w:rPr>
        <w:t xml:space="preserve"> </w:t>
      </w:r>
      <w:r w:rsidRPr="0092670C">
        <w:rPr>
          <w:rFonts w:ascii="Arial" w:hAnsi="Arial" w:cs="Arial"/>
        </w:rPr>
        <w:t>th</w:t>
      </w:r>
      <w:r w:rsidR="005B5D21" w:rsidRPr="0092670C">
        <w:rPr>
          <w:rFonts w:ascii="Arial" w:hAnsi="Arial" w:cs="Arial"/>
        </w:rPr>
        <w:t>e</w:t>
      </w:r>
      <w:r w:rsidRPr="0092670C">
        <w:rPr>
          <w:rFonts w:ascii="Arial" w:hAnsi="Arial" w:cs="Arial"/>
        </w:rPr>
        <w:t xml:space="preserve"> capacit</w:t>
      </w:r>
      <w:r w:rsidR="00AE0AFF" w:rsidRPr="0092670C">
        <w:rPr>
          <w:rFonts w:ascii="Arial" w:hAnsi="Arial" w:cs="Arial"/>
        </w:rPr>
        <w:t>y</w:t>
      </w:r>
      <w:r w:rsidRPr="0092670C">
        <w:rPr>
          <w:rFonts w:ascii="Arial" w:hAnsi="Arial" w:cs="Arial"/>
        </w:rPr>
        <w:t xml:space="preserve"> </w:t>
      </w:r>
      <w:r w:rsidR="00AE0D2D" w:rsidRPr="0092670C">
        <w:rPr>
          <w:rFonts w:ascii="Arial" w:hAnsi="Arial" w:cs="Arial"/>
        </w:rPr>
        <w:t>advantage of the pre-lith</w:t>
      </w:r>
      <w:r w:rsidR="00FA49A4" w:rsidRPr="0092670C">
        <w:rPr>
          <w:rFonts w:ascii="Arial" w:hAnsi="Arial" w:cs="Arial"/>
        </w:rPr>
        <w:t xml:space="preserve">iated cells </w:t>
      </w:r>
      <w:r w:rsidR="00081500" w:rsidRPr="0092670C">
        <w:rPr>
          <w:rFonts w:ascii="Arial" w:hAnsi="Arial" w:cs="Arial"/>
        </w:rPr>
        <w:t xml:space="preserve"> is eroded </w:t>
      </w:r>
      <w:r w:rsidRPr="0092670C">
        <w:rPr>
          <w:rFonts w:ascii="Arial" w:hAnsi="Arial" w:cs="Arial"/>
        </w:rPr>
        <w:t>after the first few cycles with capacity fade being much higher in the pre-lithiated cells.</w:t>
      </w:r>
      <w:r w:rsidR="00D757DC" w:rsidRPr="0092670C">
        <w:rPr>
          <w:rFonts w:ascii="Arial" w:hAnsi="Arial" w:cs="Arial"/>
        </w:rPr>
        <w:t xml:space="preserve"> </w:t>
      </w:r>
      <w:r w:rsidR="00C34C4A" w:rsidRPr="0092670C">
        <w:rPr>
          <w:rFonts w:ascii="Arial" w:hAnsi="Arial" w:cs="Arial"/>
        </w:rPr>
        <w:t>This ca</w:t>
      </w:r>
      <w:r w:rsidR="0057628B" w:rsidRPr="0092670C">
        <w:rPr>
          <w:rFonts w:ascii="Arial" w:hAnsi="Arial" w:cs="Arial"/>
        </w:rPr>
        <w:t xml:space="preserve">pacity fade </w:t>
      </w:r>
      <w:r w:rsidR="00D2264E" w:rsidRPr="0092670C">
        <w:rPr>
          <w:rFonts w:ascii="Arial" w:hAnsi="Arial" w:cs="Arial"/>
        </w:rPr>
        <w:t>means</w:t>
      </w:r>
      <w:r w:rsidR="00D96D41" w:rsidRPr="0092670C">
        <w:rPr>
          <w:rFonts w:ascii="Arial" w:hAnsi="Arial" w:cs="Arial"/>
        </w:rPr>
        <w:t xml:space="preserve"> that </w:t>
      </w:r>
      <w:r w:rsidR="00936C9C" w:rsidRPr="0092670C">
        <w:rPr>
          <w:rFonts w:ascii="Arial" w:hAnsi="Arial" w:cs="Arial"/>
        </w:rPr>
        <w:t>the reference cell has the best capacity retention of any of the cells</w:t>
      </w:r>
      <w:r w:rsidR="00D2264E" w:rsidRPr="0092670C">
        <w:rPr>
          <w:rFonts w:ascii="Arial" w:hAnsi="Arial" w:cs="Arial"/>
        </w:rPr>
        <w:t>.</w:t>
      </w:r>
    </w:p>
    <w:p w14:paraId="43C91676" w14:textId="1B63D9E1"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E0C1DEC">
          <v:shape id="_x0000_i1123" type="#_x0000_t75" style="width:317.9pt;height:245.9pt" o:ole="">
            <v:imagedata r:id="rId253" o:title=""/>
          </v:shape>
          <o:OLEObject Type="Embed" ProgID="Origin95.Graph" ShapeID="_x0000_i1123" DrawAspect="Content" ObjectID="_1700734012" r:id="rId254"/>
        </w:object>
      </w:r>
    </w:p>
    <w:p w14:paraId="146F8848" w14:textId="4CB7212E" w:rsidR="00A93DD5" w:rsidRPr="0092670C" w:rsidRDefault="00A93DD5" w:rsidP="00A93DD5">
      <w:pPr>
        <w:pStyle w:val="Caption"/>
        <w:jc w:val="center"/>
        <w:rPr>
          <w:rFonts w:ascii="Arial" w:hAnsi="Arial" w:cs="Arial"/>
          <w:sz w:val="20"/>
          <w:szCs w:val="20"/>
        </w:rPr>
      </w:pPr>
      <w:bookmarkStart w:id="264" w:name="_Ref31312963"/>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16</w:t>
      </w:r>
      <w:r w:rsidR="00356A26">
        <w:rPr>
          <w:rFonts w:ascii="Arial" w:hAnsi="Arial" w:cs="Arial"/>
          <w:sz w:val="20"/>
          <w:szCs w:val="20"/>
        </w:rPr>
        <w:fldChar w:fldCharType="end"/>
      </w:r>
      <w:bookmarkEnd w:id="264"/>
      <w:r w:rsidRPr="0092670C">
        <w:rPr>
          <w:rFonts w:ascii="Arial" w:hAnsi="Arial" w:cs="Arial"/>
          <w:sz w:val="20"/>
          <w:szCs w:val="20"/>
        </w:rPr>
        <w:t>: Differences between capacity at the first and 10th cycle</w:t>
      </w:r>
      <w:r w:rsidR="00C46A08" w:rsidRPr="0092670C">
        <w:rPr>
          <w:rFonts w:ascii="Arial" w:hAnsi="Arial" w:cs="Arial"/>
          <w:sz w:val="20"/>
          <w:szCs w:val="20"/>
        </w:rPr>
        <w:t>.</w:t>
      </w:r>
    </w:p>
    <w:p w14:paraId="15CBFCB6" w14:textId="77777777" w:rsidR="00A93DD5" w:rsidRPr="0092670C" w:rsidRDefault="00A93DD5" w:rsidP="00A93DD5">
      <w:pPr>
        <w:spacing w:line="360" w:lineRule="auto"/>
        <w:jc w:val="both"/>
        <w:rPr>
          <w:rFonts w:ascii="Arial" w:hAnsi="Arial" w:cs="Arial"/>
        </w:rPr>
      </w:pPr>
      <w:r w:rsidRPr="0092670C">
        <w:rPr>
          <w:rFonts w:ascii="Arial" w:hAnsi="Arial" w:cs="Arial"/>
        </w:rPr>
        <w:t>Pre-lithiating these high capacity Si cells is slightly different to the low capacity ones. The largest gain is only after 1 hour of pre-lithiation and the capacity increases diminish as pre-lithiation time increases. The capacity fade is worst for the cell that was only pre-lithiated for 1 hour. It starts with the highest charge capacity and has the lowest before the 50</w:t>
      </w:r>
      <w:r w:rsidRPr="0092670C">
        <w:rPr>
          <w:rFonts w:ascii="Arial" w:hAnsi="Arial" w:cs="Arial"/>
          <w:vertAlign w:val="superscript"/>
        </w:rPr>
        <w:t>th</w:t>
      </w:r>
      <w:r w:rsidRPr="0092670C">
        <w:rPr>
          <w:rFonts w:ascii="Arial" w:hAnsi="Arial" w:cs="Arial"/>
        </w:rPr>
        <w:t xml:space="preserve"> cycle. These contrasting properties suggest that whilst the thin SEI provides an effective barrier that can facilitate the alloying process it is too small and breaks during the Si expansion process, necessitating further SEI formation reducing the capacity. </w:t>
      </w:r>
    </w:p>
    <w:p w14:paraId="4DAAA1B1" w14:textId="7671CBE3" w:rsidR="00A93DD5" w:rsidRPr="0092670C" w:rsidRDefault="0067644A" w:rsidP="00A93DD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1E4B2DD">
          <v:shape id="_x0000_i1124" type="#_x0000_t75" style="width:317.9pt;height:245.9pt" o:ole="">
            <v:imagedata r:id="rId255" o:title=""/>
          </v:shape>
          <o:OLEObject Type="Embed" ProgID="Origin95.Graph" ShapeID="_x0000_i1124" DrawAspect="Content" ObjectID="_1700734013" r:id="rId256"/>
        </w:object>
      </w:r>
    </w:p>
    <w:p w14:paraId="2609D965" w14:textId="6DB15BEC" w:rsidR="00A93DD5" w:rsidRPr="0092670C" w:rsidRDefault="00A93DD5" w:rsidP="00A93DD5">
      <w:pPr>
        <w:pStyle w:val="Caption"/>
        <w:jc w:val="center"/>
        <w:rPr>
          <w:rFonts w:ascii="Arial" w:hAnsi="Arial" w:cs="Arial"/>
        </w:rPr>
      </w:pPr>
      <w:bookmarkStart w:id="265" w:name="_Ref31229904"/>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17</w:t>
      </w:r>
      <w:r w:rsidR="00356A26">
        <w:rPr>
          <w:rFonts w:ascii="Arial" w:hAnsi="Arial" w:cs="Arial"/>
          <w:sz w:val="20"/>
          <w:szCs w:val="20"/>
        </w:rPr>
        <w:fldChar w:fldCharType="end"/>
      </w:r>
      <w:bookmarkEnd w:id="265"/>
      <w:r w:rsidRPr="0092670C">
        <w:rPr>
          <w:rFonts w:ascii="Arial" w:hAnsi="Arial" w:cs="Arial"/>
          <w:sz w:val="20"/>
          <w:szCs w:val="20"/>
        </w:rPr>
        <w:t>: Initial coulombic efficiency as a function of pre-lithiation time</w:t>
      </w:r>
      <w:r w:rsidR="00C46A08" w:rsidRPr="0092670C">
        <w:rPr>
          <w:rFonts w:ascii="Arial" w:hAnsi="Arial" w:cs="Arial"/>
          <w:sz w:val="20"/>
          <w:szCs w:val="20"/>
        </w:rPr>
        <w:t>.</w:t>
      </w:r>
    </w:p>
    <w:p w14:paraId="62E5C637" w14:textId="735239A1" w:rsidR="00A93DD5" w:rsidRPr="0092670C" w:rsidRDefault="00FF595B" w:rsidP="00E66392">
      <w:pPr>
        <w:spacing w:line="360" w:lineRule="auto"/>
        <w:jc w:val="both"/>
        <w:rPr>
          <w:rFonts w:ascii="Arial" w:hAnsi="Arial" w:cs="Arial"/>
        </w:rPr>
      </w:pPr>
      <w:r w:rsidRPr="0092670C">
        <w:rPr>
          <w:rFonts w:ascii="Arial" w:hAnsi="Arial" w:cs="Arial"/>
        </w:rPr>
        <w:t xml:space="preserve">It can be seen in </w:t>
      </w:r>
      <w:r w:rsidRPr="0092670C">
        <w:rPr>
          <w:rFonts w:ascii="Arial" w:hAnsi="Arial" w:cs="Arial"/>
        </w:rPr>
        <w:fldChar w:fldCharType="begin"/>
      </w:r>
      <w:r w:rsidRPr="0092670C">
        <w:rPr>
          <w:rFonts w:ascii="Arial" w:hAnsi="Arial" w:cs="Arial"/>
        </w:rPr>
        <w:instrText xml:space="preserve"> REF _Ref31229904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17</w:t>
      </w:r>
      <w:r w:rsidRPr="0092670C">
        <w:rPr>
          <w:rFonts w:ascii="Arial" w:hAnsi="Arial" w:cs="Arial"/>
        </w:rPr>
        <w:fldChar w:fldCharType="end"/>
      </w:r>
      <w:r w:rsidR="00A93DD5" w:rsidRPr="0092670C">
        <w:rPr>
          <w:rFonts w:ascii="Arial" w:hAnsi="Arial" w:cs="Arial"/>
        </w:rPr>
        <w:t xml:space="preserve"> that increasing </w:t>
      </w:r>
      <w:r w:rsidR="001F4FAF" w:rsidRPr="0092670C">
        <w:rPr>
          <w:rFonts w:ascii="Arial" w:hAnsi="Arial" w:cs="Arial"/>
        </w:rPr>
        <w:t xml:space="preserve">the </w:t>
      </w:r>
      <w:r w:rsidR="00A93DD5" w:rsidRPr="0092670C">
        <w:rPr>
          <w:rFonts w:ascii="Arial" w:hAnsi="Arial" w:cs="Arial"/>
        </w:rPr>
        <w:t>pre-lithiation time improves the initial coulombic efficiency</w:t>
      </w:r>
      <w:r w:rsidR="0053591A" w:rsidRPr="0092670C">
        <w:rPr>
          <w:rFonts w:ascii="Arial" w:hAnsi="Arial" w:cs="Arial"/>
        </w:rPr>
        <w:t xml:space="preserve"> of the cell</w:t>
      </w:r>
      <w:r w:rsidR="00A93DD5" w:rsidRPr="0092670C">
        <w:rPr>
          <w:rFonts w:ascii="Arial" w:hAnsi="Arial" w:cs="Arial"/>
        </w:rPr>
        <w:t>. Similar trends were also seen in graphite based anodes where the increase was due to less Li having to be redirected to SEI formation.</w:t>
      </w:r>
      <w:r w:rsidR="00074FA6" w:rsidRPr="0092670C">
        <w:rPr>
          <w:rFonts w:ascii="Arial" w:hAnsi="Arial" w:cs="Arial"/>
        </w:rPr>
        <w:t xml:space="preserve"> Thi</w:t>
      </w:r>
      <w:r w:rsidR="0045175F" w:rsidRPr="0092670C">
        <w:rPr>
          <w:rFonts w:ascii="Arial" w:hAnsi="Arial" w:cs="Arial"/>
        </w:rPr>
        <w:t xml:space="preserve">s </w:t>
      </w:r>
      <w:r w:rsidR="00A6741A" w:rsidRPr="0092670C">
        <w:rPr>
          <w:rFonts w:ascii="Arial" w:hAnsi="Arial" w:cs="Arial"/>
        </w:rPr>
        <w:t xml:space="preserve">demonstrates </w:t>
      </w:r>
      <w:r w:rsidR="0072339C" w:rsidRPr="0092670C">
        <w:rPr>
          <w:rFonts w:ascii="Arial" w:hAnsi="Arial" w:cs="Arial"/>
        </w:rPr>
        <w:t xml:space="preserve">that </w:t>
      </w:r>
      <w:r w:rsidR="00A6741A" w:rsidRPr="0092670C">
        <w:rPr>
          <w:rFonts w:ascii="Arial" w:hAnsi="Arial" w:cs="Arial"/>
        </w:rPr>
        <w:t xml:space="preserve">a similar process </w:t>
      </w:r>
      <w:r w:rsidR="0072339C" w:rsidRPr="0092670C">
        <w:rPr>
          <w:rFonts w:ascii="Arial" w:hAnsi="Arial" w:cs="Arial"/>
        </w:rPr>
        <w:t xml:space="preserve">is </w:t>
      </w:r>
      <w:r w:rsidR="00A6741A" w:rsidRPr="0092670C">
        <w:rPr>
          <w:rFonts w:ascii="Arial" w:hAnsi="Arial" w:cs="Arial"/>
        </w:rPr>
        <w:t xml:space="preserve">happening </w:t>
      </w:r>
      <w:r w:rsidR="009D7480" w:rsidRPr="0092670C">
        <w:rPr>
          <w:rFonts w:ascii="Arial" w:hAnsi="Arial" w:cs="Arial"/>
        </w:rPr>
        <w:t xml:space="preserve">in the silicon which </w:t>
      </w:r>
      <w:r w:rsidR="001B2312" w:rsidRPr="0092670C">
        <w:rPr>
          <w:rFonts w:ascii="Arial" w:hAnsi="Arial" w:cs="Arial"/>
        </w:rPr>
        <w:t xml:space="preserve">is especially important for Si </w:t>
      </w:r>
      <w:r w:rsidR="00C77DA7" w:rsidRPr="0092670C">
        <w:rPr>
          <w:rFonts w:ascii="Arial" w:hAnsi="Arial" w:cs="Arial"/>
        </w:rPr>
        <w:t xml:space="preserve">anodes as their low ICE </w:t>
      </w:r>
      <w:r w:rsidR="00CE2803" w:rsidRPr="0092670C">
        <w:rPr>
          <w:rFonts w:ascii="Arial" w:hAnsi="Arial" w:cs="Arial"/>
        </w:rPr>
        <w:t>prevents the</w:t>
      </w:r>
      <w:r w:rsidR="009C7FF2" w:rsidRPr="0092670C">
        <w:rPr>
          <w:rFonts w:ascii="Arial" w:hAnsi="Arial" w:cs="Arial"/>
        </w:rPr>
        <w:t xml:space="preserve">ir use in full cells </w:t>
      </w:r>
      <w:r w:rsidR="003524B7" w:rsidRPr="0092670C">
        <w:rPr>
          <w:rFonts w:ascii="Arial" w:hAnsi="Arial" w:cs="Arial"/>
        </w:rPr>
        <w:t xml:space="preserve">where there is a limited lithium inventory. </w:t>
      </w:r>
      <w:r w:rsidR="00E66392" w:rsidRPr="0092670C">
        <w:rPr>
          <w:rFonts w:ascii="Arial" w:hAnsi="Arial" w:cs="Arial"/>
        </w:rPr>
        <w:t xml:space="preserve"> </w:t>
      </w:r>
    </w:p>
    <w:p w14:paraId="23F2139C" w14:textId="70D70FEA" w:rsidR="00A93DD5" w:rsidRPr="0092670C" w:rsidRDefault="0067644A" w:rsidP="00A93DD5">
      <w:pPr>
        <w:keepNext/>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5DAE90BD">
          <v:shape id="_x0000_i1125" type="#_x0000_t75" style="width:365.8pt;height:282.2pt" o:ole="">
            <v:imagedata r:id="rId257" o:title=""/>
          </v:shape>
          <o:OLEObject Type="Embed" ProgID="Origin95.Graph" ShapeID="_x0000_i1125" DrawAspect="Content" ObjectID="_1700734014" r:id="rId258"/>
        </w:object>
      </w:r>
    </w:p>
    <w:p w14:paraId="18E7032B" w14:textId="372A1897" w:rsidR="00A93DD5" w:rsidRPr="0092670C" w:rsidRDefault="00A93DD5" w:rsidP="00A93DD5">
      <w:pPr>
        <w:pStyle w:val="Caption"/>
        <w:jc w:val="center"/>
        <w:rPr>
          <w:rFonts w:ascii="Arial" w:hAnsi="Arial" w:cs="Arial"/>
          <w:sz w:val="20"/>
          <w:szCs w:val="20"/>
        </w:rPr>
      </w:pPr>
      <w:bookmarkStart w:id="266" w:name="_Ref31230503"/>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18</w:t>
      </w:r>
      <w:r w:rsidR="00356A26">
        <w:rPr>
          <w:rFonts w:ascii="Arial" w:hAnsi="Arial" w:cs="Arial"/>
          <w:sz w:val="20"/>
          <w:szCs w:val="20"/>
        </w:rPr>
        <w:fldChar w:fldCharType="end"/>
      </w:r>
      <w:bookmarkEnd w:id="266"/>
      <w:r w:rsidRPr="0092670C">
        <w:rPr>
          <w:rFonts w:ascii="Arial" w:hAnsi="Arial" w:cs="Arial"/>
          <w:sz w:val="20"/>
          <w:szCs w:val="20"/>
        </w:rPr>
        <w:t>: Evolution of coulombic efficiency with increasing cycle number</w:t>
      </w:r>
      <w:r w:rsidR="00C46A08" w:rsidRPr="0092670C">
        <w:rPr>
          <w:rFonts w:ascii="Arial" w:hAnsi="Arial" w:cs="Arial"/>
          <w:sz w:val="20"/>
          <w:szCs w:val="20"/>
        </w:rPr>
        <w:t>.</w:t>
      </w:r>
    </w:p>
    <w:p w14:paraId="717144A3" w14:textId="1F735E2C" w:rsidR="00A93DD5" w:rsidRPr="0092670C" w:rsidRDefault="0038301D" w:rsidP="00A93DD5">
      <w:pPr>
        <w:spacing w:line="360" w:lineRule="auto"/>
        <w:jc w:val="both"/>
        <w:rPr>
          <w:rFonts w:ascii="Arial" w:hAnsi="Arial" w:cs="Arial"/>
        </w:rPr>
      </w:pPr>
      <w:r w:rsidRPr="0092670C">
        <w:rPr>
          <w:rFonts w:ascii="Arial" w:hAnsi="Arial" w:cs="Arial"/>
        </w:rPr>
        <w:fldChar w:fldCharType="begin"/>
      </w:r>
      <w:r w:rsidRPr="0092670C">
        <w:rPr>
          <w:rFonts w:ascii="Arial" w:hAnsi="Arial" w:cs="Arial"/>
        </w:rPr>
        <w:instrText xml:space="preserve"> REF _Ref31230503 \h </w:instrText>
      </w:r>
      <w:r w:rsidR="00C22983" w:rsidRPr="0092670C">
        <w:rPr>
          <w:rFonts w:ascii="Arial" w:hAnsi="Arial" w:cs="Arial"/>
        </w:rPr>
        <w:instrText xml:space="preserve">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4</w:t>
      </w:r>
      <w:r w:rsidR="007342C8" w:rsidRPr="007342C8">
        <w:rPr>
          <w:rFonts w:ascii="Arial" w:hAnsi="Arial" w:cs="Arial"/>
          <w:noProof/>
        </w:rPr>
        <w:noBreakHyphen/>
        <w:t>18</w:t>
      </w:r>
      <w:r w:rsidRPr="0092670C">
        <w:rPr>
          <w:rFonts w:ascii="Arial" w:hAnsi="Arial" w:cs="Arial"/>
        </w:rPr>
        <w:fldChar w:fldCharType="end"/>
      </w:r>
      <w:r w:rsidRPr="0092670C">
        <w:rPr>
          <w:rFonts w:ascii="Arial" w:hAnsi="Arial" w:cs="Arial"/>
        </w:rPr>
        <w:t xml:space="preserve"> </w:t>
      </w:r>
      <w:r w:rsidR="00717A0B" w:rsidRPr="0092670C">
        <w:rPr>
          <w:rFonts w:ascii="Arial" w:hAnsi="Arial" w:cs="Arial"/>
        </w:rPr>
        <w:t xml:space="preserve">demonstrates </w:t>
      </w:r>
      <w:r w:rsidR="00D53AD3" w:rsidRPr="0092670C">
        <w:rPr>
          <w:rFonts w:ascii="Arial" w:hAnsi="Arial" w:cs="Arial"/>
        </w:rPr>
        <w:t xml:space="preserve">that with Si cells it is important to look beyond the </w:t>
      </w:r>
      <w:r w:rsidR="00115D9F" w:rsidRPr="0092670C">
        <w:rPr>
          <w:rFonts w:ascii="Arial" w:hAnsi="Arial" w:cs="Arial"/>
        </w:rPr>
        <w:t xml:space="preserve">ICE. </w:t>
      </w:r>
      <w:r w:rsidR="009310E9" w:rsidRPr="0092670C">
        <w:rPr>
          <w:rFonts w:ascii="Arial" w:hAnsi="Arial" w:cs="Arial"/>
        </w:rPr>
        <w:t>O</w:t>
      </w:r>
      <w:r w:rsidR="00A93DD5" w:rsidRPr="0092670C">
        <w:rPr>
          <w:rFonts w:ascii="Arial" w:hAnsi="Arial" w:cs="Arial"/>
        </w:rPr>
        <w:t>nce cycling starts the reference cell maintains a steady coulombic efficiency of ≈97%. The pre-lithiated cells on the other hand see a localised minimum around the 7-8 cycle mark. This decrease suggests that Li is being diverted from cycling to other uses</w:t>
      </w:r>
      <w:r w:rsidR="003836CF">
        <w:rPr>
          <w:rFonts w:ascii="Arial" w:hAnsi="Arial" w:cs="Arial"/>
        </w:rPr>
        <w:t>,</w:t>
      </w:r>
      <w:r w:rsidR="00A93DD5" w:rsidRPr="0092670C">
        <w:rPr>
          <w:rFonts w:ascii="Arial" w:hAnsi="Arial" w:cs="Arial"/>
        </w:rPr>
        <w:t xml:space="preserve"> </w:t>
      </w:r>
      <w:r w:rsidR="003836CF">
        <w:rPr>
          <w:rFonts w:ascii="Arial" w:hAnsi="Arial" w:cs="Arial"/>
        </w:rPr>
        <w:t>predominantly</w:t>
      </w:r>
      <w:r w:rsidR="00A93DD5" w:rsidRPr="0092670C">
        <w:rPr>
          <w:rFonts w:ascii="Arial" w:hAnsi="Arial" w:cs="Arial"/>
        </w:rPr>
        <w:t xml:space="preserve"> SEI formation. The increased SEI formation suggests that the pre-formed SEI has been at least partially destroyed at this stage due Si expansion, resulting in the need for the replacement SEI. The largest drop in coulombic efficiency is seen in the cell pre-lithiated for 1 hour which ties in with the high capacity fade seen in that cell. </w:t>
      </w:r>
      <w:r w:rsidR="004E61B2">
        <w:rPr>
          <w:rFonts w:ascii="Arial" w:hAnsi="Arial" w:cs="Arial"/>
        </w:rPr>
        <w:t>This suggests that the Pre-lithiated SEI is not as</w:t>
      </w:r>
      <w:r w:rsidR="003F02A9">
        <w:rPr>
          <w:rFonts w:ascii="Arial" w:hAnsi="Arial" w:cs="Arial"/>
        </w:rPr>
        <w:t xml:space="preserve"> resilient to Si expansion as that formed naturally by the cell. </w:t>
      </w:r>
      <w:r w:rsidR="006470A9">
        <w:rPr>
          <w:rFonts w:ascii="Arial" w:hAnsi="Arial" w:cs="Arial"/>
        </w:rPr>
        <w:t xml:space="preserve">The differences between the two </w:t>
      </w:r>
      <w:r w:rsidR="00F822ED">
        <w:rPr>
          <w:rFonts w:ascii="Arial" w:hAnsi="Arial" w:cs="Arial"/>
        </w:rPr>
        <w:t>need to be understood to see how this difference can be mitigated but is outside the scope of this chapter.</w:t>
      </w:r>
    </w:p>
    <w:p w14:paraId="21630E03" w14:textId="77777777" w:rsidR="00A93DD5" w:rsidRPr="0092670C" w:rsidRDefault="00A93DD5" w:rsidP="00E962F4">
      <w:pPr>
        <w:pStyle w:val="Heading3"/>
        <w:rPr>
          <w:rFonts w:ascii="Arial" w:hAnsi="Arial" w:cs="Arial"/>
        </w:rPr>
      </w:pPr>
      <w:bookmarkStart w:id="267" w:name="_Toc82538799"/>
      <w:r w:rsidRPr="0092670C">
        <w:rPr>
          <w:rFonts w:ascii="Arial" w:hAnsi="Arial" w:cs="Arial"/>
        </w:rPr>
        <w:t>Conclusion</w:t>
      </w:r>
      <w:bookmarkEnd w:id="267"/>
    </w:p>
    <w:p w14:paraId="55D95D39" w14:textId="14452A7B" w:rsidR="006E235A" w:rsidRPr="0092670C" w:rsidRDefault="00A93DD5" w:rsidP="006E235A">
      <w:pPr>
        <w:spacing w:line="360" w:lineRule="auto"/>
        <w:jc w:val="both"/>
        <w:rPr>
          <w:rFonts w:ascii="Arial" w:hAnsi="Arial" w:cs="Arial"/>
        </w:rPr>
      </w:pPr>
      <w:r w:rsidRPr="0092670C">
        <w:rPr>
          <w:rFonts w:ascii="Arial" w:hAnsi="Arial" w:cs="Arial"/>
        </w:rPr>
        <w:t xml:space="preserve">Pre-lithiating Si can lead to big gains in cell capacity although unfortunately this increase is short lived and more study is required to see if these gains can be extended, possibly through the use of more robust SEI materials or additive modification. </w:t>
      </w:r>
      <w:r w:rsidR="00726F4E">
        <w:rPr>
          <w:rFonts w:ascii="Arial" w:hAnsi="Arial" w:cs="Arial"/>
        </w:rPr>
        <w:t>Th</w:t>
      </w:r>
      <w:r w:rsidR="00092805">
        <w:rPr>
          <w:rFonts w:ascii="Arial" w:hAnsi="Arial" w:cs="Arial"/>
        </w:rPr>
        <w:t xml:space="preserve">is suggests that the Pre-lithiated SEI isn’t as robust as that </w:t>
      </w:r>
      <w:r w:rsidR="00CD1CD7">
        <w:rPr>
          <w:rFonts w:ascii="Arial" w:hAnsi="Arial" w:cs="Arial"/>
        </w:rPr>
        <w:t>formed naturally.</w:t>
      </w:r>
      <w:r w:rsidR="00973704">
        <w:rPr>
          <w:rFonts w:ascii="Arial" w:hAnsi="Arial" w:cs="Arial"/>
        </w:rPr>
        <w:t xml:space="preserve"> Understanding the causes for this will be key to make pre-lithiation more effective for</w:t>
      </w:r>
      <w:r w:rsidR="00F0119B">
        <w:rPr>
          <w:rFonts w:ascii="Arial" w:hAnsi="Arial" w:cs="Arial"/>
        </w:rPr>
        <w:t xml:space="preserve"> Si based cells. </w:t>
      </w:r>
    </w:p>
    <w:p w14:paraId="2B04133D" w14:textId="77777777" w:rsidR="00936D60" w:rsidRPr="0092670C" w:rsidRDefault="00936D60" w:rsidP="006E235A">
      <w:pPr>
        <w:spacing w:line="360" w:lineRule="auto"/>
        <w:jc w:val="both"/>
        <w:rPr>
          <w:rFonts w:ascii="Arial" w:hAnsi="Arial" w:cs="Arial"/>
        </w:rPr>
      </w:pPr>
    </w:p>
    <w:p w14:paraId="6812DFF2" w14:textId="7DAD7F0D" w:rsidR="006B5A1E" w:rsidRPr="0092670C" w:rsidRDefault="006B5A1E" w:rsidP="006E235A">
      <w:pPr>
        <w:pStyle w:val="Heading1"/>
        <w:spacing w:before="4000" w:line="360" w:lineRule="auto"/>
        <w:rPr>
          <w:rFonts w:ascii="Arial" w:hAnsi="Arial" w:cs="Arial"/>
          <w:b/>
        </w:rPr>
      </w:pPr>
      <w:bookmarkStart w:id="268" w:name="_Toc82538800"/>
      <w:r w:rsidRPr="0092670C">
        <w:rPr>
          <w:rFonts w:ascii="Arial" w:hAnsi="Arial" w:cs="Arial"/>
          <w:b/>
        </w:rPr>
        <w:t>Observing the dynamic exchange of the SEI using EIS</w:t>
      </w:r>
      <w:bookmarkEnd w:id="268"/>
    </w:p>
    <w:p w14:paraId="703576E0" w14:textId="5BD304F6" w:rsidR="0092578C" w:rsidRPr="0092670C" w:rsidRDefault="008B4BF6" w:rsidP="00903503">
      <w:pPr>
        <w:spacing w:line="360" w:lineRule="auto"/>
        <w:jc w:val="both"/>
        <w:rPr>
          <w:rFonts w:ascii="Arial" w:hAnsi="Arial" w:cs="Arial"/>
        </w:rPr>
      </w:pPr>
      <w:r w:rsidRPr="0092670C">
        <w:rPr>
          <w:rFonts w:ascii="Arial" w:hAnsi="Arial" w:cs="Arial"/>
        </w:rPr>
        <w:t xml:space="preserve">Earlier it was seen that the </w:t>
      </w:r>
      <w:r w:rsidR="0079692F" w:rsidRPr="0092670C">
        <w:rPr>
          <w:rFonts w:ascii="Arial" w:hAnsi="Arial" w:cs="Arial"/>
        </w:rPr>
        <w:t xml:space="preserve">electrolyte used for the pre-lithiation </w:t>
      </w:r>
      <w:r w:rsidR="00903503" w:rsidRPr="0092670C">
        <w:rPr>
          <w:rFonts w:ascii="Arial" w:hAnsi="Arial" w:cs="Arial"/>
        </w:rPr>
        <w:t xml:space="preserve">phase </w:t>
      </w:r>
      <w:r w:rsidR="00980CD9" w:rsidRPr="0092670C">
        <w:rPr>
          <w:rFonts w:ascii="Arial" w:hAnsi="Arial" w:cs="Arial"/>
        </w:rPr>
        <w:t xml:space="preserve">can be decoupled from </w:t>
      </w:r>
      <w:r w:rsidR="00903503" w:rsidRPr="0092670C">
        <w:rPr>
          <w:rFonts w:ascii="Arial" w:hAnsi="Arial" w:cs="Arial"/>
        </w:rPr>
        <w:t xml:space="preserve">that used to cycle the electrode. </w:t>
      </w:r>
      <w:r w:rsidR="0041721F" w:rsidRPr="0092670C">
        <w:rPr>
          <w:rFonts w:ascii="Arial" w:hAnsi="Arial" w:cs="Arial"/>
        </w:rPr>
        <w:t xml:space="preserve">This was exploited </w:t>
      </w:r>
      <w:r w:rsidR="006923EF" w:rsidRPr="0092670C">
        <w:rPr>
          <w:rFonts w:ascii="Arial" w:hAnsi="Arial" w:cs="Arial"/>
        </w:rPr>
        <w:t xml:space="preserve">by monitoring the SEI using EIS to </w:t>
      </w:r>
      <w:r w:rsidR="005C6997" w:rsidRPr="0092670C">
        <w:rPr>
          <w:rFonts w:ascii="Arial" w:hAnsi="Arial" w:cs="Arial"/>
        </w:rPr>
        <w:t xml:space="preserve">observe the changes </w:t>
      </w:r>
      <w:r w:rsidR="008D58AB" w:rsidRPr="0092670C">
        <w:rPr>
          <w:rFonts w:ascii="Arial" w:hAnsi="Arial" w:cs="Arial"/>
        </w:rPr>
        <w:t xml:space="preserve">occurring and linking those processes to the </w:t>
      </w:r>
      <w:r w:rsidR="008A0712" w:rsidRPr="0092670C">
        <w:rPr>
          <w:rFonts w:ascii="Arial" w:hAnsi="Arial" w:cs="Arial"/>
        </w:rPr>
        <w:t xml:space="preserve">chemical composition of the </w:t>
      </w:r>
      <w:r w:rsidR="00FB5590" w:rsidRPr="0092670C">
        <w:rPr>
          <w:rFonts w:ascii="Arial" w:hAnsi="Arial" w:cs="Arial"/>
        </w:rPr>
        <w:t xml:space="preserve">initial SEI. This gives us </w:t>
      </w:r>
      <w:r w:rsidR="00F06859" w:rsidRPr="0092670C">
        <w:rPr>
          <w:rFonts w:ascii="Arial" w:hAnsi="Arial" w:cs="Arial"/>
        </w:rPr>
        <w:t xml:space="preserve">information about the durability of different SEI components. </w:t>
      </w:r>
      <w:r w:rsidR="000D5F82" w:rsidRPr="0092670C">
        <w:rPr>
          <w:rFonts w:ascii="Arial" w:hAnsi="Arial" w:cs="Arial"/>
        </w:rPr>
        <w:br w:type="page"/>
      </w:r>
    </w:p>
    <w:p w14:paraId="0E63D148" w14:textId="77777777" w:rsidR="00092206" w:rsidRPr="0092670C" w:rsidRDefault="00092206" w:rsidP="003D33D5">
      <w:pPr>
        <w:pStyle w:val="Heading2"/>
        <w:rPr>
          <w:rFonts w:ascii="Arial" w:hAnsi="Arial" w:cs="Arial"/>
          <w:sz w:val="32"/>
          <w:szCs w:val="32"/>
        </w:rPr>
      </w:pPr>
      <w:bookmarkStart w:id="269" w:name="_Toc13735423"/>
      <w:bookmarkStart w:id="270" w:name="_Toc82538801"/>
      <w:r w:rsidRPr="0092670C">
        <w:rPr>
          <w:rFonts w:ascii="Arial" w:hAnsi="Arial" w:cs="Arial"/>
          <w:sz w:val="32"/>
          <w:szCs w:val="32"/>
        </w:rPr>
        <w:t>Introduction</w:t>
      </w:r>
      <w:bookmarkEnd w:id="269"/>
      <w:bookmarkEnd w:id="270"/>
    </w:p>
    <w:p w14:paraId="26606B29" w14:textId="54DF920C" w:rsidR="00092206" w:rsidRPr="0092670C" w:rsidRDefault="00092206" w:rsidP="00092206">
      <w:pPr>
        <w:spacing w:line="360" w:lineRule="auto"/>
        <w:jc w:val="both"/>
        <w:rPr>
          <w:rFonts w:ascii="Arial" w:hAnsi="Arial" w:cs="Arial"/>
        </w:rPr>
      </w:pPr>
      <w:r w:rsidRPr="0092670C">
        <w:rPr>
          <w:rFonts w:ascii="Arial" w:hAnsi="Arial" w:cs="Arial"/>
        </w:rPr>
        <w:t xml:space="preserve">The SEI is not a static component of the cell and its structure and decomposition depend upon both the voltage of the cell and the age of the cell. These changes make the SEI harder to probe with ex-situ only showing a picture of the SEI and not </w:t>
      </w:r>
      <w:r w:rsidR="00E145EA">
        <w:rPr>
          <w:rFonts w:ascii="Arial" w:hAnsi="Arial" w:cs="Arial"/>
        </w:rPr>
        <w:t>cover</w:t>
      </w:r>
      <w:r w:rsidRPr="0092670C">
        <w:rPr>
          <w:rFonts w:ascii="Arial" w:hAnsi="Arial" w:cs="Arial"/>
        </w:rPr>
        <w:t xml:space="preserve"> the whole exchange process. Currently most studies of the SEI focus on the initial performance of the SEI and spend less attention to the later stages</w:t>
      </w:r>
      <w:r w:rsidR="006457DF" w:rsidRPr="0092670C">
        <w:rPr>
          <w:rFonts w:ascii="Arial" w:hAnsi="Arial" w:cs="Arial"/>
        </w:rPr>
        <w:t xml:space="preserve"> </w:t>
      </w:r>
      <w:r w:rsidRPr="0092670C">
        <w:rPr>
          <w:rFonts w:ascii="Arial" w:hAnsi="Arial" w:cs="Arial"/>
        </w:rPr>
        <w:fldChar w:fldCharType="begin"/>
      </w:r>
      <w:r w:rsidR="004F0EC3">
        <w:rPr>
          <w:rFonts w:ascii="Arial" w:hAnsi="Arial" w:cs="Arial"/>
        </w:rPr>
        <w:instrText xml:space="preserve"> ADDIN EN.CITE &lt;EndNote&gt;&lt;Cite&gt;&lt;Author&gt;An&lt;/Author&gt;&lt;Year&gt;2016&lt;/Year&gt;&lt;RecNum&gt;146&lt;/RecNum&gt;&lt;DisplayText&gt;[21]&lt;/DisplayText&gt;&lt;record&gt;&lt;rec-number&gt;146&lt;/rec-number&gt;&lt;foreign-keys&gt;&lt;key app="EN" db-id="5sa9s0e0r0d9fnexra7pr5xdwd5ztevx95s2" timestamp="1536588117"&gt;146&lt;/key&gt;&lt;/foreign-keys&gt;&lt;ref-type name="Journal Article"&gt;17&lt;/ref-type&gt;&lt;contributors&gt;&lt;authors&gt;&lt;author&gt;An, Seong Jin&lt;/author&gt;&lt;author&gt;Li, Jianlin&lt;/author&gt;&lt;author&gt;Daniel, Claus&lt;/author&gt;&lt;author&gt;Mohanty, Debasish&lt;/author&gt;&lt;author&gt;Nagpure, Shrikant&lt;/author&gt;&lt;author&gt;Wood, David L.&lt;/author&gt;&lt;/authors&gt;&lt;/contributors&gt;&lt;titles&gt;&lt;title&gt;The state of understanding of the lithium-ion-battery graphite solid electrolyte interphase (SEI) and its relationship to formation cycling&lt;/title&gt;&lt;secondary-title&gt;Carbon&lt;/secondary-title&gt;&lt;/titles&gt;&lt;periodical&gt;&lt;full-title&gt;Carbon&lt;/full-title&gt;&lt;/periodical&gt;&lt;pages&gt;52-76&lt;/pages&gt;&lt;volume&gt;105&lt;/volume&gt;&lt;dates&gt;&lt;year&gt;2016&lt;/year&gt;&lt;pub-dates&gt;&lt;date&gt;2016/08/01/&lt;/date&gt;&lt;/pub-dates&gt;&lt;/dates&gt;&lt;isbn&gt;0008-6223&lt;/isbn&gt;&lt;urls&gt;&lt;related-urls&gt;&lt;url&gt;http://www.sciencedirect.com/science/article/pii/S0008622316302676&lt;/url&gt;&lt;/related-urls&gt;&lt;/urls&gt;&lt;electronic-resource-num&gt;https://doi.org/10.1016/j.carbon.2016.04.008&lt;/electronic-resource-num&gt;&lt;/record&gt;&lt;/Cite&gt;&lt;/EndNote&gt;</w:instrText>
      </w:r>
      <w:r w:rsidRPr="0092670C">
        <w:rPr>
          <w:rFonts w:ascii="Arial" w:hAnsi="Arial" w:cs="Arial"/>
        </w:rPr>
        <w:fldChar w:fldCharType="separate"/>
      </w:r>
      <w:r w:rsidR="004F0EC3">
        <w:rPr>
          <w:rFonts w:ascii="Arial" w:hAnsi="Arial" w:cs="Arial"/>
          <w:noProof/>
        </w:rPr>
        <w:t>[21]</w:t>
      </w:r>
      <w:r w:rsidRPr="0092670C">
        <w:rPr>
          <w:rFonts w:ascii="Arial" w:hAnsi="Arial" w:cs="Arial"/>
        </w:rPr>
        <w:fldChar w:fldCharType="end"/>
      </w:r>
      <w:r w:rsidRPr="0092670C">
        <w:rPr>
          <w:rFonts w:ascii="Arial" w:hAnsi="Arial" w:cs="Arial"/>
        </w:rPr>
        <w:t xml:space="preserve">. This may be due to the </w:t>
      </w:r>
      <w:r w:rsidR="009D6F00" w:rsidRPr="0092670C">
        <w:rPr>
          <w:rFonts w:ascii="Arial" w:hAnsi="Arial" w:cs="Arial"/>
        </w:rPr>
        <w:t>extensive</w:t>
      </w:r>
      <w:r w:rsidRPr="0092670C">
        <w:rPr>
          <w:rFonts w:ascii="Arial" w:hAnsi="Arial" w:cs="Arial"/>
        </w:rPr>
        <w:t xml:space="preserve"> time scales required for these experiments or it may be that the charge capacity isn’t affected by this exchange and so is ignored. </w:t>
      </w:r>
    </w:p>
    <w:p w14:paraId="5BFBB99E" w14:textId="77A79C58" w:rsidR="00092206" w:rsidRPr="0092670C" w:rsidRDefault="00092206" w:rsidP="00092206">
      <w:pPr>
        <w:spacing w:line="360" w:lineRule="auto"/>
        <w:jc w:val="both"/>
        <w:rPr>
          <w:rFonts w:ascii="Arial" w:hAnsi="Arial" w:cs="Arial"/>
        </w:rPr>
      </w:pPr>
      <w:r w:rsidRPr="0092670C">
        <w:rPr>
          <w:rFonts w:ascii="Arial" w:hAnsi="Arial" w:cs="Arial"/>
        </w:rPr>
        <w:t>EIS has been shown to be an effective tool for tracking the growth of the SEI</w:t>
      </w:r>
      <w:r w:rsidR="006457DF"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&lt;EndNote&gt;&lt;Cite&gt;&lt;Author&gt;Zhang&lt;/Author&gt;&lt;Year&gt;2006&lt;/Year&gt;&lt;RecNum&gt;53&lt;/RecNum&gt;&lt;DisplayText&gt;[227]&lt;/DisplayText&gt;&lt;record&gt;&lt;rec-number&gt;53&lt;/rec-number&gt;&lt;foreign-keys&gt;&lt;key app="EN" db-id="5sa9s0e0r0d9fnexra7pr5xdwd5ztevx95s2" timestamp="1513258632"&gt;53&lt;/key&gt;&lt;/foreign-keys&gt;&lt;ref-type name="Journal Article"&gt;17&lt;/ref-type&gt;&lt;contributors&gt;&lt;authors&gt;&lt;author&gt;Zhang, S. S.&lt;/author&gt;&lt;author&gt;Xu, K.&lt;/author&gt;&lt;author&gt;Jow, T. R.&lt;/author&gt;&lt;/authors&gt;&lt;/contributors&gt;&lt;titles&gt;&lt;title&gt;EIS study on the formation of solid electrolyte interface in Li-ion battery&lt;/title&gt;&lt;secondary-title&gt;Electrochimica Acta&lt;/secondary-title&gt;&lt;/titles&gt;&lt;periodical&gt;&lt;full-title&gt;Electrochimica Acta&lt;/full-title&gt;&lt;/periodical&gt;&lt;pages&gt;1636-1640&lt;/pages&gt;&lt;volume&gt;51&lt;/volume&gt;&lt;number&gt;8&lt;/number&gt;&lt;keywords&gt;&lt;keyword&gt;Electrochemical impedance spectroscopy&lt;/keyword&gt;&lt;keyword&gt;Solid electrolyte interface&lt;/keyword&gt;&lt;keyword&gt;Ionic conductivity&lt;/keyword&gt;&lt;keyword&gt;Lithiation&lt;/keyword&gt;&lt;keyword&gt;Graphite&lt;/keyword&gt;&lt;/keywords&gt;&lt;dates&gt;&lt;year&gt;2006&lt;/year&gt;&lt;pub-dates&gt;&lt;date&gt;2006/01/20/&lt;/date&gt;&lt;/pub-dates&gt;&lt;/dates&gt;&lt;isbn&gt;0013-4686&lt;/isbn&gt;&lt;urls&gt;&lt;related-urls&gt;&lt;url&gt;http://www.sciencedirect.com/science/article/pii/S0013468605007966&lt;/url&gt;&lt;/related-urls&gt;&lt;/urls&gt;&lt;electronic-resource-num&gt;https://doi.org/10.1016/j.electacta.2005.02.137&lt;/electronic-resource-num&gt;&lt;/record&gt;&lt;/Cite&gt;&lt;/EndNote&gt;</w:instrText>
      </w:r>
      <w:r w:rsidRPr="0092670C">
        <w:rPr>
          <w:rFonts w:ascii="Arial" w:hAnsi="Arial" w:cs="Arial"/>
        </w:rPr>
        <w:fldChar w:fldCharType="separate"/>
      </w:r>
      <w:r w:rsidR="0034337D">
        <w:rPr>
          <w:rFonts w:ascii="Arial" w:hAnsi="Arial" w:cs="Arial"/>
          <w:noProof/>
        </w:rPr>
        <w:t>[227]</w:t>
      </w:r>
      <w:r w:rsidRPr="0092670C">
        <w:rPr>
          <w:rFonts w:ascii="Arial" w:hAnsi="Arial" w:cs="Arial"/>
        </w:rPr>
        <w:fldChar w:fldCharType="end"/>
      </w:r>
      <w:r w:rsidRPr="0092670C">
        <w:rPr>
          <w:rFonts w:ascii="Arial" w:hAnsi="Arial" w:cs="Arial"/>
        </w:rPr>
        <w:t xml:space="preserve">. EIS is useful as it is a non-invasive technique that can give us information about the SEI without impacting cell performance or its operation. </w:t>
      </w:r>
    </w:p>
    <w:p w14:paraId="630CC54D" w14:textId="077CDA0D" w:rsidR="00092206" w:rsidRPr="0092670C" w:rsidRDefault="00092206" w:rsidP="00092206">
      <w:pPr>
        <w:spacing w:line="360" w:lineRule="auto"/>
        <w:jc w:val="both"/>
        <w:rPr>
          <w:rFonts w:ascii="Arial" w:hAnsi="Arial" w:cs="Arial"/>
        </w:rPr>
      </w:pPr>
      <w:r w:rsidRPr="0092670C">
        <w:rPr>
          <w:rFonts w:ascii="Arial" w:hAnsi="Arial" w:cs="Arial"/>
        </w:rPr>
        <w:t>As we have shown pre-lithiation produces an SEI that improves the coulombic efficiency and the charge capacity of the cell. One question that has been raised by this is if the SEI that is pre-lithiated is the same SEI after several cycles, in a similar manner to the ship of Theseus</w:t>
      </w:r>
      <w:r w:rsidR="004C3E78">
        <w:rPr>
          <w:rStyle w:val="FootnoteReference"/>
          <w:rFonts w:ascii="Arial" w:hAnsi="Arial" w:cs="Arial"/>
        </w:rPr>
        <w:footnoteReference w:id="2"/>
      </w:r>
      <w:r w:rsidRPr="0092670C">
        <w:rPr>
          <w:rFonts w:ascii="Arial" w:hAnsi="Arial" w:cs="Arial"/>
        </w:rPr>
        <w:t xml:space="preserve">. This change between the initial pre-lithiated SEI and cycled SEI needs to be understood to determine the longevity of the SEI and if additives are required to maintain the structure and benefits of the SEI. </w:t>
      </w:r>
    </w:p>
    <w:p w14:paraId="7BFA122E" w14:textId="77777777" w:rsidR="00092206" w:rsidRPr="0092670C" w:rsidRDefault="00092206" w:rsidP="00092206">
      <w:pPr>
        <w:pStyle w:val="Heading2"/>
        <w:rPr>
          <w:rFonts w:ascii="Arial" w:hAnsi="Arial" w:cs="Arial"/>
          <w:sz w:val="32"/>
          <w:szCs w:val="32"/>
        </w:rPr>
      </w:pPr>
      <w:bookmarkStart w:id="271" w:name="_Toc13735424"/>
      <w:bookmarkStart w:id="272" w:name="_Toc82538802"/>
      <w:r w:rsidRPr="0092670C">
        <w:rPr>
          <w:rFonts w:ascii="Arial" w:hAnsi="Arial" w:cs="Arial"/>
          <w:sz w:val="32"/>
          <w:szCs w:val="32"/>
        </w:rPr>
        <w:t>Using EIS to observe the exchange process</w:t>
      </w:r>
      <w:bookmarkEnd w:id="271"/>
      <w:bookmarkEnd w:id="272"/>
    </w:p>
    <w:p w14:paraId="43986E8A" w14:textId="027FC626" w:rsidR="00092206" w:rsidRPr="0092670C" w:rsidRDefault="00092206" w:rsidP="00092206">
      <w:pPr>
        <w:spacing w:line="360" w:lineRule="auto"/>
        <w:jc w:val="both"/>
        <w:rPr>
          <w:rFonts w:ascii="Arial" w:hAnsi="Arial" w:cs="Arial"/>
        </w:rPr>
      </w:pPr>
      <w:r w:rsidRPr="0092670C">
        <w:rPr>
          <w:rFonts w:ascii="Arial" w:hAnsi="Arial" w:cs="Arial"/>
        </w:rPr>
        <w:t>One way to see this dynamic change is to first pre-lithiate the electrode to create the SEI of choice. This SEI would then be cycled in the same electrolyte (</w:t>
      </w:r>
      <w:r w:rsidR="00B77C5A">
        <w:rPr>
          <w:rFonts w:ascii="Arial" w:hAnsi="Arial" w:cs="Arial"/>
        </w:rPr>
        <w:t>identical</w:t>
      </w:r>
      <w:r w:rsidRPr="0092670C">
        <w:rPr>
          <w:rFonts w:ascii="Arial" w:hAnsi="Arial" w:cs="Arial"/>
        </w:rPr>
        <w:t>) and a different electrolyte (</w:t>
      </w:r>
      <w:r w:rsidR="00B77C5A">
        <w:rPr>
          <w:rFonts w:ascii="Arial" w:hAnsi="Arial" w:cs="Arial"/>
        </w:rPr>
        <w:t>contrasting</w:t>
      </w:r>
      <w:r w:rsidRPr="0092670C">
        <w:rPr>
          <w:rFonts w:ascii="Arial" w:hAnsi="Arial" w:cs="Arial"/>
        </w:rPr>
        <w:t xml:space="preserve">). The SEI should change depending on the electrolyte used and this change should become more prominent as the cell ages. For the dynamic cells the one pre-lithiated in FEC and cycled in LP30 should change at the slowest rate due to the stability of the SEI that is formed with FEC. Conversely the LP30 pre-lithiated cell, cycled in FEC should show a larger change due to the good SEI forming properties of FEC. </w:t>
      </w:r>
    </w:p>
    <w:p w14:paraId="49D5797A" w14:textId="77777777" w:rsidR="00092206" w:rsidRPr="0092670C" w:rsidRDefault="00092206" w:rsidP="00E43E32">
      <w:pPr>
        <w:pStyle w:val="Heading3"/>
        <w:rPr>
          <w:rFonts w:ascii="Arial" w:hAnsi="Arial" w:cs="Arial"/>
          <w:sz w:val="32"/>
          <w:szCs w:val="32"/>
        </w:rPr>
      </w:pPr>
      <w:bookmarkStart w:id="273" w:name="_Toc13735425"/>
      <w:bookmarkStart w:id="274" w:name="_Toc82538803"/>
      <w:r w:rsidRPr="0092670C">
        <w:rPr>
          <w:rFonts w:ascii="Arial" w:hAnsi="Arial" w:cs="Arial"/>
          <w:sz w:val="32"/>
          <w:szCs w:val="32"/>
        </w:rPr>
        <w:t>Experimental</w:t>
      </w:r>
      <w:bookmarkEnd w:id="273"/>
      <w:bookmarkEnd w:id="274"/>
    </w:p>
    <w:p w14:paraId="1DA212E4" w14:textId="5E61D307" w:rsidR="00092206" w:rsidRPr="0092670C" w:rsidRDefault="00092206" w:rsidP="00092206">
      <w:pPr>
        <w:spacing w:line="360" w:lineRule="auto"/>
        <w:jc w:val="both"/>
        <w:rPr>
          <w:rFonts w:ascii="Arial" w:hAnsi="Arial" w:cs="Arial"/>
        </w:rPr>
      </w:pPr>
      <w:r w:rsidRPr="0092670C">
        <w:rPr>
          <w:rFonts w:ascii="Arial" w:hAnsi="Arial" w:cs="Arial"/>
        </w:rPr>
        <w:t>Cells were pre-lithiated electrochemically for 40 minutes with both LP30 and 90:10 v/v LP30: FEC as described earlier</w:t>
      </w:r>
      <w:r w:rsidR="00E41C13">
        <w:rPr>
          <w:rFonts w:ascii="Arial" w:hAnsi="Arial" w:cs="Arial"/>
        </w:rPr>
        <w:t xml:space="preserve"> in </w:t>
      </w:r>
      <w:r w:rsidR="00717361">
        <w:rPr>
          <w:rFonts w:ascii="Arial" w:hAnsi="Arial" w:cs="Arial"/>
        </w:rPr>
        <w:t>section 3.3.1</w:t>
      </w:r>
      <w:r w:rsidRPr="0092670C">
        <w:rPr>
          <w:rFonts w:ascii="Arial" w:hAnsi="Arial" w:cs="Arial"/>
        </w:rPr>
        <w:t xml:space="preserve">. </w:t>
      </w:r>
      <w:r w:rsidR="00A520BA">
        <w:rPr>
          <w:rFonts w:ascii="Arial" w:hAnsi="Arial" w:cs="Arial"/>
        </w:rPr>
        <w:t xml:space="preserve">40 minutes was </w:t>
      </w:r>
      <w:r w:rsidR="001F24C0">
        <w:rPr>
          <w:rFonts w:ascii="Arial" w:hAnsi="Arial" w:cs="Arial"/>
        </w:rPr>
        <w:t>chosen as the pre-lithiation time</w:t>
      </w:r>
      <w:r w:rsidRPr="0092670C">
        <w:rPr>
          <w:rFonts w:ascii="Arial" w:hAnsi="Arial" w:cs="Arial"/>
        </w:rPr>
        <w:t xml:space="preserve"> as we saw that it resulted in the best electrochemical performance in chapter</w:t>
      </w:r>
      <w:r w:rsidR="008C0D89">
        <w:rPr>
          <w:rFonts w:ascii="Arial" w:hAnsi="Arial" w:cs="Arial"/>
        </w:rPr>
        <w:t xml:space="preserve"> 3</w:t>
      </w:r>
      <w:r w:rsidRPr="0092670C">
        <w:rPr>
          <w:rFonts w:ascii="Arial" w:hAnsi="Arial" w:cs="Arial"/>
        </w:rPr>
        <w:t>. Both variants were cycled in LP30 and 10% LP30: FEC V/V. To measure these dynamic conditions EIS was recorded before cycling, after 2,</w:t>
      </w:r>
      <w:r w:rsidR="006B4224">
        <w:rPr>
          <w:rFonts w:ascii="Arial" w:hAnsi="Arial" w:cs="Arial"/>
        </w:rPr>
        <w:t xml:space="preserve"> </w:t>
      </w:r>
      <w:r w:rsidRPr="0092670C">
        <w:rPr>
          <w:rFonts w:ascii="Arial" w:hAnsi="Arial" w:cs="Arial"/>
        </w:rPr>
        <w:t>5,</w:t>
      </w:r>
      <w:r w:rsidR="006B4224">
        <w:rPr>
          <w:rFonts w:ascii="Arial" w:hAnsi="Arial" w:cs="Arial"/>
        </w:rPr>
        <w:t xml:space="preserve"> </w:t>
      </w:r>
      <w:r w:rsidRPr="0092670C">
        <w:rPr>
          <w:rFonts w:ascii="Arial" w:hAnsi="Arial" w:cs="Arial"/>
        </w:rPr>
        <w:t>20,</w:t>
      </w:r>
      <w:r w:rsidR="006B4224">
        <w:rPr>
          <w:rFonts w:ascii="Arial" w:hAnsi="Arial" w:cs="Arial"/>
        </w:rPr>
        <w:t xml:space="preserve"> </w:t>
      </w:r>
      <w:r w:rsidRPr="0092670C">
        <w:rPr>
          <w:rFonts w:ascii="Arial" w:hAnsi="Arial" w:cs="Arial"/>
        </w:rPr>
        <w:t>50 and 100 cycles between 100</w:t>
      </w:r>
      <w:r w:rsidR="006B4224">
        <w:rPr>
          <w:rFonts w:ascii="Arial" w:hAnsi="Arial" w:cs="Arial"/>
        </w:rPr>
        <w:t xml:space="preserve"> </w:t>
      </w:r>
      <w:r w:rsidRPr="0092670C">
        <w:rPr>
          <w:rFonts w:ascii="Arial" w:hAnsi="Arial" w:cs="Arial"/>
        </w:rPr>
        <w:t>kHz and 0.01</w:t>
      </w:r>
      <w:r w:rsidR="006B4224">
        <w:rPr>
          <w:rFonts w:ascii="Arial" w:hAnsi="Arial" w:cs="Arial"/>
        </w:rPr>
        <w:t xml:space="preserve"> </w:t>
      </w:r>
      <w:r w:rsidRPr="0092670C">
        <w:rPr>
          <w:rFonts w:ascii="Arial" w:hAnsi="Arial" w:cs="Arial"/>
        </w:rPr>
        <w:t>Hz with 12 steps per decade. EIS was taken in both the fully charged</w:t>
      </w:r>
      <w:r w:rsidR="00FF5A88">
        <w:rPr>
          <w:rFonts w:ascii="Arial" w:hAnsi="Arial" w:cs="Arial"/>
        </w:rPr>
        <w:t xml:space="preserve"> </w:t>
      </w:r>
      <w:r w:rsidRPr="0092670C">
        <w:rPr>
          <w:rFonts w:ascii="Arial" w:hAnsi="Arial" w:cs="Arial"/>
        </w:rPr>
        <w:t>and fully discharged states as the SEI composition and thickness is voltage dependant</w:t>
      </w:r>
      <w:r w:rsidR="00536CBC"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&lt;EndNote&gt;&lt;Cite&gt;&lt;Author&gt;Zhang&lt;/Author&gt;&lt;Year&gt;2006&lt;/Year&gt;&lt;RecNum&gt;53&lt;/RecNum&gt;&lt;DisplayText&gt;[227]&lt;/DisplayText&gt;&lt;record&gt;&lt;rec-number&gt;53&lt;/rec-number&gt;&lt;foreign-keys&gt;&lt;key app="EN" db-id="5sa9s0e0r0d9fnexra7pr5xdwd5ztevx95s2" timestamp="1513258632"&gt;53&lt;/key&gt;&lt;/foreign-keys&gt;&lt;ref-type name="Journal Article"&gt;17&lt;/ref-type&gt;&lt;contributors&gt;&lt;authors&gt;&lt;author&gt;Zhang, S. S.&lt;/author&gt;&lt;author&gt;Xu, K.&lt;/author&gt;&lt;author&gt;Jow, T. R.&lt;/author&gt;&lt;/authors&gt;&lt;/contributors&gt;&lt;titles&gt;&lt;title&gt;EIS study on the formation of solid electrolyte interface in Li-ion battery&lt;/title&gt;&lt;secondary-title&gt;Electrochimica Acta&lt;/secondary-title&gt;&lt;/titles&gt;&lt;periodical&gt;&lt;full-title&gt;Electrochimica Acta&lt;/full-title&gt;&lt;/periodical&gt;&lt;pages&gt;1636-1640&lt;/pages&gt;&lt;volume&gt;51&lt;/volume&gt;&lt;number&gt;8&lt;/number&gt;&lt;keywords&gt;&lt;keyword&gt;Electrochemical impedance spectroscopy&lt;/keyword&gt;&lt;keyword&gt;Solid electrolyte interface&lt;/keyword&gt;&lt;keyword&gt;Ionic conductivity&lt;/keyword&gt;&lt;keyword&gt;Lithiation&lt;/keyword&gt;&lt;keyword&gt;Graphite&lt;/keyword&gt;&lt;/keywords&gt;&lt;dates&gt;&lt;year&gt;2006&lt;/year&gt;&lt;pub-dates&gt;&lt;date&gt;2006/01/20/&lt;/date&gt;&lt;/pub-dates&gt;&lt;/dates&gt;&lt;isbn&gt;0013-4686&lt;/isbn&gt;&lt;urls&gt;&lt;related-urls&gt;&lt;url&gt;http://www.sciencedirect.com/science/article/pii/S0013468605007966&lt;/url&gt;&lt;/related-urls&gt;&lt;/urls&gt;&lt;electronic-resource-num&gt;https://doi.org/10.1016/j.electacta.2005.02.137&lt;/electronic-resource-num&gt;&lt;/record&gt;&lt;/Cite&gt;&lt;/EndNote&gt;</w:instrText>
      </w:r>
      <w:r w:rsidRPr="0092670C">
        <w:rPr>
          <w:rFonts w:ascii="Arial" w:hAnsi="Arial" w:cs="Arial"/>
        </w:rPr>
        <w:fldChar w:fldCharType="separate"/>
      </w:r>
      <w:r w:rsidR="0034337D">
        <w:rPr>
          <w:rFonts w:ascii="Arial" w:hAnsi="Arial" w:cs="Arial"/>
          <w:noProof/>
        </w:rPr>
        <w:t>[227]</w:t>
      </w:r>
      <w:r w:rsidRPr="0092670C">
        <w:rPr>
          <w:rFonts w:ascii="Arial" w:hAnsi="Arial" w:cs="Arial"/>
        </w:rPr>
        <w:fldChar w:fldCharType="end"/>
      </w:r>
      <w:r w:rsidRPr="0092670C">
        <w:rPr>
          <w:rFonts w:ascii="Arial" w:hAnsi="Arial" w:cs="Arial"/>
        </w:rPr>
        <w:t xml:space="preserve">. </w:t>
      </w:r>
    </w:p>
    <w:p w14:paraId="6DBB78EF" w14:textId="51E43898" w:rsidR="00092206" w:rsidRPr="0092670C" w:rsidRDefault="00092206" w:rsidP="00092206">
      <w:pPr>
        <w:spacing w:line="360" w:lineRule="auto"/>
        <w:jc w:val="both"/>
        <w:rPr>
          <w:rFonts w:ascii="Arial" w:hAnsi="Arial" w:cs="Arial"/>
        </w:rPr>
      </w:pPr>
      <w:r w:rsidRPr="0092670C">
        <w:rPr>
          <w:rFonts w:ascii="Arial" w:hAnsi="Arial" w:cs="Arial"/>
        </w:rPr>
        <w:t>EIS was also performed on cells that had</w:t>
      </w:r>
      <w:r w:rsidR="002C25E1">
        <w:rPr>
          <w:rFonts w:ascii="Arial" w:hAnsi="Arial" w:cs="Arial"/>
        </w:rPr>
        <w:t xml:space="preserve"> not</w:t>
      </w:r>
      <w:r w:rsidRPr="0092670C">
        <w:rPr>
          <w:rFonts w:ascii="Arial" w:hAnsi="Arial" w:cs="Arial"/>
        </w:rPr>
        <w:t xml:space="preserve"> been pre-lithiated for comparison. One used LP30 as the electrolyte. The other used LP30</w:t>
      </w:r>
      <w:r w:rsidR="00D5225A">
        <w:rPr>
          <w:rFonts w:ascii="Arial" w:hAnsi="Arial" w:cs="Arial"/>
        </w:rPr>
        <w:t xml:space="preserve"> +10wt.%</w:t>
      </w:r>
      <w:r w:rsidRPr="0092670C">
        <w:rPr>
          <w:rFonts w:ascii="Arial" w:hAnsi="Arial" w:cs="Arial"/>
        </w:rPr>
        <w:t xml:space="preserve"> FEC. These would give baseline readings for the impedance data. This would help to account for SEI growth normally seen during cycling so that the study can concentrate on the changes that happen to the SEI as a result of the exchange process. </w:t>
      </w:r>
      <w:r w:rsidR="00760A82" w:rsidRPr="0092670C">
        <w:rPr>
          <w:rFonts w:ascii="Arial" w:hAnsi="Arial" w:cs="Arial"/>
        </w:rPr>
        <w:t xml:space="preserve">For brevity the </w:t>
      </w:r>
      <w:r w:rsidR="00524A8F" w:rsidRPr="0092670C">
        <w:rPr>
          <w:rFonts w:ascii="Arial" w:hAnsi="Arial" w:cs="Arial"/>
        </w:rPr>
        <w:t xml:space="preserve">cells will be described as the pre-lithiated electrolyte first and the cell electrolyte second e.g. </w:t>
      </w:r>
      <w:r w:rsidR="002C590F" w:rsidRPr="0092670C">
        <w:rPr>
          <w:rFonts w:ascii="Arial" w:hAnsi="Arial" w:cs="Arial"/>
        </w:rPr>
        <w:t xml:space="preserve">FEC LP30 for the electrode that is pre-lithiated in FEC </w:t>
      </w:r>
      <w:r w:rsidR="005F1276" w:rsidRPr="0092670C">
        <w:rPr>
          <w:rFonts w:ascii="Arial" w:hAnsi="Arial" w:cs="Arial"/>
        </w:rPr>
        <w:t xml:space="preserve">and cycled in LP30. </w:t>
      </w:r>
    </w:p>
    <w:p w14:paraId="4C1B6D4C" w14:textId="77777777" w:rsidR="00092206" w:rsidRPr="0092670C" w:rsidRDefault="00092206" w:rsidP="00E43E32">
      <w:pPr>
        <w:pStyle w:val="Heading3"/>
        <w:rPr>
          <w:rFonts w:ascii="Arial" w:hAnsi="Arial" w:cs="Arial"/>
          <w:sz w:val="32"/>
          <w:szCs w:val="32"/>
        </w:rPr>
      </w:pPr>
      <w:bookmarkStart w:id="275" w:name="_Toc13735426"/>
      <w:bookmarkStart w:id="276" w:name="_Toc82538804"/>
      <w:r w:rsidRPr="0092670C">
        <w:rPr>
          <w:rFonts w:ascii="Arial" w:hAnsi="Arial" w:cs="Arial"/>
          <w:sz w:val="32"/>
          <w:szCs w:val="32"/>
        </w:rPr>
        <w:t>Results</w:t>
      </w:r>
      <w:bookmarkEnd w:id="275"/>
      <w:bookmarkEnd w:id="276"/>
      <w:r w:rsidRPr="0092670C">
        <w:rPr>
          <w:rFonts w:ascii="Arial" w:hAnsi="Arial" w:cs="Arial"/>
          <w:sz w:val="32"/>
          <w:szCs w:val="32"/>
        </w:rPr>
        <w:t xml:space="preserve"> </w:t>
      </w:r>
    </w:p>
    <w:p w14:paraId="22830B6E" w14:textId="77777777" w:rsidR="00A31654" w:rsidRPr="0092670C" w:rsidRDefault="00A31654" w:rsidP="00092206">
      <w:pPr>
        <w:spacing w:line="360" w:lineRule="auto"/>
        <w:jc w:val="both"/>
        <w:rPr>
          <w:rFonts w:ascii="Arial" w:hAnsi="Arial" w:cs="Arial"/>
        </w:rPr>
      </w:pPr>
    </w:p>
    <w:p w14:paraId="54D08DE9" w14:textId="323F4DED" w:rsidR="005006B2" w:rsidRPr="0092670C" w:rsidRDefault="0067644A" w:rsidP="005006B2">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191D889">
          <v:shape id="_x0000_i1126" type="#_x0000_t75" style="width:317.9pt;height:258.1pt" o:ole="">
            <v:imagedata r:id="rId259" o:title=""/>
          </v:shape>
          <o:OLEObject Type="Embed" ProgID="Origin95.Graph" ShapeID="_x0000_i1126" DrawAspect="Content" ObjectID="_1700734015" r:id="rId260"/>
        </w:object>
      </w:r>
    </w:p>
    <w:p w14:paraId="05CCF2B9" w14:textId="573E2644" w:rsidR="004433BA" w:rsidRPr="0092670C" w:rsidRDefault="005006B2" w:rsidP="005006B2">
      <w:pPr>
        <w:pStyle w:val="Caption"/>
        <w:jc w:val="center"/>
        <w:rPr>
          <w:rFonts w:ascii="Arial" w:hAnsi="Arial" w:cs="Arial"/>
          <w:sz w:val="20"/>
          <w:szCs w:val="20"/>
        </w:rPr>
      </w:pPr>
      <w:bookmarkStart w:id="277" w:name="_Ref31228880"/>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bookmarkEnd w:id="277"/>
      <w:r w:rsidRPr="0092670C">
        <w:rPr>
          <w:rFonts w:ascii="Arial" w:hAnsi="Arial" w:cs="Arial"/>
          <w:sz w:val="20"/>
          <w:szCs w:val="20"/>
        </w:rPr>
        <w:t xml:space="preserve">: </w:t>
      </w:r>
      <w:r w:rsidR="00504EAC" w:rsidRPr="0092670C">
        <w:rPr>
          <w:rFonts w:ascii="Arial" w:hAnsi="Arial" w:cs="Arial"/>
          <w:sz w:val="20"/>
          <w:szCs w:val="20"/>
        </w:rPr>
        <w:t>C</w:t>
      </w:r>
      <w:r w:rsidRPr="0092670C">
        <w:rPr>
          <w:rFonts w:ascii="Arial" w:hAnsi="Arial" w:cs="Arial"/>
          <w:sz w:val="20"/>
          <w:szCs w:val="20"/>
        </w:rPr>
        <w:t>harge capacity of FEC containing cells with increasing cycle number</w:t>
      </w:r>
      <w:r w:rsidR="00504EAC" w:rsidRPr="0092670C">
        <w:rPr>
          <w:rFonts w:ascii="Arial" w:hAnsi="Arial" w:cs="Arial"/>
          <w:sz w:val="20"/>
          <w:szCs w:val="20"/>
        </w:rPr>
        <w:t>.</w:t>
      </w:r>
    </w:p>
    <w:p w14:paraId="65E0AF8F" w14:textId="77777777" w:rsidR="007342C8" w:rsidRPr="007342C8" w:rsidRDefault="003D0C87" w:rsidP="007342C8">
      <w:pPr>
        <w:spacing w:line="360" w:lineRule="auto"/>
        <w:jc w:val="both"/>
        <w:rPr>
          <w:rFonts w:ascii="Arial" w:hAnsi="Arial" w:cs="Arial"/>
        </w:rPr>
      </w:pPr>
      <w:r w:rsidRPr="0092670C">
        <w:rPr>
          <w:rFonts w:ascii="Arial" w:hAnsi="Arial" w:cs="Arial"/>
        </w:rPr>
        <w:t xml:space="preserve">Concentrating on the FEC </w:t>
      </w:r>
      <w:r w:rsidR="003965B2" w:rsidRPr="0092670C">
        <w:rPr>
          <w:rFonts w:ascii="Arial" w:hAnsi="Arial" w:cs="Arial"/>
        </w:rPr>
        <w:t xml:space="preserve">containing cells </w:t>
      </w:r>
      <w:r w:rsidR="00892782" w:rsidRPr="0092670C">
        <w:rPr>
          <w:rFonts w:ascii="Arial" w:hAnsi="Arial" w:cs="Arial"/>
        </w:rPr>
        <w:t xml:space="preserve">allows us to see the </w:t>
      </w:r>
      <w:r w:rsidR="008104BC" w:rsidRPr="0092670C">
        <w:rPr>
          <w:rFonts w:ascii="Arial" w:hAnsi="Arial" w:cs="Arial"/>
        </w:rPr>
        <w:t xml:space="preserve">differences between the static and dynamic cells. </w:t>
      </w:r>
      <w:r w:rsidR="00753B04" w:rsidRPr="0092670C">
        <w:rPr>
          <w:rFonts w:ascii="Arial" w:hAnsi="Arial" w:cs="Arial"/>
        </w:rPr>
        <w:t xml:space="preserve">Starting with </w:t>
      </w:r>
      <w:r w:rsidR="00CF1FD5" w:rsidRPr="0092670C">
        <w:rPr>
          <w:rFonts w:ascii="Arial" w:hAnsi="Arial" w:cs="Arial"/>
        </w:rPr>
        <w:t xml:space="preserve">the capacity </w:t>
      </w:r>
      <w:r w:rsidR="00BF4EB2" w:rsidRPr="0092670C">
        <w:rPr>
          <w:rFonts w:ascii="Arial" w:hAnsi="Arial" w:cs="Arial"/>
        </w:rPr>
        <w:t>of the cell</w:t>
      </w:r>
      <w:r w:rsidR="0079125D" w:rsidRPr="0092670C">
        <w:rPr>
          <w:rFonts w:ascii="Arial" w:hAnsi="Arial" w:cs="Arial"/>
        </w:rPr>
        <w:t>s</w:t>
      </w:r>
      <w:r w:rsidR="00BF4EB2" w:rsidRPr="0092670C">
        <w:rPr>
          <w:rFonts w:ascii="Arial" w:hAnsi="Arial" w:cs="Arial"/>
        </w:rPr>
        <w:t xml:space="preserve"> in </w:t>
      </w:r>
      <w:r w:rsidR="00BF4EB2" w:rsidRPr="006B4224">
        <w:rPr>
          <w:rFonts w:ascii="Arial" w:hAnsi="Arial" w:cs="Arial"/>
        </w:rPr>
        <w:fldChar w:fldCharType="begin"/>
      </w:r>
      <w:r w:rsidR="00BF4EB2" w:rsidRPr="006B4224">
        <w:rPr>
          <w:rFonts w:ascii="Arial" w:hAnsi="Arial" w:cs="Arial"/>
        </w:rPr>
        <w:instrText xml:space="preserve"> REF _Ref31228880 \h  \* MERGEFORMAT </w:instrText>
      </w:r>
      <w:r w:rsidR="00BF4EB2" w:rsidRPr="006B4224">
        <w:rPr>
          <w:rFonts w:ascii="Arial" w:hAnsi="Arial" w:cs="Arial"/>
        </w:rPr>
      </w:r>
      <w:r w:rsidR="00BF4EB2" w:rsidRPr="006B4224">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1</w:t>
      </w:r>
      <w:r w:rsidR="00BF4EB2" w:rsidRPr="006B4224">
        <w:rPr>
          <w:rFonts w:ascii="Arial" w:hAnsi="Arial" w:cs="Arial"/>
        </w:rPr>
        <w:fldChar w:fldCharType="end"/>
      </w:r>
      <w:r w:rsidR="00CB48FA" w:rsidRPr="006B4224">
        <w:rPr>
          <w:rFonts w:ascii="Arial" w:hAnsi="Arial" w:cs="Arial"/>
        </w:rPr>
        <w:t xml:space="preserve"> </w:t>
      </w:r>
      <w:r w:rsidR="001674C6" w:rsidRPr="006B4224">
        <w:rPr>
          <w:rFonts w:ascii="Arial" w:hAnsi="Arial" w:cs="Arial"/>
        </w:rPr>
        <w:t>t</w:t>
      </w:r>
      <w:r w:rsidR="001674C6" w:rsidRPr="0092670C">
        <w:rPr>
          <w:rFonts w:ascii="Arial" w:hAnsi="Arial" w:cs="Arial"/>
        </w:rPr>
        <w:t>he positive effect</w:t>
      </w:r>
      <w:r w:rsidR="00396AB3" w:rsidRPr="0092670C">
        <w:rPr>
          <w:rFonts w:ascii="Arial" w:hAnsi="Arial" w:cs="Arial"/>
        </w:rPr>
        <w:t>s</w:t>
      </w:r>
      <w:r w:rsidR="001674C6" w:rsidRPr="0092670C">
        <w:rPr>
          <w:rFonts w:ascii="Arial" w:hAnsi="Arial" w:cs="Arial"/>
        </w:rPr>
        <w:t xml:space="preserve"> of pre-lithiation can be seen</w:t>
      </w:r>
      <w:r w:rsidR="00396AB3" w:rsidRPr="0092670C">
        <w:rPr>
          <w:rFonts w:ascii="Arial" w:hAnsi="Arial" w:cs="Arial"/>
        </w:rPr>
        <w:t xml:space="preserve"> again</w:t>
      </w:r>
      <w:r w:rsidR="001674C6" w:rsidRPr="0092670C">
        <w:rPr>
          <w:rFonts w:ascii="Arial" w:hAnsi="Arial" w:cs="Arial"/>
        </w:rPr>
        <w:t xml:space="preserve"> with the</w:t>
      </w:r>
      <w:r w:rsidR="00C12B56" w:rsidRPr="0092670C">
        <w:rPr>
          <w:rFonts w:ascii="Arial" w:hAnsi="Arial" w:cs="Arial"/>
        </w:rPr>
        <w:t xml:space="preserve"> FEC</w:t>
      </w:r>
      <w:r w:rsidR="00C2221A" w:rsidRPr="0092670C">
        <w:rPr>
          <w:rFonts w:ascii="Arial" w:hAnsi="Arial" w:cs="Arial"/>
        </w:rPr>
        <w:t xml:space="preserve"> </w:t>
      </w:r>
      <w:r w:rsidR="00C12B56" w:rsidRPr="0092670C">
        <w:rPr>
          <w:rFonts w:ascii="Arial" w:hAnsi="Arial" w:cs="Arial"/>
        </w:rPr>
        <w:t>FEC</w:t>
      </w:r>
      <w:r w:rsidR="001674C6" w:rsidRPr="0092670C">
        <w:rPr>
          <w:rFonts w:ascii="Arial" w:hAnsi="Arial" w:cs="Arial"/>
        </w:rPr>
        <w:t xml:space="preserve"> cells maintain</w:t>
      </w:r>
      <w:r w:rsidR="001F2739" w:rsidRPr="0092670C">
        <w:rPr>
          <w:rFonts w:ascii="Arial" w:hAnsi="Arial" w:cs="Arial"/>
        </w:rPr>
        <w:t xml:space="preserve">ing a </w:t>
      </w:r>
      <w:r w:rsidR="00620C26" w:rsidRPr="0092670C">
        <w:rPr>
          <w:rFonts w:ascii="Arial" w:hAnsi="Arial" w:cs="Arial"/>
        </w:rPr>
        <w:t xml:space="preserve">higher capacity </w:t>
      </w:r>
      <w:r w:rsidR="00B444E7" w:rsidRPr="0092670C">
        <w:rPr>
          <w:rFonts w:ascii="Arial" w:hAnsi="Arial" w:cs="Arial"/>
        </w:rPr>
        <w:t xml:space="preserve">retention. </w:t>
      </w:r>
      <w:r w:rsidR="00283BAC" w:rsidRPr="0092670C">
        <w:rPr>
          <w:rFonts w:ascii="Arial" w:hAnsi="Arial" w:cs="Arial"/>
        </w:rPr>
        <w:t xml:space="preserve">Both of the dynamic cells </w:t>
      </w:r>
      <w:r w:rsidR="00573202" w:rsidRPr="0092670C">
        <w:rPr>
          <w:rFonts w:ascii="Arial" w:hAnsi="Arial" w:cs="Arial"/>
        </w:rPr>
        <w:t>show</w:t>
      </w:r>
      <w:r w:rsidR="00283BAC" w:rsidRPr="0092670C">
        <w:rPr>
          <w:rFonts w:ascii="Arial" w:hAnsi="Arial" w:cs="Arial"/>
        </w:rPr>
        <w:t xml:space="preserve"> a l</w:t>
      </w:r>
      <w:r w:rsidR="00F00F95" w:rsidRPr="0092670C">
        <w:rPr>
          <w:rFonts w:ascii="Arial" w:hAnsi="Arial" w:cs="Arial"/>
        </w:rPr>
        <w:t xml:space="preserve">ower capacity </w:t>
      </w:r>
      <w:r w:rsidR="00852306" w:rsidRPr="0092670C">
        <w:rPr>
          <w:rFonts w:ascii="Arial" w:hAnsi="Arial" w:cs="Arial"/>
        </w:rPr>
        <w:t xml:space="preserve">than </w:t>
      </w:r>
      <w:r w:rsidR="00C85C35" w:rsidRPr="0092670C">
        <w:rPr>
          <w:rFonts w:ascii="Arial" w:hAnsi="Arial" w:cs="Arial"/>
        </w:rPr>
        <w:t>the static cells. Th</w:t>
      </w:r>
      <w:r w:rsidR="008554BB" w:rsidRPr="0092670C">
        <w:rPr>
          <w:rFonts w:ascii="Arial" w:hAnsi="Arial" w:cs="Arial"/>
        </w:rPr>
        <w:t>e cell pre-lithiated in LP30 will have a nat</w:t>
      </w:r>
      <w:r w:rsidR="00270D52" w:rsidRPr="0092670C">
        <w:rPr>
          <w:rFonts w:ascii="Arial" w:hAnsi="Arial" w:cs="Arial"/>
        </w:rPr>
        <w:t xml:space="preserve">urally </w:t>
      </w:r>
      <w:r w:rsidR="00CB2BA0" w:rsidRPr="0092670C">
        <w:rPr>
          <w:rFonts w:ascii="Arial" w:hAnsi="Arial" w:cs="Arial"/>
        </w:rPr>
        <w:t>lower capacity</w:t>
      </w:r>
      <w:r w:rsidR="00772F16" w:rsidRPr="0092670C">
        <w:rPr>
          <w:rFonts w:ascii="Arial" w:hAnsi="Arial" w:cs="Arial"/>
        </w:rPr>
        <w:t xml:space="preserve"> than the </w:t>
      </w:r>
      <w:r w:rsidR="00FF5EC6" w:rsidRPr="0092670C">
        <w:rPr>
          <w:rFonts w:ascii="Arial" w:hAnsi="Arial" w:cs="Arial"/>
        </w:rPr>
        <w:t>cells pre lithiated</w:t>
      </w:r>
      <w:r w:rsidR="00885891" w:rsidRPr="0092670C">
        <w:rPr>
          <w:rFonts w:ascii="Arial" w:hAnsi="Arial" w:cs="Arial"/>
        </w:rPr>
        <w:t xml:space="preserve"> in FEC as seen in </w:t>
      </w:r>
      <w:r w:rsidR="00885891" w:rsidRPr="0092670C">
        <w:rPr>
          <w:rFonts w:ascii="Arial" w:hAnsi="Arial" w:cs="Arial"/>
        </w:rPr>
        <w:fldChar w:fldCharType="begin"/>
      </w:r>
      <w:r w:rsidR="00885891" w:rsidRPr="0092670C">
        <w:rPr>
          <w:rFonts w:ascii="Arial" w:hAnsi="Arial" w:cs="Arial"/>
        </w:rPr>
        <w:instrText xml:space="preserve"> REF _Ref16684870 \h  \* MERGEFORMAT </w:instrText>
      </w:r>
      <w:r w:rsidR="00885891" w:rsidRPr="0092670C">
        <w:rPr>
          <w:rFonts w:ascii="Arial" w:hAnsi="Arial" w:cs="Arial"/>
        </w:rPr>
      </w:r>
      <w:r w:rsidR="00885891" w:rsidRPr="0092670C">
        <w:rPr>
          <w:rFonts w:ascii="Arial" w:hAnsi="Arial" w:cs="Arial"/>
        </w:rPr>
        <w:fldChar w:fldCharType="separate"/>
      </w:r>
    </w:p>
    <w:p w14:paraId="4F513F8D" w14:textId="0520DBC6" w:rsidR="003965B2" w:rsidRPr="0092670C" w:rsidRDefault="007342C8" w:rsidP="00D2185C">
      <w:pPr>
        <w:spacing w:line="360" w:lineRule="auto"/>
        <w:jc w:val="both"/>
        <w:rPr>
          <w:rFonts w:ascii="Arial" w:hAnsi="Arial" w:cs="Arial"/>
        </w:rPr>
      </w:pPr>
      <w:r w:rsidRPr="007342C8">
        <w:rPr>
          <w:rFonts w:ascii="Arial" w:hAnsi="Arial" w:cs="Arial"/>
        </w:rPr>
        <w:t>Pre-lithiation of</w:t>
      </w:r>
      <w:r w:rsidRPr="007342C8">
        <w:rPr>
          <w:rFonts w:ascii="Arial" w:hAnsi="Arial" w:cs="Arial"/>
          <w:bCs/>
        </w:rPr>
        <w:t xml:space="preserve"> </w:t>
      </w:r>
      <w:r w:rsidRPr="0092670C">
        <w:rPr>
          <w:rFonts w:ascii="Arial" w:hAnsi="Arial" w:cs="Arial"/>
          <w:b/>
          <w:u w:val="single"/>
        </w:rPr>
        <w:t>graphite</w:t>
      </w:r>
      <w:r w:rsidR="00885891" w:rsidRPr="0092670C">
        <w:rPr>
          <w:rFonts w:ascii="Arial" w:hAnsi="Arial" w:cs="Arial"/>
        </w:rPr>
        <w:fldChar w:fldCharType="end"/>
      </w:r>
      <w:r w:rsidR="00CB3425" w:rsidRPr="0092670C">
        <w:rPr>
          <w:rFonts w:ascii="Arial" w:hAnsi="Arial" w:cs="Arial"/>
        </w:rPr>
        <w:t xml:space="preserve">. </w:t>
      </w:r>
      <w:r w:rsidR="00995503" w:rsidRPr="0092670C">
        <w:rPr>
          <w:rFonts w:ascii="Arial" w:hAnsi="Arial" w:cs="Arial"/>
        </w:rPr>
        <w:t>This s</w:t>
      </w:r>
      <w:r w:rsidR="004D2584" w:rsidRPr="0092670C">
        <w:rPr>
          <w:rFonts w:ascii="Arial" w:hAnsi="Arial" w:cs="Arial"/>
        </w:rPr>
        <w:t>imilarity in charge capacity of the LP30 FEC</w:t>
      </w:r>
      <w:r w:rsidR="00340EC9" w:rsidRPr="0092670C">
        <w:rPr>
          <w:rFonts w:ascii="Arial" w:hAnsi="Arial" w:cs="Arial"/>
        </w:rPr>
        <w:t xml:space="preserve"> and FEC LP30</w:t>
      </w:r>
      <w:r w:rsidR="006A0E62" w:rsidRPr="0092670C">
        <w:rPr>
          <w:rFonts w:ascii="Arial" w:hAnsi="Arial" w:cs="Arial"/>
        </w:rPr>
        <w:t xml:space="preserve"> cells </w:t>
      </w:r>
      <w:r w:rsidR="00A259FD" w:rsidRPr="0092670C">
        <w:rPr>
          <w:rFonts w:ascii="Arial" w:hAnsi="Arial" w:cs="Arial"/>
        </w:rPr>
        <w:t xml:space="preserve">suggests that </w:t>
      </w:r>
      <w:r w:rsidR="00B70B2A" w:rsidRPr="0092670C">
        <w:rPr>
          <w:rFonts w:ascii="Arial" w:hAnsi="Arial" w:cs="Arial"/>
        </w:rPr>
        <w:t>both</w:t>
      </w:r>
      <w:r w:rsidR="00370B0D" w:rsidRPr="0092670C">
        <w:rPr>
          <w:rFonts w:ascii="Arial" w:hAnsi="Arial" w:cs="Arial"/>
        </w:rPr>
        <w:t xml:space="preserve"> SEIs have a predominant LP30 content from the outset</w:t>
      </w:r>
      <w:r w:rsidR="004E019C" w:rsidRPr="0092670C">
        <w:rPr>
          <w:rFonts w:ascii="Arial" w:hAnsi="Arial" w:cs="Arial"/>
        </w:rPr>
        <w:t>.</w:t>
      </w:r>
      <w:r w:rsidR="00A7263C" w:rsidRPr="0092670C">
        <w:rPr>
          <w:rFonts w:ascii="Arial" w:hAnsi="Arial" w:cs="Arial"/>
        </w:rPr>
        <w:t xml:space="preserve"> The </w:t>
      </w:r>
      <w:r w:rsidR="00913361" w:rsidRPr="0092670C">
        <w:rPr>
          <w:rFonts w:ascii="Arial" w:hAnsi="Arial" w:cs="Arial"/>
        </w:rPr>
        <w:t xml:space="preserve">capacity retention of the </w:t>
      </w:r>
      <w:r w:rsidR="00AE415E" w:rsidRPr="0092670C">
        <w:rPr>
          <w:rFonts w:ascii="Arial" w:hAnsi="Arial" w:cs="Arial"/>
        </w:rPr>
        <w:t xml:space="preserve">cell with </w:t>
      </w:r>
      <w:r w:rsidR="00611141" w:rsidRPr="0092670C">
        <w:rPr>
          <w:rFonts w:ascii="Arial" w:hAnsi="Arial" w:cs="Arial"/>
        </w:rPr>
        <w:t>LP30</w:t>
      </w:r>
      <w:r w:rsidR="00A95517" w:rsidRPr="0092670C">
        <w:rPr>
          <w:rFonts w:ascii="Arial" w:hAnsi="Arial" w:cs="Arial"/>
        </w:rPr>
        <w:t xml:space="preserve"> </w:t>
      </w:r>
      <w:r w:rsidR="00756AC9" w:rsidRPr="0092670C">
        <w:rPr>
          <w:rFonts w:ascii="Arial" w:hAnsi="Arial" w:cs="Arial"/>
        </w:rPr>
        <w:t>electrolyte</w:t>
      </w:r>
      <w:r w:rsidR="00A95517" w:rsidRPr="0092670C">
        <w:rPr>
          <w:rFonts w:ascii="Arial" w:hAnsi="Arial" w:cs="Arial"/>
        </w:rPr>
        <w:t xml:space="preserve"> </w:t>
      </w:r>
      <w:r w:rsidR="00756AC9" w:rsidRPr="0092670C">
        <w:rPr>
          <w:rFonts w:ascii="Arial" w:hAnsi="Arial" w:cs="Arial"/>
        </w:rPr>
        <w:t>drops dramatically after the 70</w:t>
      </w:r>
      <w:r w:rsidR="00756AC9" w:rsidRPr="0092670C">
        <w:rPr>
          <w:rFonts w:ascii="Arial" w:hAnsi="Arial" w:cs="Arial"/>
          <w:vertAlign w:val="superscript"/>
        </w:rPr>
        <w:t>th</w:t>
      </w:r>
      <w:r w:rsidR="00756AC9" w:rsidRPr="0092670C">
        <w:rPr>
          <w:rFonts w:ascii="Arial" w:hAnsi="Arial" w:cs="Arial"/>
        </w:rPr>
        <w:t xml:space="preserve"> cycle.</w:t>
      </w:r>
      <w:r w:rsidR="005E7FCB" w:rsidRPr="0092670C">
        <w:rPr>
          <w:rFonts w:ascii="Arial" w:hAnsi="Arial" w:cs="Arial"/>
        </w:rPr>
        <w:t xml:space="preserve"> </w:t>
      </w:r>
      <w:r w:rsidR="00BB4C85" w:rsidRPr="0092670C">
        <w:rPr>
          <w:rFonts w:ascii="Arial" w:hAnsi="Arial" w:cs="Arial"/>
        </w:rPr>
        <w:t xml:space="preserve">This decrease is most likely due to </w:t>
      </w:r>
      <w:r w:rsidR="000168C1" w:rsidRPr="0092670C">
        <w:rPr>
          <w:rFonts w:ascii="Arial" w:hAnsi="Arial" w:cs="Arial"/>
        </w:rPr>
        <w:t xml:space="preserve">the exchange </w:t>
      </w:r>
      <w:r w:rsidR="009848E9" w:rsidRPr="0092670C">
        <w:rPr>
          <w:rFonts w:ascii="Arial" w:hAnsi="Arial" w:cs="Arial"/>
        </w:rPr>
        <w:t xml:space="preserve">process resulting in </w:t>
      </w:r>
      <w:r w:rsidR="007D3CD4">
        <w:rPr>
          <w:rFonts w:ascii="Arial" w:hAnsi="Arial" w:cs="Arial"/>
        </w:rPr>
        <w:t xml:space="preserve">an SEI </w:t>
      </w:r>
      <w:r w:rsidR="006A4684" w:rsidRPr="0092670C">
        <w:rPr>
          <w:rFonts w:ascii="Arial" w:hAnsi="Arial" w:cs="Arial"/>
        </w:rPr>
        <w:t xml:space="preserve">that is ineffective for </w:t>
      </w:r>
      <w:r w:rsidR="00C74E98" w:rsidRPr="0092670C">
        <w:rPr>
          <w:rFonts w:ascii="Arial" w:hAnsi="Arial" w:cs="Arial"/>
        </w:rPr>
        <w:t>Li transport</w:t>
      </w:r>
      <w:r w:rsidR="00DC1B1A" w:rsidRPr="0092670C">
        <w:rPr>
          <w:rFonts w:ascii="Arial" w:hAnsi="Arial" w:cs="Arial"/>
        </w:rPr>
        <w:t xml:space="preserve">. </w:t>
      </w:r>
      <w:r w:rsidR="00683237" w:rsidRPr="0092670C">
        <w:rPr>
          <w:rFonts w:ascii="Arial" w:hAnsi="Arial" w:cs="Arial"/>
        </w:rPr>
        <w:t>T</w:t>
      </w:r>
      <w:r w:rsidR="002012FC" w:rsidRPr="0092670C">
        <w:rPr>
          <w:rFonts w:ascii="Arial" w:hAnsi="Arial" w:cs="Arial"/>
        </w:rPr>
        <w:t xml:space="preserve">he fact that this decrease is only noticeable </w:t>
      </w:r>
      <w:r w:rsidR="00DA339D" w:rsidRPr="0092670C">
        <w:rPr>
          <w:rFonts w:ascii="Arial" w:hAnsi="Arial" w:cs="Arial"/>
        </w:rPr>
        <w:t xml:space="preserve">after </w:t>
      </w:r>
      <w:r w:rsidR="005F5F82" w:rsidRPr="0092670C">
        <w:rPr>
          <w:rFonts w:ascii="Arial" w:hAnsi="Arial" w:cs="Arial"/>
        </w:rPr>
        <w:t>70 cycles suggests that the exchange process is</w:t>
      </w:r>
      <w:r w:rsidR="003D73DD" w:rsidRPr="0092670C">
        <w:rPr>
          <w:rFonts w:ascii="Arial" w:hAnsi="Arial" w:cs="Arial"/>
        </w:rPr>
        <w:t xml:space="preserve"> </w:t>
      </w:r>
      <w:r w:rsidR="001350B9" w:rsidRPr="0092670C">
        <w:rPr>
          <w:rFonts w:ascii="Arial" w:hAnsi="Arial" w:cs="Arial"/>
        </w:rPr>
        <w:t>extremely slow.</w:t>
      </w:r>
    </w:p>
    <w:p w14:paraId="770EFF2E" w14:textId="3070D727" w:rsidR="00F25714" w:rsidRPr="0092670C" w:rsidRDefault="001B1095" w:rsidP="00092206">
      <w:pPr>
        <w:spacing w:line="360" w:lineRule="auto"/>
        <w:jc w:val="both"/>
        <w:rPr>
          <w:rFonts w:ascii="Arial" w:hAnsi="Arial" w:cs="Arial"/>
        </w:rPr>
      </w:pPr>
      <w:r w:rsidRPr="0092670C">
        <w:rPr>
          <w:rFonts w:ascii="Arial" w:hAnsi="Arial" w:cs="Arial"/>
        </w:rPr>
        <w:t>For the cel</w:t>
      </w:r>
      <w:r w:rsidR="00F905B7" w:rsidRPr="0092670C">
        <w:rPr>
          <w:rFonts w:ascii="Arial" w:hAnsi="Arial" w:cs="Arial"/>
        </w:rPr>
        <w:t xml:space="preserve">ls </w:t>
      </w:r>
      <w:r w:rsidR="00EB6557" w:rsidRPr="0092670C">
        <w:rPr>
          <w:rFonts w:ascii="Arial" w:hAnsi="Arial" w:cs="Arial"/>
        </w:rPr>
        <w:t xml:space="preserve">that contain LP30 </w:t>
      </w:r>
      <w:r w:rsidR="00323752" w:rsidRPr="0092670C">
        <w:rPr>
          <w:rFonts w:ascii="Arial" w:hAnsi="Arial" w:cs="Arial"/>
        </w:rPr>
        <w:t xml:space="preserve">in </w:t>
      </w:r>
      <w:r w:rsidR="00323752" w:rsidRPr="0092670C">
        <w:rPr>
          <w:rFonts w:ascii="Arial" w:hAnsi="Arial" w:cs="Arial"/>
        </w:rPr>
        <w:fldChar w:fldCharType="begin"/>
      </w:r>
      <w:r w:rsidR="00323752" w:rsidRPr="0092670C">
        <w:rPr>
          <w:rFonts w:ascii="Arial" w:hAnsi="Arial" w:cs="Arial"/>
        </w:rPr>
        <w:instrText xml:space="preserve"> REF _Ref31229255 \h  \* MERGEFORMAT </w:instrText>
      </w:r>
      <w:r w:rsidR="00323752" w:rsidRPr="0092670C">
        <w:rPr>
          <w:rFonts w:ascii="Arial" w:hAnsi="Arial" w:cs="Arial"/>
        </w:rPr>
      </w:r>
      <w:r w:rsidR="00323752"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2</w:t>
      </w:r>
      <w:r w:rsidR="00323752" w:rsidRPr="0092670C">
        <w:rPr>
          <w:rFonts w:ascii="Arial" w:hAnsi="Arial" w:cs="Arial"/>
        </w:rPr>
        <w:fldChar w:fldCharType="end"/>
      </w:r>
      <w:r w:rsidR="00323752" w:rsidRPr="0092670C">
        <w:rPr>
          <w:rFonts w:ascii="Arial" w:hAnsi="Arial" w:cs="Arial"/>
        </w:rPr>
        <w:t xml:space="preserve"> </w:t>
      </w:r>
      <w:r w:rsidR="00550D66" w:rsidRPr="0092670C">
        <w:rPr>
          <w:rFonts w:ascii="Arial" w:hAnsi="Arial" w:cs="Arial"/>
        </w:rPr>
        <w:t>the</w:t>
      </w:r>
      <w:r w:rsidR="00A96947" w:rsidRPr="0092670C">
        <w:rPr>
          <w:rFonts w:ascii="Arial" w:hAnsi="Arial" w:cs="Arial"/>
        </w:rPr>
        <w:t xml:space="preserve">re are several differences </w:t>
      </w:r>
      <w:r w:rsidR="00EB6557" w:rsidRPr="0092670C">
        <w:rPr>
          <w:rFonts w:ascii="Arial" w:hAnsi="Arial" w:cs="Arial"/>
        </w:rPr>
        <w:t xml:space="preserve">in both their capacities and retention. </w:t>
      </w:r>
      <w:r w:rsidR="004F2508" w:rsidRPr="0092670C">
        <w:rPr>
          <w:rFonts w:ascii="Arial" w:hAnsi="Arial" w:cs="Arial"/>
        </w:rPr>
        <w:t xml:space="preserve">All of the </w:t>
      </w:r>
      <w:r w:rsidR="00984E59">
        <w:rPr>
          <w:rFonts w:ascii="Arial" w:hAnsi="Arial" w:cs="Arial"/>
        </w:rPr>
        <w:t>p</w:t>
      </w:r>
      <w:r w:rsidR="00FF2600" w:rsidRPr="0092670C">
        <w:rPr>
          <w:rFonts w:ascii="Arial" w:hAnsi="Arial" w:cs="Arial"/>
        </w:rPr>
        <w:t xml:space="preserve">re-lithiated </w:t>
      </w:r>
      <w:r w:rsidR="004F2508" w:rsidRPr="0092670C">
        <w:rPr>
          <w:rFonts w:ascii="Arial" w:hAnsi="Arial" w:cs="Arial"/>
        </w:rPr>
        <w:t xml:space="preserve">cells </w:t>
      </w:r>
      <w:r w:rsidR="006F7973" w:rsidRPr="0092670C">
        <w:rPr>
          <w:rFonts w:ascii="Arial" w:hAnsi="Arial" w:cs="Arial"/>
        </w:rPr>
        <w:t xml:space="preserve">in this section </w:t>
      </w:r>
      <w:r w:rsidR="004F2508" w:rsidRPr="0092670C">
        <w:rPr>
          <w:rFonts w:ascii="Arial" w:hAnsi="Arial" w:cs="Arial"/>
        </w:rPr>
        <w:t>have</w:t>
      </w:r>
      <w:r w:rsidR="006F7973" w:rsidRPr="0092670C">
        <w:rPr>
          <w:rFonts w:ascii="Arial" w:hAnsi="Arial" w:cs="Arial"/>
        </w:rPr>
        <w:t xml:space="preserve"> similar </w:t>
      </w:r>
      <w:r w:rsidR="00550FE1" w:rsidRPr="0092670C">
        <w:rPr>
          <w:rFonts w:ascii="Arial" w:hAnsi="Arial" w:cs="Arial"/>
        </w:rPr>
        <w:t>initial</w:t>
      </w:r>
      <w:r w:rsidR="006F7973" w:rsidRPr="0092670C">
        <w:rPr>
          <w:rFonts w:ascii="Arial" w:hAnsi="Arial" w:cs="Arial"/>
        </w:rPr>
        <w:t xml:space="preserve"> </w:t>
      </w:r>
      <w:r w:rsidR="00FE0BCB" w:rsidRPr="0092670C">
        <w:rPr>
          <w:rFonts w:ascii="Arial" w:hAnsi="Arial" w:cs="Arial"/>
        </w:rPr>
        <w:t>capacities.</w:t>
      </w:r>
      <w:r w:rsidR="006F7973" w:rsidRPr="0092670C">
        <w:rPr>
          <w:rFonts w:ascii="Arial" w:hAnsi="Arial" w:cs="Arial"/>
        </w:rPr>
        <w:t xml:space="preserve"> </w:t>
      </w:r>
      <w:r w:rsidR="00BB4AD7" w:rsidRPr="0092670C">
        <w:rPr>
          <w:rFonts w:ascii="Arial" w:hAnsi="Arial" w:cs="Arial"/>
        </w:rPr>
        <w:t>The c</w:t>
      </w:r>
      <w:r w:rsidR="00984E59">
        <w:rPr>
          <w:rFonts w:ascii="Arial" w:hAnsi="Arial" w:cs="Arial"/>
        </w:rPr>
        <w:t>apacity</w:t>
      </w:r>
      <w:r w:rsidR="00BB4AD7" w:rsidRPr="0092670C">
        <w:rPr>
          <w:rFonts w:ascii="Arial" w:hAnsi="Arial" w:cs="Arial"/>
        </w:rPr>
        <w:t xml:space="preserve"> retention </w:t>
      </w:r>
      <w:r w:rsidR="00401EE9" w:rsidRPr="0092670C">
        <w:rPr>
          <w:rFonts w:ascii="Arial" w:hAnsi="Arial" w:cs="Arial"/>
        </w:rPr>
        <w:t xml:space="preserve">is what sets these cells apart from one another. </w:t>
      </w:r>
      <w:r w:rsidR="00FA3296" w:rsidRPr="0092670C">
        <w:rPr>
          <w:rFonts w:ascii="Arial" w:hAnsi="Arial" w:cs="Arial"/>
        </w:rPr>
        <w:t xml:space="preserve">Both </w:t>
      </w:r>
      <w:r w:rsidR="00997185" w:rsidRPr="0092670C">
        <w:rPr>
          <w:rFonts w:ascii="Arial" w:hAnsi="Arial" w:cs="Arial"/>
        </w:rPr>
        <w:t>pre-lithiated cells that</w:t>
      </w:r>
      <w:r w:rsidR="008C41A0" w:rsidRPr="0092670C">
        <w:rPr>
          <w:rFonts w:ascii="Arial" w:hAnsi="Arial" w:cs="Arial"/>
        </w:rPr>
        <w:t xml:space="preserve"> use LP30 as the electrolyte </w:t>
      </w:r>
      <w:r w:rsidR="00151A92" w:rsidRPr="0092670C">
        <w:rPr>
          <w:rFonts w:ascii="Arial" w:hAnsi="Arial" w:cs="Arial"/>
        </w:rPr>
        <w:t xml:space="preserve">suffered from a poor capacity retention. </w:t>
      </w:r>
      <w:r w:rsidR="0024196F" w:rsidRPr="0092670C">
        <w:rPr>
          <w:rFonts w:ascii="Arial" w:hAnsi="Arial" w:cs="Arial"/>
        </w:rPr>
        <w:t>The</w:t>
      </w:r>
      <w:r w:rsidR="000F1EDD" w:rsidRPr="0092670C">
        <w:rPr>
          <w:rFonts w:ascii="Arial" w:hAnsi="Arial" w:cs="Arial"/>
        </w:rPr>
        <w:t xml:space="preserve"> cell pre-lithiated in FEC does take </w:t>
      </w:r>
      <w:r w:rsidR="00B44574" w:rsidRPr="0092670C">
        <w:rPr>
          <w:rFonts w:ascii="Arial" w:hAnsi="Arial" w:cs="Arial"/>
        </w:rPr>
        <w:t>longer before significant capacity loss occurs</w:t>
      </w:r>
      <w:r w:rsidR="00001F30" w:rsidRPr="0092670C">
        <w:rPr>
          <w:rFonts w:ascii="Arial" w:hAnsi="Arial" w:cs="Arial"/>
        </w:rPr>
        <w:t xml:space="preserve">. This longevity </w:t>
      </w:r>
      <w:r w:rsidR="00111B78" w:rsidRPr="0092670C">
        <w:rPr>
          <w:rFonts w:ascii="Arial" w:hAnsi="Arial" w:cs="Arial"/>
        </w:rPr>
        <w:t>suggests</w:t>
      </w:r>
      <w:r w:rsidR="00001F30" w:rsidRPr="0092670C">
        <w:rPr>
          <w:rFonts w:ascii="Arial" w:hAnsi="Arial" w:cs="Arial"/>
        </w:rPr>
        <w:t xml:space="preserve"> that </w:t>
      </w:r>
      <w:r w:rsidR="00987BA8" w:rsidRPr="0092670C">
        <w:rPr>
          <w:rFonts w:ascii="Arial" w:hAnsi="Arial" w:cs="Arial"/>
        </w:rPr>
        <w:t xml:space="preserve">a significant portion </w:t>
      </w:r>
      <w:r w:rsidR="00111B78" w:rsidRPr="0092670C">
        <w:rPr>
          <w:rFonts w:ascii="Arial" w:hAnsi="Arial" w:cs="Arial"/>
        </w:rPr>
        <w:t>of FEC</w:t>
      </w:r>
      <w:r w:rsidR="00987BA8" w:rsidRPr="0092670C">
        <w:rPr>
          <w:rFonts w:ascii="Arial" w:hAnsi="Arial" w:cs="Arial"/>
        </w:rPr>
        <w:t xml:space="preserve"> based SEI </w:t>
      </w:r>
      <w:r w:rsidR="003B77BA" w:rsidRPr="0092670C">
        <w:rPr>
          <w:rFonts w:ascii="Arial" w:hAnsi="Arial" w:cs="Arial"/>
        </w:rPr>
        <w:t xml:space="preserve">remains on the anode late into cycling </w:t>
      </w:r>
      <w:r w:rsidR="0051481C" w:rsidRPr="0092670C">
        <w:rPr>
          <w:rFonts w:ascii="Arial" w:hAnsi="Arial" w:cs="Arial"/>
        </w:rPr>
        <w:t xml:space="preserve">which demonstrates its importance as an </w:t>
      </w:r>
      <w:r w:rsidR="008D19B3" w:rsidRPr="0092670C">
        <w:rPr>
          <w:rFonts w:ascii="Arial" w:hAnsi="Arial" w:cs="Arial"/>
        </w:rPr>
        <w:t>electrolyte</w:t>
      </w:r>
      <w:r w:rsidR="0051481C" w:rsidRPr="0092670C">
        <w:rPr>
          <w:rFonts w:ascii="Arial" w:hAnsi="Arial" w:cs="Arial"/>
        </w:rPr>
        <w:t xml:space="preserve"> addi</w:t>
      </w:r>
      <w:r w:rsidR="008D19B3" w:rsidRPr="0092670C">
        <w:rPr>
          <w:rFonts w:ascii="Arial" w:hAnsi="Arial" w:cs="Arial"/>
        </w:rPr>
        <w:t xml:space="preserve">tive. </w:t>
      </w:r>
      <w:r w:rsidR="00A80118" w:rsidRPr="0092670C">
        <w:rPr>
          <w:rFonts w:ascii="Arial" w:hAnsi="Arial" w:cs="Arial"/>
        </w:rPr>
        <w:t xml:space="preserve">The </w:t>
      </w:r>
      <w:r w:rsidR="00111B78" w:rsidRPr="0092670C">
        <w:rPr>
          <w:rFonts w:ascii="Arial" w:hAnsi="Arial" w:cs="Arial"/>
        </w:rPr>
        <w:t>LP30 FEC</w:t>
      </w:r>
      <w:r w:rsidR="004F2508" w:rsidRPr="0092670C">
        <w:rPr>
          <w:rFonts w:ascii="Arial" w:hAnsi="Arial" w:cs="Arial"/>
        </w:rPr>
        <w:t xml:space="preserve"> </w:t>
      </w:r>
      <w:r w:rsidR="005D43D4" w:rsidRPr="0092670C">
        <w:rPr>
          <w:rFonts w:ascii="Arial" w:hAnsi="Arial" w:cs="Arial"/>
        </w:rPr>
        <w:t xml:space="preserve">cell </w:t>
      </w:r>
      <w:r w:rsidR="00464066" w:rsidRPr="0092670C">
        <w:rPr>
          <w:rFonts w:ascii="Arial" w:hAnsi="Arial" w:cs="Arial"/>
        </w:rPr>
        <w:t>d</w:t>
      </w:r>
      <w:r w:rsidR="00534CFA" w:rsidRPr="0092670C">
        <w:rPr>
          <w:rFonts w:ascii="Arial" w:hAnsi="Arial" w:cs="Arial"/>
        </w:rPr>
        <w:t>idn’t suffer from any capacity fade</w:t>
      </w:r>
      <w:r w:rsidR="00453F69" w:rsidRPr="0092670C">
        <w:rPr>
          <w:rFonts w:ascii="Arial" w:hAnsi="Arial" w:cs="Arial"/>
        </w:rPr>
        <w:t xml:space="preserve"> </w:t>
      </w:r>
      <w:r w:rsidR="00AB01EB" w:rsidRPr="0092670C">
        <w:rPr>
          <w:rFonts w:ascii="Arial" w:hAnsi="Arial" w:cs="Arial"/>
        </w:rPr>
        <w:t xml:space="preserve">in comparison. This lack of a capacity fade suggests that the FEC was </w:t>
      </w:r>
      <w:r w:rsidR="00D929CF" w:rsidRPr="0092670C">
        <w:rPr>
          <w:rFonts w:ascii="Arial" w:hAnsi="Arial" w:cs="Arial"/>
        </w:rPr>
        <w:t xml:space="preserve">repairing any deficiencies in the LP30 based SEI allowing </w:t>
      </w:r>
      <w:r w:rsidR="001F34DF" w:rsidRPr="0092670C">
        <w:rPr>
          <w:rFonts w:ascii="Arial" w:hAnsi="Arial" w:cs="Arial"/>
        </w:rPr>
        <w:t xml:space="preserve">the Li to be used for </w:t>
      </w:r>
      <w:r w:rsidR="00E87B29" w:rsidRPr="0092670C">
        <w:rPr>
          <w:rFonts w:ascii="Arial" w:hAnsi="Arial" w:cs="Arial"/>
        </w:rPr>
        <w:t xml:space="preserve">intercalation. </w:t>
      </w:r>
    </w:p>
    <w:p w14:paraId="53685A2A" w14:textId="71BE70E4" w:rsidR="007839D7" w:rsidRPr="0092670C" w:rsidRDefault="0067644A" w:rsidP="007839D7">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0266505E">
          <v:shape id="_x0000_i1127" type="#_x0000_t75" style="width:353.9pt;height:282.2pt" o:ole="">
            <v:imagedata r:id="rId261" o:title=""/>
          </v:shape>
          <o:OLEObject Type="Embed" ProgID="Origin95.Graph" ShapeID="_x0000_i1127" DrawAspect="Content" ObjectID="_1700734016" r:id="rId262"/>
        </w:object>
      </w:r>
    </w:p>
    <w:p w14:paraId="7EFB9A3C" w14:textId="13E05A3E" w:rsidR="00E82CB8" w:rsidRPr="0092670C" w:rsidRDefault="007839D7" w:rsidP="007839D7">
      <w:pPr>
        <w:pStyle w:val="Caption"/>
        <w:jc w:val="center"/>
        <w:rPr>
          <w:rFonts w:ascii="Arial" w:hAnsi="Arial" w:cs="Arial"/>
          <w:sz w:val="20"/>
          <w:szCs w:val="20"/>
        </w:rPr>
      </w:pPr>
      <w:bookmarkStart w:id="278" w:name="_Ref31229255"/>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2</w:t>
      </w:r>
      <w:r w:rsidR="00356A26">
        <w:rPr>
          <w:rFonts w:ascii="Arial" w:hAnsi="Arial" w:cs="Arial"/>
          <w:sz w:val="20"/>
          <w:szCs w:val="20"/>
        </w:rPr>
        <w:fldChar w:fldCharType="end"/>
      </w:r>
      <w:bookmarkEnd w:id="278"/>
      <w:r w:rsidRPr="0092670C">
        <w:rPr>
          <w:rFonts w:ascii="Arial" w:hAnsi="Arial" w:cs="Arial"/>
          <w:sz w:val="20"/>
          <w:szCs w:val="20"/>
        </w:rPr>
        <w:t xml:space="preserve">: </w:t>
      </w:r>
      <w:r w:rsidR="00504EAC" w:rsidRPr="0092670C">
        <w:rPr>
          <w:rFonts w:ascii="Arial" w:hAnsi="Arial" w:cs="Arial"/>
          <w:sz w:val="20"/>
          <w:szCs w:val="20"/>
        </w:rPr>
        <w:t>C</w:t>
      </w:r>
      <w:r w:rsidRPr="0092670C">
        <w:rPr>
          <w:rFonts w:ascii="Arial" w:hAnsi="Arial" w:cs="Arial"/>
          <w:sz w:val="20"/>
          <w:szCs w:val="20"/>
        </w:rPr>
        <w:t xml:space="preserve">harge capacity of </w:t>
      </w:r>
      <w:r w:rsidR="00637902" w:rsidRPr="0092670C">
        <w:rPr>
          <w:rFonts w:ascii="Arial" w:hAnsi="Arial" w:cs="Arial"/>
          <w:sz w:val="20"/>
          <w:szCs w:val="20"/>
        </w:rPr>
        <w:t xml:space="preserve">LP30 </w:t>
      </w:r>
      <w:r w:rsidRPr="0092670C">
        <w:rPr>
          <w:rFonts w:ascii="Arial" w:hAnsi="Arial" w:cs="Arial"/>
          <w:sz w:val="20"/>
          <w:szCs w:val="20"/>
        </w:rPr>
        <w:t>containing cells with increasing cycle number</w:t>
      </w:r>
      <w:r w:rsidR="00504EAC" w:rsidRPr="0092670C">
        <w:rPr>
          <w:rFonts w:ascii="Arial" w:hAnsi="Arial" w:cs="Arial"/>
          <w:sz w:val="20"/>
          <w:szCs w:val="20"/>
        </w:rPr>
        <w:t>.</w:t>
      </w:r>
    </w:p>
    <w:p w14:paraId="17F5C662" w14:textId="5F3800C7" w:rsidR="00CE35EB" w:rsidRPr="0092670C" w:rsidRDefault="00CE35EB" w:rsidP="00092206">
      <w:pPr>
        <w:spacing w:line="360" w:lineRule="auto"/>
        <w:jc w:val="both"/>
        <w:rPr>
          <w:rFonts w:ascii="Arial" w:hAnsi="Arial" w:cs="Arial"/>
        </w:rPr>
      </w:pPr>
      <w:r w:rsidRPr="0092670C">
        <w:rPr>
          <w:rFonts w:ascii="Arial" w:hAnsi="Arial" w:cs="Arial"/>
        </w:rPr>
        <w:t xml:space="preserve">The </w:t>
      </w:r>
      <w:r w:rsidR="00A27494" w:rsidRPr="0092670C">
        <w:rPr>
          <w:rFonts w:ascii="Arial" w:hAnsi="Arial" w:cs="Arial"/>
        </w:rPr>
        <w:t xml:space="preserve">initial coulombic </w:t>
      </w:r>
      <w:r w:rsidR="001F1416" w:rsidRPr="0092670C">
        <w:rPr>
          <w:rFonts w:ascii="Arial" w:hAnsi="Arial" w:cs="Arial"/>
        </w:rPr>
        <w:t xml:space="preserve">of the cell </w:t>
      </w:r>
      <w:r w:rsidR="008651F7" w:rsidRPr="0092670C">
        <w:rPr>
          <w:rFonts w:ascii="Arial" w:hAnsi="Arial" w:cs="Arial"/>
        </w:rPr>
        <w:t>varies widely</w:t>
      </w:r>
      <w:r w:rsidR="00BF179B" w:rsidRPr="0092670C">
        <w:rPr>
          <w:rFonts w:ascii="Arial" w:hAnsi="Arial" w:cs="Arial"/>
        </w:rPr>
        <w:t xml:space="preserve"> and have once again been separated into </w:t>
      </w:r>
      <w:r w:rsidR="00BF5B8F" w:rsidRPr="0092670C">
        <w:rPr>
          <w:rFonts w:ascii="Arial" w:hAnsi="Arial" w:cs="Arial"/>
        </w:rPr>
        <w:t>FEC containing cells (</w:t>
      </w:r>
      <w:r w:rsidR="00BF5B8F" w:rsidRPr="0092670C">
        <w:rPr>
          <w:rFonts w:ascii="Arial" w:hAnsi="Arial" w:cs="Arial"/>
        </w:rPr>
        <w:fldChar w:fldCharType="begin"/>
      </w:r>
      <w:r w:rsidR="00BF5B8F" w:rsidRPr="0092670C">
        <w:rPr>
          <w:rFonts w:ascii="Arial" w:hAnsi="Arial" w:cs="Arial"/>
        </w:rPr>
        <w:instrText xml:space="preserve"> REF _Ref31229348 \h </w:instrText>
      </w:r>
      <w:r w:rsidR="00BF0215" w:rsidRPr="0092670C">
        <w:rPr>
          <w:rFonts w:ascii="Arial" w:hAnsi="Arial" w:cs="Arial"/>
        </w:rPr>
        <w:instrText xml:space="preserve"> \* MERGEFORMAT </w:instrText>
      </w:r>
      <w:r w:rsidR="00BF5B8F" w:rsidRPr="0092670C">
        <w:rPr>
          <w:rFonts w:ascii="Arial" w:hAnsi="Arial" w:cs="Arial"/>
        </w:rPr>
      </w:r>
      <w:r w:rsidR="00BF5B8F"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3</w:t>
      </w:r>
      <w:r w:rsidR="00BF5B8F" w:rsidRPr="0092670C">
        <w:rPr>
          <w:rFonts w:ascii="Arial" w:hAnsi="Arial" w:cs="Arial"/>
        </w:rPr>
        <w:fldChar w:fldCharType="end"/>
      </w:r>
      <w:r w:rsidR="00BF5B8F" w:rsidRPr="0092670C">
        <w:rPr>
          <w:rFonts w:ascii="Arial" w:hAnsi="Arial" w:cs="Arial"/>
        </w:rPr>
        <w:t xml:space="preserve">) and </w:t>
      </w:r>
      <w:r w:rsidR="00827CA5" w:rsidRPr="0092670C">
        <w:rPr>
          <w:rFonts w:ascii="Arial" w:hAnsi="Arial" w:cs="Arial"/>
        </w:rPr>
        <w:t>LP30 containing cells (</w:t>
      </w:r>
      <w:r w:rsidR="00347175" w:rsidRPr="0092670C">
        <w:rPr>
          <w:rFonts w:ascii="Arial" w:hAnsi="Arial" w:cs="Arial"/>
        </w:rPr>
        <w:fldChar w:fldCharType="begin"/>
      </w:r>
      <w:r w:rsidR="00347175" w:rsidRPr="0092670C">
        <w:rPr>
          <w:rFonts w:ascii="Arial" w:hAnsi="Arial" w:cs="Arial"/>
        </w:rPr>
        <w:instrText xml:space="preserve"> REF _Ref31229664 \h </w:instrText>
      </w:r>
      <w:r w:rsidR="00F250DA" w:rsidRPr="0092670C">
        <w:rPr>
          <w:rFonts w:ascii="Arial" w:hAnsi="Arial" w:cs="Arial"/>
        </w:rPr>
        <w:instrText xml:space="preserve"> \* MERGEFORMAT </w:instrText>
      </w:r>
      <w:r w:rsidR="00347175" w:rsidRPr="0092670C">
        <w:rPr>
          <w:rFonts w:ascii="Arial" w:hAnsi="Arial" w:cs="Arial"/>
        </w:rPr>
      </w:r>
      <w:r w:rsidR="00347175"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4</w:t>
      </w:r>
      <w:r w:rsidR="00347175" w:rsidRPr="0092670C">
        <w:rPr>
          <w:rFonts w:ascii="Arial" w:hAnsi="Arial" w:cs="Arial"/>
        </w:rPr>
        <w:fldChar w:fldCharType="end"/>
      </w:r>
      <w:r w:rsidR="00347175" w:rsidRPr="0092670C">
        <w:rPr>
          <w:rFonts w:ascii="Arial" w:hAnsi="Arial" w:cs="Arial"/>
        </w:rPr>
        <w:t xml:space="preserve">) </w:t>
      </w:r>
      <w:r w:rsidR="00890CA1" w:rsidRPr="0092670C">
        <w:rPr>
          <w:rFonts w:ascii="Arial" w:hAnsi="Arial" w:cs="Arial"/>
        </w:rPr>
        <w:t xml:space="preserve">to </w:t>
      </w:r>
      <w:r w:rsidR="00754685" w:rsidRPr="0092670C">
        <w:rPr>
          <w:rFonts w:ascii="Arial" w:hAnsi="Arial" w:cs="Arial"/>
        </w:rPr>
        <w:t xml:space="preserve">facilitate discussion </w:t>
      </w:r>
      <w:r w:rsidR="00465D29" w:rsidRPr="0092670C">
        <w:rPr>
          <w:rFonts w:ascii="Arial" w:hAnsi="Arial" w:cs="Arial"/>
        </w:rPr>
        <w:t>about the trends seen in this dat</w:t>
      </w:r>
      <w:r w:rsidR="00F250DA" w:rsidRPr="0092670C">
        <w:rPr>
          <w:rFonts w:ascii="Arial" w:hAnsi="Arial" w:cs="Arial"/>
        </w:rPr>
        <w:t>a</w:t>
      </w:r>
      <w:r w:rsidR="00C41D9D" w:rsidRPr="0092670C">
        <w:rPr>
          <w:rFonts w:ascii="Arial" w:hAnsi="Arial" w:cs="Arial"/>
        </w:rPr>
        <w:t xml:space="preserve">. </w:t>
      </w:r>
      <w:r w:rsidR="008F7E0A" w:rsidRPr="0092670C">
        <w:rPr>
          <w:rFonts w:ascii="Arial" w:hAnsi="Arial" w:cs="Arial"/>
        </w:rPr>
        <w:t>Both dynamic cells have a much lower coulombic efficiency</w:t>
      </w:r>
      <w:r w:rsidR="001A1E53" w:rsidRPr="0092670C">
        <w:rPr>
          <w:rFonts w:ascii="Arial" w:hAnsi="Arial" w:cs="Arial"/>
        </w:rPr>
        <w:t xml:space="preserve"> despite being pre-lithiated</w:t>
      </w:r>
      <w:r w:rsidR="00B02F4C" w:rsidRPr="0092670C">
        <w:rPr>
          <w:rFonts w:ascii="Arial" w:hAnsi="Arial" w:cs="Arial"/>
        </w:rPr>
        <w:t xml:space="preserve">. </w:t>
      </w:r>
      <w:r w:rsidR="00030837" w:rsidRPr="0092670C">
        <w:rPr>
          <w:rFonts w:ascii="Arial" w:hAnsi="Arial" w:cs="Arial"/>
        </w:rPr>
        <w:t xml:space="preserve">This </w:t>
      </w:r>
      <w:r w:rsidR="00A30B01" w:rsidRPr="0092670C">
        <w:rPr>
          <w:rFonts w:ascii="Arial" w:hAnsi="Arial" w:cs="Arial"/>
        </w:rPr>
        <w:t xml:space="preserve">is most likely due </w:t>
      </w:r>
      <w:r w:rsidR="00D908AC" w:rsidRPr="0092670C">
        <w:rPr>
          <w:rFonts w:ascii="Arial" w:hAnsi="Arial" w:cs="Arial"/>
        </w:rPr>
        <w:t>to the exch</w:t>
      </w:r>
      <w:r w:rsidR="003B3743" w:rsidRPr="0092670C">
        <w:rPr>
          <w:rFonts w:ascii="Arial" w:hAnsi="Arial" w:cs="Arial"/>
        </w:rPr>
        <w:t xml:space="preserve">ange process using current </w:t>
      </w:r>
      <w:r w:rsidR="004A5452" w:rsidRPr="0092670C">
        <w:rPr>
          <w:rFonts w:ascii="Arial" w:hAnsi="Arial" w:cs="Arial"/>
        </w:rPr>
        <w:t xml:space="preserve">to form the new SEI products. </w:t>
      </w:r>
      <w:r w:rsidR="001E2C61" w:rsidRPr="0092670C">
        <w:rPr>
          <w:rFonts w:ascii="Arial" w:hAnsi="Arial" w:cs="Arial"/>
        </w:rPr>
        <w:t xml:space="preserve">The cell Pre-lithiated in FEC has a higher initial coulombic efficiency </w:t>
      </w:r>
      <w:r w:rsidR="00F22C5B" w:rsidRPr="0092670C">
        <w:rPr>
          <w:rFonts w:ascii="Arial" w:hAnsi="Arial" w:cs="Arial"/>
        </w:rPr>
        <w:t xml:space="preserve">than the cell </w:t>
      </w:r>
      <w:r w:rsidR="004D033C" w:rsidRPr="0092670C">
        <w:rPr>
          <w:rFonts w:ascii="Arial" w:hAnsi="Arial" w:cs="Arial"/>
        </w:rPr>
        <w:t xml:space="preserve">pre-lithiated in LP30. This </w:t>
      </w:r>
      <w:r w:rsidR="00EB3FD5" w:rsidRPr="0092670C">
        <w:rPr>
          <w:rFonts w:ascii="Arial" w:hAnsi="Arial" w:cs="Arial"/>
        </w:rPr>
        <w:t xml:space="preserve">shows the higher stability of FEC based SEIs. </w:t>
      </w:r>
      <w:r w:rsidR="00B42529" w:rsidRPr="0092670C">
        <w:rPr>
          <w:rFonts w:ascii="Arial" w:hAnsi="Arial" w:cs="Arial"/>
        </w:rPr>
        <w:t>Still this</w:t>
      </w:r>
      <w:r w:rsidR="00012BD3" w:rsidRPr="0092670C">
        <w:rPr>
          <w:rFonts w:ascii="Arial" w:hAnsi="Arial" w:cs="Arial"/>
        </w:rPr>
        <w:t xml:space="preserve"> </w:t>
      </w:r>
      <w:r w:rsidR="00B643B2" w:rsidRPr="0092670C">
        <w:rPr>
          <w:rFonts w:ascii="Arial" w:hAnsi="Arial" w:cs="Arial"/>
        </w:rPr>
        <w:t>low</w:t>
      </w:r>
      <w:r w:rsidR="00B42529" w:rsidRPr="0092670C">
        <w:rPr>
          <w:rFonts w:ascii="Arial" w:hAnsi="Arial" w:cs="Arial"/>
        </w:rPr>
        <w:t xml:space="preserve"> </w:t>
      </w:r>
      <w:r w:rsidR="00885A0B" w:rsidRPr="0092670C">
        <w:rPr>
          <w:rFonts w:ascii="Arial" w:hAnsi="Arial" w:cs="Arial"/>
        </w:rPr>
        <w:t>a coulombic</w:t>
      </w:r>
      <w:r w:rsidR="009F6FC3" w:rsidRPr="0092670C">
        <w:rPr>
          <w:rFonts w:ascii="Arial" w:hAnsi="Arial" w:cs="Arial"/>
        </w:rPr>
        <w:t xml:space="preserve"> </w:t>
      </w:r>
      <w:r w:rsidR="00B42529" w:rsidRPr="0092670C">
        <w:rPr>
          <w:rFonts w:ascii="Arial" w:hAnsi="Arial" w:cs="Arial"/>
        </w:rPr>
        <w:t xml:space="preserve">efficiency </w:t>
      </w:r>
      <w:r w:rsidR="009F6FC3" w:rsidRPr="0092670C">
        <w:rPr>
          <w:rFonts w:ascii="Arial" w:hAnsi="Arial" w:cs="Arial"/>
        </w:rPr>
        <w:t xml:space="preserve">would be </w:t>
      </w:r>
      <w:r w:rsidR="00B42529" w:rsidRPr="0092670C">
        <w:rPr>
          <w:rFonts w:ascii="Arial" w:hAnsi="Arial" w:cs="Arial"/>
        </w:rPr>
        <w:t xml:space="preserve">unsuitable for commercial applications. </w:t>
      </w:r>
      <w:r w:rsidR="009538DA" w:rsidRPr="0092670C">
        <w:rPr>
          <w:rFonts w:ascii="Arial" w:hAnsi="Arial" w:cs="Arial"/>
        </w:rPr>
        <w:t xml:space="preserve">The fact that the coulombic efficiencies are lower from the initial cycle and lag behind the static cells suggests that </w:t>
      </w:r>
      <w:r w:rsidR="003C5CC7" w:rsidRPr="0092670C">
        <w:rPr>
          <w:rFonts w:ascii="Arial" w:hAnsi="Arial" w:cs="Arial"/>
        </w:rPr>
        <w:t xml:space="preserve">the exchange process is </w:t>
      </w:r>
      <w:r w:rsidR="0074596D" w:rsidRPr="0092670C">
        <w:rPr>
          <w:rFonts w:ascii="Arial" w:hAnsi="Arial" w:cs="Arial"/>
        </w:rPr>
        <w:t>a small constant change</w:t>
      </w:r>
      <w:r w:rsidR="002F7156" w:rsidRPr="0092670C">
        <w:rPr>
          <w:rFonts w:ascii="Arial" w:hAnsi="Arial" w:cs="Arial"/>
        </w:rPr>
        <w:t xml:space="preserve"> taking place every cycle. </w:t>
      </w:r>
      <w:r w:rsidR="00012BD3" w:rsidRPr="0092670C">
        <w:rPr>
          <w:rFonts w:ascii="Arial" w:hAnsi="Arial" w:cs="Arial"/>
        </w:rPr>
        <w:t xml:space="preserve"> </w:t>
      </w:r>
    </w:p>
    <w:p w14:paraId="0DF9BEB0" w14:textId="7199AC4E" w:rsidR="00526EA1" w:rsidRPr="0092670C" w:rsidRDefault="0007265E" w:rsidP="00092206">
      <w:pPr>
        <w:spacing w:line="360" w:lineRule="auto"/>
        <w:jc w:val="both"/>
        <w:rPr>
          <w:rFonts w:ascii="Arial" w:hAnsi="Arial" w:cs="Arial"/>
        </w:rPr>
      </w:pPr>
      <w:r w:rsidRPr="0092670C">
        <w:rPr>
          <w:rFonts w:ascii="Arial" w:hAnsi="Arial" w:cs="Arial"/>
        </w:rPr>
        <w:t xml:space="preserve">The static cells once again show the benefits of pre-lithiation </w:t>
      </w:r>
      <w:r w:rsidR="00A2643D" w:rsidRPr="0092670C">
        <w:rPr>
          <w:rFonts w:ascii="Arial" w:hAnsi="Arial" w:cs="Arial"/>
        </w:rPr>
        <w:t>with the pre-lithiated</w:t>
      </w:r>
      <w:r w:rsidR="00253075" w:rsidRPr="0092670C">
        <w:rPr>
          <w:rFonts w:ascii="Arial" w:hAnsi="Arial" w:cs="Arial"/>
        </w:rPr>
        <w:t xml:space="preserve"> cell showing </w:t>
      </w:r>
      <w:r w:rsidR="001559C6" w:rsidRPr="0092670C">
        <w:rPr>
          <w:rFonts w:ascii="Arial" w:hAnsi="Arial" w:cs="Arial"/>
        </w:rPr>
        <w:t xml:space="preserve">a higher initial coulombic efficiency. This is due to the </w:t>
      </w:r>
      <w:r w:rsidR="00E83D05" w:rsidRPr="0092670C">
        <w:rPr>
          <w:rFonts w:ascii="Arial" w:hAnsi="Arial" w:cs="Arial"/>
        </w:rPr>
        <w:t>lower number of SEI formation reactions</w:t>
      </w:r>
      <w:r w:rsidR="00D9453C" w:rsidRPr="0092670C">
        <w:rPr>
          <w:rFonts w:ascii="Arial" w:hAnsi="Arial" w:cs="Arial"/>
        </w:rPr>
        <w:t xml:space="preserve"> to consume current</w:t>
      </w:r>
      <w:r w:rsidR="00E83D05" w:rsidRPr="0092670C">
        <w:rPr>
          <w:rFonts w:ascii="Arial" w:hAnsi="Arial" w:cs="Arial"/>
        </w:rPr>
        <w:t xml:space="preserve"> as seen in </w:t>
      </w:r>
      <w:r w:rsidR="000E442F">
        <w:rPr>
          <w:rFonts w:ascii="Arial" w:hAnsi="Arial" w:cs="Arial"/>
        </w:rPr>
        <w:t>C</w:t>
      </w:r>
      <w:r w:rsidR="00E83D05" w:rsidRPr="0092670C">
        <w:rPr>
          <w:rFonts w:ascii="Arial" w:hAnsi="Arial" w:cs="Arial"/>
        </w:rPr>
        <w:t>hapter 2.</w:t>
      </w:r>
      <w:r w:rsidR="009538DA" w:rsidRPr="0092670C">
        <w:rPr>
          <w:rFonts w:ascii="Arial" w:hAnsi="Arial" w:cs="Arial"/>
        </w:rPr>
        <w:t xml:space="preserve"> </w:t>
      </w:r>
    </w:p>
    <w:p w14:paraId="6CBC8CEA" w14:textId="40C95998" w:rsidR="005006B2" w:rsidRPr="0092670C" w:rsidRDefault="0067644A" w:rsidP="005006B2">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36361400">
          <v:shape id="_x0000_i1128" type="#_x0000_t75" style="width:336.2pt;height:270pt" o:ole="">
            <v:imagedata r:id="rId263" o:title=""/>
          </v:shape>
          <o:OLEObject Type="Embed" ProgID="Origin95.Graph" ShapeID="_x0000_i1128" DrawAspect="Content" ObjectID="_1700734017" r:id="rId264"/>
        </w:object>
      </w:r>
    </w:p>
    <w:p w14:paraId="1D412098" w14:textId="123E185D" w:rsidR="00FF2C04" w:rsidRPr="0092670C" w:rsidRDefault="005006B2" w:rsidP="005006B2">
      <w:pPr>
        <w:pStyle w:val="Caption"/>
        <w:jc w:val="center"/>
        <w:rPr>
          <w:rFonts w:ascii="Arial" w:hAnsi="Arial" w:cs="Arial"/>
          <w:sz w:val="20"/>
          <w:szCs w:val="20"/>
        </w:rPr>
      </w:pPr>
      <w:bookmarkStart w:id="279" w:name="_Ref31229348"/>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3</w:t>
      </w:r>
      <w:r w:rsidR="00356A26">
        <w:rPr>
          <w:rFonts w:ascii="Arial" w:hAnsi="Arial" w:cs="Arial"/>
          <w:sz w:val="20"/>
          <w:szCs w:val="20"/>
        </w:rPr>
        <w:fldChar w:fldCharType="end"/>
      </w:r>
      <w:bookmarkEnd w:id="279"/>
      <w:r w:rsidRPr="0092670C">
        <w:rPr>
          <w:rFonts w:ascii="Arial" w:hAnsi="Arial" w:cs="Arial"/>
          <w:sz w:val="20"/>
          <w:szCs w:val="20"/>
        </w:rPr>
        <w:t xml:space="preserve">: </w:t>
      </w:r>
      <w:r w:rsidR="00504EAC" w:rsidRPr="0092670C">
        <w:rPr>
          <w:rFonts w:ascii="Arial" w:hAnsi="Arial" w:cs="Arial"/>
          <w:sz w:val="20"/>
          <w:szCs w:val="20"/>
        </w:rPr>
        <w:t>C</w:t>
      </w:r>
      <w:r w:rsidRPr="0092670C">
        <w:rPr>
          <w:rFonts w:ascii="Arial" w:hAnsi="Arial" w:cs="Arial"/>
          <w:sz w:val="20"/>
          <w:szCs w:val="20"/>
        </w:rPr>
        <w:t>oulombic efficiency of FEC containing cells</w:t>
      </w:r>
      <w:r w:rsidR="00504EAC" w:rsidRPr="0092670C">
        <w:rPr>
          <w:rFonts w:ascii="Arial" w:hAnsi="Arial" w:cs="Arial"/>
          <w:sz w:val="20"/>
          <w:szCs w:val="20"/>
        </w:rPr>
        <w:t>.</w:t>
      </w:r>
    </w:p>
    <w:p w14:paraId="4ACD6B1D" w14:textId="7AA5A083" w:rsidR="0086512C" w:rsidRPr="0092670C" w:rsidRDefault="0067644A" w:rsidP="0086512C">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3E632013">
          <v:shape id="_x0000_i1129" type="#_x0000_t75" style="width:342pt;height:275.8pt" o:ole="">
            <v:imagedata r:id="rId265" o:title=""/>
          </v:shape>
          <o:OLEObject Type="Embed" ProgID="Origin95.Graph" ShapeID="_x0000_i1129" DrawAspect="Content" ObjectID="_1700734018" r:id="rId266"/>
        </w:object>
      </w:r>
    </w:p>
    <w:p w14:paraId="6AF4F640" w14:textId="733A9705" w:rsidR="00BA6625" w:rsidRPr="0092670C" w:rsidRDefault="0086512C" w:rsidP="0086512C">
      <w:pPr>
        <w:pStyle w:val="Caption"/>
        <w:jc w:val="center"/>
        <w:rPr>
          <w:rFonts w:ascii="Arial" w:hAnsi="Arial" w:cs="Arial"/>
          <w:sz w:val="20"/>
          <w:szCs w:val="20"/>
        </w:rPr>
      </w:pPr>
      <w:bookmarkStart w:id="280" w:name="_Ref31229664"/>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4</w:t>
      </w:r>
      <w:r w:rsidR="00356A26">
        <w:rPr>
          <w:rFonts w:ascii="Arial" w:hAnsi="Arial" w:cs="Arial"/>
          <w:sz w:val="20"/>
          <w:szCs w:val="20"/>
        </w:rPr>
        <w:fldChar w:fldCharType="end"/>
      </w:r>
      <w:bookmarkEnd w:id="280"/>
      <w:r w:rsidRPr="0092670C">
        <w:rPr>
          <w:rFonts w:ascii="Arial" w:hAnsi="Arial" w:cs="Arial"/>
          <w:sz w:val="20"/>
          <w:szCs w:val="20"/>
        </w:rPr>
        <w:t xml:space="preserve">: </w:t>
      </w:r>
      <w:r w:rsidR="00504EAC" w:rsidRPr="0092670C">
        <w:rPr>
          <w:rFonts w:ascii="Arial" w:hAnsi="Arial" w:cs="Arial"/>
          <w:sz w:val="20"/>
          <w:szCs w:val="20"/>
        </w:rPr>
        <w:t>C</w:t>
      </w:r>
      <w:r w:rsidRPr="0092670C">
        <w:rPr>
          <w:rFonts w:ascii="Arial" w:hAnsi="Arial" w:cs="Arial"/>
          <w:sz w:val="20"/>
          <w:szCs w:val="20"/>
        </w:rPr>
        <w:t>oulombic efficiency of LP30 containing cells</w:t>
      </w:r>
      <w:r w:rsidR="00504EAC" w:rsidRPr="0092670C">
        <w:rPr>
          <w:rFonts w:ascii="Arial" w:hAnsi="Arial" w:cs="Arial"/>
          <w:sz w:val="20"/>
          <w:szCs w:val="20"/>
        </w:rPr>
        <w:t>.</w:t>
      </w:r>
    </w:p>
    <w:p w14:paraId="15D2E4B6" w14:textId="614AB065" w:rsidR="00714343" w:rsidRDefault="00B57596" w:rsidP="00E47EE7">
      <w:pPr>
        <w:spacing w:line="360" w:lineRule="auto"/>
        <w:jc w:val="both"/>
        <w:rPr>
          <w:rFonts w:ascii="Arial" w:hAnsi="Arial" w:cs="Arial"/>
        </w:rPr>
      </w:pPr>
      <w:r w:rsidRPr="0092670C">
        <w:rPr>
          <w:rFonts w:ascii="Arial" w:hAnsi="Arial" w:cs="Arial"/>
        </w:rPr>
        <w:t xml:space="preserve">When comparing the </w:t>
      </w:r>
      <w:r w:rsidR="00B206FD" w:rsidRPr="0092670C">
        <w:rPr>
          <w:rFonts w:ascii="Arial" w:hAnsi="Arial" w:cs="Arial"/>
        </w:rPr>
        <w:t>LP30</w:t>
      </w:r>
      <w:r w:rsidR="00062754" w:rsidRPr="0092670C">
        <w:rPr>
          <w:rFonts w:ascii="Arial" w:hAnsi="Arial" w:cs="Arial"/>
        </w:rPr>
        <w:t xml:space="preserve"> containing cells the one with the highest coulombic efficiency is the one that was pre-lithiated </w:t>
      </w:r>
      <w:r w:rsidR="003117BF" w:rsidRPr="0092670C">
        <w:rPr>
          <w:rFonts w:ascii="Arial" w:hAnsi="Arial" w:cs="Arial"/>
        </w:rPr>
        <w:t>in FEC, whi</w:t>
      </w:r>
      <w:r w:rsidR="00344A8D" w:rsidRPr="0092670C">
        <w:rPr>
          <w:rFonts w:ascii="Arial" w:hAnsi="Arial" w:cs="Arial"/>
        </w:rPr>
        <w:t xml:space="preserve">ch is expected considering </w:t>
      </w:r>
      <w:r w:rsidR="00747438" w:rsidRPr="0092670C">
        <w:rPr>
          <w:rFonts w:ascii="Arial" w:hAnsi="Arial" w:cs="Arial"/>
        </w:rPr>
        <w:t xml:space="preserve">the </w:t>
      </w:r>
      <w:r w:rsidR="00596F74" w:rsidRPr="0092670C">
        <w:rPr>
          <w:rFonts w:ascii="Arial" w:hAnsi="Arial" w:cs="Arial"/>
        </w:rPr>
        <w:t>superior film forming capabilities of FEC</w:t>
      </w:r>
      <w:r w:rsidR="00606F15" w:rsidRPr="0092670C">
        <w:rPr>
          <w:rFonts w:ascii="Arial" w:hAnsi="Arial" w:cs="Arial"/>
        </w:rPr>
        <w:t xml:space="preserve"> </w:t>
      </w:r>
      <w:r w:rsidR="004F6343" w:rsidRPr="0092670C">
        <w:rPr>
          <w:rFonts w:ascii="Arial" w:hAnsi="Arial" w:cs="Arial"/>
        </w:rPr>
        <w:fldChar w:fldCharType="begin">
          <w:fldData xml:space="preserve">PEVuZE5vdGU+PENpdGU+PEF1dGhvcj5NYXJrZXZpY2g8L0F1dGhvcj48WWVhcj4yMDE3PC9ZZWFy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</w:fldData>
        </w:fldChar>
      </w:r>
      <w:r w:rsidR="00C10A8D">
        <w:rPr>
          <w:rFonts w:ascii="Arial" w:hAnsi="Arial" w:cs="Arial"/>
        </w:rPr>
        <w:instrText xml:space="preserve"> ADDIN EN.CITE </w:instrText>
      </w:r>
      <w:r w:rsidR="00C10A8D">
        <w:rPr>
          <w:rFonts w:ascii="Arial" w:hAnsi="Arial" w:cs="Arial"/>
        </w:rPr>
        <w:fldChar w:fldCharType="begin">
          <w:fldData xml:space="preserve">PEVuZE5vdGU+PENpdGU+PEF1dGhvcj5NYXJrZXZpY2g8L0F1dGhvcj48WWVhcj4yMDE3PC9ZZWFy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</w:fldData>
        </w:fldChar>
      </w:r>
      <w:r w:rsidR="00C10A8D">
        <w:rPr>
          <w:rFonts w:ascii="Arial" w:hAnsi="Arial" w:cs="Arial"/>
        </w:rPr>
        <w:instrText xml:space="preserve"> ADDIN EN.CITE.DATA </w:instrText>
      </w:r>
      <w:r w:rsidR="00C10A8D">
        <w:rPr>
          <w:rFonts w:ascii="Arial" w:hAnsi="Arial" w:cs="Arial"/>
        </w:rPr>
      </w:r>
      <w:r w:rsidR="00C10A8D">
        <w:rPr>
          <w:rFonts w:ascii="Arial" w:hAnsi="Arial" w:cs="Arial"/>
        </w:rPr>
        <w:fldChar w:fldCharType="end"/>
      </w:r>
      <w:r w:rsidR="004F6343" w:rsidRPr="0092670C">
        <w:rPr>
          <w:rFonts w:ascii="Arial" w:hAnsi="Arial" w:cs="Arial"/>
        </w:rPr>
      </w:r>
      <w:r w:rsidR="004F6343" w:rsidRPr="0092670C">
        <w:rPr>
          <w:rFonts w:ascii="Arial" w:hAnsi="Arial" w:cs="Arial"/>
        </w:rPr>
        <w:fldChar w:fldCharType="separate"/>
      </w:r>
      <w:r w:rsidR="00C10A8D">
        <w:rPr>
          <w:rFonts w:ascii="Arial" w:hAnsi="Arial" w:cs="Arial"/>
          <w:noProof/>
        </w:rPr>
        <w:t>[80]</w:t>
      </w:r>
      <w:r w:rsidR="004F6343" w:rsidRPr="0092670C">
        <w:rPr>
          <w:rFonts w:ascii="Arial" w:hAnsi="Arial" w:cs="Arial"/>
        </w:rPr>
        <w:fldChar w:fldCharType="end"/>
      </w:r>
      <w:r w:rsidR="00066B75">
        <w:rPr>
          <w:rFonts w:ascii="Arial" w:hAnsi="Arial" w:cs="Arial"/>
        </w:rPr>
        <w:t>.</w:t>
      </w:r>
      <w:r w:rsidR="00CF4AF2" w:rsidRPr="0092670C">
        <w:rPr>
          <w:rFonts w:ascii="Arial" w:hAnsi="Arial" w:cs="Arial"/>
        </w:rPr>
        <w:t xml:space="preserve"> </w:t>
      </w:r>
      <w:r w:rsidR="009C300D" w:rsidRPr="0092670C">
        <w:rPr>
          <w:rFonts w:ascii="Arial" w:hAnsi="Arial" w:cs="Arial"/>
        </w:rPr>
        <w:t>The</w:t>
      </w:r>
      <w:r w:rsidR="00256BF8" w:rsidRPr="0092670C">
        <w:rPr>
          <w:rFonts w:ascii="Arial" w:hAnsi="Arial" w:cs="Arial"/>
        </w:rPr>
        <w:t xml:space="preserve"> </w:t>
      </w:r>
      <w:r w:rsidR="00811C0A" w:rsidRPr="0092670C">
        <w:rPr>
          <w:rFonts w:ascii="Arial" w:hAnsi="Arial" w:cs="Arial"/>
        </w:rPr>
        <w:t xml:space="preserve">reference cell has the second highest </w:t>
      </w:r>
      <w:r w:rsidR="00AE5BEF" w:rsidRPr="0092670C">
        <w:rPr>
          <w:rFonts w:ascii="Arial" w:hAnsi="Arial" w:cs="Arial"/>
        </w:rPr>
        <w:t>ICE</w:t>
      </w:r>
      <w:r w:rsidR="00A23E30" w:rsidRPr="0092670C">
        <w:rPr>
          <w:rFonts w:ascii="Arial" w:hAnsi="Arial" w:cs="Arial"/>
        </w:rPr>
        <w:t>. For the second cycle the refe</w:t>
      </w:r>
      <w:r w:rsidR="00934046" w:rsidRPr="0092670C">
        <w:rPr>
          <w:rFonts w:ascii="Arial" w:hAnsi="Arial" w:cs="Arial"/>
        </w:rPr>
        <w:t>rence cell</w:t>
      </w:r>
      <w:r w:rsidR="00E06A9C" w:rsidRPr="0092670C">
        <w:rPr>
          <w:rFonts w:ascii="Arial" w:hAnsi="Arial" w:cs="Arial"/>
        </w:rPr>
        <w:t xml:space="preserve"> fal</w:t>
      </w:r>
      <w:r w:rsidR="00C02DAF" w:rsidRPr="0092670C">
        <w:rPr>
          <w:rFonts w:ascii="Arial" w:hAnsi="Arial" w:cs="Arial"/>
        </w:rPr>
        <w:t>ls</w:t>
      </w:r>
      <w:r w:rsidR="00E06A9C" w:rsidRPr="0092670C">
        <w:rPr>
          <w:rFonts w:ascii="Arial" w:hAnsi="Arial" w:cs="Arial"/>
        </w:rPr>
        <w:t xml:space="preserve"> below the </w:t>
      </w:r>
      <w:r w:rsidR="00C02DAF" w:rsidRPr="0092670C">
        <w:rPr>
          <w:rFonts w:ascii="Arial" w:hAnsi="Arial" w:cs="Arial"/>
        </w:rPr>
        <w:t>pre-lithiated ones</w:t>
      </w:r>
      <w:r w:rsidR="00A77682">
        <w:rPr>
          <w:rFonts w:ascii="Arial" w:hAnsi="Arial" w:cs="Arial"/>
        </w:rPr>
        <w:t>, before recovering again</w:t>
      </w:r>
      <w:r w:rsidR="0035393B" w:rsidRPr="0092670C">
        <w:rPr>
          <w:rFonts w:ascii="Arial" w:hAnsi="Arial" w:cs="Arial"/>
        </w:rPr>
        <w:t xml:space="preserve">. This shows the strength of pre-lithiation where </w:t>
      </w:r>
      <w:r w:rsidR="003475BC" w:rsidRPr="0092670C">
        <w:rPr>
          <w:rFonts w:ascii="Arial" w:hAnsi="Arial" w:cs="Arial"/>
        </w:rPr>
        <w:t>the refe</w:t>
      </w:r>
      <w:r w:rsidR="00223065" w:rsidRPr="0092670C">
        <w:rPr>
          <w:rFonts w:ascii="Arial" w:hAnsi="Arial" w:cs="Arial"/>
        </w:rPr>
        <w:t xml:space="preserve">rence still </w:t>
      </w:r>
      <w:r w:rsidR="00714343" w:rsidRPr="0092670C">
        <w:rPr>
          <w:rFonts w:ascii="Arial" w:hAnsi="Arial" w:cs="Arial"/>
        </w:rPr>
        <w:t>large gaps in its SEI</w:t>
      </w:r>
      <w:r w:rsidR="00223065" w:rsidRPr="0092670C">
        <w:rPr>
          <w:rFonts w:ascii="Arial" w:hAnsi="Arial" w:cs="Arial"/>
        </w:rPr>
        <w:t xml:space="preserve"> that needs filling whereas</w:t>
      </w:r>
      <w:r w:rsidR="00714343" w:rsidRPr="0092670C">
        <w:rPr>
          <w:rFonts w:ascii="Arial" w:hAnsi="Arial" w:cs="Arial"/>
        </w:rPr>
        <w:t xml:space="preserve"> with</w:t>
      </w:r>
      <w:r w:rsidR="00223065" w:rsidRPr="0092670C">
        <w:rPr>
          <w:rFonts w:ascii="Arial" w:hAnsi="Arial" w:cs="Arial"/>
        </w:rPr>
        <w:t xml:space="preserve"> the </w:t>
      </w:r>
      <w:r w:rsidR="00CB6739" w:rsidRPr="0092670C">
        <w:rPr>
          <w:rFonts w:ascii="Arial" w:hAnsi="Arial" w:cs="Arial"/>
        </w:rPr>
        <w:t xml:space="preserve">pre-lithiated cells this isn’t as </w:t>
      </w:r>
      <w:r w:rsidR="004320B1" w:rsidRPr="0092670C">
        <w:rPr>
          <w:rFonts w:ascii="Arial" w:hAnsi="Arial" w:cs="Arial"/>
        </w:rPr>
        <w:t>big</w:t>
      </w:r>
      <w:r w:rsidR="00714343" w:rsidRPr="0092670C">
        <w:rPr>
          <w:rFonts w:ascii="Arial" w:hAnsi="Arial" w:cs="Arial"/>
        </w:rPr>
        <w:t xml:space="preserve"> due to the pre-formed SEI. After this all the cells </w:t>
      </w:r>
      <w:r w:rsidR="00B5193E" w:rsidRPr="0092670C">
        <w:rPr>
          <w:rFonts w:ascii="Arial" w:hAnsi="Arial" w:cs="Arial"/>
        </w:rPr>
        <w:t>trend towards 99+% which is expected for Li</w:t>
      </w:r>
      <w:r w:rsidR="00473FC8" w:rsidRPr="0092670C">
        <w:rPr>
          <w:rFonts w:ascii="Arial" w:hAnsi="Arial" w:cs="Arial"/>
        </w:rPr>
        <w:t xml:space="preserve">-ion cells that have fully formed, </w:t>
      </w:r>
      <w:r w:rsidR="00986AF8" w:rsidRPr="0092670C">
        <w:rPr>
          <w:rFonts w:ascii="Arial" w:hAnsi="Arial" w:cs="Arial"/>
        </w:rPr>
        <w:t>functioning SEI.</w:t>
      </w:r>
    </w:p>
    <w:p w14:paraId="7594D4BC" w14:textId="56D0252D" w:rsidR="00DA26B8" w:rsidRPr="0092670C" w:rsidRDefault="00DA26B8" w:rsidP="00E47EE7">
      <w:pPr>
        <w:spacing w:line="360" w:lineRule="auto"/>
        <w:jc w:val="both"/>
        <w:rPr>
          <w:rFonts w:ascii="Arial" w:hAnsi="Arial" w:cs="Arial"/>
        </w:rPr>
      </w:pPr>
      <w:r>
        <w:rPr>
          <w:rFonts w:ascii="Arial" w:hAnsi="Arial" w:cs="Arial"/>
        </w:rPr>
        <w:t>The cell with the lowest coulombic effi</w:t>
      </w:r>
      <w:r w:rsidR="00F905E0">
        <w:rPr>
          <w:rFonts w:ascii="Arial" w:hAnsi="Arial" w:cs="Arial"/>
        </w:rPr>
        <w:t xml:space="preserve">ciency </w:t>
      </w:r>
      <w:r w:rsidR="00B9724F">
        <w:rPr>
          <w:rFonts w:ascii="Arial" w:hAnsi="Arial" w:cs="Arial"/>
        </w:rPr>
        <w:t xml:space="preserve">was the </w:t>
      </w:r>
      <w:r w:rsidR="006C486C">
        <w:rPr>
          <w:rFonts w:ascii="Arial" w:hAnsi="Arial" w:cs="Arial"/>
        </w:rPr>
        <w:t>LP30 FEC cell and this could be a result of the FEC decomposing o</w:t>
      </w:r>
      <w:r w:rsidR="00754FA3">
        <w:rPr>
          <w:rFonts w:ascii="Arial" w:hAnsi="Arial" w:cs="Arial"/>
        </w:rPr>
        <w:t xml:space="preserve">ver the LP30 </w:t>
      </w:r>
      <w:r w:rsidR="000D5E6D">
        <w:rPr>
          <w:rFonts w:ascii="Arial" w:hAnsi="Arial" w:cs="Arial"/>
        </w:rPr>
        <w:t>based SEI. The LP30 LP30 cell has a higher coulombic effic</w:t>
      </w:r>
      <w:r w:rsidR="0058251D">
        <w:rPr>
          <w:rFonts w:ascii="Arial" w:hAnsi="Arial" w:cs="Arial"/>
        </w:rPr>
        <w:t xml:space="preserve">iency </w:t>
      </w:r>
      <w:r w:rsidR="0008179D">
        <w:rPr>
          <w:rFonts w:ascii="Arial" w:hAnsi="Arial" w:cs="Arial"/>
        </w:rPr>
        <w:t xml:space="preserve">as the LP30 </w:t>
      </w:r>
      <w:r w:rsidR="0044224F">
        <w:rPr>
          <w:rFonts w:ascii="Arial" w:hAnsi="Arial" w:cs="Arial"/>
        </w:rPr>
        <w:t xml:space="preserve">is more resistant to decomposition over the already formed </w:t>
      </w:r>
      <w:r w:rsidR="00567229">
        <w:rPr>
          <w:rFonts w:ascii="Arial" w:hAnsi="Arial" w:cs="Arial"/>
        </w:rPr>
        <w:t>SEI.</w:t>
      </w:r>
    </w:p>
    <w:p w14:paraId="17812062" w14:textId="430DEB93" w:rsidR="00B57596" w:rsidRPr="0092670C" w:rsidRDefault="004320B1" w:rsidP="00E47EE7">
      <w:pPr>
        <w:spacing w:line="360" w:lineRule="auto"/>
        <w:jc w:val="both"/>
        <w:rPr>
          <w:rFonts w:ascii="Arial" w:hAnsi="Arial" w:cs="Arial"/>
        </w:rPr>
      </w:pPr>
      <w:r w:rsidRPr="0092670C">
        <w:rPr>
          <w:rFonts w:ascii="Arial" w:hAnsi="Arial" w:cs="Arial"/>
        </w:rPr>
        <w:t xml:space="preserve"> </w:t>
      </w:r>
      <w:r w:rsidR="0079192E" w:rsidRPr="0092670C">
        <w:rPr>
          <w:rFonts w:ascii="Arial" w:hAnsi="Arial" w:cs="Arial"/>
        </w:rPr>
        <w:t xml:space="preserve">To understand the </w:t>
      </w:r>
      <w:r w:rsidR="00D02F50" w:rsidRPr="0092670C">
        <w:rPr>
          <w:rFonts w:ascii="Arial" w:hAnsi="Arial" w:cs="Arial"/>
        </w:rPr>
        <w:t xml:space="preserve">changes to the charge </w:t>
      </w:r>
      <w:r w:rsidR="004655F3" w:rsidRPr="0092670C">
        <w:rPr>
          <w:rFonts w:ascii="Arial" w:hAnsi="Arial" w:cs="Arial"/>
        </w:rPr>
        <w:t>capacity</w:t>
      </w:r>
      <w:r w:rsidR="00D02F50" w:rsidRPr="0092670C">
        <w:rPr>
          <w:rFonts w:ascii="Arial" w:hAnsi="Arial" w:cs="Arial"/>
        </w:rPr>
        <w:t xml:space="preserve"> and </w:t>
      </w:r>
      <w:r w:rsidR="004655F3" w:rsidRPr="0092670C">
        <w:rPr>
          <w:rFonts w:ascii="Arial" w:hAnsi="Arial" w:cs="Arial"/>
        </w:rPr>
        <w:t>retention that we saw we need to look at the EIS results</w:t>
      </w:r>
      <w:r w:rsidR="00D20923">
        <w:rPr>
          <w:rFonts w:ascii="Arial" w:hAnsi="Arial" w:cs="Arial"/>
        </w:rPr>
        <w:t xml:space="preserve"> shown in</w:t>
      </w:r>
      <w:r w:rsidR="003F5030" w:rsidRPr="0092670C">
        <w:rPr>
          <w:rFonts w:ascii="Arial" w:hAnsi="Arial" w:cs="Arial"/>
        </w:rPr>
        <w:t xml:space="preserve"> </w:t>
      </w:r>
      <w:r w:rsidR="00651EFE" w:rsidRPr="0092670C">
        <w:rPr>
          <w:rFonts w:ascii="Arial" w:hAnsi="Arial" w:cs="Arial"/>
        </w:rPr>
        <w:fldChar w:fldCharType="begin"/>
      </w:r>
      <w:r w:rsidR="00651EFE" w:rsidRPr="0092670C">
        <w:rPr>
          <w:rFonts w:ascii="Arial" w:hAnsi="Arial" w:cs="Arial"/>
        </w:rPr>
        <w:instrText xml:space="preserve"> REF _Ref31228542 \h  \* MERGEFORMAT </w:instrText>
      </w:r>
      <w:r w:rsidR="00651EFE" w:rsidRPr="0092670C">
        <w:rPr>
          <w:rFonts w:ascii="Arial" w:hAnsi="Arial" w:cs="Arial"/>
        </w:rPr>
      </w:r>
      <w:r w:rsidR="00651EFE"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5</w:t>
      </w:r>
      <w:r w:rsidR="00651EFE" w:rsidRPr="0092670C">
        <w:rPr>
          <w:rFonts w:ascii="Arial" w:hAnsi="Arial" w:cs="Arial"/>
        </w:rPr>
        <w:fldChar w:fldCharType="end"/>
      </w:r>
      <w:r w:rsidR="00D20923">
        <w:rPr>
          <w:rFonts w:ascii="Arial" w:hAnsi="Arial" w:cs="Arial"/>
        </w:rPr>
        <w:t>.</w:t>
      </w:r>
      <w:r w:rsidR="00651EFE" w:rsidRPr="0092670C">
        <w:rPr>
          <w:rFonts w:ascii="Arial" w:hAnsi="Arial" w:cs="Arial"/>
        </w:rPr>
        <w:t xml:space="preserve"> </w:t>
      </w:r>
      <w:r w:rsidR="00B224CC" w:rsidRPr="0092670C">
        <w:rPr>
          <w:rFonts w:ascii="Arial" w:hAnsi="Arial" w:cs="Arial"/>
        </w:rPr>
        <w:t xml:space="preserve">The </w:t>
      </w:r>
      <w:r w:rsidR="002555EA" w:rsidRPr="0092670C">
        <w:rPr>
          <w:rFonts w:ascii="Arial" w:hAnsi="Arial" w:cs="Arial"/>
        </w:rPr>
        <w:t>initial</w:t>
      </w:r>
      <w:r w:rsidR="00EB0825" w:rsidRPr="0092670C">
        <w:rPr>
          <w:rFonts w:ascii="Arial" w:hAnsi="Arial" w:cs="Arial"/>
        </w:rPr>
        <w:t xml:space="preserve"> resi</w:t>
      </w:r>
      <w:r w:rsidR="002555EA" w:rsidRPr="0092670C">
        <w:rPr>
          <w:rFonts w:ascii="Arial" w:hAnsi="Arial" w:cs="Arial"/>
        </w:rPr>
        <w:t>stances</w:t>
      </w:r>
      <w:r w:rsidR="00607EFB" w:rsidRPr="0092670C">
        <w:rPr>
          <w:rFonts w:ascii="Arial" w:hAnsi="Arial" w:cs="Arial"/>
        </w:rPr>
        <w:t xml:space="preserve"> seen</w:t>
      </w:r>
      <w:r w:rsidR="002555EA" w:rsidRPr="0092670C">
        <w:rPr>
          <w:rFonts w:ascii="Arial" w:hAnsi="Arial" w:cs="Arial"/>
        </w:rPr>
        <w:t xml:space="preserve"> </w:t>
      </w:r>
      <w:r w:rsidR="0097636D" w:rsidRPr="0092670C">
        <w:rPr>
          <w:rFonts w:ascii="Arial" w:hAnsi="Arial" w:cs="Arial"/>
        </w:rPr>
        <w:t xml:space="preserve">are </w:t>
      </w:r>
      <w:r w:rsidR="0053366A" w:rsidRPr="0092670C">
        <w:rPr>
          <w:rFonts w:ascii="Arial" w:hAnsi="Arial" w:cs="Arial"/>
        </w:rPr>
        <w:t>high</w:t>
      </w:r>
      <w:r w:rsidR="004C023B" w:rsidRPr="0092670C">
        <w:rPr>
          <w:rFonts w:ascii="Arial" w:hAnsi="Arial" w:cs="Arial"/>
        </w:rPr>
        <w:t xml:space="preserve"> as the</w:t>
      </w:r>
      <w:r w:rsidR="00E82AB0" w:rsidRPr="0092670C">
        <w:rPr>
          <w:rFonts w:ascii="Arial" w:hAnsi="Arial" w:cs="Arial"/>
        </w:rPr>
        <w:t xml:space="preserve"> SEI</w:t>
      </w:r>
      <w:r w:rsidR="00D0732D" w:rsidRPr="0092670C">
        <w:rPr>
          <w:rFonts w:ascii="Arial" w:hAnsi="Arial" w:cs="Arial"/>
        </w:rPr>
        <w:t xml:space="preserve"> isn’t yet formed and so </w:t>
      </w:r>
      <w:r w:rsidR="00D61779" w:rsidRPr="0092670C">
        <w:rPr>
          <w:rFonts w:ascii="Arial" w:hAnsi="Arial" w:cs="Arial"/>
        </w:rPr>
        <w:t xml:space="preserve">the Li is lost to </w:t>
      </w:r>
      <w:r w:rsidR="00F32431" w:rsidRPr="0092670C">
        <w:rPr>
          <w:rFonts w:ascii="Arial" w:hAnsi="Arial" w:cs="Arial"/>
        </w:rPr>
        <w:t xml:space="preserve">SEI </w:t>
      </w:r>
      <w:r w:rsidR="00CF6E81" w:rsidRPr="0092670C">
        <w:rPr>
          <w:rFonts w:ascii="Arial" w:hAnsi="Arial" w:cs="Arial"/>
        </w:rPr>
        <w:t>formation</w:t>
      </w:r>
      <w:r w:rsidR="00607EFB" w:rsidRPr="0092670C">
        <w:rPr>
          <w:rFonts w:ascii="Arial" w:hAnsi="Arial" w:cs="Arial"/>
        </w:rPr>
        <w:t>.</w:t>
      </w:r>
      <w:r w:rsidR="004C023B" w:rsidRPr="0092670C">
        <w:rPr>
          <w:rFonts w:ascii="Arial" w:hAnsi="Arial" w:cs="Arial"/>
        </w:rPr>
        <w:t xml:space="preserve"> </w:t>
      </w:r>
      <w:r w:rsidR="00714343" w:rsidRPr="0092670C">
        <w:rPr>
          <w:rFonts w:ascii="Arial" w:hAnsi="Arial" w:cs="Arial"/>
        </w:rPr>
        <w:t xml:space="preserve">For all cells the resistance of the SEI was lowest after the second cycle. This is when </w:t>
      </w:r>
      <w:r w:rsidR="000C4835">
        <w:rPr>
          <w:rFonts w:ascii="Arial" w:hAnsi="Arial" w:cs="Arial"/>
        </w:rPr>
        <w:t xml:space="preserve">a thin SEI layer has been formed that </w:t>
      </w:r>
      <w:r w:rsidR="00D3214D">
        <w:rPr>
          <w:rFonts w:ascii="Arial" w:hAnsi="Arial" w:cs="Arial"/>
        </w:rPr>
        <w:t>facilitates rapid Li transport.</w:t>
      </w:r>
      <w:r w:rsidR="00714343" w:rsidRPr="0092670C">
        <w:rPr>
          <w:rFonts w:ascii="Arial" w:hAnsi="Arial" w:cs="Arial"/>
        </w:rPr>
        <w:t xml:space="preserve"> After this the impedances slowly increase due to increasing SEI thickness. </w:t>
      </w:r>
      <w:r w:rsidR="00944EAE" w:rsidRPr="0092670C">
        <w:rPr>
          <w:rFonts w:ascii="Arial" w:hAnsi="Arial" w:cs="Arial"/>
        </w:rPr>
        <w:t>These a</w:t>
      </w:r>
      <w:r w:rsidR="00B04857">
        <w:rPr>
          <w:rFonts w:ascii="Arial" w:hAnsi="Arial" w:cs="Arial"/>
        </w:rPr>
        <w:t>r</w:t>
      </w:r>
      <w:r w:rsidR="00944EAE" w:rsidRPr="0092670C">
        <w:rPr>
          <w:rFonts w:ascii="Arial" w:hAnsi="Arial" w:cs="Arial"/>
        </w:rPr>
        <w:t xml:space="preserve">e general trends and are expected to be seen </w:t>
      </w:r>
      <w:r w:rsidR="00A132D9" w:rsidRPr="0092670C">
        <w:rPr>
          <w:rFonts w:ascii="Arial" w:hAnsi="Arial" w:cs="Arial"/>
        </w:rPr>
        <w:t>i</w:t>
      </w:r>
      <w:r w:rsidR="00472A4F" w:rsidRPr="0092670C">
        <w:rPr>
          <w:rFonts w:ascii="Arial" w:hAnsi="Arial" w:cs="Arial"/>
        </w:rPr>
        <w:t xml:space="preserve">n Li-ion cells but what is </w:t>
      </w:r>
      <w:r w:rsidR="00B30A51" w:rsidRPr="0092670C">
        <w:rPr>
          <w:rFonts w:ascii="Arial" w:hAnsi="Arial" w:cs="Arial"/>
        </w:rPr>
        <w:t>i</w:t>
      </w:r>
      <w:r w:rsidR="00472A4F" w:rsidRPr="0092670C">
        <w:rPr>
          <w:rFonts w:ascii="Arial" w:hAnsi="Arial" w:cs="Arial"/>
        </w:rPr>
        <w:t xml:space="preserve">nteresting </w:t>
      </w:r>
      <w:r w:rsidR="00B30A51" w:rsidRPr="0092670C">
        <w:rPr>
          <w:rFonts w:ascii="Arial" w:hAnsi="Arial" w:cs="Arial"/>
        </w:rPr>
        <w:t>about these cells is where they differ from these trends.</w:t>
      </w:r>
    </w:p>
    <w:p w14:paraId="66E84FBC" w14:textId="42E9312D" w:rsidR="00E47EE7" w:rsidRPr="0092670C" w:rsidRDefault="00282DCB" w:rsidP="00E47EE7">
      <w:pPr>
        <w:spacing w:line="360" w:lineRule="auto"/>
        <w:jc w:val="both"/>
        <w:rPr>
          <w:rFonts w:ascii="Arial" w:hAnsi="Arial" w:cs="Arial"/>
        </w:rPr>
      </w:pPr>
      <w:r w:rsidRPr="0092670C">
        <w:rPr>
          <w:rFonts w:ascii="Arial" w:hAnsi="Arial" w:cs="Arial"/>
        </w:rPr>
        <w:t>Sta</w:t>
      </w:r>
      <w:r w:rsidR="00FA7861" w:rsidRPr="0092670C">
        <w:rPr>
          <w:rFonts w:ascii="Arial" w:hAnsi="Arial" w:cs="Arial"/>
        </w:rPr>
        <w:t>r</w:t>
      </w:r>
      <w:r w:rsidRPr="0092670C">
        <w:rPr>
          <w:rFonts w:ascii="Arial" w:hAnsi="Arial" w:cs="Arial"/>
        </w:rPr>
        <w:t>ting with the EIS</w:t>
      </w:r>
      <w:r w:rsidR="001A24E5" w:rsidRPr="0092670C">
        <w:rPr>
          <w:rFonts w:ascii="Arial" w:hAnsi="Arial" w:cs="Arial"/>
        </w:rPr>
        <w:t xml:space="preserve"> of the cel</w:t>
      </w:r>
      <w:r w:rsidR="00D957A4" w:rsidRPr="0092670C">
        <w:rPr>
          <w:rFonts w:ascii="Arial" w:hAnsi="Arial" w:cs="Arial"/>
        </w:rPr>
        <w:t>ls</w:t>
      </w:r>
      <w:r w:rsidRPr="0092670C">
        <w:rPr>
          <w:rFonts w:ascii="Arial" w:hAnsi="Arial" w:cs="Arial"/>
        </w:rPr>
        <w:t xml:space="preserve"> </w:t>
      </w:r>
      <w:r w:rsidR="00644019" w:rsidRPr="0092670C">
        <w:rPr>
          <w:rFonts w:ascii="Arial" w:hAnsi="Arial" w:cs="Arial"/>
        </w:rPr>
        <w:t xml:space="preserve">in the charged state </w:t>
      </w:r>
      <w:r w:rsidR="00D957A4" w:rsidRPr="0092670C">
        <w:rPr>
          <w:rFonts w:ascii="Arial" w:hAnsi="Arial" w:cs="Arial"/>
        </w:rPr>
        <w:t>shows us the</w:t>
      </w:r>
      <w:r w:rsidR="00A158E2" w:rsidRPr="0092670C">
        <w:rPr>
          <w:rFonts w:ascii="Arial" w:hAnsi="Arial" w:cs="Arial"/>
        </w:rPr>
        <w:t xml:space="preserve"> SEI at its thinnest. </w:t>
      </w:r>
      <w:r w:rsidR="005D2A82" w:rsidRPr="0092670C">
        <w:rPr>
          <w:rFonts w:ascii="Arial" w:hAnsi="Arial" w:cs="Arial"/>
        </w:rPr>
        <w:t>T</w:t>
      </w:r>
      <w:r w:rsidR="00E47EE7" w:rsidRPr="0092670C">
        <w:rPr>
          <w:rFonts w:ascii="Arial" w:hAnsi="Arial" w:cs="Arial"/>
        </w:rPr>
        <w:t xml:space="preserve">he dynamic cells </w:t>
      </w:r>
      <w:r w:rsidR="00501A56" w:rsidRPr="0092670C">
        <w:rPr>
          <w:rFonts w:ascii="Arial" w:hAnsi="Arial" w:cs="Arial"/>
        </w:rPr>
        <w:t xml:space="preserve">have a </w:t>
      </w:r>
      <w:r w:rsidR="00606D91" w:rsidRPr="0092670C">
        <w:rPr>
          <w:rFonts w:ascii="Arial" w:hAnsi="Arial" w:cs="Arial"/>
        </w:rPr>
        <w:t>different impedance</w:t>
      </w:r>
      <w:r w:rsidR="00E47EE7" w:rsidRPr="0092670C">
        <w:rPr>
          <w:rFonts w:ascii="Arial" w:hAnsi="Arial" w:cs="Arial"/>
        </w:rPr>
        <w:t xml:space="preserve"> growth</w:t>
      </w:r>
      <w:r w:rsidR="00501A56" w:rsidRPr="0092670C">
        <w:rPr>
          <w:rFonts w:ascii="Arial" w:hAnsi="Arial" w:cs="Arial"/>
        </w:rPr>
        <w:t xml:space="preserve"> pattern to the </w:t>
      </w:r>
      <w:r w:rsidR="00606D91" w:rsidRPr="0092670C">
        <w:rPr>
          <w:rFonts w:ascii="Arial" w:hAnsi="Arial" w:cs="Arial"/>
        </w:rPr>
        <w:t>reference</w:t>
      </w:r>
      <w:r w:rsidR="00501A56" w:rsidRPr="0092670C">
        <w:rPr>
          <w:rFonts w:ascii="Arial" w:hAnsi="Arial" w:cs="Arial"/>
        </w:rPr>
        <w:t xml:space="preserve"> cells</w:t>
      </w:r>
      <w:r w:rsidR="00606D91" w:rsidRPr="0092670C">
        <w:rPr>
          <w:rFonts w:ascii="Arial" w:hAnsi="Arial" w:cs="Arial"/>
        </w:rPr>
        <w:t>, especially</w:t>
      </w:r>
      <w:r w:rsidR="00E47EE7" w:rsidRPr="0092670C">
        <w:rPr>
          <w:rFonts w:ascii="Arial" w:hAnsi="Arial" w:cs="Arial"/>
        </w:rPr>
        <w:t xml:space="preserve"> after the 50</w:t>
      </w:r>
      <w:r w:rsidR="00E47EE7" w:rsidRPr="0092670C">
        <w:rPr>
          <w:rFonts w:ascii="Arial" w:hAnsi="Arial" w:cs="Arial"/>
          <w:vertAlign w:val="superscript"/>
        </w:rPr>
        <w:t>th</w:t>
      </w:r>
      <w:r w:rsidR="00E47EE7" w:rsidRPr="0092670C">
        <w:rPr>
          <w:rFonts w:ascii="Arial" w:hAnsi="Arial" w:cs="Arial"/>
        </w:rPr>
        <w:t xml:space="preserve"> cycle</w:t>
      </w:r>
      <w:r w:rsidR="00864F79">
        <w:rPr>
          <w:rFonts w:ascii="Arial" w:hAnsi="Arial" w:cs="Arial"/>
        </w:rPr>
        <w:t xml:space="preserve">. The cell with the lowest </w:t>
      </w:r>
      <w:r w:rsidR="00EA3A10">
        <w:rPr>
          <w:rFonts w:ascii="Arial" w:hAnsi="Arial" w:cs="Arial"/>
        </w:rPr>
        <w:t>resistance after 100 cycles was the LP30 cell. This may be d</w:t>
      </w:r>
      <w:r w:rsidR="00384651">
        <w:rPr>
          <w:rFonts w:ascii="Arial" w:hAnsi="Arial" w:cs="Arial"/>
        </w:rPr>
        <w:t xml:space="preserve">ue to the </w:t>
      </w:r>
      <w:r w:rsidR="00D41667">
        <w:rPr>
          <w:rFonts w:ascii="Arial" w:hAnsi="Arial" w:cs="Arial"/>
        </w:rPr>
        <w:t>natural growth of the SEI being slower than with the pre-lithiated cells.</w:t>
      </w:r>
      <w:r w:rsidR="00E47EE7" w:rsidRPr="0092670C">
        <w:rPr>
          <w:rFonts w:ascii="Arial" w:hAnsi="Arial" w:cs="Arial"/>
        </w:rPr>
        <w:t xml:space="preserve"> For the cell that is cycled in LP30 after being pre-lithiated in FEC the impedance starts to increase more rapidly</w:t>
      </w:r>
      <w:r w:rsidR="00606D91" w:rsidRPr="0092670C">
        <w:rPr>
          <w:rFonts w:ascii="Arial" w:hAnsi="Arial" w:cs="Arial"/>
        </w:rPr>
        <w:t xml:space="preserve"> after the </w:t>
      </w:r>
      <w:r w:rsidR="00A8260E">
        <w:rPr>
          <w:rFonts w:ascii="Arial" w:hAnsi="Arial" w:cs="Arial"/>
        </w:rPr>
        <w:t>50</w:t>
      </w:r>
      <w:r w:rsidR="00A8260E" w:rsidRPr="00A8260E">
        <w:rPr>
          <w:rFonts w:ascii="Arial" w:hAnsi="Arial" w:cs="Arial"/>
          <w:vertAlign w:val="superscript"/>
        </w:rPr>
        <w:t>th</w:t>
      </w:r>
      <w:r w:rsidR="00A8260E">
        <w:rPr>
          <w:rFonts w:ascii="Arial" w:hAnsi="Arial" w:cs="Arial"/>
        </w:rPr>
        <w:t xml:space="preserve"> cycles</w:t>
      </w:r>
      <w:r w:rsidR="00E47EE7" w:rsidRPr="0092670C">
        <w:rPr>
          <w:rFonts w:ascii="Arial" w:hAnsi="Arial" w:cs="Arial"/>
        </w:rPr>
        <w:t xml:space="preserve">. For the cell that is cycled in FEC after being pre-lithiated in LP30 the impedance </w:t>
      </w:r>
      <w:r w:rsidR="005E4A6C" w:rsidRPr="0092670C">
        <w:rPr>
          <w:rFonts w:ascii="Arial" w:hAnsi="Arial" w:cs="Arial"/>
        </w:rPr>
        <w:t xml:space="preserve">growth </w:t>
      </w:r>
      <w:r w:rsidR="00DD07DE" w:rsidRPr="0092670C">
        <w:rPr>
          <w:rFonts w:ascii="Arial" w:hAnsi="Arial" w:cs="Arial"/>
        </w:rPr>
        <w:t xml:space="preserve">was arrested </w:t>
      </w:r>
      <w:r w:rsidR="00EE79DE" w:rsidRPr="0092670C">
        <w:rPr>
          <w:rFonts w:ascii="Arial" w:hAnsi="Arial" w:cs="Arial"/>
        </w:rPr>
        <w:t xml:space="preserve">gradually </w:t>
      </w:r>
      <w:r w:rsidR="00504436" w:rsidRPr="0092670C">
        <w:rPr>
          <w:rFonts w:ascii="Arial" w:hAnsi="Arial" w:cs="Arial"/>
        </w:rPr>
        <w:t xml:space="preserve">before actually </w:t>
      </w:r>
      <w:r w:rsidR="0048570B" w:rsidRPr="0092670C">
        <w:rPr>
          <w:rFonts w:ascii="Arial" w:hAnsi="Arial" w:cs="Arial"/>
        </w:rPr>
        <w:t>decreasing</w:t>
      </w:r>
      <w:r w:rsidR="00504436" w:rsidRPr="0092670C">
        <w:rPr>
          <w:rFonts w:ascii="Arial" w:hAnsi="Arial" w:cs="Arial"/>
        </w:rPr>
        <w:t xml:space="preserve"> </w:t>
      </w:r>
      <w:r w:rsidR="0048570B" w:rsidRPr="0092670C">
        <w:rPr>
          <w:rFonts w:ascii="Arial" w:hAnsi="Arial" w:cs="Arial"/>
        </w:rPr>
        <w:t>after the 50</w:t>
      </w:r>
      <w:r w:rsidR="0048570B" w:rsidRPr="0092670C">
        <w:rPr>
          <w:rFonts w:ascii="Arial" w:hAnsi="Arial" w:cs="Arial"/>
          <w:vertAlign w:val="superscript"/>
        </w:rPr>
        <w:t>th</w:t>
      </w:r>
      <w:r w:rsidR="0048570B" w:rsidRPr="0092670C">
        <w:rPr>
          <w:rFonts w:ascii="Arial" w:hAnsi="Arial" w:cs="Arial"/>
        </w:rPr>
        <w:t xml:space="preserve"> cycle</w:t>
      </w:r>
      <w:r w:rsidR="00E47EE7" w:rsidRPr="0092670C">
        <w:rPr>
          <w:rFonts w:ascii="Arial" w:hAnsi="Arial" w:cs="Arial"/>
        </w:rPr>
        <w:t>. These changes aren’t seen in any of the static cells suggesting that these changes are a result of the dynamic change. The decrease in impedance is unprecedented and to the best of my knowledge hasn’t been seen anywhere else in the literature. The decrease</w:t>
      </w:r>
      <w:r w:rsidR="004B4037">
        <w:rPr>
          <w:rFonts w:ascii="Arial" w:hAnsi="Arial" w:cs="Arial"/>
        </w:rPr>
        <w:t xml:space="preserve"> in resistance</w:t>
      </w:r>
      <w:r w:rsidR="00E47EE7" w:rsidRPr="0092670C">
        <w:rPr>
          <w:rFonts w:ascii="Arial" w:hAnsi="Arial" w:cs="Arial"/>
        </w:rPr>
        <w:t xml:space="preserve"> suggests that the FEC decomposed to form LiF crystals facilitating increasing Li transport through the SEI. </w:t>
      </w:r>
      <w:r w:rsidR="00F927B8" w:rsidRPr="0092670C">
        <w:rPr>
          <w:rFonts w:ascii="Arial" w:hAnsi="Arial" w:cs="Arial"/>
        </w:rPr>
        <w:t xml:space="preserve">This </w:t>
      </w:r>
      <w:r w:rsidR="008C0833" w:rsidRPr="0092670C">
        <w:rPr>
          <w:rFonts w:ascii="Arial" w:hAnsi="Arial" w:cs="Arial"/>
        </w:rPr>
        <w:t xml:space="preserve">helps to explain the consistent cell performance with any </w:t>
      </w:r>
      <w:r w:rsidR="0037471F" w:rsidRPr="0092670C">
        <w:rPr>
          <w:rFonts w:ascii="Arial" w:hAnsi="Arial" w:cs="Arial"/>
        </w:rPr>
        <w:t xml:space="preserve">Li loss being compensated for by the reduced </w:t>
      </w:r>
      <w:r w:rsidR="009D2E19" w:rsidRPr="0092670C">
        <w:rPr>
          <w:rFonts w:ascii="Arial" w:hAnsi="Arial" w:cs="Arial"/>
        </w:rPr>
        <w:t>resistance</w:t>
      </w:r>
      <w:r w:rsidR="0037471F" w:rsidRPr="0092670C">
        <w:rPr>
          <w:rFonts w:ascii="Arial" w:hAnsi="Arial" w:cs="Arial"/>
        </w:rPr>
        <w:t>.</w:t>
      </w:r>
      <w:r w:rsidR="009D2E19" w:rsidRPr="0092670C">
        <w:rPr>
          <w:rFonts w:ascii="Arial" w:hAnsi="Arial" w:cs="Arial"/>
        </w:rPr>
        <w:t xml:space="preserve"> </w:t>
      </w:r>
    </w:p>
    <w:p w14:paraId="33413F8A" w14:textId="536973DF" w:rsidR="0006400F" w:rsidRPr="0092670C" w:rsidRDefault="00CD79AE" w:rsidP="00A93DD5">
      <w:pPr>
        <w:spacing w:line="360" w:lineRule="auto"/>
        <w:jc w:val="both"/>
        <w:rPr>
          <w:rFonts w:ascii="Arial" w:hAnsi="Arial" w:cs="Arial"/>
        </w:rPr>
      </w:pPr>
      <w:r w:rsidRPr="0092670C">
        <w:rPr>
          <w:rFonts w:ascii="Arial" w:hAnsi="Arial" w:cs="Arial"/>
        </w:rPr>
        <w:t>The acceleration in</w:t>
      </w:r>
      <w:r w:rsidR="007C26EA" w:rsidRPr="0092670C">
        <w:rPr>
          <w:rFonts w:ascii="Arial" w:hAnsi="Arial" w:cs="Arial"/>
        </w:rPr>
        <w:t xml:space="preserve"> resistance </w:t>
      </w:r>
      <w:r w:rsidR="005156C3" w:rsidRPr="0092670C">
        <w:rPr>
          <w:rFonts w:ascii="Arial" w:hAnsi="Arial" w:cs="Arial"/>
        </w:rPr>
        <w:t xml:space="preserve">seen with </w:t>
      </w:r>
      <w:r w:rsidR="003B4919" w:rsidRPr="0092670C">
        <w:rPr>
          <w:rFonts w:ascii="Arial" w:hAnsi="Arial" w:cs="Arial"/>
        </w:rPr>
        <w:t xml:space="preserve">the FEC LP30 cell </w:t>
      </w:r>
      <w:r w:rsidR="006573AE" w:rsidRPr="0092670C">
        <w:rPr>
          <w:rFonts w:ascii="Arial" w:hAnsi="Arial" w:cs="Arial"/>
        </w:rPr>
        <w:t xml:space="preserve">shows that the SEI exchange is </w:t>
      </w:r>
      <w:r w:rsidR="00CB6F6F" w:rsidRPr="0092670C">
        <w:rPr>
          <w:rFonts w:ascii="Arial" w:hAnsi="Arial" w:cs="Arial"/>
        </w:rPr>
        <w:t>creating an SEI that</w:t>
      </w:r>
      <w:r w:rsidR="00700F9D" w:rsidRPr="0092670C">
        <w:rPr>
          <w:rFonts w:ascii="Arial" w:hAnsi="Arial" w:cs="Arial"/>
        </w:rPr>
        <w:t xml:space="preserve"> </w:t>
      </w:r>
      <w:r w:rsidR="00602A8D" w:rsidRPr="0092670C">
        <w:rPr>
          <w:rFonts w:ascii="Arial" w:hAnsi="Arial" w:cs="Arial"/>
        </w:rPr>
        <w:t>isn</w:t>
      </w:r>
      <w:r w:rsidR="009110BB" w:rsidRPr="0092670C">
        <w:rPr>
          <w:rFonts w:ascii="Arial" w:hAnsi="Arial" w:cs="Arial"/>
        </w:rPr>
        <w:t>’t as efficient at Li ion transport. This</w:t>
      </w:r>
      <w:r w:rsidR="00933B97" w:rsidRPr="0092670C">
        <w:rPr>
          <w:rFonts w:ascii="Arial" w:hAnsi="Arial" w:cs="Arial"/>
        </w:rPr>
        <w:t xml:space="preserve"> acceleration therefore explains the capacity fade seen where the </w:t>
      </w:r>
      <w:r w:rsidR="00CB72A2" w:rsidRPr="0092670C">
        <w:rPr>
          <w:rFonts w:ascii="Arial" w:hAnsi="Arial" w:cs="Arial"/>
        </w:rPr>
        <w:t xml:space="preserve">previously </w:t>
      </w:r>
      <w:r w:rsidR="00AE346A" w:rsidRPr="0092670C">
        <w:rPr>
          <w:rFonts w:ascii="Arial" w:hAnsi="Arial" w:cs="Arial"/>
        </w:rPr>
        <w:t>stable, thin,</w:t>
      </w:r>
      <w:r w:rsidR="008E54F7" w:rsidRPr="0092670C">
        <w:rPr>
          <w:rFonts w:ascii="Arial" w:hAnsi="Arial" w:cs="Arial"/>
        </w:rPr>
        <w:t xml:space="preserve"> conductive FEC based SEI is replaced with a </w:t>
      </w:r>
      <w:r w:rsidR="00D47AD0" w:rsidRPr="0092670C">
        <w:rPr>
          <w:rFonts w:ascii="Arial" w:hAnsi="Arial" w:cs="Arial"/>
        </w:rPr>
        <w:t>thicker</w:t>
      </w:r>
      <w:r w:rsidR="00D60364" w:rsidRPr="0092670C">
        <w:rPr>
          <w:rFonts w:ascii="Arial" w:hAnsi="Arial" w:cs="Arial"/>
        </w:rPr>
        <w:t xml:space="preserve">, more resistive SEI. </w:t>
      </w:r>
      <w:r w:rsidR="00C07934" w:rsidRPr="0092670C">
        <w:rPr>
          <w:rFonts w:ascii="Arial" w:hAnsi="Arial" w:cs="Arial"/>
        </w:rPr>
        <w:t>Th</w:t>
      </w:r>
      <w:r w:rsidR="00BA25A0" w:rsidRPr="0092670C">
        <w:rPr>
          <w:rFonts w:ascii="Arial" w:hAnsi="Arial" w:cs="Arial"/>
        </w:rPr>
        <w:t xml:space="preserve">is can be compared to the cell that wasn’t pre-lithiated but cycled in </w:t>
      </w:r>
      <w:r w:rsidR="00312E31" w:rsidRPr="0092670C">
        <w:rPr>
          <w:rFonts w:ascii="Arial" w:hAnsi="Arial" w:cs="Arial"/>
        </w:rPr>
        <w:t xml:space="preserve">electrolyte containing FEC whose resistance didn’t </w:t>
      </w:r>
      <w:r w:rsidR="00B46421" w:rsidRPr="0092670C">
        <w:rPr>
          <w:rFonts w:ascii="Arial" w:hAnsi="Arial" w:cs="Arial"/>
        </w:rPr>
        <w:t>grow after the 50</w:t>
      </w:r>
      <w:r w:rsidR="00B46421" w:rsidRPr="0092670C">
        <w:rPr>
          <w:rFonts w:ascii="Arial" w:hAnsi="Arial" w:cs="Arial"/>
          <w:vertAlign w:val="superscript"/>
        </w:rPr>
        <w:t>th</w:t>
      </w:r>
      <w:r w:rsidR="00B46421" w:rsidRPr="0092670C">
        <w:rPr>
          <w:rFonts w:ascii="Arial" w:hAnsi="Arial" w:cs="Arial"/>
        </w:rPr>
        <w:t xml:space="preserve"> cycle</w:t>
      </w:r>
      <w:r w:rsidR="00007ACF" w:rsidRPr="0092670C">
        <w:rPr>
          <w:rFonts w:ascii="Arial" w:hAnsi="Arial" w:cs="Arial"/>
        </w:rPr>
        <w:t>.</w:t>
      </w:r>
      <w:r w:rsidR="00645D6C" w:rsidRPr="0092670C">
        <w:rPr>
          <w:rFonts w:ascii="Arial" w:hAnsi="Arial" w:cs="Arial"/>
        </w:rPr>
        <w:t xml:space="preserve"> </w:t>
      </w:r>
      <w:r w:rsidR="00B46421" w:rsidRPr="0092670C">
        <w:rPr>
          <w:rFonts w:ascii="Arial" w:hAnsi="Arial" w:cs="Arial"/>
        </w:rPr>
        <w:t xml:space="preserve"> </w:t>
      </w:r>
    </w:p>
    <w:p w14:paraId="433BCDDA" w14:textId="5E641E48" w:rsidR="002307B1" w:rsidRPr="0092670C" w:rsidRDefault="0067644A" w:rsidP="002307B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61EE19BF">
          <v:shape id="_x0000_i1130" type="#_x0000_t75" style="width:353.9pt;height:282.2pt" o:ole="">
            <v:imagedata r:id="rId267" o:title=""/>
          </v:shape>
          <o:OLEObject Type="Embed" ProgID="Origin95.Graph" ShapeID="_x0000_i1130" DrawAspect="Content" ObjectID="_1700734019" r:id="rId268"/>
        </w:object>
      </w:r>
    </w:p>
    <w:p w14:paraId="732C26E5" w14:textId="417109B0" w:rsidR="005747DE" w:rsidRPr="0092670C" w:rsidRDefault="002307B1" w:rsidP="002307B1">
      <w:pPr>
        <w:pStyle w:val="Caption"/>
        <w:jc w:val="center"/>
        <w:rPr>
          <w:rFonts w:ascii="Arial" w:hAnsi="Arial" w:cs="Arial"/>
          <w:sz w:val="20"/>
          <w:szCs w:val="20"/>
        </w:rPr>
      </w:pPr>
      <w:bookmarkStart w:id="281" w:name="_Ref31228542"/>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bookmarkEnd w:id="281"/>
      <w:r w:rsidRPr="0092670C">
        <w:rPr>
          <w:rFonts w:ascii="Arial" w:hAnsi="Arial" w:cs="Arial"/>
          <w:sz w:val="20"/>
          <w:szCs w:val="20"/>
        </w:rPr>
        <w:t xml:space="preserve">:  </w:t>
      </w:r>
      <w:r w:rsidR="00504EAC" w:rsidRPr="0092670C">
        <w:rPr>
          <w:rFonts w:ascii="Arial" w:hAnsi="Arial" w:cs="Arial"/>
          <w:sz w:val="20"/>
          <w:szCs w:val="20"/>
        </w:rPr>
        <w:t>C</w:t>
      </w:r>
      <w:r w:rsidRPr="0092670C">
        <w:rPr>
          <w:rFonts w:ascii="Arial" w:hAnsi="Arial" w:cs="Arial"/>
          <w:sz w:val="20"/>
          <w:szCs w:val="20"/>
        </w:rPr>
        <w:t>hanges</w:t>
      </w:r>
      <w:r w:rsidR="00E62C6C" w:rsidRPr="0092670C">
        <w:rPr>
          <w:rFonts w:ascii="Arial" w:hAnsi="Arial" w:cs="Arial"/>
          <w:sz w:val="20"/>
          <w:szCs w:val="20"/>
        </w:rPr>
        <w:t xml:space="preserve"> to the SEI resistance with increasing cycle number</w:t>
      </w:r>
      <w:r w:rsidRPr="0092670C">
        <w:rPr>
          <w:rFonts w:ascii="Arial" w:hAnsi="Arial" w:cs="Arial"/>
          <w:sz w:val="20"/>
          <w:szCs w:val="20"/>
        </w:rPr>
        <w:t xml:space="preserve"> for graphite cells</w:t>
      </w:r>
      <w:r w:rsidR="005164DC" w:rsidRPr="0092670C">
        <w:rPr>
          <w:rFonts w:ascii="Arial" w:hAnsi="Arial" w:cs="Arial"/>
          <w:sz w:val="20"/>
          <w:szCs w:val="20"/>
        </w:rPr>
        <w:t xml:space="preserve"> in the charged state</w:t>
      </w:r>
      <w:r w:rsidR="00504EAC" w:rsidRPr="0092670C">
        <w:rPr>
          <w:rFonts w:ascii="Arial" w:hAnsi="Arial" w:cs="Arial"/>
          <w:sz w:val="20"/>
          <w:szCs w:val="20"/>
        </w:rPr>
        <w:t>.</w:t>
      </w:r>
    </w:p>
    <w:p w14:paraId="0722B1EE" w14:textId="54B38222" w:rsidR="0081732E" w:rsidRDefault="00C144F8" w:rsidP="00A93DD5">
      <w:pPr>
        <w:spacing w:line="360" w:lineRule="auto"/>
        <w:jc w:val="both"/>
        <w:rPr>
          <w:rFonts w:ascii="Arial" w:hAnsi="Arial" w:cs="Arial"/>
        </w:rPr>
      </w:pPr>
      <w:r w:rsidRPr="0092670C">
        <w:rPr>
          <w:rFonts w:ascii="Arial" w:hAnsi="Arial" w:cs="Arial"/>
        </w:rPr>
        <w:t>Di</w:t>
      </w:r>
      <w:r w:rsidR="008B5723" w:rsidRPr="0092670C">
        <w:rPr>
          <w:rFonts w:ascii="Arial" w:hAnsi="Arial" w:cs="Arial"/>
        </w:rPr>
        <w:t xml:space="preserve">fferential capacity plots of the cells also </w:t>
      </w:r>
      <w:r w:rsidR="00D1429C" w:rsidRPr="0092670C">
        <w:rPr>
          <w:rFonts w:ascii="Arial" w:hAnsi="Arial" w:cs="Arial"/>
        </w:rPr>
        <w:t>display</w:t>
      </w:r>
      <w:r w:rsidR="0027208D" w:rsidRPr="0092670C">
        <w:rPr>
          <w:rFonts w:ascii="Arial" w:hAnsi="Arial" w:cs="Arial"/>
        </w:rPr>
        <w:t xml:space="preserve"> </w:t>
      </w:r>
      <w:r w:rsidR="00797E86" w:rsidRPr="0092670C">
        <w:rPr>
          <w:rFonts w:ascii="Arial" w:hAnsi="Arial" w:cs="Arial"/>
        </w:rPr>
        <w:t xml:space="preserve">important differences between the reference and </w:t>
      </w:r>
      <w:r w:rsidR="009F2264" w:rsidRPr="0092670C">
        <w:rPr>
          <w:rFonts w:ascii="Arial" w:hAnsi="Arial" w:cs="Arial"/>
        </w:rPr>
        <w:t>pre-lithiated cells</w:t>
      </w:r>
      <w:r w:rsidR="006143FB" w:rsidRPr="0092670C">
        <w:rPr>
          <w:rFonts w:ascii="Arial" w:hAnsi="Arial" w:cs="Arial"/>
        </w:rPr>
        <w:t>.</w:t>
      </w:r>
      <w:r w:rsidR="00E776F4" w:rsidRPr="0092670C">
        <w:rPr>
          <w:rFonts w:ascii="Arial" w:hAnsi="Arial" w:cs="Arial"/>
        </w:rPr>
        <w:t xml:space="preserve"> </w:t>
      </w:r>
      <w:r w:rsidR="00BC1B4C" w:rsidRPr="0092670C">
        <w:rPr>
          <w:rFonts w:ascii="Arial" w:hAnsi="Arial" w:cs="Arial"/>
        </w:rPr>
        <w:t>Note that</w:t>
      </w:r>
      <w:r w:rsidR="00914DD0" w:rsidRPr="0092670C">
        <w:rPr>
          <w:rFonts w:ascii="Arial" w:hAnsi="Arial" w:cs="Arial"/>
        </w:rPr>
        <w:t xml:space="preserve"> ΔV</w:t>
      </w:r>
      <w:r w:rsidR="001419DF" w:rsidRPr="0092670C">
        <w:rPr>
          <w:rFonts w:ascii="Arial" w:hAnsi="Arial" w:cs="Arial"/>
          <w:vertAlign w:val="subscript"/>
        </w:rPr>
        <w:t xml:space="preserve">1 </w:t>
      </w:r>
      <w:r w:rsidR="001419DF" w:rsidRPr="0092670C">
        <w:rPr>
          <w:rFonts w:ascii="Arial" w:hAnsi="Arial" w:cs="Arial"/>
        </w:rPr>
        <w:t>≠</w:t>
      </w:r>
      <w:bookmarkStart w:id="282" w:name="_Hlk19627109"/>
      <w:r w:rsidR="001419DF" w:rsidRPr="0092670C">
        <w:rPr>
          <w:rFonts w:ascii="Arial" w:hAnsi="Arial" w:cs="Arial"/>
        </w:rPr>
        <w:t>ΔV</w:t>
      </w:r>
      <w:r w:rsidR="001419DF" w:rsidRPr="0092670C">
        <w:rPr>
          <w:rFonts w:ascii="Arial" w:hAnsi="Arial" w:cs="Arial"/>
          <w:vertAlign w:val="subscript"/>
        </w:rPr>
        <w:t>2</w:t>
      </w:r>
      <w:bookmarkEnd w:id="282"/>
      <w:r w:rsidR="001419DF" w:rsidRPr="0092670C">
        <w:rPr>
          <w:rFonts w:ascii="Arial" w:hAnsi="Arial" w:cs="Arial"/>
        </w:rPr>
        <w:t xml:space="preserve"> ≠ΔV</w:t>
      </w:r>
      <w:r w:rsidR="001419DF" w:rsidRPr="0092670C">
        <w:rPr>
          <w:rFonts w:ascii="Arial" w:hAnsi="Arial" w:cs="Arial"/>
          <w:vertAlign w:val="subscript"/>
        </w:rPr>
        <w:t>3</w:t>
      </w:r>
      <w:r w:rsidR="00BC1B4C" w:rsidRPr="0092670C">
        <w:rPr>
          <w:rFonts w:ascii="Arial" w:hAnsi="Arial" w:cs="Arial"/>
        </w:rPr>
        <w:t xml:space="preserve"> </w:t>
      </w:r>
      <w:r w:rsidR="00053802" w:rsidRPr="0092670C">
        <w:rPr>
          <w:rFonts w:ascii="Arial" w:hAnsi="Arial" w:cs="Arial"/>
        </w:rPr>
        <w:t xml:space="preserve">and so </w:t>
      </w:r>
      <w:r w:rsidR="0014143F" w:rsidRPr="0092670C">
        <w:rPr>
          <w:rFonts w:ascii="Arial" w:hAnsi="Arial" w:cs="Arial"/>
        </w:rPr>
        <w:t xml:space="preserve">each value needs to be looked at individually. </w:t>
      </w:r>
      <w:r w:rsidR="00B2032F" w:rsidRPr="0092670C">
        <w:rPr>
          <w:rFonts w:ascii="Arial" w:hAnsi="Arial" w:cs="Arial"/>
        </w:rPr>
        <w:fldChar w:fldCharType="begin"/>
      </w:r>
      <w:r w:rsidR="00B2032F" w:rsidRPr="0092670C">
        <w:rPr>
          <w:rFonts w:ascii="Arial" w:hAnsi="Arial" w:cs="Arial"/>
        </w:rPr>
        <w:instrText xml:space="preserve"> REF _Ref31227763 \h </w:instrText>
      </w:r>
      <w:r w:rsidR="00651EFE" w:rsidRPr="0092670C">
        <w:rPr>
          <w:rFonts w:ascii="Arial" w:hAnsi="Arial" w:cs="Arial"/>
        </w:rPr>
        <w:instrText xml:space="preserve"> \* MERGEFORMAT </w:instrText>
      </w:r>
      <w:r w:rsidR="00B2032F" w:rsidRPr="0092670C">
        <w:rPr>
          <w:rFonts w:ascii="Arial" w:hAnsi="Arial" w:cs="Arial"/>
        </w:rPr>
      </w:r>
      <w:r w:rsidR="00B2032F"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6</w:t>
      </w:r>
      <w:r w:rsidR="00B2032F" w:rsidRPr="0092670C">
        <w:rPr>
          <w:rFonts w:ascii="Arial" w:hAnsi="Arial" w:cs="Arial"/>
        </w:rPr>
        <w:fldChar w:fldCharType="end"/>
      </w:r>
      <w:r w:rsidR="00B2032F" w:rsidRPr="0092670C">
        <w:rPr>
          <w:rFonts w:ascii="Arial" w:hAnsi="Arial" w:cs="Arial"/>
        </w:rPr>
        <w:t xml:space="preserve"> </w:t>
      </w:r>
      <w:r w:rsidR="006E6451" w:rsidRPr="0092670C">
        <w:rPr>
          <w:rFonts w:ascii="Arial" w:hAnsi="Arial" w:cs="Arial"/>
        </w:rPr>
        <w:t xml:space="preserve">shows how </w:t>
      </w:r>
      <w:bookmarkStart w:id="283" w:name="_Hlk31227999"/>
      <w:r w:rsidR="00A771BA" w:rsidRPr="0092670C">
        <w:rPr>
          <w:rFonts w:ascii="Arial" w:hAnsi="Arial" w:cs="Arial"/>
        </w:rPr>
        <w:t>ΔV</w:t>
      </w:r>
      <w:r w:rsidR="00A771BA" w:rsidRPr="0092670C">
        <w:rPr>
          <w:rFonts w:ascii="Arial" w:hAnsi="Arial" w:cs="Arial"/>
          <w:vertAlign w:val="subscript"/>
        </w:rPr>
        <w:t>1</w:t>
      </w:r>
      <w:bookmarkEnd w:id="283"/>
      <w:r w:rsidR="00664397" w:rsidRPr="0092670C">
        <w:rPr>
          <w:rFonts w:ascii="Arial" w:hAnsi="Arial" w:cs="Arial"/>
        </w:rPr>
        <w:t xml:space="preserve"> </w:t>
      </w:r>
      <w:r w:rsidR="00A659C7" w:rsidRPr="0092670C">
        <w:rPr>
          <w:rFonts w:ascii="Arial" w:hAnsi="Arial" w:cs="Arial"/>
        </w:rPr>
        <w:t xml:space="preserve">values </w:t>
      </w:r>
      <w:r w:rsidR="006E6451" w:rsidRPr="0092670C">
        <w:rPr>
          <w:rFonts w:ascii="Arial" w:hAnsi="Arial" w:cs="Arial"/>
        </w:rPr>
        <w:t xml:space="preserve">are affected by the </w:t>
      </w:r>
      <w:r w:rsidR="00A659C7" w:rsidRPr="0092670C">
        <w:rPr>
          <w:rFonts w:ascii="Arial" w:hAnsi="Arial" w:cs="Arial"/>
        </w:rPr>
        <w:t>pre-lithiation techniques employed</w:t>
      </w:r>
      <w:r w:rsidR="008D5D61" w:rsidRPr="0092670C">
        <w:rPr>
          <w:rFonts w:ascii="Arial" w:hAnsi="Arial" w:cs="Arial"/>
        </w:rPr>
        <w:t xml:space="preserve">. </w:t>
      </w:r>
      <w:r w:rsidR="00D846E5" w:rsidRPr="0092670C">
        <w:rPr>
          <w:rFonts w:ascii="Arial" w:hAnsi="Arial" w:cs="Arial"/>
        </w:rPr>
        <w:t>ΔV</w:t>
      </w:r>
      <w:r w:rsidR="00D846E5" w:rsidRPr="0092670C">
        <w:rPr>
          <w:rFonts w:ascii="Arial" w:hAnsi="Arial" w:cs="Arial"/>
          <w:vertAlign w:val="subscript"/>
        </w:rPr>
        <w:t xml:space="preserve">1 </w:t>
      </w:r>
      <w:r w:rsidR="00A771BA" w:rsidRPr="0092670C">
        <w:rPr>
          <w:rFonts w:ascii="Arial" w:hAnsi="Arial" w:cs="Arial"/>
        </w:rPr>
        <w:t>is the</w:t>
      </w:r>
      <w:r w:rsidR="00D846E5" w:rsidRPr="0092670C">
        <w:rPr>
          <w:rFonts w:ascii="Arial" w:hAnsi="Arial" w:cs="Arial"/>
        </w:rPr>
        <w:t xml:space="preserve"> </w:t>
      </w:r>
      <w:r w:rsidR="009B1562" w:rsidRPr="0092670C">
        <w:rPr>
          <w:rFonts w:ascii="Arial" w:hAnsi="Arial" w:cs="Arial"/>
        </w:rPr>
        <w:t>first</w:t>
      </w:r>
      <w:r w:rsidR="0024794D" w:rsidRPr="0092670C">
        <w:rPr>
          <w:rFonts w:ascii="Arial" w:hAnsi="Arial" w:cs="Arial"/>
        </w:rPr>
        <w:t xml:space="preserve"> transition</w:t>
      </w:r>
      <w:r w:rsidR="009B1562" w:rsidRPr="0092670C">
        <w:rPr>
          <w:rFonts w:ascii="Arial" w:hAnsi="Arial" w:cs="Arial"/>
        </w:rPr>
        <w:t xml:space="preserve"> </w:t>
      </w:r>
      <w:r w:rsidR="00834A3A" w:rsidRPr="0092670C">
        <w:rPr>
          <w:rFonts w:ascii="Arial" w:hAnsi="Arial" w:cs="Arial"/>
        </w:rPr>
        <w:t xml:space="preserve">that occurs </w:t>
      </w:r>
      <w:r w:rsidR="000C2EC3" w:rsidRPr="0092670C">
        <w:rPr>
          <w:rFonts w:ascii="Arial" w:hAnsi="Arial" w:cs="Arial"/>
        </w:rPr>
        <w:t xml:space="preserve">during graphite intercalation and is </w:t>
      </w:r>
      <w:r w:rsidR="00E21DC9" w:rsidRPr="0092670C">
        <w:rPr>
          <w:rFonts w:ascii="Arial" w:hAnsi="Arial" w:cs="Arial"/>
        </w:rPr>
        <w:t>therefore</w:t>
      </w:r>
      <w:r w:rsidR="0024794D" w:rsidRPr="0092670C">
        <w:rPr>
          <w:rFonts w:ascii="Arial" w:hAnsi="Arial" w:cs="Arial"/>
        </w:rPr>
        <w:t xml:space="preserve"> most likely to be affected by </w:t>
      </w:r>
      <w:r w:rsidR="003907B2" w:rsidRPr="0092670C">
        <w:rPr>
          <w:rFonts w:ascii="Arial" w:hAnsi="Arial" w:cs="Arial"/>
        </w:rPr>
        <w:t xml:space="preserve">SEI formation. </w:t>
      </w:r>
      <w:r w:rsidR="002762E3" w:rsidRPr="0092670C">
        <w:rPr>
          <w:rFonts w:ascii="Arial" w:hAnsi="Arial" w:cs="Arial"/>
        </w:rPr>
        <w:t xml:space="preserve">During the early cycles the </w:t>
      </w:r>
      <w:r w:rsidR="001C3AD6" w:rsidRPr="0092670C">
        <w:rPr>
          <w:rFonts w:ascii="Arial" w:hAnsi="Arial" w:cs="Arial"/>
        </w:rPr>
        <w:t xml:space="preserve">LP30 reference cell has the lowest </w:t>
      </w:r>
      <w:bookmarkStart w:id="284" w:name="_Hlk19623861"/>
      <w:bookmarkStart w:id="285" w:name="_Hlk19627415"/>
      <w:r w:rsidR="000A63F5" w:rsidRPr="0092670C">
        <w:rPr>
          <w:rFonts w:ascii="Arial" w:hAnsi="Arial" w:cs="Arial"/>
        </w:rPr>
        <w:t>ΔV</w:t>
      </w:r>
      <w:bookmarkEnd w:id="284"/>
      <w:r w:rsidR="00A82D3B" w:rsidRPr="0092670C">
        <w:rPr>
          <w:rFonts w:ascii="Arial" w:hAnsi="Arial" w:cs="Arial"/>
          <w:vertAlign w:val="subscript"/>
        </w:rPr>
        <w:t>1</w:t>
      </w:r>
      <w:bookmarkEnd w:id="285"/>
      <w:r w:rsidR="000A63F5" w:rsidRPr="0092670C">
        <w:rPr>
          <w:rFonts w:ascii="Arial" w:hAnsi="Arial" w:cs="Arial"/>
        </w:rPr>
        <w:t xml:space="preserve"> values </w:t>
      </w:r>
      <w:r w:rsidR="00DE1975" w:rsidRPr="0092670C">
        <w:rPr>
          <w:rFonts w:ascii="Arial" w:hAnsi="Arial" w:cs="Arial"/>
        </w:rPr>
        <w:t xml:space="preserve">out of any </w:t>
      </w:r>
      <w:r w:rsidR="00D308B1" w:rsidRPr="0092670C">
        <w:rPr>
          <w:rFonts w:ascii="Arial" w:hAnsi="Arial" w:cs="Arial"/>
        </w:rPr>
        <w:t xml:space="preserve">of the cells </w:t>
      </w:r>
      <w:r w:rsidR="00A72B97" w:rsidRPr="0092670C">
        <w:rPr>
          <w:rFonts w:ascii="Arial" w:hAnsi="Arial" w:cs="Arial"/>
        </w:rPr>
        <w:t xml:space="preserve">but it rises rapidly </w:t>
      </w:r>
      <w:r w:rsidR="00261E53" w:rsidRPr="0092670C">
        <w:rPr>
          <w:rFonts w:ascii="Arial" w:hAnsi="Arial" w:cs="Arial"/>
        </w:rPr>
        <w:t xml:space="preserve">as the cycle number increases. </w:t>
      </w:r>
    </w:p>
    <w:p w14:paraId="347FE2F9" w14:textId="77777777" w:rsidR="0081732E" w:rsidRPr="0092670C" w:rsidRDefault="0067644A" w:rsidP="0081732E">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21CC4500">
          <v:shape id="_x0000_i1131" type="#_x0000_t75" style="width:300.2pt;height:239.8pt" o:ole="">
            <v:imagedata r:id="rId269" o:title=""/>
          </v:shape>
          <o:OLEObject Type="Embed" ProgID="Origin95.Graph" ShapeID="_x0000_i1131" DrawAspect="Content" ObjectID="_1700734020" r:id="rId270"/>
        </w:object>
      </w:r>
    </w:p>
    <w:p w14:paraId="2933395C" w14:textId="77DDCDEE" w:rsidR="0081732E" w:rsidRPr="0092670C" w:rsidRDefault="0081732E" w:rsidP="0081732E">
      <w:pPr>
        <w:pStyle w:val="Caption"/>
        <w:jc w:val="center"/>
        <w:rPr>
          <w:rFonts w:ascii="Arial" w:hAnsi="Arial" w:cs="Arial"/>
          <w:sz w:val="20"/>
          <w:szCs w:val="20"/>
        </w:rPr>
      </w:pPr>
      <w:bookmarkStart w:id="286" w:name="_Ref31227763"/>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bookmarkEnd w:id="286"/>
      <w:r w:rsidRPr="0092670C">
        <w:rPr>
          <w:rFonts w:ascii="Arial" w:hAnsi="Arial" w:cs="Arial"/>
          <w:sz w:val="20"/>
          <w:szCs w:val="20"/>
        </w:rPr>
        <w:t>: The impact of increasing cycle number on ΔV</w:t>
      </w:r>
      <w:r w:rsidRPr="0092670C">
        <w:rPr>
          <w:rFonts w:ascii="Arial" w:hAnsi="Arial" w:cs="Arial"/>
          <w:sz w:val="20"/>
          <w:szCs w:val="20"/>
          <w:vertAlign w:val="subscript"/>
        </w:rPr>
        <w:t>1</w:t>
      </w:r>
      <w:r w:rsidRPr="0092670C">
        <w:rPr>
          <w:rFonts w:ascii="Arial" w:hAnsi="Arial" w:cs="Arial"/>
          <w:sz w:val="20"/>
          <w:szCs w:val="20"/>
        </w:rPr>
        <w:t xml:space="preserve"> values.</w:t>
      </w:r>
    </w:p>
    <w:p w14:paraId="758226B7" w14:textId="77777777" w:rsidR="0081732E" w:rsidRDefault="0081732E" w:rsidP="00A93DD5">
      <w:pPr>
        <w:spacing w:line="360" w:lineRule="auto"/>
        <w:jc w:val="both"/>
        <w:rPr>
          <w:rFonts w:ascii="Arial" w:hAnsi="Arial" w:cs="Arial"/>
        </w:rPr>
      </w:pPr>
    </w:p>
    <w:p w14:paraId="31996EF7" w14:textId="2379A872" w:rsidR="00AC3D89" w:rsidRPr="0092670C" w:rsidRDefault="00A82D3B" w:rsidP="00A93DD5">
      <w:pPr>
        <w:spacing w:line="360" w:lineRule="auto"/>
        <w:jc w:val="both"/>
        <w:rPr>
          <w:rFonts w:ascii="Arial" w:hAnsi="Arial" w:cs="Arial"/>
        </w:rPr>
      </w:pPr>
      <w:r w:rsidRPr="0092670C">
        <w:rPr>
          <w:rFonts w:ascii="Arial" w:hAnsi="Arial" w:cs="Arial"/>
        </w:rPr>
        <w:t>This i</w:t>
      </w:r>
      <w:r w:rsidR="005733E0" w:rsidRPr="0092670C">
        <w:rPr>
          <w:rFonts w:ascii="Arial" w:hAnsi="Arial" w:cs="Arial"/>
        </w:rPr>
        <w:t>ncrease ties in with</w:t>
      </w:r>
      <w:r w:rsidR="008442FF" w:rsidRPr="0092670C">
        <w:rPr>
          <w:rFonts w:ascii="Arial" w:hAnsi="Arial" w:cs="Arial"/>
        </w:rPr>
        <w:t xml:space="preserve"> the capacity fad</w:t>
      </w:r>
      <w:r w:rsidR="00856B78" w:rsidRPr="0092670C">
        <w:rPr>
          <w:rFonts w:ascii="Arial" w:hAnsi="Arial" w:cs="Arial"/>
        </w:rPr>
        <w:t>e</w:t>
      </w:r>
      <w:r w:rsidR="008442FF" w:rsidRPr="0092670C">
        <w:rPr>
          <w:rFonts w:ascii="Arial" w:hAnsi="Arial" w:cs="Arial"/>
        </w:rPr>
        <w:t xml:space="preserve"> se</w:t>
      </w:r>
      <w:r w:rsidR="00856B78" w:rsidRPr="0092670C">
        <w:rPr>
          <w:rFonts w:ascii="Arial" w:hAnsi="Arial" w:cs="Arial"/>
        </w:rPr>
        <w:t>en</w:t>
      </w:r>
      <w:r w:rsidR="001E3EB9" w:rsidRPr="0092670C">
        <w:rPr>
          <w:rFonts w:ascii="Arial" w:hAnsi="Arial" w:cs="Arial"/>
        </w:rPr>
        <w:t xml:space="preserve"> in the cell</w:t>
      </w:r>
      <w:r w:rsidR="00341E75" w:rsidRPr="0092670C">
        <w:rPr>
          <w:rFonts w:ascii="Arial" w:hAnsi="Arial" w:cs="Arial"/>
        </w:rPr>
        <w:t xml:space="preserve"> and suggests that the </w:t>
      </w:r>
      <w:r w:rsidR="00491817" w:rsidRPr="0092670C">
        <w:rPr>
          <w:rFonts w:ascii="Arial" w:hAnsi="Arial" w:cs="Arial"/>
        </w:rPr>
        <w:t>SEI is</w:t>
      </w:r>
      <w:r w:rsidR="006C12EC" w:rsidRPr="0092670C">
        <w:rPr>
          <w:rFonts w:ascii="Arial" w:hAnsi="Arial" w:cs="Arial"/>
        </w:rPr>
        <w:t xml:space="preserve"> starting to impede the cell</w:t>
      </w:r>
      <w:r w:rsidR="00104C4D" w:rsidRPr="0092670C">
        <w:rPr>
          <w:rFonts w:ascii="Arial" w:hAnsi="Arial" w:cs="Arial"/>
        </w:rPr>
        <w:t>’</w:t>
      </w:r>
      <w:r w:rsidR="006C12EC" w:rsidRPr="0092670C">
        <w:rPr>
          <w:rFonts w:ascii="Arial" w:hAnsi="Arial" w:cs="Arial"/>
        </w:rPr>
        <w:t>s functioning</w:t>
      </w:r>
      <w:r w:rsidR="001E3EB9" w:rsidRPr="0092670C">
        <w:rPr>
          <w:rFonts w:ascii="Arial" w:hAnsi="Arial" w:cs="Arial"/>
        </w:rPr>
        <w:t xml:space="preserve">. </w:t>
      </w:r>
      <w:r w:rsidR="00107829" w:rsidRPr="0092670C">
        <w:rPr>
          <w:rFonts w:ascii="Arial" w:hAnsi="Arial" w:cs="Arial"/>
        </w:rPr>
        <w:t>The increases for the FEC</w:t>
      </w:r>
      <w:r w:rsidR="004D3657" w:rsidRPr="0092670C">
        <w:rPr>
          <w:rFonts w:ascii="Arial" w:hAnsi="Arial" w:cs="Arial"/>
        </w:rPr>
        <w:t>+</w:t>
      </w:r>
      <w:r w:rsidR="00BA6E00" w:rsidRPr="0092670C">
        <w:rPr>
          <w:rFonts w:ascii="Arial" w:hAnsi="Arial" w:cs="Arial"/>
        </w:rPr>
        <w:t xml:space="preserve">FEC cell are much smaller </w:t>
      </w:r>
      <w:r w:rsidR="002C0884" w:rsidRPr="0092670C">
        <w:rPr>
          <w:rFonts w:ascii="Arial" w:hAnsi="Arial" w:cs="Arial"/>
        </w:rPr>
        <w:t xml:space="preserve">and ties </w:t>
      </w:r>
      <w:r w:rsidR="00B07826" w:rsidRPr="0092670C">
        <w:rPr>
          <w:rFonts w:ascii="Arial" w:hAnsi="Arial" w:cs="Arial"/>
        </w:rPr>
        <w:t>a</w:t>
      </w:r>
      <w:r w:rsidR="008806E0" w:rsidRPr="0092670C">
        <w:rPr>
          <w:rFonts w:ascii="Arial" w:hAnsi="Arial" w:cs="Arial"/>
        </w:rPr>
        <w:t xml:space="preserve">fter 100 cycles it is still below </w:t>
      </w:r>
      <w:r w:rsidR="00A838A3" w:rsidRPr="0092670C">
        <w:rPr>
          <w:rFonts w:ascii="Arial" w:hAnsi="Arial" w:cs="Arial"/>
        </w:rPr>
        <w:t>60</w:t>
      </w:r>
      <w:r w:rsidR="0083488C">
        <w:rPr>
          <w:rFonts w:ascii="Arial" w:hAnsi="Arial" w:cs="Arial"/>
        </w:rPr>
        <w:t xml:space="preserve"> </w:t>
      </w:r>
      <w:r w:rsidR="00A838A3" w:rsidRPr="0092670C">
        <w:rPr>
          <w:rFonts w:ascii="Arial" w:hAnsi="Arial" w:cs="Arial"/>
        </w:rPr>
        <w:t xml:space="preserve">mV </w:t>
      </w:r>
      <w:r w:rsidR="002343B7" w:rsidRPr="0092670C">
        <w:rPr>
          <w:rFonts w:ascii="Arial" w:hAnsi="Arial" w:cs="Arial"/>
        </w:rPr>
        <w:t>which is close to fully reversible</w:t>
      </w:r>
      <w:r w:rsidR="002C3C5F" w:rsidRPr="0092670C">
        <w:rPr>
          <w:rFonts w:ascii="Arial" w:hAnsi="Arial" w:cs="Arial"/>
        </w:rPr>
        <w:t xml:space="preserve"> (56.5</w:t>
      </w:r>
      <w:r w:rsidR="0083488C">
        <w:rPr>
          <w:rFonts w:ascii="Arial" w:hAnsi="Arial" w:cs="Arial"/>
        </w:rPr>
        <w:t xml:space="preserve"> </w:t>
      </w:r>
      <w:r w:rsidR="002C3C5F" w:rsidRPr="0092670C">
        <w:rPr>
          <w:rFonts w:ascii="Arial" w:hAnsi="Arial" w:cs="Arial"/>
        </w:rPr>
        <w:t>mV for a</w:t>
      </w:r>
      <w:r w:rsidR="00F47485" w:rsidRPr="0092670C">
        <w:rPr>
          <w:rFonts w:ascii="Arial" w:hAnsi="Arial" w:cs="Arial"/>
        </w:rPr>
        <w:t>n ideal</w:t>
      </w:r>
      <w:r w:rsidR="002C3C5F" w:rsidRPr="0092670C">
        <w:rPr>
          <w:rFonts w:ascii="Arial" w:hAnsi="Arial" w:cs="Arial"/>
        </w:rPr>
        <w:t xml:space="preserve"> 1 electron couple). </w:t>
      </w:r>
      <w:r w:rsidR="00D104F3" w:rsidRPr="0092670C">
        <w:rPr>
          <w:rFonts w:ascii="Arial" w:hAnsi="Arial" w:cs="Arial"/>
        </w:rPr>
        <w:t xml:space="preserve">The </w:t>
      </w:r>
      <w:r w:rsidR="00806433" w:rsidRPr="0092670C">
        <w:rPr>
          <w:rFonts w:ascii="Arial" w:hAnsi="Arial" w:cs="Arial"/>
        </w:rPr>
        <w:t>LP30 +FEC cell</w:t>
      </w:r>
      <w:r w:rsidR="00A811D2" w:rsidRPr="0092670C">
        <w:rPr>
          <w:rFonts w:ascii="Arial" w:hAnsi="Arial" w:cs="Arial"/>
        </w:rPr>
        <w:t xml:space="preserve"> </w:t>
      </w:r>
      <w:r w:rsidR="000624C2" w:rsidRPr="0092670C">
        <w:rPr>
          <w:rFonts w:ascii="Arial" w:hAnsi="Arial" w:cs="Arial"/>
        </w:rPr>
        <w:t>ΔV</w:t>
      </w:r>
      <w:r w:rsidR="000624C2" w:rsidRPr="0092670C">
        <w:rPr>
          <w:rFonts w:ascii="Arial" w:hAnsi="Arial" w:cs="Arial"/>
          <w:vertAlign w:val="subscript"/>
        </w:rPr>
        <w:t xml:space="preserve">1 </w:t>
      </w:r>
      <w:r w:rsidR="000624C2" w:rsidRPr="0092670C">
        <w:rPr>
          <w:rFonts w:ascii="Arial" w:hAnsi="Arial" w:cs="Arial"/>
        </w:rPr>
        <w:t xml:space="preserve">values </w:t>
      </w:r>
      <w:r w:rsidR="00A554F3" w:rsidRPr="0092670C">
        <w:rPr>
          <w:rFonts w:ascii="Arial" w:hAnsi="Arial" w:cs="Arial"/>
        </w:rPr>
        <w:t xml:space="preserve">decrease </w:t>
      </w:r>
      <w:r w:rsidR="005A68D6" w:rsidRPr="0092670C">
        <w:rPr>
          <w:rFonts w:ascii="Arial" w:hAnsi="Arial" w:cs="Arial"/>
        </w:rPr>
        <w:t>after the 50</w:t>
      </w:r>
      <w:r w:rsidR="005A68D6" w:rsidRPr="0092670C">
        <w:rPr>
          <w:rFonts w:ascii="Arial" w:hAnsi="Arial" w:cs="Arial"/>
          <w:vertAlign w:val="superscript"/>
        </w:rPr>
        <w:t>th</w:t>
      </w:r>
      <w:r w:rsidR="005A68D6" w:rsidRPr="0092670C">
        <w:rPr>
          <w:rFonts w:ascii="Arial" w:hAnsi="Arial" w:cs="Arial"/>
        </w:rPr>
        <w:t xml:space="preserve"> cycle </w:t>
      </w:r>
      <w:r w:rsidR="00612D55" w:rsidRPr="0092670C">
        <w:rPr>
          <w:rFonts w:ascii="Arial" w:hAnsi="Arial" w:cs="Arial"/>
        </w:rPr>
        <w:t>just as is seen in the EIS data.</w:t>
      </w:r>
      <w:r w:rsidR="00C2216F" w:rsidRPr="0092670C">
        <w:rPr>
          <w:rFonts w:ascii="Arial" w:hAnsi="Arial" w:cs="Arial"/>
        </w:rPr>
        <w:t xml:space="preserve"> </w:t>
      </w:r>
      <w:r w:rsidR="00621228" w:rsidRPr="0092670C">
        <w:rPr>
          <w:rFonts w:ascii="Arial" w:hAnsi="Arial" w:cs="Arial"/>
        </w:rPr>
        <w:t>This is further evidence that the FEC is strengthen</w:t>
      </w:r>
      <w:r w:rsidR="005E084A" w:rsidRPr="0092670C">
        <w:rPr>
          <w:rFonts w:ascii="Arial" w:hAnsi="Arial" w:cs="Arial"/>
        </w:rPr>
        <w:t xml:space="preserve">ing the SEI, reducing its impedance and allowing the cell to </w:t>
      </w:r>
      <w:r w:rsidR="00F47485" w:rsidRPr="0092670C">
        <w:rPr>
          <w:rFonts w:ascii="Arial" w:hAnsi="Arial" w:cs="Arial"/>
        </w:rPr>
        <w:t>cycle</w:t>
      </w:r>
      <w:r w:rsidR="008A7DBE" w:rsidRPr="0092670C">
        <w:rPr>
          <w:rFonts w:ascii="Arial" w:hAnsi="Arial" w:cs="Arial"/>
        </w:rPr>
        <w:t xml:space="preserve"> closer to </w:t>
      </w:r>
      <w:r w:rsidR="008C135D" w:rsidRPr="0092670C">
        <w:rPr>
          <w:rFonts w:ascii="Arial" w:hAnsi="Arial" w:cs="Arial"/>
        </w:rPr>
        <w:t xml:space="preserve">full reversibility. </w:t>
      </w:r>
      <w:r w:rsidR="000B5482" w:rsidRPr="0092670C">
        <w:rPr>
          <w:rFonts w:ascii="Arial" w:hAnsi="Arial" w:cs="Arial"/>
        </w:rPr>
        <w:t xml:space="preserve">The largest </w:t>
      </w:r>
      <w:r w:rsidR="00026EDF" w:rsidRPr="0092670C">
        <w:rPr>
          <w:rFonts w:ascii="Arial" w:hAnsi="Arial" w:cs="Arial"/>
        </w:rPr>
        <w:t>divergence</w:t>
      </w:r>
      <w:r w:rsidR="00FC573B" w:rsidRPr="0092670C">
        <w:rPr>
          <w:rFonts w:ascii="Arial" w:hAnsi="Arial" w:cs="Arial"/>
        </w:rPr>
        <w:t xml:space="preserve"> from the EIS data is </w:t>
      </w:r>
      <w:r w:rsidR="00026EDF" w:rsidRPr="0092670C">
        <w:rPr>
          <w:rFonts w:ascii="Arial" w:hAnsi="Arial" w:cs="Arial"/>
        </w:rPr>
        <w:t xml:space="preserve">that of the LP30 +LP30 cell. </w:t>
      </w:r>
      <w:r w:rsidR="008B0D08" w:rsidRPr="0092670C">
        <w:rPr>
          <w:rFonts w:ascii="Arial" w:hAnsi="Arial" w:cs="Arial"/>
        </w:rPr>
        <w:t>ΔV</w:t>
      </w:r>
      <w:r w:rsidR="008B0D08" w:rsidRPr="0092670C">
        <w:rPr>
          <w:rFonts w:ascii="Arial" w:hAnsi="Arial" w:cs="Arial"/>
          <w:vertAlign w:val="subscript"/>
        </w:rPr>
        <w:t>1</w:t>
      </w:r>
      <w:r w:rsidR="001206BE" w:rsidRPr="0092670C">
        <w:rPr>
          <w:rFonts w:ascii="Arial" w:hAnsi="Arial" w:cs="Arial"/>
        </w:rPr>
        <w:t xml:space="preserve"> shoot</w:t>
      </w:r>
      <w:r w:rsidR="008B0D08" w:rsidRPr="0092670C">
        <w:rPr>
          <w:rFonts w:ascii="Arial" w:hAnsi="Arial" w:cs="Arial"/>
        </w:rPr>
        <w:t>s</w:t>
      </w:r>
      <w:r w:rsidR="001206BE" w:rsidRPr="0092670C">
        <w:rPr>
          <w:rFonts w:ascii="Arial" w:hAnsi="Arial" w:cs="Arial"/>
        </w:rPr>
        <w:t xml:space="preserve"> past the LP30</w:t>
      </w:r>
      <w:r w:rsidR="00375FC7" w:rsidRPr="0092670C">
        <w:rPr>
          <w:rFonts w:ascii="Arial" w:hAnsi="Arial" w:cs="Arial"/>
        </w:rPr>
        <w:t>+ FEC cell to over 100</w:t>
      </w:r>
      <w:r w:rsidR="0083488C">
        <w:rPr>
          <w:rFonts w:ascii="Arial" w:hAnsi="Arial" w:cs="Arial"/>
        </w:rPr>
        <w:t xml:space="preserve"> </w:t>
      </w:r>
      <w:r w:rsidR="00375FC7" w:rsidRPr="0092670C">
        <w:rPr>
          <w:rFonts w:ascii="Arial" w:hAnsi="Arial" w:cs="Arial"/>
        </w:rPr>
        <w:t>mV</w:t>
      </w:r>
      <w:r w:rsidR="008B0D08" w:rsidRPr="0092670C">
        <w:rPr>
          <w:rFonts w:ascii="Arial" w:hAnsi="Arial" w:cs="Arial"/>
        </w:rPr>
        <w:t xml:space="preserve"> </w:t>
      </w:r>
      <w:r w:rsidR="00651950" w:rsidRPr="0092670C">
        <w:rPr>
          <w:rFonts w:ascii="Arial" w:hAnsi="Arial" w:cs="Arial"/>
        </w:rPr>
        <w:t xml:space="preserve">which shows that </w:t>
      </w:r>
      <w:r w:rsidR="0048704A" w:rsidRPr="0092670C">
        <w:rPr>
          <w:rFonts w:ascii="Arial" w:hAnsi="Arial" w:cs="Arial"/>
        </w:rPr>
        <w:t xml:space="preserve">the cell is far from fully reversible </w:t>
      </w:r>
      <w:r w:rsidR="00E5005B" w:rsidRPr="0092670C">
        <w:rPr>
          <w:rFonts w:ascii="Arial" w:hAnsi="Arial" w:cs="Arial"/>
        </w:rPr>
        <w:t>although this is consistent with the capacity fade seen</w:t>
      </w:r>
      <w:r w:rsidR="00375FC7" w:rsidRPr="0092670C">
        <w:rPr>
          <w:rFonts w:ascii="Arial" w:hAnsi="Arial" w:cs="Arial"/>
        </w:rPr>
        <w:t>.</w:t>
      </w:r>
      <w:r w:rsidR="00E5005B" w:rsidRPr="0092670C">
        <w:rPr>
          <w:rFonts w:ascii="Arial" w:hAnsi="Arial" w:cs="Arial"/>
        </w:rPr>
        <w:t xml:space="preserve"> This just shows that whilst EIS and differential capacity </w:t>
      </w:r>
      <w:r w:rsidR="00686755" w:rsidRPr="0092670C">
        <w:rPr>
          <w:rFonts w:ascii="Arial" w:hAnsi="Arial" w:cs="Arial"/>
        </w:rPr>
        <w:t xml:space="preserve">frequently </w:t>
      </w:r>
      <w:r w:rsidR="00B17EB7" w:rsidRPr="0092670C">
        <w:rPr>
          <w:rFonts w:ascii="Arial" w:hAnsi="Arial" w:cs="Arial"/>
        </w:rPr>
        <w:t xml:space="preserve">show the same trends </w:t>
      </w:r>
      <w:r w:rsidR="00890507" w:rsidRPr="0092670C">
        <w:rPr>
          <w:rFonts w:ascii="Arial" w:hAnsi="Arial" w:cs="Arial"/>
        </w:rPr>
        <w:t>they are different techni</w:t>
      </w:r>
      <w:r w:rsidR="001B5476" w:rsidRPr="0092670C">
        <w:rPr>
          <w:rFonts w:ascii="Arial" w:hAnsi="Arial" w:cs="Arial"/>
        </w:rPr>
        <w:t xml:space="preserve">ques </w:t>
      </w:r>
      <w:r w:rsidR="00085A1F" w:rsidRPr="0092670C">
        <w:rPr>
          <w:rFonts w:ascii="Arial" w:hAnsi="Arial" w:cs="Arial"/>
        </w:rPr>
        <w:t xml:space="preserve">and there are different factors that influence them. </w:t>
      </w:r>
      <w:r w:rsidR="00375FC7" w:rsidRPr="0092670C">
        <w:rPr>
          <w:rFonts w:ascii="Arial" w:hAnsi="Arial" w:cs="Arial"/>
        </w:rPr>
        <w:t xml:space="preserve"> </w:t>
      </w:r>
    </w:p>
    <w:p w14:paraId="2ED98369" w14:textId="64E256DC" w:rsidR="002B415D" w:rsidRPr="0092670C" w:rsidRDefault="002B415D" w:rsidP="00A93DD5">
      <w:pPr>
        <w:spacing w:line="360" w:lineRule="auto"/>
        <w:jc w:val="both"/>
        <w:rPr>
          <w:rFonts w:ascii="Arial" w:hAnsi="Arial" w:cs="Arial"/>
        </w:rPr>
      </w:pPr>
      <w:r w:rsidRPr="0092670C">
        <w:rPr>
          <w:rFonts w:ascii="Arial" w:hAnsi="Arial" w:cs="Arial"/>
        </w:rPr>
        <w:t xml:space="preserve">For </w:t>
      </w:r>
      <w:bookmarkStart w:id="287" w:name="_Hlk19631308"/>
      <w:r w:rsidRPr="0092670C">
        <w:rPr>
          <w:rFonts w:ascii="Arial" w:hAnsi="Arial" w:cs="Arial"/>
        </w:rPr>
        <w:t>ΔV</w:t>
      </w:r>
      <w:r w:rsidRPr="0092670C">
        <w:rPr>
          <w:rFonts w:ascii="Arial" w:hAnsi="Arial" w:cs="Arial"/>
          <w:vertAlign w:val="subscript"/>
        </w:rPr>
        <w:t>2</w:t>
      </w:r>
      <w:bookmarkEnd w:id="287"/>
      <w:r w:rsidR="00603608" w:rsidRPr="0092670C">
        <w:rPr>
          <w:rFonts w:ascii="Arial" w:hAnsi="Arial" w:cs="Arial"/>
        </w:rPr>
        <w:t xml:space="preserve"> </w:t>
      </w:r>
      <w:r w:rsidR="0066401E" w:rsidRPr="0092670C">
        <w:rPr>
          <w:rFonts w:ascii="Arial" w:hAnsi="Arial" w:cs="Arial"/>
        </w:rPr>
        <w:t>(</w:t>
      </w:r>
      <w:r w:rsidR="00B2032F" w:rsidRPr="0092670C">
        <w:rPr>
          <w:rFonts w:ascii="Arial" w:hAnsi="Arial" w:cs="Arial"/>
        </w:rPr>
        <w:fldChar w:fldCharType="begin"/>
      </w:r>
      <w:r w:rsidR="00B2032F" w:rsidRPr="0092670C">
        <w:rPr>
          <w:rFonts w:ascii="Arial" w:hAnsi="Arial" w:cs="Arial"/>
        </w:rPr>
        <w:instrText xml:space="preserve"> REF _Ref31227728 \h </w:instrText>
      </w:r>
      <w:r w:rsidR="00651EFE" w:rsidRPr="0092670C">
        <w:rPr>
          <w:rFonts w:ascii="Arial" w:hAnsi="Arial" w:cs="Arial"/>
        </w:rPr>
        <w:instrText xml:space="preserve"> \* MERGEFORMAT </w:instrText>
      </w:r>
      <w:r w:rsidR="00B2032F" w:rsidRPr="0092670C">
        <w:rPr>
          <w:rFonts w:ascii="Arial" w:hAnsi="Arial" w:cs="Arial"/>
        </w:rPr>
      </w:r>
      <w:r w:rsidR="00B2032F"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7</w:t>
      </w:r>
      <w:r w:rsidR="00B2032F" w:rsidRPr="0092670C">
        <w:rPr>
          <w:rFonts w:ascii="Arial" w:hAnsi="Arial" w:cs="Arial"/>
        </w:rPr>
        <w:fldChar w:fldCharType="end"/>
      </w:r>
      <w:r w:rsidR="00B2032F" w:rsidRPr="0092670C">
        <w:rPr>
          <w:rFonts w:ascii="Arial" w:hAnsi="Arial" w:cs="Arial"/>
        </w:rPr>
        <w:t xml:space="preserve">) </w:t>
      </w:r>
      <w:r w:rsidR="0038594B" w:rsidRPr="0092670C">
        <w:rPr>
          <w:rFonts w:ascii="Arial" w:hAnsi="Arial" w:cs="Arial"/>
        </w:rPr>
        <w:t xml:space="preserve">the trends seen in </w:t>
      </w:r>
      <w:bookmarkStart w:id="288" w:name="_Hlk19631291"/>
      <w:r w:rsidR="00243905" w:rsidRPr="0092670C">
        <w:rPr>
          <w:rFonts w:ascii="Arial" w:hAnsi="Arial" w:cs="Arial"/>
        </w:rPr>
        <w:t>ΔV</w:t>
      </w:r>
      <w:r w:rsidR="00243905" w:rsidRPr="0092670C">
        <w:rPr>
          <w:rFonts w:ascii="Arial" w:hAnsi="Arial" w:cs="Arial"/>
          <w:vertAlign w:val="subscript"/>
        </w:rPr>
        <w:t>1</w:t>
      </w:r>
      <w:bookmarkEnd w:id="288"/>
      <w:r w:rsidR="00243905" w:rsidRPr="0092670C">
        <w:rPr>
          <w:rFonts w:ascii="Arial" w:hAnsi="Arial" w:cs="Arial"/>
          <w:vertAlign w:val="subscript"/>
        </w:rPr>
        <w:t xml:space="preserve"> </w:t>
      </w:r>
      <w:r w:rsidR="0038594B" w:rsidRPr="0092670C">
        <w:rPr>
          <w:rFonts w:ascii="Arial" w:hAnsi="Arial" w:cs="Arial"/>
        </w:rPr>
        <w:t>largely remain unchanged.</w:t>
      </w:r>
      <w:r w:rsidR="00CA690A" w:rsidRPr="0092670C">
        <w:rPr>
          <w:rFonts w:ascii="Arial" w:hAnsi="Arial" w:cs="Arial"/>
        </w:rPr>
        <w:t xml:space="preserve"> </w:t>
      </w:r>
      <w:r w:rsidR="00FA2724" w:rsidRPr="0092670C">
        <w:rPr>
          <w:rFonts w:ascii="Arial" w:hAnsi="Arial" w:cs="Arial"/>
        </w:rPr>
        <w:t>The biggest change i</w:t>
      </w:r>
      <w:r w:rsidR="005C472F" w:rsidRPr="0092670C">
        <w:rPr>
          <w:rFonts w:ascii="Arial" w:hAnsi="Arial" w:cs="Arial"/>
        </w:rPr>
        <w:t>s the increase seen in the FEC +</w:t>
      </w:r>
      <w:r w:rsidR="0081732E">
        <w:rPr>
          <w:rFonts w:ascii="Arial" w:hAnsi="Arial" w:cs="Arial"/>
        </w:rPr>
        <w:t xml:space="preserve"> </w:t>
      </w:r>
      <w:r w:rsidR="005C472F" w:rsidRPr="0092670C">
        <w:rPr>
          <w:rFonts w:ascii="Arial" w:hAnsi="Arial" w:cs="Arial"/>
        </w:rPr>
        <w:t xml:space="preserve">LP30 cell. </w:t>
      </w:r>
      <w:r w:rsidR="00C008CE" w:rsidRPr="0092670C">
        <w:rPr>
          <w:rFonts w:ascii="Arial" w:hAnsi="Arial" w:cs="Arial"/>
        </w:rPr>
        <w:t xml:space="preserve">This increase can </w:t>
      </w:r>
      <w:r w:rsidR="00B92B1B" w:rsidRPr="0092670C">
        <w:rPr>
          <w:rFonts w:ascii="Arial" w:hAnsi="Arial" w:cs="Arial"/>
        </w:rPr>
        <w:t xml:space="preserve">again be linked to the capacity fade seen in this cell. The </w:t>
      </w:r>
      <w:r w:rsidR="00066012" w:rsidRPr="0092670C">
        <w:rPr>
          <w:rFonts w:ascii="Arial" w:hAnsi="Arial" w:cs="Arial"/>
        </w:rPr>
        <w:t>differences between</w:t>
      </w:r>
      <w:r w:rsidR="005C472F" w:rsidRPr="0092670C">
        <w:rPr>
          <w:rFonts w:ascii="Arial" w:hAnsi="Arial" w:cs="Arial"/>
        </w:rPr>
        <w:t xml:space="preserve"> </w:t>
      </w:r>
      <w:r w:rsidR="009D6BA9" w:rsidRPr="0092670C">
        <w:rPr>
          <w:rFonts w:ascii="Arial" w:hAnsi="Arial" w:cs="Arial"/>
        </w:rPr>
        <w:t>ΔV</w:t>
      </w:r>
      <w:r w:rsidR="003F0BCD" w:rsidRPr="0092670C">
        <w:rPr>
          <w:rFonts w:ascii="Arial" w:hAnsi="Arial" w:cs="Arial"/>
          <w:vertAlign w:val="subscript"/>
        </w:rPr>
        <w:t xml:space="preserve">1 </w:t>
      </w:r>
      <w:r w:rsidR="003F0BCD" w:rsidRPr="0092670C">
        <w:rPr>
          <w:rFonts w:ascii="Arial" w:hAnsi="Arial" w:cs="Arial"/>
        </w:rPr>
        <w:t>and</w:t>
      </w:r>
      <w:r w:rsidR="009D6BA9" w:rsidRPr="0092670C">
        <w:rPr>
          <w:rFonts w:ascii="Arial" w:hAnsi="Arial" w:cs="Arial"/>
        </w:rPr>
        <w:t xml:space="preserve"> ΔV</w:t>
      </w:r>
      <w:r w:rsidR="009D6BA9" w:rsidRPr="0092670C">
        <w:rPr>
          <w:rFonts w:ascii="Arial" w:hAnsi="Arial" w:cs="Arial"/>
          <w:vertAlign w:val="subscript"/>
        </w:rPr>
        <w:t>2</w:t>
      </w:r>
      <w:r w:rsidR="009D6BA9" w:rsidRPr="0092670C">
        <w:rPr>
          <w:rFonts w:ascii="Arial" w:hAnsi="Arial" w:cs="Arial"/>
        </w:rPr>
        <w:t xml:space="preserve"> </w:t>
      </w:r>
      <w:r w:rsidR="00426C8C" w:rsidRPr="0092670C">
        <w:rPr>
          <w:rFonts w:ascii="Arial" w:hAnsi="Arial" w:cs="Arial"/>
        </w:rPr>
        <w:t xml:space="preserve">are due to the </w:t>
      </w:r>
      <w:r w:rsidR="004246DA" w:rsidRPr="0092670C">
        <w:rPr>
          <w:rFonts w:ascii="Arial" w:hAnsi="Arial" w:cs="Arial"/>
        </w:rPr>
        <w:t>in</w:t>
      </w:r>
      <w:r w:rsidR="00062CF7" w:rsidRPr="0092670C">
        <w:rPr>
          <w:rFonts w:ascii="Arial" w:hAnsi="Arial" w:cs="Arial"/>
        </w:rPr>
        <w:t>se</w:t>
      </w:r>
      <w:r w:rsidR="005B2EF7" w:rsidRPr="0092670C">
        <w:rPr>
          <w:rFonts w:ascii="Arial" w:hAnsi="Arial" w:cs="Arial"/>
        </w:rPr>
        <w:t>nsitivity of</w:t>
      </w:r>
      <w:r w:rsidR="004A09BC" w:rsidRPr="0092670C">
        <w:rPr>
          <w:rFonts w:ascii="Arial" w:hAnsi="Arial" w:cs="Arial"/>
        </w:rPr>
        <w:t xml:space="preserve"> ΔV</w:t>
      </w:r>
      <w:r w:rsidR="004A09BC" w:rsidRPr="0092670C">
        <w:rPr>
          <w:rFonts w:ascii="Arial" w:hAnsi="Arial" w:cs="Arial"/>
          <w:vertAlign w:val="subscript"/>
        </w:rPr>
        <w:t>2</w:t>
      </w:r>
      <w:r w:rsidR="005B2EF7" w:rsidRPr="0092670C">
        <w:rPr>
          <w:rFonts w:ascii="Arial" w:hAnsi="Arial" w:cs="Arial"/>
        </w:rPr>
        <w:t xml:space="preserve"> </w:t>
      </w:r>
      <w:r w:rsidR="00DA1EF8" w:rsidRPr="0092670C">
        <w:rPr>
          <w:rFonts w:ascii="Arial" w:hAnsi="Arial" w:cs="Arial"/>
        </w:rPr>
        <w:t>to the SEI</w:t>
      </w:r>
      <w:r w:rsidR="004246DA" w:rsidRPr="0092670C">
        <w:rPr>
          <w:rFonts w:ascii="Arial" w:hAnsi="Arial" w:cs="Arial"/>
        </w:rPr>
        <w:t xml:space="preserve"> and </w:t>
      </w:r>
      <w:r w:rsidR="00AF270C" w:rsidRPr="0092670C">
        <w:rPr>
          <w:rFonts w:ascii="Arial" w:hAnsi="Arial" w:cs="Arial"/>
        </w:rPr>
        <w:t>it instead</w:t>
      </w:r>
      <w:r w:rsidR="004246DA" w:rsidRPr="0092670C">
        <w:rPr>
          <w:rFonts w:ascii="Arial" w:hAnsi="Arial" w:cs="Arial"/>
        </w:rPr>
        <w:t xml:space="preserve"> is more affected by </w:t>
      </w:r>
      <w:r w:rsidR="008017C7" w:rsidRPr="0092670C">
        <w:rPr>
          <w:rFonts w:ascii="Arial" w:hAnsi="Arial" w:cs="Arial"/>
        </w:rPr>
        <w:t xml:space="preserve">other factors such as the </w:t>
      </w:r>
      <w:r w:rsidR="005660E0" w:rsidRPr="0092670C">
        <w:rPr>
          <w:rFonts w:ascii="Arial" w:hAnsi="Arial" w:cs="Arial"/>
        </w:rPr>
        <w:t>such as graphite integrity an</w:t>
      </w:r>
      <w:r w:rsidR="00603AC4" w:rsidRPr="0092670C">
        <w:rPr>
          <w:rFonts w:ascii="Arial" w:hAnsi="Arial" w:cs="Arial"/>
        </w:rPr>
        <w:t>d co-</w:t>
      </w:r>
      <w:r w:rsidR="00060581" w:rsidRPr="0092670C">
        <w:rPr>
          <w:rFonts w:ascii="Arial" w:hAnsi="Arial" w:cs="Arial"/>
        </w:rPr>
        <w:t>intercalation</w:t>
      </w:r>
      <w:r w:rsidR="00603AC4" w:rsidRPr="0092670C">
        <w:rPr>
          <w:rFonts w:ascii="Arial" w:hAnsi="Arial" w:cs="Arial"/>
        </w:rPr>
        <w:t xml:space="preserve"> as it is the transition from LiC</w:t>
      </w:r>
      <w:r w:rsidR="00603AC4" w:rsidRPr="0092670C">
        <w:rPr>
          <w:rFonts w:ascii="Arial" w:hAnsi="Arial" w:cs="Arial"/>
          <w:vertAlign w:val="subscript"/>
        </w:rPr>
        <w:t>18</w:t>
      </w:r>
      <w:r w:rsidR="00603AC4" w:rsidRPr="0092670C">
        <w:rPr>
          <w:rFonts w:ascii="Arial" w:hAnsi="Arial" w:cs="Arial"/>
        </w:rPr>
        <w:t xml:space="preserve"> to LiC</w:t>
      </w:r>
      <w:r w:rsidR="00603AC4" w:rsidRPr="0092670C">
        <w:rPr>
          <w:rFonts w:ascii="Arial" w:hAnsi="Arial" w:cs="Arial"/>
          <w:vertAlign w:val="subscript"/>
        </w:rPr>
        <w:t>12</w:t>
      </w:r>
      <w:r w:rsidR="00060581" w:rsidRPr="0092670C">
        <w:rPr>
          <w:rFonts w:ascii="Arial" w:hAnsi="Arial" w:cs="Arial"/>
        </w:rPr>
        <w:t xml:space="preserve"> </w:t>
      </w:r>
      <w:r w:rsidR="00080396" w:rsidRPr="0092670C">
        <w:rPr>
          <w:rFonts w:ascii="Arial" w:hAnsi="Arial" w:cs="Arial"/>
        </w:rPr>
        <w:t xml:space="preserve">which is more reliant on </w:t>
      </w:r>
      <w:r w:rsidR="00AB33DE" w:rsidRPr="0092670C">
        <w:rPr>
          <w:rFonts w:ascii="Arial" w:hAnsi="Arial" w:cs="Arial"/>
        </w:rPr>
        <w:t>a structural change (</w:t>
      </w:r>
      <w:r w:rsidR="00A6679B" w:rsidRPr="0092670C">
        <w:rPr>
          <w:rFonts w:ascii="Arial" w:hAnsi="Arial" w:cs="Arial"/>
        </w:rPr>
        <w:t xml:space="preserve">affected by co-intercalation) than lithium flow (which is affected by the SEI). </w:t>
      </w:r>
    </w:p>
    <w:p w14:paraId="4B98B935" w14:textId="1EA5BE8F" w:rsidR="00B80663" w:rsidRPr="0092670C" w:rsidRDefault="00846727" w:rsidP="00A93DD5">
      <w:pPr>
        <w:spacing w:line="360" w:lineRule="auto"/>
        <w:jc w:val="both"/>
        <w:rPr>
          <w:rFonts w:ascii="Arial" w:hAnsi="Arial" w:cs="Arial"/>
        </w:rPr>
      </w:pPr>
      <w:r w:rsidRPr="0092670C">
        <w:rPr>
          <w:rFonts w:ascii="Arial" w:hAnsi="Arial" w:cs="Arial"/>
        </w:rPr>
        <w:t>ΔV</w:t>
      </w:r>
      <w:r w:rsidR="00C54E7D" w:rsidRPr="0092670C">
        <w:rPr>
          <w:rFonts w:ascii="Arial" w:hAnsi="Arial" w:cs="Arial"/>
          <w:vertAlign w:val="subscript"/>
        </w:rPr>
        <w:t>3,</w:t>
      </w:r>
      <w:r w:rsidR="00C54E7D" w:rsidRPr="0092670C">
        <w:rPr>
          <w:rFonts w:ascii="Arial" w:hAnsi="Arial" w:cs="Arial"/>
        </w:rPr>
        <w:t xml:space="preserve"> s</w:t>
      </w:r>
      <w:r w:rsidR="003C696E" w:rsidRPr="0092670C">
        <w:rPr>
          <w:rFonts w:ascii="Arial" w:hAnsi="Arial" w:cs="Arial"/>
        </w:rPr>
        <w:t>hown in</w:t>
      </w:r>
      <w:r w:rsidR="003C696E" w:rsidRPr="0092670C">
        <w:rPr>
          <w:rFonts w:ascii="Arial" w:hAnsi="Arial" w:cs="Arial"/>
          <w:vertAlign w:val="subscript"/>
        </w:rPr>
        <w:t xml:space="preserve"> </w:t>
      </w:r>
      <w:r w:rsidR="00C54E7D" w:rsidRPr="0092670C">
        <w:rPr>
          <w:rFonts w:ascii="Arial" w:hAnsi="Arial" w:cs="Arial"/>
        </w:rPr>
        <w:fldChar w:fldCharType="begin"/>
      </w:r>
      <w:r w:rsidR="00C54E7D" w:rsidRPr="0092670C">
        <w:rPr>
          <w:rFonts w:ascii="Arial" w:hAnsi="Arial" w:cs="Arial"/>
          <w:vertAlign w:val="subscript"/>
        </w:rPr>
        <w:instrText xml:space="preserve"> REF _Ref31227610 \h </w:instrText>
      </w:r>
      <w:r w:rsidR="001D5A7A" w:rsidRPr="0092670C">
        <w:rPr>
          <w:rFonts w:ascii="Arial" w:hAnsi="Arial" w:cs="Arial"/>
        </w:rPr>
        <w:instrText xml:space="preserve"> \* MERGEFORMAT </w:instrText>
      </w:r>
      <w:r w:rsidR="00C54E7D" w:rsidRPr="0092670C">
        <w:rPr>
          <w:rFonts w:ascii="Arial" w:hAnsi="Arial" w:cs="Arial"/>
        </w:rPr>
      </w:r>
      <w:r w:rsidR="00C54E7D"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5</w:t>
      </w:r>
      <w:r w:rsidR="007342C8" w:rsidRPr="007342C8">
        <w:rPr>
          <w:rFonts w:ascii="Arial" w:hAnsi="Arial" w:cs="Arial"/>
          <w:noProof/>
        </w:rPr>
        <w:noBreakHyphen/>
        <w:t>8</w:t>
      </w:r>
      <w:r w:rsidR="00C54E7D" w:rsidRPr="0092670C">
        <w:rPr>
          <w:rFonts w:ascii="Arial" w:hAnsi="Arial" w:cs="Arial"/>
        </w:rPr>
        <w:fldChar w:fldCharType="end"/>
      </w:r>
      <w:r w:rsidR="003C696E" w:rsidRPr="0092670C">
        <w:rPr>
          <w:rFonts w:ascii="Arial" w:hAnsi="Arial" w:cs="Arial"/>
          <w:vertAlign w:val="subscript"/>
        </w:rPr>
        <w:t xml:space="preserve"> </w:t>
      </w:r>
      <w:r w:rsidR="008C44F4" w:rsidRPr="0092670C">
        <w:rPr>
          <w:rFonts w:ascii="Arial" w:hAnsi="Arial" w:cs="Arial"/>
        </w:rPr>
        <w:t xml:space="preserve">best shows the contrast between cells with </w:t>
      </w:r>
      <w:r w:rsidR="00101D91" w:rsidRPr="0092670C">
        <w:rPr>
          <w:rFonts w:ascii="Arial" w:hAnsi="Arial" w:cs="Arial"/>
        </w:rPr>
        <w:t>and without FEC in the electrolyte.</w:t>
      </w:r>
      <w:r w:rsidR="00461A60" w:rsidRPr="0092670C">
        <w:rPr>
          <w:rFonts w:ascii="Arial" w:hAnsi="Arial" w:cs="Arial"/>
        </w:rPr>
        <w:t xml:space="preserve"> The</w:t>
      </w:r>
      <w:r w:rsidRPr="0092670C">
        <w:rPr>
          <w:rFonts w:ascii="Arial" w:hAnsi="Arial" w:cs="Arial"/>
        </w:rPr>
        <w:t xml:space="preserve"> </w:t>
      </w:r>
      <w:r w:rsidR="00DD53DE" w:rsidRPr="0092670C">
        <w:rPr>
          <w:rFonts w:ascii="Arial" w:hAnsi="Arial" w:cs="Arial"/>
        </w:rPr>
        <w:t>r</w:t>
      </w:r>
      <w:r w:rsidR="001F2683" w:rsidRPr="0092670C">
        <w:rPr>
          <w:rFonts w:ascii="Arial" w:hAnsi="Arial" w:cs="Arial"/>
        </w:rPr>
        <w:t>apid increase in ΔV</w:t>
      </w:r>
      <w:r w:rsidR="001F2683" w:rsidRPr="0092670C">
        <w:rPr>
          <w:rFonts w:ascii="Arial" w:hAnsi="Arial" w:cs="Arial"/>
          <w:vertAlign w:val="subscript"/>
        </w:rPr>
        <w:t xml:space="preserve">3 </w:t>
      </w:r>
      <w:r w:rsidR="001F2683" w:rsidRPr="0092670C">
        <w:rPr>
          <w:rFonts w:ascii="Arial" w:hAnsi="Arial" w:cs="Arial"/>
        </w:rPr>
        <w:t xml:space="preserve">values </w:t>
      </w:r>
      <w:r w:rsidR="00AA2D09" w:rsidRPr="0092670C">
        <w:rPr>
          <w:rFonts w:ascii="Arial" w:hAnsi="Arial" w:cs="Arial"/>
        </w:rPr>
        <w:t>after the 50</w:t>
      </w:r>
      <w:r w:rsidR="00AA2D09" w:rsidRPr="0092670C">
        <w:rPr>
          <w:rFonts w:ascii="Arial" w:hAnsi="Arial" w:cs="Arial"/>
          <w:vertAlign w:val="superscript"/>
        </w:rPr>
        <w:t>th</w:t>
      </w:r>
      <w:r w:rsidR="00AA2D09" w:rsidRPr="0092670C">
        <w:rPr>
          <w:rFonts w:ascii="Arial" w:hAnsi="Arial" w:cs="Arial"/>
        </w:rPr>
        <w:t xml:space="preserve"> cycle </w:t>
      </w:r>
      <w:r w:rsidR="00CF1981" w:rsidRPr="0092670C">
        <w:rPr>
          <w:rFonts w:ascii="Arial" w:hAnsi="Arial" w:cs="Arial"/>
        </w:rPr>
        <w:t xml:space="preserve">for the </w:t>
      </w:r>
      <w:r w:rsidR="008C7345" w:rsidRPr="0092670C">
        <w:rPr>
          <w:rFonts w:ascii="Arial" w:hAnsi="Arial" w:cs="Arial"/>
        </w:rPr>
        <w:t xml:space="preserve">LP30 based cells </w:t>
      </w:r>
      <w:r w:rsidR="009D3B72" w:rsidRPr="0092670C">
        <w:rPr>
          <w:rFonts w:ascii="Arial" w:hAnsi="Arial" w:cs="Arial"/>
        </w:rPr>
        <w:t xml:space="preserve">coincides with the </w:t>
      </w:r>
      <w:r w:rsidR="005B11ED" w:rsidRPr="0092670C">
        <w:rPr>
          <w:rFonts w:ascii="Arial" w:hAnsi="Arial" w:cs="Arial"/>
        </w:rPr>
        <w:t xml:space="preserve">capacity fade seen in these cells. </w:t>
      </w:r>
    </w:p>
    <w:p w14:paraId="46A1583B" w14:textId="77777777" w:rsidR="00D64197" w:rsidRPr="0092670C" w:rsidRDefault="0067644A" w:rsidP="00D64197">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7655FB3B">
          <v:shape id="_x0000_i1132" type="#_x0000_t75" style="width:300.2pt;height:239.8pt" o:ole="">
            <v:imagedata r:id="rId271" o:title=""/>
          </v:shape>
          <o:OLEObject Type="Embed" ProgID="Origin95.Graph" ShapeID="_x0000_i1132" DrawAspect="Content" ObjectID="_1700734021" r:id="rId272"/>
        </w:object>
      </w:r>
    </w:p>
    <w:p w14:paraId="5850E5BD" w14:textId="1A26FE58" w:rsidR="00F8458C" w:rsidRPr="0092670C" w:rsidRDefault="00D64197" w:rsidP="00D64197">
      <w:pPr>
        <w:pStyle w:val="Caption"/>
        <w:jc w:val="center"/>
        <w:rPr>
          <w:rFonts w:ascii="Arial" w:hAnsi="Arial" w:cs="Arial"/>
          <w:sz w:val="20"/>
          <w:szCs w:val="20"/>
        </w:rPr>
      </w:pPr>
      <w:bookmarkStart w:id="289" w:name="_Ref31227728"/>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7</w:t>
      </w:r>
      <w:r w:rsidR="00356A26">
        <w:rPr>
          <w:rFonts w:ascii="Arial" w:hAnsi="Arial" w:cs="Arial"/>
          <w:sz w:val="20"/>
          <w:szCs w:val="20"/>
        </w:rPr>
        <w:fldChar w:fldCharType="end"/>
      </w:r>
      <w:bookmarkEnd w:id="289"/>
      <w:r w:rsidRPr="0092670C">
        <w:rPr>
          <w:rFonts w:ascii="Arial" w:hAnsi="Arial" w:cs="Arial"/>
          <w:sz w:val="20"/>
          <w:szCs w:val="20"/>
        </w:rPr>
        <w:t xml:space="preserve">: </w:t>
      </w:r>
      <w:r w:rsidR="00504EAC" w:rsidRPr="0092670C">
        <w:rPr>
          <w:rFonts w:ascii="Arial" w:hAnsi="Arial" w:cs="Arial"/>
          <w:sz w:val="20"/>
          <w:szCs w:val="20"/>
        </w:rPr>
        <w:t>T</w:t>
      </w:r>
      <w:r w:rsidRPr="0092670C">
        <w:rPr>
          <w:rFonts w:ascii="Arial" w:hAnsi="Arial" w:cs="Arial"/>
          <w:sz w:val="20"/>
          <w:szCs w:val="20"/>
        </w:rPr>
        <w:t>he impact of increasing cycle number on ΔV</w:t>
      </w:r>
      <w:r w:rsidRPr="0092670C">
        <w:rPr>
          <w:rFonts w:ascii="Arial" w:hAnsi="Arial" w:cs="Arial"/>
          <w:sz w:val="20"/>
          <w:szCs w:val="20"/>
          <w:vertAlign w:val="subscript"/>
        </w:rPr>
        <w:t>2</w:t>
      </w:r>
      <w:r w:rsidRPr="0092670C">
        <w:rPr>
          <w:rFonts w:ascii="Arial" w:hAnsi="Arial" w:cs="Arial"/>
          <w:sz w:val="20"/>
          <w:szCs w:val="20"/>
        </w:rPr>
        <w:t xml:space="preserve"> values</w:t>
      </w:r>
      <w:r w:rsidR="00504EAC" w:rsidRPr="0092670C">
        <w:rPr>
          <w:rFonts w:ascii="Arial" w:hAnsi="Arial" w:cs="Arial"/>
          <w:sz w:val="20"/>
          <w:szCs w:val="20"/>
        </w:rPr>
        <w:t>.</w:t>
      </w:r>
    </w:p>
    <w:p w14:paraId="6AC9F61F" w14:textId="77777777" w:rsidR="00D64197" w:rsidRPr="0092670C" w:rsidRDefault="0067644A" w:rsidP="00D64197">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6B2D7815">
          <v:shape id="_x0000_i1133" type="#_x0000_t75" style="width:300.2pt;height:239.8pt" o:ole="">
            <v:imagedata r:id="rId273" o:title=""/>
          </v:shape>
          <o:OLEObject Type="Embed" ProgID="Origin95.Graph" ShapeID="_x0000_i1133" DrawAspect="Content" ObjectID="_1700734022" r:id="rId274"/>
        </w:object>
      </w:r>
    </w:p>
    <w:p w14:paraId="72EA1460" w14:textId="79B9DCA2" w:rsidR="00ED3496" w:rsidRPr="0088032A" w:rsidRDefault="00D64197" w:rsidP="0088032A">
      <w:pPr>
        <w:pStyle w:val="Caption"/>
        <w:jc w:val="center"/>
        <w:rPr>
          <w:rFonts w:ascii="Arial" w:hAnsi="Arial" w:cs="Arial"/>
          <w:sz w:val="20"/>
          <w:szCs w:val="20"/>
        </w:rPr>
      </w:pPr>
      <w:bookmarkStart w:id="290" w:name="_Ref31227610"/>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5</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8</w:t>
      </w:r>
      <w:r w:rsidR="00356A26">
        <w:rPr>
          <w:rFonts w:ascii="Arial" w:hAnsi="Arial" w:cs="Arial"/>
          <w:sz w:val="20"/>
          <w:szCs w:val="20"/>
        </w:rPr>
        <w:fldChar w:fldCharType="end"/>
      </w:r>
      <w:bookmarkEnd w:id="290"/>
      <w:r w:rsidRPr="0092670C">
        <w:rPr>
          <w:rFonts w:ascii="Arial" w:hAnsi="Arial" w:cs="Arial"/>
          <w:sz w:val="20"/>
          <w:szCs w:val="20"/>
        </w:rPr>
        <w:t xml:space="preserve">: </w:t>
      </w:r>
      <w:r w:rsidR="00504EAC" w:rsidRPr="0092670C">
        <w:rPr>
          <w:rFonts w:ascii="Arial" w:hAnsi="Arial" w:cs="Arial"/>
          <w:sz w:val="20"/>
          <w:szCs w:val="20"/>
        </w:rPr>
        <w:t>T</w:t>
      </w:r>
      <w:r w:rsidRPr="0092670C">
        <w:rPr>
          <w:rFonts w:ascii="Arial" w:hAnsi="Arial" w:cs="Arial"/>
          <w:sz w:val="20"/>
          <w:szCs w:val="20"/>
        </w:rPr>
        <w:t>he impact of increasing cycle number on ΔV</w:t>
      </w:r>
      <w:r w:rsidRPr="0092670C">
        <w:rPr>
          <w:rFonts w:ascii="Arial" w:hAnsi="Arial" w:cs="Arial"/>
          <w:sz w:val="20"/>
          <w:szCs w:val="20"/>
          <w:vertAlign w:val="subscript"/>
        </w:rPr>
        <w:t>3</w:t>
      </w:r>
      <w:r w:rsidRPr="0092670C">
        <w:rPr>
          <w:rFonts w:ascii="Arial" w:hAnsi="Arial" w:cs="Arial"/>
          <w:sz w:val="20"/>
          <w:szCs w:val="20"/>
        </w:rPr>
        <w:t xml:space="preserve"> values</w:t>
      </w:r>
      <w:r w:rsidR="00504EAC" w:rsidRPr="0092670C">
        <w:rPr>
          <w:rFonts w:ascii="Arial" w:hAnsi="Arial" w:cs="Arial"/>
          <w:sz w:val="20"/>
          <w:szCs w:val="20"/>
        </w:rPr>
        <w:t>.</w:t>
      </w:r>
    </w:p>
    <w:p w14:paraId="0CCB1E56" w14:textId="4A4EDDC2" w:rsidR="00231C67" w:rsidRPr="0092670C" w:rsidRDefault="00231C67" w:rsidP="00E43E32">
      <w:pPr>
        <w:pStyle w:val="Heading3"/>
        <w:rPr>
          <w:rFonts w:ascii="Arial" w:hAnsi="Arial" w:cs="Arial"/>
        </w:rPr>
      </w:pPr>
      <w:bookmarkStart w:id="291" w:name="_Toc82538805"/>
      <w:r w:rsidRPr="0092670C">
        <w:rPr>
          <w:rFonts w:ascii="Arial" w:hAnsi="Arial" w:cs="Arial"/>
        </w:rPr>
        <w:t>Conclusion</w:t>
      </w:r>
      <w:r w:rsidR="009F3ED3">
        <w:rPr>
          <w:rFonts w:ascii="Arial" w:hAnsi="Arial" w:cs="Arial"/>
        </w:rPr>
        <w:t>s</w:t>
      </w:r>
      <w:bookmarkEnd w:id="291"/>
    </w:p>
    <w:p w14:paraId="654B7460" w14:textId="247A9EEF" w:rsidR="00631641" w:rsidRDefault="00194AE7" w:rsidP="00A93DD5">
      <w:pPr>
        <w:spacing w:line="360" w:lineRule="auto"/>
        <w:jc w:val="both"/>
        <w:rPr>
          <w:rFonts w:ascii="Arial" w:hAnsi="Arial" w:cs="Arial"/>
        </w:rPr>
      </w:pPr>
      <w:r w:rsidRPr="0092670C">
        <w:rPr>
          <w:rFonts w:ascii="Arial" w:hAnsi="Arial" w:cs="Arial"/>
        </w:rPr>
        <w:t>It is clear f</w:t>
      </w:r>
      <w:r w:rsidR="009F3ED3">
        <w:rPr>
          <w:rFonts w:ascii="Arial" w:hAnsi="Arial" w:cs="Arial"/>
        </w:rPr>
        <w:t>ro</w:t>
      </w:r>
      <w:r w:rsidRPr="0092670C">
        <w:rPr>
          <w:rFonts w:ascii="Arial" w:hAnsi="Arial" w:cs="Arial"/>
        </w:rPr>
        <w:t xml:space="preserve">m this data that </w:t>
      </w:r>
      <w:r w:rsidR="006B780A" w:rsidRPr="0092670C">
        <w:rPr>
          <w:rFonts w:ascii="Arial" w:hAnsi="Arial" w:cs="Arial"/>
        </w:rPr>
        <w:t xml:space="preserve">the dynamic exchange process </w:t>
      </w:r>
      <w:r w:rsidR="0038334F" w:rsidRPr="0092670C">
        <w:rPr>
          <w:rFonts w:ascii="Arial" w:hAnsi="Arial" w:cs="Arial"/>
        </w:rPr>
        <w:t>can</w:t>
      </w:r>
      <w:r w:rsidR="006B780A" w:rsidRPr="0092670C">
        <w:rPr>
          <w:rFonts w:ascii="Arial" w:hAnsi="Arial" w:cs="Arial"/>
        </w:rPr>
        <w:t xml:space="preserve"> </w:t>
      </w:r>
      <w:r w:rsidR="0038334F" w:rsidRPr="0092670C">
        <w:rPr>
          <w:rFonts w:ascii="Arial" w:hAnsi="Arial" w:cs="Arial"/>
        </w:rPr>
        <w:t>be</w:t>
      </w:r>
      <w:r w:rsidR="006B780A" w:rsidRPr="0092670C">
        <w:rPr>
          <w:rFonts w:ascii="Arial" w:hAnsi="Arial" w:cs="Arial"/>
        </w:rPr>
        <w:t xml:space="preserve"> good </w:t>
      </w:r>
      <w:r w:rsidR="0038334F" w:rsidRPr="0092670C">
        <w:rPr>
          <w:rFonts w:ascii="Arial" w:hAnsi="Arial" w:cs="Arial"/>
        </w:rPr>
        <w:t>or bad</w:t>
      </w:r>
      <w:r w:rsidR="006B780A" w:rsidRPr="0092670C">
        <w:rPr>
          <w:rFonts w:ascii="Arial" w:hAnsi="Arial" w:cs="Arial"/>
        </w:rPr>
        <w:t xml:space="preserve"> for the </w:t>
      </w:r>
      <w:r w:rsidR="00E47EE7" w:rsidRPr="0092670C">
        <w:rPr>
          <w:rFonts w:ascii="Arial" w:hAnsi="Arial" w:cs="Arial"/>
        </w:rPr>
        <w:t>long-term</w:t>
      </w:r>
      <w:r w:rsidR="006B780A" w:rsidRPr="0092670C">
        <w:rPr>
          <w:rFonts w:ascii="Arial" w:hAnsi="Arial" w:cs="Arial"/>
        </w:rPr>
        <w:t xml:space="preserve"> health of the cell</w:t>
      </w:r>
      <w:r w:rsidR="00F603BA" w:rsidRPr="0092670C">
        <w:rPr>
          <w:rFonts w:ascii="Arial" w:hAnsi="Arial" w:cs="Arial"/>
        </w:rPr>
        <w:t xml:space="preserve"> depending upon the electrolyte choice</w:t>
      </w:r>
      <w:r w:rsidR="00BB2590" w:rsidRPr="0092670C">
        <w:rPr>
          <w:rFonts w:ascii="Arial" w:hAnsi="Arial" w:cs="Arial"/>
        </w:rPr>
        <w:t xml:space="preserve">, </w:t>
      </w:r>
      <w:r w:rsidR="007C772A" w:rsidRPr="0092670C">
        <w:rPr>
          <w:rFonts w:ascii="Arial" w:hAnsi="Arial" w:cs="Arial"/>
        </w:rPr>
        <w:t xml:space="preserve">FEC </w:t>
      </w:r>
      <w:r w:rsidR="00F10E66" w:rsidRPr="0092670C">
        <w:rPr>
          <w:rFonts w:ascii="Arial" w:hAnsi="Arial" w:cs="Arial"/>
        </w:rPr>
        <w:t xml:space="preserve">improving the capacity retention </w:t>
      </w:r>
      <w:r w:rsidR="009C63C6" w:rsidRPr="0092670C">
        <w:rPr>
          <w:rFonts w:ascii="Arial" w:hAnsi="Arial" w:cs="Arial"/>
        </w:rPr>
        <w:t>of the</w:t>
      </w:r>
      <w:r w:rsidR="00F10E66" w:rsidRPr="0092670C">
        <w:rPr>
          <w:rFonts w:ascii="Arial" w:hAnsi="Arial" w:cs="Arial"/>
        </w:rPr>
        <w:t xml:space="preserve"> cell.</w:t>
      </w:r>
      <w:r w:rsidR="00746419" w:rsidRPr="0092670C">
        <w:rPr>
          <w:rFonts w:ascii="Arial" w:hAnsi="Arial" w:cs="Arial"/>
        </w:rPr>
        <w:t xml:space="preserve"> </w:t>
      </w:r>
      <w:r w:rsidR="009C63C6" w:rsidRPr="0092670C">
        <w:rPr>
          <w:rFonts w:ascii="Arial" w:hAnsi="Arial" w:cs="Arial"/>
        </w:rPr>
        <w:t>T</w:t>
      </w:r>
      <w:r w:rsidR="005F5A51" w:rsidRPr="0092670C">
        <w:rPr>
          <w:rFonts w:ascii="Arial" w:hAnsi="Arial" w:cs="Arial"/>
        </w:rPr>
        <w:t xml:space="preserve">he FEC+FEC static cell </w:t>
      </w:r>
      <w:r w:rsidR="00916443" w:rsidRPr="0092670C">
        <w:rPr>
          <w:rFonts w:ascii="Arial" w:hAnsi="Arial" w:cs="Arial"/>
        </w:rPr>
        <w:t>ha</w:t>
      </w:r>
      <w:r w:rsidR="009C63C6" w:rsidRPr="0092670C">
        <w:rPr>
          <w:rFonts w:ascii="Arial" w:hAnsi="Arial" w:cs="Arial"/>
        </w:rPr>
        <w:t>d</w:t>
      </w:r>
      <w:r w:rsidR="00916443" w:rsidRPr="0092670C">
        <w:rPr>
          <w:rFonts w:ascii="Arial" w:hAnsi="Arial" w:cs="Arial"/>
        </w:rPr>
        <w:t xml:space="preserve"> the highest </w:t>
      </w:r>
      <w:r w:rsidR="00CD66A7" w:rsidRPr="0092670C">
        <w:rPr>
          <w:rFonts w:ascii="Arial" w:hAnsi="Arial" w:cs="Arial"/>
        </w:rPr>
        <w:t>capacity</w:t>
      </w:r>
      <w:r w:rsidR="00560E95" w:rsidRPr="0092670C">
        <w:rPr>
          <w:rFonts w:ascii="Arial" w:hAnsi="Arial" w:cs="Arial"/>
        </w:rPr>
        <w:t xml:space="preserve"> and retention</w:t>
      </w:r>
      <w:r w:rsidR="009C63C6" w:rsidRPr="0092670C">
        <w:rPr>
          <w:rFonts w:ascii="Arial" w:hAnsi="Arial" w:cs="Arial"/>
        </w:rPr>
        <w:t xml:space="preserve"> </w:t>
      </w:r>
      <w:r w:rsidR="00150C37" w:rsidRPr="0092670C">
        <w:rPr>
          <w:rFonts w:ascii="Arial" w:hAnsi="Arial" w:cs="Arial"/>
        </w:rPr>
        <w:t>of all of the cells</w:t>
      </w:r>
      <w:r w:rsidR="009468D5" w:rsidRPr="0092670C">
        <w:rPr>
          <w:rFonts w:ascii="Arial" w:hAnsi="Arial" w:cs="Arial"/>
        </w:rPr>
        <w:t xml:space="preserve">, reinforcing the benefits of </w:t>
      </w:r>
      <w:r w:rsidR="00133AFB" w:rsidRPr="0092670C">
        <w:rPr>
          <w:rFonts w:ascii="Arial" w:hAnsi="Arial" w:cs="Arial"/>
        </w:rPr>
        <w:t>pre-</w:t>
      </w:r>
      <w:r w:rsidR="00DA11A3" w:rsidRPr="0092670C">
        <w:rPr>
          <w:rFonts w:ascii="Arial" w:hAnsi="Arial" w:cs="Arial"/>
        </w:rPr>
        <w:t>lithiation</w:t>
      </w:r>
      <w:r w:rsidR="00133AFB" w:rsidRPr="0092670C">
        <w:rPr>
          <w:rFonts w:ascii="Arial" w:hAnsi="Arial" w:cs="Arial"/>
        </w:rPr>
        <w:t xml:space="preserve"> </w:t>
      </w:r>
      <w:r w:rsidR="00DA11A3" w:rsidRPr="0092670C">
        <w:rPr>
          <w:rFonts w:ascii="Arial" w:hAnsi="Arial" w:cs="Arial"/>
        </w:rPr>
        <w:t xml:space="preserve">with it </w:t>
      </w:r>
      <w:r w:rsidR="0095756A" w:rsidRPr="0092670C">
        <w:rPr>
          <w:rFonts w:ascii="Arial" w:hAnsi="Arial" w:cs="Arial"/>
        </w:rPr>
        <w:t xml:space="preserve">having a </w:t>
      </w:r>
      <w:r w:rsidR="00DA11A3" w:rsidRPr="0092670C">
        <w:rPr>
          <w:rFonts w:ascii="Arial" w:hAnsi="Arial" w:cs="Arial"/>
        </w:rPr>
        <w:t>higher capacity retention that the corresponding cell</w:t>
      </w:r>
      <w:r w:rsidR="006B780A" w:rsidRPr="0092670C">
        <w:rPr>
          <w:rFonts w:ascii="Arial" w:hAnsi="Arial" w:cs="Arial"/>
        </w:rPr>
        <w:t xml:space="preserve">. </w:t>
      </w:r>
      <w:r w:rsidR="001C11F5" w:rsidRPr="0092670C">
        <w:rPr>
          <w:rFonts w:ascii="Arial" w:hAnsi="Arial" w:cs="Arial"/>
        </w:rPr>
        <w:t>T</w:t>
      </w:r>
      <w:r w:rsidR="0031243F" w:rsidRPr="0092670C">
        <w:rPr>
          <w:rFonts w:ascii="Arial" w:hAnsi="Arial" w:cs="Arial"/>
        </w:rPr>
        <w:t xml:space="preserve">he aim of this study was about understanding the kinetics of this process </w:t>
      </w:r>
      <w:r w:rsidR="00B73C99" w:rsidRPr="0092670C">
        <w:rPr>
          <w:rFonts w:ascii="Arial" w:hAnsi="Arial" w:cs="Arial"/>
        </w:rPr>
        <w:t xml:space="preserve">and we saw from the coulombic efficiency that the </w:t>
      </w:r>
      <w:r w:rsidR="001C4165" w:rsidRPr="0092670C">
        <w:rPr>
          <w:rFonts w:ascii="Arial" w:hAnsi="Arial" w:cs="Arial"/>
        </w:rPr>
        <w:t>dynamic exchange starts as soon as the cell is cycled.</w:t>
      </w:r>
      <w:r w:rsidR="00631641">
        <w:rPr>
          <w:rFonts w:ascii="Arial" w:hAnsi="Arial" w:cs="Arial"/>
        </w:rPr>
        <w:t xml:space="preserve"> </w:t>
      </w:r>
      <w:r w:rsidR="001C4165" w:rsidRPr="0092670C">
        <w:rPr>
          <w:rFonts w:ascii="Arial" w:hAnsi="Arial" w:cs="Arial"/>
        </w:rPr>
        <w:t xml:space="preserve"> </w:t>
      </w:r>
    </w:p>
    <w:p w14:paraId="66EE038F" w14:textId="092FF936" w:rsidR="00C35444" w:rsidRPr="0092670C" w:rsidRDefault="00343EAC" w:rsidP="00A93DD5">
      <w:pPr>
        <w:spacing w:line="360" w:lineRule="auto"/>
        <w:jc w:val="both"/>
        <w:rPr>
          <w:rFonts w:ascii="Arial" w:hAnsi="Arial" w:cs="Arial"/>
        </w:rPr>
      </w:pPr>
      <w:r w:rsidRPr="0092670C">
        <w:rPr>
          <w:rFonts w:ascii="Arial" w:hAnsi="Arial" w:cs="Arial"/>
        </w:rPr>
        <w:t xml:space="preserve">The </w:t>
      </w:r>
      <w:r w:rsidR="001A7617" w:rsidRPr="0092670C">
        <w:rPr>
          <w:rFonts w:ascii="Arial" w:hAnsi="Arial" w:cs="Arial"/>
        </w:rPr>
        <w:t>impedance</w:t>
      </w:r>
      <w:r w:rsidRPr="0092670C">
        <w:rPr>
          <w:rFonts w:ascii="Arial" w:hAnsi="Arial" w:cs="Arial"/>
        </w:rPr>
        <w:t xml:space="preserve"> data </w:t>
      </w:r>
      <w:r w:rsidR="00474F7A">
        <w:rPr>
          <w:rFonts w:ascii="Arial" w:hAnsi="Arial" w:cs="Arial"/>
        </w:rPr>
        <w:t>gave so</w:t>
      </w:r>
      <w:r w:rsidR="00CA55D4">
        <w:rPr>
          <w:rFonts w:ascii="Arial" w:hAnsi="Arial" w:cs="Arial"/>
        </w:rPr>
        <w:t>me</w:t>
      </w:r>
      <w:r w:rsidR="00474F7A">
        <w:rPr>
          <w:rFonts w:ascii="Arial" w:hAnsi="Arial" w:cs="Arial"/>
        </w:rPr>
        <w:t xml:space="preserve"> </w:t>
      </w:r>
      <w:r w:rsidR="00CA55D4">
        <w:rPr>
          <w:rFonts w:ascii="Arial" w:hAnsi="Arial" w:cs="Arial"/>
        </w:rPr>
        <w:t xml:space="preserve">unique information that hasn’t been seen anywhere else in the literature. </w:t>
      </w:r>
      <w:r w:rsidR="0088032A">
        <w:rPr>
          <w:rFonts w:ascii="Arial" w:hAnsi="Arial" w:cs="Arial"/>
        </w:rPr>
        <w:t xml:space="preserve">The </w:t>
      </w:r>
      <w:r w:rsidR="004419C3">
        <w:rPr>
          <w:rFonts w:ascii="Arial" w:hAnsi="Arial" w:cs="Arial"/>
        </w:rPr>
        <w:t>cell with the lowest resistance</w:t>
      </w:r>
      <w:r w:rsidR="007935CB">
        <w:rPr>
          <w:rFonts w:ascii="Arial" w:hAnsi="Arial" w:cs="Arial"/>
        </w:rPr>
        <w:t xml:space="preserve"> at the end of cycling</w:t>
      </w:r>
      <w:r w:rsidR="004419C3">
        <w:rPr>
          <w:rFonts w:ascii="Arial" w:hAnsi="Arial" w:cs="Arial"/>
        </w:rPr>
        <w:t xml:space="preserve"> was the </w:t>
      </w:r>
      <w:r w:rsidR="0030171B">
        <w:rPr>
          <w:rFonts w:ascii="Arial" w:hAnsi="Arial" w:cs="Arial"/>
        </w:rPr>
        <w:t>cell cycled in LP30 without any pre-l</w:t>
      </w:r>
      <w:r w:rsidR="007935CB">
        <w:rPr>
          <w:rFonts w:ascii="Arial" w:hAnsi="Arial" w:cs="Arial"/>
        </w:rPr>
        <w:t xml:space="preserve">ithiation. </w:t>
      </w:r>
      <w:r w:rsidR="00DB2F6D">
        <w:rPr>
          <w:rFonts w:ascii="Arial" w:hAnsi="Arial" w:cs="Arial"/>
        </w:rPr>
        <w:t xml:space="preserve">The cell with the </w:t>
      </w:r>
      <w:r w:rsidR="0008684D">
        <w:rPr>
          <w:rFonts w:ascii="Arial" w:hAnsi="Arial" w:cs="Arial"/>
        </w:rPr>
        <w:t xml:space="preserve">highest resistance was the LP30 FEC cell but the resistance at the end of cycling was much lower than at </w:t>
      </w:r>
      <w:r w:rsidR="00BD16FB">
        <w:rPr>
          <w:rFonts w:ascii="Arial" w:hAnsi="Arial" w:cs="Arial"/>
        </w:rPr>
        <w:t>50 cycles. This</w:t>
      </w:r>
      <w:r w:rsidR="005D4742">
        <w:rPr>
          <w:rFonts w:ascii="Arial" w:hAnsi="Arial" w:cs="Arial"/>
        </w:rPr>
        <w:t xml:space="preserve"> </w:t>
      </w:r>
      <w:r w:rsidR="00BD16FB">
        <w:rPr>
          <w:rFonts w:ascii="Arial" w:hAnsi="Arial" w:cs="Arial"/>
        </w:rPr>
        <w:t xml:space="preserve">may be due to the formation of LiF nano crystals from the decomposition of </w:t>
      </w:r>
      <w:r w:rsidR="00AC2584">
        <w:rPr>
          <w:rFonts w:ascii="Arial" w:hAnsi="Arial" w:cs="Arial"/>
        </w:rPr>
        <w:t>FEC</w:t>
      </w:r>
      <w:r w:rsidR="001E51F1">
        <w:rPr>
          <w:rFonts w:ascii="Arial" w:hAnsi="Arial" w:cs="Arial"/>
        </w:rPr>
        <w:t>.</w:t>
      </w:r>
      <w:r w:rsidR="00FD2FC3">
        <w:rPr>
          <w:rFonts w:ascii="Arial" w:hAnsi="Arial" w:cs="Arial"/>
        </w:rPr>
        <w:t xml:space="preserve"> </w:t>
      </w:r>
      <w:r w:rsidR="008962D8" w:rsidRPr="0092670C">
        <w:rPr>
          <w:rFonts w:ascii="Arial" w:hAnsi="Arial" w:cs="Arial"/>
        </w:rPr>
        <w:t>This sug</w:t>
      </w:r>
      <w:r w:rsidR="001D11B2" w:rsidRPr="0092670C">
        <w:rPr>
          <w:rFonts w:ascii="Arial" w:hAnsi="Arial" w:cs="Arial"/>
        </w:rPr>
        <w:t xml:space="preserve">gests that the </w:t>
      </w:r>
      <w:r w:rsidR="00F458C8" w:rsidRPr="0092670C">
        <w:rPr>
          <w:rFonts w:ascii="Arial" w:hAnsi="Arial" w:cs="Arial"/>
        </w:rPr>
        <w:t xml:space="preserve">exchange </w:t>
      </w:r>
      <w:r w:rsidR="00795451" w:rsidRPr="0092670C">
        <w:rPr>
          <w:rFonts w:ascii="Arial" w:hAnsi="Arial" w:cs="Arial"/>
        </w:rPr>
        <w:t xml:space="preserve">accelerates in the later stages of cell cycling as the SEI </w:t>
      </w:r>
      <w:r w:rsidR="00D577A5" w:rsidRPr="0092670C">
        <w:rPr>
          <w:rFonts w:ascii="Arial" w:hAnsi="Arial" w:cs="Arial"/>
        </w:rPr>
        <w:t xml:space="preserve">ages. This </w:t>
      </w:r>
      <w:r w:rsidR="00760A82" w:rsidRPr="0092670C">
        <w:rPr>
          <w:rFonts w:ascii="Arial" w:hAnsi="Arial" w:cs="Arial"/>
        </w:rPr>
        <w:t xml:space="preserve">is also seen in the charge cycling data </w:t>
      </w:r>
      <w:r w:rsidR="007B7BA3" w:rsidRPr="0092670C">
        <w:rPr>
          <w:rFonts w:ascii="Arial" w:hAnsi="Arial" w:cs="Arial"/>
        </w:rPr>
        <w:t>with the FEC LP30 cell mai</w:t>
      </w:r>
      <w:r w:rsidR="00FC44B1" w:rsidRPr="0092670C">
        <w:rPr>
          <w:rFonts w:ascii="Arial" w:hAnsi="Arial" w:cs="Arial"/>
        </w:rPr>
        <w:t xml:space="preserve">ntaining a steady </w:t>
      </w:r>
      <w:r w:rsidR="00E87739" w:rsidRPr="0092670C">
        <w:rPr>
          <w:rFonts w:ascii="Arial" w:hAnsi="Arial" w:cs="Arial"/>
        </w:rPr>
        <w:t>capacity until the 70</w:t>
      </w:r>
      <w:r w:rsidR="00E87739" w:rsidRPr="0092670C">
        <w:rPr>
          <w:rFonts w:ascii="Arial" w:hAnsi="Arial" w:cs="Arial"/>
          <w:vertAlign w:val="superscript"/>
        </w:rPr>
        <w:t>th</w:t>
      </w:r>
      <w:r w:rsidR="00E87739" w:rsidRPr="0092670C">
        <w:rPr>
          <w:rFonts w:ascii="Arial" w:hAnsi="Arial" w:cs="Arial"/>
        </w:rPr>
        <w:t xml:space="preserve"> </w:t>
      </w:r>
      <w:r w:rsidR="006C35FD" w:rsidRPr="0092670C">
        <w:rPr>
          <w:rFonts w:ascii="Arial" w:hAnsi="Arial" w:cs="Arial"/>
        </w:rPr>
        <w:t xml:space="preserve">cycle when it starts to drop dramatically. </w:t>
      </w:r>
      <w:r w:rsidR="000C2C54" w:rsidRPr="0092670C">
        <w:rPr>
          <w:rFonts w:ascii="Arial" w:hAnsi="Arial" w:cs="Arial"/>
        </w:rPr>
        <w:t xml:space="preserve">These </w:t>
      </w:r>
      <w:r w:rsidR="00A31FFE" w:rsidRPr="0092670C">
        <w:rPr>
          <w:rFonts w:ascii="Arial" w:hAnsi="Arial" w:cs="Arial"/>
        </w:rPr>
        <w:t xml:space="preserve">differences </w:t>
      </w:r>
      <w:r w:rsidR="00C11282" w:rsidRPr="0092670C">
        <w:rPr>
          <w:rFonts w:ascii="Arial" w:hAnsi="Arial" w:cs="Arial"/>
        </w:rPr>
        <w:t>are consistent with a pre-lithiated SEI that degrades over time is partially replaced</w:t>
      </w:r>
      <w:r w:rsidR="00B359DB" w:rsidRPr="0092670C">
        <w:rPr>
          <w:rFonts w:ascii="Arial" w:hAnsi="Arial" w:cs="Arial"/>
        </w:rPr>
        <w:t xml:space="preserve"> by </w:t>
      </w:r>
      <w:r w:rsidR="00E41A00" w:rsidRPr="0092670C">
        <w:rPr>
          <w:rFonts w:ascii="Arial" w:hAnsi="Arial" w:cs="Arial"/>
        </w:rPr>
        <w:t>degradation products from the electrolyte</w:t>
      </w:r>
      <w:r w:rsidR="00E76BD7" w:rsidRPr="0092670C">
        <w:rPr>
          <w:rFonts w:ascii="Arial" w:hAnsi="Arial" w:cs="Arial"/>
        </w:rPr>
        <w:t>.</w:t>
      </w:r>
      <w:r w:rsidR="00FD2FC3">
        <w:rPr>
          <w:rFonts w:ascii="Arial" w:hAnsi="Arial" w:cs="Arial"/>
        </w:rPr>
        <w:t xml:space="preserve"> The LP30 LP30 demonstrated stable R</w:t>
      </w:r>
      <w:r w:rsidR="00FD2FC3" w:rsidRPr="00E54C67">
        <w:rPr>
          <w:rFonts w:ascii="Arial" w:hAnsi="Arial" w:cs="Arial"/>
          <w:vertAlign w:val="subscript"/>
        </w:rPr>
        <w:t>SEI</w:t>
      </w:r>
      <w:r w:rsidR="00FD2FC3">
        <w:rPr>
          <w:rFonts w:ascii="Arial" w:hAnsi="Arial" w:cs="Arial"/>
        </w:rPr>
        <w:t xml:space="preserve"> values after the 50</w:t>
      </w:r>
      <w:r w:rsidR="00FD2FC3" w:rsidRPr="00E54C67">
        <w:rPr>
          <w:rFonts w:ascii="Arial" w:hAnsi="Arial" w:cs="Arial"/>
          <w:vertAlign w:val="superscript"/>
        </w:rPr>
        <w:t>th</w:t>
      </w:r>
      <w:r w:rsidR="00FD2FC3">
        <w:rPr>
          <w:rFonts w:ascii="Arial" w:hAnsi="Arial" w:cs="Arial"/>
        </w:rPr>
        <w:t xml:space="preserve"> cycle suggest that the pre-lithiation helped to arrest further SEI growth</w:t>
      </w:r>
      <w:r w:rsidR="00307DEA">
        <w:rPr>
          <w:rFonts w:ascii="Arial" w:hAnsi="Arial" w:cs="Arial"/>
        </w:rPr>
        <w:t>.</w:t>
      </w:r>
    </w:p>
    <w:p w14:paraId="3A4DE4F0" w14:textId="11DCABA8" w:rsidR="00DA11A3" w:rsidRPr="0092670C" w:rsidRDefault="00DA11A3" w:rsidP="00A93DD5">
      <w:pPr>
        <w:spacing w:line="360" w:lineRule="auto"/>
        <w:jc w:val="both"/>
        <w:rPr>
          <w:rFonts w:ascii="Arial" w:hAnsi="Arial" w:cs="Arial"/>
        </w:rPr>
      </w:pPr>
      <w:r w:rsidRPr="0092670C">
        <w:rPr>
          <w:rFonts w:ascii="Arial" w:hAnsi="Arial" w:cs="Arial"/>
        </w:rPr>
        <w:t>It should be noted that the FEC</w:t>
      </w:r>
      <w:r w:rsidR="00681362" w:rsidRPr="0092670C">
        <w:rPr>
          <w:rFonts w:ascii="Arial" w:hAnsi="Arial" w:cs="Arial"/>
        </w:rPr>
        <w:t>+LP30 suffered</w:t>
      </w:r>
      <w:r w:rsidR="00EB572B" w:rsidRPr="0092670C">
        <w:rPr>
          <w:rFonts w:ascii="Arial" w:hAnsi="Arial" w:cs="Arial"/>
        </w:rPr>
        <w:t xml:space="preserve"> from </w:t>
      </w:r>
      <w:r w:rsidR="009F3ED3">
        <w:rPr>
          <w:rFonts w:ascii="Arial" w:hAnsi="Arial" w:cs="Arial"/>
        </w:rPr>
        <w:t>lower</w:t>
      </w:r>
      <w:r w:rsidR="00681362" w:rsidRPr="0092670C">
        <w:rPr>
          <w:rFonts w:ascii="Arial" w:hAnsi="Arial" w:cs="Arial"/>
        </w:rPr>
        <w:t xml:space="preserve"> capacity retention than </w:t>
      </w:r>
      <w:r w:rsidR="00EB572B" w:rsidRPr="0092670C">
        <w:rPr>
          <w:rFonts w:ascii="Arial" w:hAnsi="Arial" w:cs="Arial"/>
        </w:rPr>
        <w:t xml:space="preserve">seen earlier in </w:t>
      </w:r>
      <w:r w:rsidR="00754DAE" w:rsidRPr="0092670C">
        <w:rPr>
          <w:rFonts w:ascii="Arial" w:hAnsi="Arial" w:cs="Arial"/>
        </w:rPr>
        <w:t xml:space="preserve">chapter </w:t>
      </w:r>
      <w:r w:rsidR="005C75D6" w:rsidRPr="0092670C">
        <w:rPr>
          <w:rFonts w:ascii="Arial" w:hAnsi="Arial" w:cs="Arial"/>
        </w:rPr>
        <w:t>3</w:t>
      </w:r>
      <w:r w:rsidR="00AC0BF2" w:rsidRPr="0092670C">
        <w:rPr>
          <w:rFonts w:ascii="Arial" w:hAnsi="Arial" w:cs="Arial"/>
        </w:rPr>
        <w:t xml:space="preserve"> </w:t>
      </w:r>
      <w:r w:rsidR="00235DD7" w:rsidRPr="0092670C">
        <w:rPr>
          <w:rFonts w:ascii="Arial" w:hAnsi="Arial" w:cs="Arial"/>
        </w:rPr>
        <w:t>despite having</w:t>
      </w:r>
      <w:r w:rsidR="005C75D6" w:rsidRPr="0092670C">
        <w:rPr>
          <w:rFonts w:ascii="Arial" w:hAnsi="Arial" w:cs="Arial"/>
        </w:rPr>
        <w:t xml:space="preserve"> the same chemistry</w:t>
      </w:r>
      <w:r w:rsidR="00754DAE" w:rsidRPr="0092670C">
        <w:rPr>
          <w:rFonts w:ascii="Arial" w:hAnsi="Arial" w:cs="Arial"/>
        </w:rPr>
        <w:t xml:space="preserve">. </w:t>
      </w:r>
      <w:r w:rsidR="005C75D6" w:rsidRPr="0092670C">
        <w:rPr>
          <w:rFonts w:ascii="Arial" w:hAnsi="Arial" w:cs="Arial"/>
        </w:rPr>
        <w:t>The</w:t>
      </w:r>
      <w:r w:rsidR="002D504C" w:rsidRPr="0092670C">
        <w:rPr>
          <w:rFonts w:ascii="Arial" w:hAnsi="Arial" w:cs="Arial"/>
        </w:rPr>
        <w:t xml:space="preserve"> difference may be due to the</w:t>
      </w:r>
      <w:r w:rsidR="001E24CA" w:rsidRPr="0092670C">
        <w:rPr>
          <w:rFonts w:ascii="Arial" w:hAnsi="Arial" w:cs="Arial"/>
        </w:rPr>
        <w:t xml:space="preserve"> need to stop the cell from cycling and run the EIS measurement</w:t>
      </w:r>
      <w:r w:rsidR="00F9381B" w:rsidRPr="0092670C">
        <w:rPr>
          <w:rFonts w:ascii="Arial" w:hAnsi="Arial" w:cs="Arial"/>
        </w:rPr>
        <w:t xml:space="preserve"> and so shouldn’t be directly compared. </w:t>
      </w:r>
    </w:p>
    <w:p w14:paraId="62C1A927" w14:textId="5207831B" w:rsidR="006E235A" w:rsidRPr="0092670C" w:rsidRDefault="006E235A">
      <w:pPr>
        <w:rPr>
          <w:rFonts w:ascii="Arial" w:eastAsiaTheme="majorEastAsia" w:hAnsi="Arial" w:cs="Arial"/>
          <w:color w:val="2F5496" w:themeColor="accent1" w:themeShade="BF"/>
          <w:sz w:val="32"/>
          <w:szCs w:val="32"/>
        </w:rPr>
      </w:pPr>
      <w:r w:rsidRPr="0092670C">
        <w:rPr>
          <w:rFonts w:ascii="Arial" w:eastAsiaTheme="majorEastAsia" w:hAnsi="Arial" w:cs="Arial"/>
          <w:color w:val="2F5496" w:themeColor="accent1" w:themeShade="BF"/>
          <w:sz w:val="32"/>
          <w:szCs w:val="32"/>
        </w:rPr>
        <w:br w:type="page"/>
      </w:r>
    </w:p>
    <w:p w14:paraId="053D8FD5" w14:textId="77777777" w:rsidR="00936D60" w:rsidRPr="0092670C" w:rsidRDefault="00936D60">
      <w:pPr>
        <w:rPr>
          <w:rFonts w:ascii="Arial" w:eastAsiaTheme="majorEastAsia" w:hAnsi="Arial" w:cs="Arial"/>
          <w:color w:val="2F5496" w:themeColor="accent1" w:themeShade="BF"/>
          <w:sz w:val="32"/>
          <w:szCs w:val="32"/>
        </w:rPr>
      </w:pPr>
    </w:p>
    <w:p w14:paraId="7BD322D9" w14:textId="1E206D9C" w:rsidR="009E3391" w:rsidRPr="0092670C" w:rsidRDefault="009E3391" w:rsidP="006E235A">
      <w:pPr>
        <w:pStyle w:val="Heading1"/>
        <w:spacing w:before="4000" w:line="360" w:lineRule="auto"/>
        <w:rPr>
          <w:rFonts w:ascii="Arial" w:hAnsi="Arial" w:cs="Arial"/>
          <w:b/>
        </w:rPr>
      </w:pPr>
      <w:bookmarkStart w:id="292" w:name="_Toc82538806"/>
      <w:r w:rsidRPr="0092670C">
        <w:rPr>
          <w:rFonts w:ascii="Arial" w:hAnsi="Arial" w:cs="Arial"/>
          <w:b/>
        </w:rPr>
        <w:t>Pre-lithiation of hard carbon anodes for Na-ion batteries</w:t>
      </w:r>
      <w:bookmarkEnd w:id="292"/>
    </w:p>
    <w:p w14:paraId="1B3CD117" w14:textId="724DA1D5" w:rsidR="00F06859" w:rsidRPr="0092670C" w:rsidRDefault="003766DD" w:rsidP="00877465">
      <w:pPr>
        <w:spacing w:line="360" w:lineRule="auto"/>
        <w:jc w:val="both"/>
        <w:rPr>
          <w:rFonts w:ascii="Arial" w:hAnsi="Arial" w:cs="Arial"/>
        </w:rPr>
      </w:pPr>
      <w:r w:rsidRPr="0092670C">
        <w:rPr>
          <w:rFonts w:ascii="Arial" w:hAnsi="Arial" w:cs="Arial"/>
        </w:rPr>
        <w:t xml:space="preserve">In this chapter </w:t>
      </w:r>
      <w:r w:rsidR="008F4C62" w:rsidRPr="0092670C">
        <w:rPr>
          <w:rFonts w:ascii="Arial" w:hAnsi="Arial" w:cs="Arial"/>
        </w:rPr>
        <w:t>hard carbon was pre-lithiated</w:t>
      </w:r>
      <w:r w:rsidR="00665008" w:rsidRPr="0092670C">
        <w:rPr>
          <w:rFonts w:ascii="Arial" w:hAnsi="Arial" w:cs="Arial"/>
        </w:rPr>
        <w:t xml:space="preserve"> to see the effect that this ha</w:t>
      </w:r>
      <w:r w:rsidR="002129C0" w:rsidRPr="0092670C">
        <w:rPr>
          <w:rFonts w:ascii="Arial" w:hAnsi="Arial" w:cs="Arial"/>
        </w:rPr>
        <w:t xml:space="preserve">d on its cycling ability in a </w:t>
      </w:r>
      <w:r w:rsidR="007E5F58" w:rsidRPr="0092670C">
        <w:rPr>
          <w:rFonts w:ascii="Arial" w:hAnsi="Arial" w:cs="Arial"/>
        </w:rPr>
        <w:t xml:space="preserve">Na-ion half-cell. It was </w:t>
      </w:r>
      <w:r w:rsidR="00E06998" w:rsidRPr="0092670C">
        <w:rPr>
          <w:rFonts w:ascii="Arial" w:hAnsi="Arial" w:cs="Arial"/>
        </w:rPr>
        <w:t xml:space="preserve">found </w:t>
      </w:r>
      <w:r w:rsidR="00FD7DA7" w:rsidRPr="0092670C">
        <w:rPr>
          <w:rFonts w:ascii="Arial" w:hAnsi="Arial" w:cs="Arial"/>
        </w:rPr>
        <w:t>that pre-lithiating the hard carbon can</w:t>
      </w:r>
      <w:r w:rsidR="00E06998" w:rsidRPr="0092670C">
        <w:rPr>
          <w:rFonts w:ascii="Arial" w:hAnsi="Arial" w:cs="Arial"/>
        </w:rPr>
        <w:t xml:space="preserve"> </w:t>
      </w:r>
      <w:r w:rsidR="00832C5F" w:rsidRPr="0092670C">
        <w:rPr>
          <w:rFonts w:ascii="Arial" w:hAnsi="Arial" w:cs="Arial"/>
        </w:rPr>
        <w:t>drastically</w:t>
      </w:r>
      <w:r w:rsidR="00E06998" w:rsidRPr="0092670C">
        <w:rPr>
          <w:rFonts w:ascii="Arial" w:hAnsi="Arial" w:cs="Arial"/>
        </w:rPr>
        <w:t xml:space="preserve"> improve the </w:t>
      </w:r>
      <w:r w:rsidR="00C74F59" w:rsidRPr="0092670C">
        <w:rPr>
          <w:rFonts w:ascii="Arial" w:hAnsi="Arial" w:cs="Arial"/>
        </w:rPr>
        <w:t>capacity retention of the hard carb</w:t>
      </w:r>
      <w:r w:rsidR="00832C5F" w:rsidRPr="0092670C">
        <w:rPr>
          <w:rFonts w:ascii="Arial" w:hAnsi="Arial" w:cs="Arial"/>
        </w:rPr>
        <w:t>on</w:t>
      </w:r>
      <w:r w:rsidR="00FD7DA7" w:rsidRPr="0092670C">
        <w:rPr>
          <w:rFonts w:ascii="Arial" w:hAnsi="Arial" w:cs="Arial"/>
        </w:rPr>
        <w:t xml:space="preserve">, although this was at the expense of </w:t>
      </w:r>
      <w:r w:rsidR="00001C20" w:rsidRPr="0092670C">
        <w:rPr>
          <w:rFonts w:ascii="Arial" w:hAnsi="Arial" w:cs="Arial"/>
        </w:rPr>
        <w:t>capacity</w:t>
      </w:r>
      <w:r w:rsidR="00832C5F" w:rsidRPr="0092670C">
        <w:rPr>
          <w:rFonts w:ascii="Arial" w:hAnsi="Arial" w:cs="Arial"/>
        </w:rPr>
        <w:t>.</w:t>
      </w:r>
      <w:r w:rsidR="002D62F1" w:rsidRPr="0092670C">
        <w:rPr>
          <w:rFonts w:ascii="Arial" w:hAnsi="Arial" w:cs="Arial"/>
        </w:rPr>
        <w:t xml:space="preserve"> </w:t>
      </w:r>
      <w:r w:rsidR="0093136F" w:rsidRPr="0092670C">
        <w:rPr>
          <w:rFonts w:ascii="Arial" w:hAnsi="Arial" w:cs="Arial"/>
        </w:rPr>
        <w:t>A di</w:t>
      </w:r>
      <w:r w:rsidR="00E07DB7" w:rsidRPr="0092670C">
        <w:rPr>
          <w:rFonts w:ascii="Arial" w:hAnsi="Arial" w:cs="Arial"/>
        </w:rPr>
        <w:t xml:space="preserve">ssolution test was also performed on </w:t>
      </w:r>
      <w:r w:rsidR="00DA52B2" w:rsidRPr="0092670C">
        <w:rPr>
          <w:rFonts w:ascii="Arial" w:hAnsi="Arial" w:cs="Arial"/>
        </w:rPr>
        <w:t xml:space="preserve">pre-lithiated </w:t>
      </w:r>
      <w:r w:rsidR="00804283">
        <w:rPr>
          <w:rFonts w:ascii="Arial" w:hAnsi="Arial" w:cs="Arial"/>
        </w:rPr>
        <w:t xml:space="preserve">hard </w:t>
      </w:r>
      <w:r w:rsidR="00DA52B2" w:rsidRPr="0092670C">
        <w:rPr>
          <w:rFonts w:ascii="Arial" w:hAnsi="Arial" w:cs="Arial"/>
        </w:rPr>
        <w:t xml:space="preserve">carbon and compared with </w:t>
      </w:r>
      <w:r w:rsidR="00685290">
        <w:rPr>
          <w:rFonts w:ascii="Arial" w:hAnsi="Arial" w:cs="Arial"/>
        </w:rPr>
        <w:t xml:space="preserve">hard carbon. The effects of pre-sodiation are also compared </w:t>
      </w:r>
      <w:r w:rsidR="00814980">
        <w:rPr>
          <w:rFonts w:ascii="Arial" w:hAnsi="Arial" w:cs="Arial"/>
        </w:rPr>
        <w:t>to the pre-lithiated cells and their</w:t>
      </w:r>
      <w:r w:rsidR="00343928">
        <w:rPr>
          <w:rFonts w:ascii="Arial" w:hAnsi="Arial" w:cs="Arial"/>
        </w:rPr>
        <w:t xml:space="preserve"> performance checked. </w:t>
      </w:r>
      <w:r w:rsidR="00F06859" w:rsidRPr="0092670C">
        <w:rPr>
          <w:rFonts w:ascii="Arial" w:hAnsi="Arial" w:cs="Arial"/>
        </w:rPr>
        <w:br w:type="page"/>
      </w:r>
    </w:p>
    <w:p w14:paraId="388F76EF" w14:textId="77777777" w:rsidR="009E3391" w:rsidRPr="0092670C" w:rsidRDefault="009E3391" w:rsidP="00E43E32">
      <w:pPr>
        <w:pStyle w:val="Heading2"/>
        <w:rPr>
          <w:rFonts w:ascii="Arial" w:hAnsi="Arial" w:cs="Arial"/>
          <w:sz w:val="32"/>
          <w:szCs w:val="32"/>
        </w:rPr>
      </w:pPr>
      <w:bookmarkStart w:id="293" w:name="_Toc82538807"/>
      <w:r w:rsidRPr="0092670C">
        <w:rPr>
          <w:rFonts w:ascii="Arial" w:hAnsi="Arial" w:cs="Arial"/>
          <w:sz w:val="32"/>
          <w:szCs w:val="32"/>
        </w:rPr>
        <w:t>Introduction</w:t>
      </w:r>
      <w:bookmarkEnd w:id="293"/>
    </w:p>
    <w:p w14:paraId="72D276E7" w14:textId="0A6A2862" w:rsidR="009E3391" w:rsidRPr="0092670C" w:rsidRDefault="009E3391" w:rsidP="009E3391">
      <w:pPr>
        <w:spacing w:line="360" w:lineRule="auto"/>
        <w:jc w:val="both"/>
        <w:rPr>
          <w:rFonts w:ascii="Arial" w:hAnsi="Arial" w:cs="Arial"/>
        </w:rPr>
      </w:pPr>
      <w:r w:rsidRPr="0092670C">
        <w:rPr>
          <w:rFonts w:ascii="Arial" w:hAnsi="Arial" w:cs="Arial"/>
        </w:rPr>
        <w:t xml:space="preserve">Na-ion batteries are a major focus of research due to the possible costs savings that could be had over Li-ion cells whilst maintaining reasonable energy densities. These include the fact that aluminium can be used instead of copper for the current collector. </w:t>
      </w:r>
      <w:r w:rsidR="00795A3B" w:rsidRPr="0092670C">
        <w:rPr>
          <w:rFonts w:ascii="Arial" w:hAnsi="Arial" w:cs="Arial"/>
        </w:rPr>
        <w:t>C</w:t>
      </w:r>
      <w:r w:rsidRPr="0092670C">
        <w:rPr>
          <w:rFonts w:ascii="Arial" w:hAnsi="Arial" w:cs="Arial"/>
        </w:rPr>
        <w:t xml:space="preserve">opper </w:t>
      </w:r>
      <w:r w:rsidR="00795A3B" w:rsidRPr="0092670C">
        <w:rPr>
          <w:rFonts w:ascii="Arial" w:hAnsi="Arial" w:cs="Arial"/>
        </w:rPr>
        <w:t>has to be</w:t>
      </w:r>
      <w:r w:rsidRPr="0092670C">
        <w:rPr>
          <w:rFonts w:ascii="Arial" w:hAnsi="Arial" w:cs="Arial"/>
        </w:rPr>
        <w:t xml:space="preserve"> used </w:t>
      </w:r>
      <w:r w:rsidR="00795A3B" w:rsidRPr="0092670C">
        <w:rPr>
          <w:rFonts w:ascii="Arial" w:hAnsi="Arial" w:cs="Arial"/>
        </w:rPr>
        <w:t xml:space="preserve">in Li-ion batteries </w:t>
      </w:r>
      <w:r w:rsidRPr="0092670C">
        <w:rPr>
          <w:rFonts w:ascii="Arial" w:hAnsi="Arial" w:cs="Arial"/>
        </w:rPr>
        <w:t>because alloying can occur between lithium and Aluminium</w:t>
      </w:r>
      <w:r w:rsidR="001D5A7A"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&lt;EndNote&gt;&lt;Cite&gt;&lt;Author&gt;Myung&lt;/Author&gt;&lt;Year&gt;2011&lt;/Year&gt;&lt;RecNum&gt;201&lt;/RecNum&gt;&lt;DisplayText&gt;[242]&lt;/DisplayText&gt;&lt;record&gt;&lt;rec-number&gt;201&lt;/rec-number&gt;&lt;foreign-keys&gt;&lt;key app="EN" db-id="5sa9s0e0r0d9fnexra7pr5xdwd5ztevx95s2" timestamp="1552671205"&gt;201&lt;/key&gt;&lt;/foreign-keys&gt;&lt;ref-type name="Journal Article"&gt;17&lt;/ref-type&gt;&lt;contributors&gt;&lt;authors&gt;&lt;author&gt;Myung, Seung-Taek&lt;/author&gt;&lt;author&gt;Hitoshi, Yashiro&lt;/author&gt;&lt;author&gt;Sun, Yang-Kook&lt;/author&gt;&lt;/authors&gt;&lt;/contributors&gt;&lt;titles&gt;&lt;title&gt;Electrochemical behavior and passivation of current collectors in lithium-ion batteries&lt;/title&gt;&lt;secondary-title&gt;Journal of Materials Chemistry&lt;/secondary-title&gt;&lt;/titles&gt;&lt;periodical&gt;&lt;full-title&gt;Journal of Materials Chemistry&lt;/full-title&gt;&lt;/periodical&gt;&lt;pages&gt;9891-9911&lt;/pages&gt;&lt;volume&gt;21&lt;/volume&gt;&lt;number&gt;27&lt;/number&gt;&lt;dates&gt;&lt;year&gt;2011&lt;/year&gt;&lt;/dates&gt;&lt;publisher&gt;The Royal Society of Chemistry&lt;/publisher&gt;&lt;isbn&gt;0959-9428&lt;/isbn&gt;&lt;work-type&gt;10.1039/C0JM04353B&lt;/work-type&gt;&lt;urls&gt;&lt;related-urls&gt;&lt;url&gt;http://dx.doi.org/10.1039/C0JM04353B&lt;/url&gt;&lt;/related-urls&gt;&lt;/urls&gt;&lt;electronic-resource-num&gt;10.1039/C0JM04353B&lt;/electronic-resource-num&gt;&lt;/record&gt;&lt;/Cite&gt;&lt;/EndNote&gt;</w:instrText>
      </w:r>
      <w:r w:rsidRPr="0092670C">
        <w:rPr>
          <w:rFonts w:ascii="Arial" w:hAnsi="Arial" w:cs="Arial"/>
        </w:rPr>
        <w:fldChar w:fldCharType="separate"/>
      </w:r>
      <w:r w:rsidR="0034337D">
        <w:rPr>
          <w:rFonts w:ascii="Arial" w:hAnsi="Arial" w:cs="Arial"/>
          <w:noProof/>
        </w:rPr>
        <w:t>[242]</w:t>
      </w:r>
      <w:r w:rsidRPr="0092670C">
        <w:rPr>
          <w:rFonts w:ascii="Arial" w:hAnsi="Arial" w:cs="Arial"/>
        </w:rPr>
        <w:fldChar w:fldCharType="end"/>
      </w:r>
      <w:r w:rsidRPr="0092670C">
        <w:rPr>
          <w:rFonts w:ascii="Arial" w:hAnsi="Arial" w:cs="Arial"/>
        </w:rPr>
        <w:t xml:space="preserve">. This </w:t>
      </w:r>
      <w:r w:rsidR="008125C2">
        <w:rPr>
          <w:rFonts w:ascii="Arial" w:hAnsi="Arial" w:cs="Arial"/>
        </w:rPr>
        <w:t>is beneficial as</w:t>
      </w:r>
      <w:r w:rsidRPr="0092670C">
        <w:rPr>
          <w:rFonts w:ascii="Arial" w:hAnsi="Arial" w:cs="Arial"/>
        </w:rPr>
        <w:t xml:space="preserve"> copper</w:t>
      </w:r>
      <w:r w:rsidR="0092180A">
        <w:rPr>
          <w:rFonts w:ascii="Arial" w:hAnsi="Arial" w:cs="Arial"/>
        </w:rPr>
        <w:t xml:space="preserve"> is a more expensive metal</w:t>
      </w:r>
      <w:r w:rsidRPr="0092670C">
        <w:rPr>
          <w:rFonts w:ascii="Arial" w:hAnsi="Arial" w:cs="Arial"/>
        </w:rPr>
        <w:t xml:space="preserve"> compared to aluminium. Aluminium is also less dense than copper helping to reduce the weight of the cell.  This and other benefits could help to make Na-ion storage more competitive with other electrical storage and as a power source in automotive applications</w:t>
      </w:r>
      <w:r w:rsidR="003F0F3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&lt;EndNote&gt;&lt;Cite&gt;&lt;Author&gt;Kubota&lt;/Author&gt;&lt;Year&gt;2015&lt;/Year&gt;&lt;RecNum&gt;284&lt;/RecNum&gt;&lt;DisplayText&gt;[243]&lt;/DisplayText&gt;&lt;record&gt;&lt;rec-number&gt;284&lt;/rec-number&gt;&lt;foreign-keys&gt;&lt;key app="EN" db-id="5sa9s0e0r0d9fnexra7pr5xdwd5ztevx95s2" timestamp="1559570028"&gt;284&lt;/key&gt;&lt;/foreign-keys&gt;&lt;ref-type name="Journal Article"&gt;17&lt;/ref-type&gt;&lt;contributors&gt;&lt;authors&gt;&lt;author&gt;Kubota, Kei&lt;/author&gt;&lt;author&gt;Komaba, Shinichi&lt;/author&gt;&lt;/authors&gt;&lt;/contributors&gt;&lt;titles&gt;&lt;title&gt;Review—Practical Issues and Future Perspective for Na-Ion Batteries&lt;/title&gt;&lt;secondary-title&gt;Journal of The Electrochemical Society&lt;/secondary-title&gt;&lt;/titles&gt;&lt;periodical&gt;&lt;full-title&gt;Journal of the Electrochemical Society&lt;/full-title&gt;&lt;abbr-1&gt;J. Electrochem. Soc.&lt;/abbr-1&gt;&lt;/periodical&gt;&lt;pages&gt;A2538-A2550&lt;/pages&gt;&lt;volume&gt;162&lt;/volume&gt;&lt;number&gt;14&lt;/number&gt;&lt;dates&gt;&lt;year&gt;2015&lt;/year&gt;&lt;pub-dates&gt;&lt;date&gt;January 1, 2015&lt;/date&gt;&lt;/pub-dates&gt;&lt;/dates&gt;&lt;urls&gt;&lt;related-urls&gt;&lt;url&gt;http://jes.ecsdl.org/content/162/14/A2538.abstract&lt;/url&gt;&lt;/related-urls&gt;&lt;/urls&gt;&lt;electronic-resource-num&gt;10.1149/2.0151514jes&lt;/electronic-resource-num&gt;&lt;/record&gt;&lt;/Cite&gt;&lt;/EndNote&gt;</w:instrText>
      </w:r>
      <w:r w:rsidRPr="0092670C">
        <w:rPr>
          <w:rFonts w:ascii="Arial" w:hAnsi="Arial" w:cs="Arial"/>
        </w:rPr>
        <w:fldChar w:fldCharType="separate"/>
      </w:r>
      <w:r w:rsidR="0034337D">
        <w:rPr>
          <w:rFonts w:ascii="Arial" w:hAnsi="Arial" w:cs="Arial"/>
          <w:noProof/>
        </w:rPr>
        <w:t>[243]</w:t>
      </w:r>
      <w:r w:rsidRPr="0092670C">
        <w:rPr>
          <w:rFonts w:ascii="Arial" w:hAnsi="Arial" w:cs="Arial"/>
        </w:rPr>
        <w:fldChar w:fldCharType="end"/>
      </w:r>
      <w:r w:rsidRPr="0092670C">
        <w:rPr>
          <w:rFonts w:ascii="Arial" w:hAnsi="Arial" w:cs="Arial"/>
        </w:rPr>
        <w:t xml:space="preserve">. </w:t>
      </w:r>
    </w:p>
    <w:p w14:paraId="40FE9257" w14:textId="41E1FE6D" w:rsidR="007862CA" w:rsidRDefault="009E3391" w:rsidP="009E3391">
      <w:pPr>
        <w:spacing w:line="360" w:lineRule="auto"/>
        <w:jc w:val="both"/>
        <w:rPr>
          <w:rFonts w:ascii="Arial" w:hAnsi="Arial" w:cs="Arial"/>
        </w:rPr>
      </w:pPr>
      <w:r w:rsidRPr="0092670C">
        <w:rPr>
          <w:rFonts w:ascii="Arial" w:hAnsi="Arial" w:cs="Arial"/>
        </w:rPr>
        <w:t>One of the issues facing Na-ion cells is the weak performance of the SEI, in particular its tendency to dissolve</w:t>
      </w:r>
      <w:r w:rsidR="007862CA">
        <w:rPr>
          <w:rFonts w:ascii="Arial" w:hAnsi="Arial" w:cs="Arial"/>
        </w:rPr>
        <w:t xml:space="preserve"> back into the electrolyte</w:t>
      </w:r>
      <w:r w:rsidRPr="0092670C">
        <w:rPr>
          <w:rFonts w:ascii="Arial" w:hAnsi="Arial" w:cs="Arial"/>
        </w:rPr>
        <w:t xml:space="preserve"> when the cell is resting</w:t>
      </w:r>
      <w:r w:rsidR="003F0F36"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&lt;EndNote&gt;&lt;Cite&gt;&lt;Author&gt;Mogensen&lt;/Author&gt;&lt;Year&gt;2016&lt;/Year&gt;&lt;RecNum&gt;83&lt;/RecNum&gt;&lt;DisplayText&gt;[175]&lt;/DisplayText&gt;&lt;record&gt;&lt;rec-number&gt;83&lt;/rec-number&gt;&lt;foreign-keys&gt;&lt;key app="EN" db-id="5sa9s0e0r0d9fnexra7pr5xdwd5ztevx95s2" timestamp="1516185253"&gt;83&lt;/key&gt;&lt;/foreign-keys&gt;&lt;ref-type name="Journal Article"&gt;17&lt;/ref-type&gt;&lt;contributors&gt;&lt;authors&gt;&lt;author&gt;Mogensen, Ronnie&lt;/author&gt;&lt;author&gt;Brandell, Daniel&lt;/author&gt;&lt;author&gt;Younesi, Reza&lt;/author&gt;&lt;/authors&gt;&lt;/contributors&gt;&lt;titles&gt;&lt;title&gt;Solubility of the Solid Electrolyte Interphase (SEI) in Sodium Ion Batteries&lt;/title&gt;&lt;secondary-title&gt;ACS Energy Letters&lt;/secondary-title&gt;&lt;/titles&gt;&lt;periodical&gt;&lt;full-title&gt;Acs Energy Letters&lt;/full-title&gt;&lt;abbr-1&gt;ACS Energy Lett.&lt;/abbr-1&gt;&lt;/periodical&gt;&lt;pages&gt;1173-1178&lt;/pages&gt;&lt;volume&gt;1&lt;/volume&gt;&lt;number&gt;6&lt;/number&gt;&lt;dates&gt;&lt;year&gt;2016&lt;/year&gt;&lt;pub-dates&gt;&lt;date&gt;2016/12/09&lt;/date&gt;&lt;/pub-dates&gt;&lt;/dates&gt;&lt;publisher&gt;American Chemical Society&lt;/publisher&gt;&lt;urls&gt;&lt;related-urls&gt;&lt;url&gt;http://dx.doi.org/10.1021/acsenergylett.6b00491&lt;/url&gt;&lt;/related-urls&gt;&lt;/urls&gt;&lt;electronic-resource-num&gt;10.1021/acsenergylett.6b00491&lt;/electronic-resource-num&gt;&lt;/record&gt;&lt;/Cite&gt;&lt;/EndNote&gt;</w:instrText>
      </w:r>
      <w:r w:rsidRPr="0092670C">
        <w:rPr>
          <w:rFonts w:ascii="Arial" w:hAnsi="Arial" w:cs="Arial"/>
        </w:rPr>
        <w:fldChar w:fldCharType="separate"/>
      </w:r>
      <w:r w:rsidR="0034337D">
        <w:rPr>
          <w:rFonts w:ascii="Arial" w:hAnsi="Arial" w:cs="Arial"/>
          <w:noProof/>
        </w:rPr>
        <w:t>[175]</w:t>
      </w:r>
      <w:r w:rsidRPr="0092670C">
        <w:rPr>
          <w:rFonts w:ascii="Arial" w:hAnsi="Arial" w:cs="Arial"/>
        </w:rPr>
        <w:fldChar w:fldCharType="end"/>
      </w:r>
      <w:r w:rsidRPr="0092670C">
        <w:rPr>
          <w:rFonts w:ascii="Arial" w:hAnsi="Arial" w:cs="Arial"/>
        </w:rPr>
        <w:t>.</w:t>
      </w:r>
      <w:r w:rsidR="000B450C">
        <w:rPr>
          <w:rFonts w:ascii="Arial" w:hAnsi="Arial" w:cs="Arial"/>
        </w:rPr>
        <w:t xml:space="preserve"> </w:t>
      </w:r>
      <w:r w:rsidR="00B12BB2">
        <w:rPr>
          <w:rFonts w:ascii="Arial" w:hAnsi="Arial" w:cs="Arial"/>
        </w:rPr>
        <w:t>This is</w:t>
      </w:r>
      <w:r w:rsidR="006C28A7">
        <w:rPr>
          <w:rFonts w:ascii="Arial" w:hAnsi="Arial" w:cs="Arial"/>
        </w:rPr>
        <w:t xml:space="preserve">n’t an issue with Li-ion anodes. </w:t>
      </w:r>
      <w:r w:rsidR="0094094A">
        <w:rPr>
          <w:rFonts w:ascii="Arial" w:hAnsi="Arial" w:cs="Arial"/>
        </w:rPr>
        <w:t xml:space="preserve">This chapter aims to create a Li based SEI on a Na-ion anode (hard carbon) </w:t>
      </w:r>
      <w:r w:rsidR="00194510">
        <w:rPr>
          <w:rFonts w:ascii="Arial" w:hAnsi="Arial" w:cs="Arial"/>
        </w:rPr>
        <w:t xml:space="preserve">using pre-lithiation </w:t>
      </w:r>
      <w:r w:rsidR="0099115B">
        <w:rPr>
          <w:rFonts w:ascii="Arial" w:hAnsi="Arial" w:cs="Arial"/>
        </w:rPr>
        <w:t xml:space="preserve">and study its effect on the capacity retention and solubility </w:t>
      </w:r>
      <w:r w:rsidR="00503579">
        <w:rPr>
          <w:rFonts w:ascii="Arial" w:hAnsi="Arial" w:cs="Arial"/>
        </w:rPr>
        <w:t>when compared to the standard Na based SEI.</w:t>
      </w:r>
    </w:p>
    <w:p w14:paraId="0F287215" w14:textId="0D636AC9" w:rsidR="009E3391" w:rsidRPr="0092670C" w:rsidRDefault="00DB281A" w:rsidP="009E3391">
      <w:pPr>
        <w:spacing w:line="360" w:lineRule="auto"/>
        <w:jc w:val="both"/>
        <w:rPr>
          <w:rFonts w:ascii="Arial" w:hAnsi="Arial" w:cs="Arial"/>
        </w:rPr>
      </w:pPr>
      <w:r>
        <w:rPr>
          <w:rFonts w:ascii="Arial" w:hAnsi="Arial" w:cs="Arial"/>
        </w:rPr>
        <w:t>H</w:t>
      </w:r>
      <w:r w:rsidR="002C30EE" w:rsidRPr="0092670C">
        <w:rPr>
          <w:rFonts w:ascii="Arial" w:hAnsi="Arial" w:cs="Arial"/>
        </w:rPr>
        <w:t>ard</w:t>
      </w:r>
      <w:r w:rsidR="009E3391" w:rsidRPr="0092670C">
        <w:rPr>
          <w:rFonts w:ascii="Arial" w:hAnsi="Arial" w:cs="Arial"/>
        </w:rPr>
        <w:t xml:space="preserve"> carbon</w:t>
      </w:r>
      <w:r w:rsidR="002C30EE" w:rsidRPr="0092670C">
        <w:rPr>
          <w:rFonts w:ascii="Arial" w:hAnsi="Arial" w:cs="Arial"/>
        </w:rPr>
        <w:t>’</w:t>
      </w:r>
      <w:r w:rsidR="009E3391" w:rsidRPr="0092670C">
        <w:rPr>
          <w:rFonts w:ascii="Arial" w:hAnsi="Arial" w:cs="Arial"/>
        </w:rPr>
        <w:t>s ability to intercalate both Li and Na</w:t>
      </w:r>
      <w:r>
        <w:rPr>
          <w:rFonts w:ascii="Arial" w:hAnsi="Arial" w:cs="Arial"/>
        </w:rPr>
        <w:t xml:space="preserve"> was utilised </w:t>
      </w:r>
      <w:r w:rsidR="00BE7C79">
        <w:rPr>
          <w:rFonts w:ascii="Arial" w:hAnsi="Arial" w:cs="Arial"/>
        </w:rPr>
        <w:t>to make an anode with a Li based SEI that could still be cycled with Na</w:t>
      </w:r>
      <w:r w:rsidR="009E3391" w:rsidRPr="0092670C">
        <w:rPr>
          <w:rFonts w:ascii="Arial" w:hAnsi="Arial" w:cs="Arial"/>
        </w:rPr>
        <w:t>. Forming a Li-based SEI could give the cell the sort of robustness that would be expected in commercial operation. We needed to design an SEI layer that was able to still facilitate Na-ion trans</w:t>
      </w:r>
      <w:r w:rsidR="00C709AA" w:rsidRPr="0092670C">
        <w:rPr>
          <w:rFonts w:ascii="Arial" w:hAnsi="Arial" w:cs="Arial"/>
        </w:rPr>
        <w:t>port</w:t>
      </w:r>
      <w:r w:rsidR="009E3391" w:rsidRPr="0092670C">
        <w:rPr>
          <w:rFonts w:ascii="Arial" w:hAnsi="Arial" w:cs="Arial"/>
        </w:rPr>
        <w:t xml:space="preserve">. As the SEI is a based upon a mixture of oligomers and inorganic salts then the amount of Li in the SEI needs to be minimised. This is because high Li concentration could lead to mixed ion conduction. This would have a negative performance impact when the cell design is optimised around a single ion species (either Na or Li). Most of my work thus far has used FEC to help improve the capacity of the cell. As FEC is known to facilitate LiF formation gives rise to the possibility of mixed ion formation. </w:t>
      </w:r>
    </w:p>
    <w:p w14:paraId="1DAD5457" w14:textId="77777777" w:rsidR="009E3391" w:rsidRPr="0092670C" w:rsidRDefault="009E3391" w:rsidP="00E43E32">
      <w:pPr>
        <w:pStyle w:val="Heading2"/>
        <w:rPr>
          <w:rFonts w:ascii="Arial" w:hAnsi="Arial" w:cs="Arial"/>
        </w:rPr>
      </w:pPr>
      <w:bookmarkStart w:id="294" w:name="_Toc82538808"/>
      <w:r w:rsidRPr="0092670C">
        <w:rPr>
          <w:rFonts w:ascii="Arial" w:hAnsi="Arial" w:cs="Arial"/>
        </w:rPr>
        <w:t>How Na-ion batteries work</w:t>
      </w:r>
      <w:bookmarkEnd w:id="294"/>
    </w:p>
    <w:p w14:paraId="5C906952" w14:textId="77777777" w:rsidR="009E3391" w:rsidRPr="0092670C" w:rsidRDefault="009E3391" w:rsidP="00E43E32">
      <w:pPr>
        <w:pStyle w:val="Heading2"/>
        <w:rPr>
          <w:rFonts w:ascii="Arial" w:hAnsi="Arial" w:cs="Arial"/>
          <w:sz w:val="32"/>
          <w:szCs w:val="32"/>
        </w:rPr>
      </w:pPr>
      <w:bookmarkStart w:id="295" w:name="_Toc82538809"/>
      <w:r w:rsidRPr="0092670C">
        <w:rPr>
          <w:rFonts w:ascii="Arial" w:hAnsi="Arial" w:cs="Arial"/>
          <w:sz w:val="32"/>
          <w:szCs w:val="32"/>
        </w:rPr>
        <w:t>Pre-lithiation of hard carbon</w:t>
      </w:r>
      <w:bookmarkEnd w:id="295"/>
    </w:p>
    <w:p w14:paraId="2B25664D" w14:textId="2D50DFAC" w:rsidR="009E3391" w:rsidRPr="0092670C" w:rsidRDefault="009E3391" w:rsidP="009E3391">
      <w:pPr>
        <w:spacing w:line="360" w:lineRule="auto"/>
        <w:jc w:val="both"/>
        <w:rPr>
          <w:rFonts w:ascii="Arial" w:hAnsi="Arial" w:cs="Arial"/>
        </w:rPr>
      </w:pPr>
      <w:r w:rsidRPr="0092670C">
        <w:rPr>
          <w:rFonts w:ascii="Arial" w:hAnsi="Arial" w:cs="Arial"/>
        </w:rPr>
        <w:t>As we have seen</w:t>
      </w:r>
      <w:r w:rsidR="007715A0">
        <w:rPr>
          <w:rFonts w:ascii="Arial" w:hAnsi="Arial" w:cs="Arial"/>
        </w:rPr>
        <w:t>,</w:t>
      </w:r>
      <w:r w:rsidRPr="0092670C">
        <w:rPr>
          <w:rFonts w:ascii="Arial" w:hAnsi="Arial" w:cs="Arial"/>
        </w:rPr>
        <w:t xml:space="preserve"> Li based cells have a robust SEI </w:t>
      </w:r>
      <w:r w:rsidR="004A78A6">
        <w:rPr>
          <w:rFonts w:ascii="Arial" w:hAnsi="Arial" w:cs="Arial"/>
        </w:rPr>
        <w:t>that gives a cell strong capacity retention over the first 100 cycles</w:t>
      </w:r>
      <w:r w:rsidRPr="0092670C">
        <w:rPr>
          <w:rFonts w:ascii="Arial" w:hAnsi="Arial" w:cs="Arial"/>
        </w:rPr>
        <w:t xml:space="preserve">. By pre-lithiating the hard carbon a Li-based SEI should be formed upon the hard carbon. This should give the Na-ion half-cell a robust SEI </w:t>
      </w:r>
      <w:r w:rsidR="001C0045" w:rsidRPr="0092670C">
        <w:rPr>
          <w:rFonts w:ascii="Arial" w:hAnsi="Arial" w:cs="Arial"/>
        </w:rPr>
        <w:t xml:space="preserve">with a higher </w:t>
      </w:r>
      <w:r w:rsidR="00ED15EF" w:rsidRPr="0092670C">
        <w:rPr>
          <w:rFonts w:ascii="Arial" w:hAnsi="Arial" w:cs="Arial"/>
        </w:rPr>
        <w:t xml:space="preserve">oligomer content </w:t>
      </w:r>
      <w:r w:rsidRPr="0092670C">
        <w:rPr>
          <w:rFonts w:ascii="Arial" w:hAnsi="Arial" w:cs="Arial"/>
        </w:rPr>
        <w:t xml:space="preserve">that allows the cell to cycle longer with a greater capacity retention. We tried electrochemical pre-lithiation to see if similar trends were apparent as seen with the pre-lithiation of graphite. We saw in the pre-lithiation of graphite that the use of additive was important in maximising performance. As a result we used FEC for the pre-lithiation process. This is also important as FEC is known to form polymeric species, something that is otherwise lacking in most Na-ion batteries. </w:t>
      </w:r>
    </w:p>
    <w:p w14:paraId="54D266F2" w14:textId="77777777" w:rsidR="009E3391" w:rsidRPr="0092670C" w:rsidRDefault="009E3391" w:rsidP="00E43E32">
      <w:pPr>
        <w:pStyle w:val="Heading3"/>
        <w:rPr>
          <w:rFonts w:ascii="Arial" w:hAnsi="Arial" w:cs="Arial"/>
          <w:color w:val="2F5496" w:themeColor="accent1" w:themeShade="BF"/>
          <w:sz w:val="26"/>
          <w:szCs w:val="26"/>
        </w:rPr>
      </w:pPr>
      <w:bookmarkStart w:id="296" w:name="_Toc82538810"/>
      <w:r w:rsidRPr="0092670C">
        <w:rPr>
          <w:rFonts w:ascii="Arial" w:hAnsi="Arial" w:cs="Arial"/>
          <w:color w:val="2F5496" w:themeColor="accent1" w:themeShade="BF"/>
          <w:sz w:val="26"/>
          <w:szCs w:val="26"/>
        </w:rPr>
        <w:t>Electrochemical experimental</w:t>
      </w:r>
      <w:bookmarkEnd w:id="296"/>
      <w:r w:rsidRPr="0092670C">
        <w:rPr>
          <w:rFonts w:ascii="Arial" w:hAnsi="Arial" w:cs="Arial"/>
          <w:color w:val="2F5496" w:themeColor="accent1" w:themeShade="BF"/>
          <w:sz w:val="26"/>
          <w:szCs w:val="26"/>
        </w:rPr>
        <w:t xml:space="preserve"> </w:t>
      </w:r>
    </w:p>
    <w:p w14:paraId="4A105B8B" w14:textId="77777777" w:rsidR="008B2890" w:rsidRPr="008B2890" w:rsidRDefault="008B2890" w:rsidP="008B2890">
      <w:pPr>
        <w:spacing w:line="360" w:lineRule="auto"/>
        <w:jc w:val="both"/>
        <w:rPr>
          <w:rFonts w:ascii="Arial" w:hAnsi="Arial" w:cs="Arial"/>
        </w:rPr>
      </w:pPr>
      <w:r w:rsidRPr="008B2890">
        <w:rPr>
          <w:rFonts w:ascii="Arial" w:hAnsi="Arial" w:cs="Arial"/>
        </w:rPr>
        <w:t>Hard carbon was produced using the method outlined in 2. electrodes were made as described in 2.1. The electrodes were then pre-lithiated electrochemically with LP30 (1.0M LiPF</w:t>
      </w:r>
      <w:r w:rsidRPr="008B2890">
        <w:rPr>
          <w:rFonts w:ascii="Arial" w:hAnsi="Arial" w:cs="Arial"/>
          <w:vertAlign w:val="subscript"/>
        </w:rPr>
        <w:t>6</w:t>
      </w:r>
      <w:r w:rsidRPr="008B2890">
        <w:rPr>
          <w:rFonts w:ascii="Arial" w:hAnsi="Arial" w:cs="Arial"/>
        </w:rPr>
        <w:t xml:space="preserve"> in EC/DMC=50/50 (v/v), battery grade, Sigma Aldrich) as outlined in 2.3.2. This process was conducted between 10 and 40mins. These electrodes were then assembled into half cells with Na as the counter electrode and 0.5M NaPF</w:t>
      </w:r>
      <w:r w:rsidRPr="008B2890">
        <w:rPr>
          <w:rFonts w:ascii="Arial" w:hAnsi="Arial" w:cs="Arial"/>
          <w:vertAlign w:val="subscript"/>
        </w:rPr>
        <w:t>6</w:t>
      </w:r>
      <w:r w:rsidRPr="008B2890">
        <w:rPr>
          <w:rFonts w:ascii="Arial" w:hAnsi="Arial" w:cs="Arial"/>
        </w:rPr>
        <w:t xml:space="preserve"> in EC: DMC (50:50V/V)</w:t>
      </w:r>
      <w:r w:rsidRPr="008B2890">
        <w:rPr>
          <w:rFonts w:ascii="Arial" w:hAnsi="Arial" w:cs="Arial"/>
          <w:vertAlign w:val="subscript"/>
        </w:rPr>
        <w:t xml:space="preserve"> </w:t>
      </w:r>
      <w:r w:rsidRPr="008B2890">
        <w:rPr>
          <w:rFonts w:ascii="Arial" w:hAnsi="Arial" w:cs="Arial"/>
        </w:rPr>
        <w:t xml:space="preserve">was used as the electrolyte. The cells were cycled at C/10 for 100 cycles using CC/CV cycling for the charge on a Maccor series 4000M at 25°C. Two reference cells were made with hard carbon electrodes that hadn’t been pre-lithiated. One used Na as the counter electrode and the other used Li.  </w:t>
      </w:r>
    </w:p>
    <w:p w14:paraId="176A8744" w14:textId="77777777" w:rsidR="009E3391" w:rsidRPr="0092670C" w:rsidRDefault="009E3391" w:rsidP="00E43E32">
      <w:pPr>
        <w:pStyle w:val="Heading3"/>
        <w:rPr>
          <w:rFonts w:ascii="Arial" w:hAnsi="Arial" w:cs="Arial"/>
          <w:color w:val="2F5496" w:themeColor="accent1" w:themeShade="BF"/>
          <w:sz w:val="26"/>
          <w:szCs w:val="26"/>
        </w:rPr>
      </w:pPr>
      <w:bookmarkStart w:id="297" w:name="_Toc82538811"/>
      <w:r w:rsidRPr="0092670C">
        <w:rPr>
          <w:rFonts w:ascii="Arial" w:hAnsi="Arial" w:cs="Arial"/>
          <w:color w:val="2F5496" w:themeColor="accent1" w:themeShade="BF"/>
          <w:sz w:val="26"/>
          <w:szCs w:val="26"/>
        </w:rPr>
        <w:t>Results</w:t>
      </w:r>
      <w:bookmarkEnd w:id="297"/>
    </w:p>
    <w:p w14:paraId="6CD3ED01" w14:textId="77777777"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0FF10E28">
          <v:shape id="_x0000_i1134" type="#_x0000_t75" style="width:311.8pt;height:239.8pt" o:ole="">
            <v:imagedata r:id="rId275" o:title=""/>
          </v:shape>
          <o:OLEObject Type="Embed" ProgID="Origin95.Graph" ShapeID="_x0000_i1134" DrawAspect="Content" ObjectID="_1700734023" r:id="rId276"/>
        </w:object>
      </w:r>
    </w:p>
    <w:p w14:paraId="19382D23" w14:textId="2208AC30" w:rsidR="009E3391" w:rsidRPr="0092670C" w:rsidRDefault="009E3391" w:rsidP="009E3391">
      <w:pPr>
        <w:spacing w:after="200" w:line="360" w:lineRule="auto"/>
        <w:jc w:val="center"/>
        <w:rPr>
          <w:rFonts w:ascii="Arial" w:hAnsi="Arial" w:cs="Arial"/>
          <w:i/>
          <w:iCs/>
          <w:color w:val="44546A" w:themeColor="text2"/>
          <w:sz w:val="20"/>
          <w:szCs w:val="20"/>
        </w:rPr>
      </w:pPr>
      <w:bookmarkStart w:id="298" w:name="_Ref30859252"/>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w:t>
      </w:r>
      <w:r w:rsidR="00356A26">
        <w:rPr>
          <w:rFonts w:ascii="Arial" w:hAnsi="Arial" w:cs="Arial"/>
          <w:i/>
          <w:iCs/>
          <w:color w:val="44546A" w:themeColor="text2"/>
          <w:sz w:val="20"/>
          <w:szCs w:val="20"/>
        </w:rPr>
        <w:fldChar w:fldCharType="end"/>
      </w:r>
      <w:bookmarkEnd w:id="298"/>
      <w:r w:rsidRPr="0092670C">
        <w:rPr>
          <w:rFonts w:ascii="Arial" w:hAnsi="Arial" w:cs="Arial"/>
          <w:i/>
          <w:iCs/>
          <w:color w:val="44546A" w:themeColor="text2"/>
          <w:sz w:val="20"/>
          <w:szCs w:val="20"/>
        </w:rPr>
        <w:t>: Changes to charge capacity with increasing cycle number</w:t>
      </w:r>
      <w:r w:rsidR="00834D3C" w:rsidRPr="0092670C">
        <w:rPr>
          <w:rFonts w:ascii="Arial" w:hAnsi="Arial" w:cs="Arial"/>
          <w:i/>
          <w:iCs/>
          <w:color w:val="44546A" w:themeColor="text2"/>
          <w:sz w:val="20"/>
          <w:szCs w:val="20"/>
        </w:rPr>
        <w:t>.</w:t>
      </w:r>
    </w:p>
    <w:p w14:paraId="6A4BFAD1" w14:textId="4904EF38" w:rsidR="00430D8C" w:rsidRPr="0092670C" w:rsidRDefault="00AB5B45" w:rsidP="009E3391">
      <w:pPr>
        <w:spacing w:line="360" w:lineRule="auto"/>
        <w:jc w:val="both"/>
        <w:rPr>
          <w:rFonts w:ascii="Arial" w:hAnsi="Arial" w:cs="Arial"/>
        </w:rPr>
      </w:pPr>
      <w:r w:rsidRPr="0092670C">
        <w:rPr>
          <w:rFonts w:ascii="Arial" w:hAnsi="Arial" w:cs="Arial"/>
        </w:rPr>
        <w:t xml:space="preserve">The </w:t>
      </w:r>
      <w:r w:rsidR="004F1DA1" w:rsidRPr="0092670C">
        <w:rPr>
          <w:rFonts w:ascii="Arial" w:hAnsi="Arial" w:cs="Arial"/>
        </w:rPr>
        <w:t xml:space="preserve">charge capacity of the cells as a function of cycle number was plotted in </w:t>
      </w:r>
      <w:r w:rsidR="00AD5779" w:rsidRPr="0092670C">
        <w:rPr>
          <w:rFonts w:ascii="Arial" w:hAnsi="Arial" w:cs="Arial"/>
        </w:rPr>
        <w:fldChar w:fldCharType="begin"/>
      </w:r>
      <w:r w:rsidR="00AD5779" w:rsidRPr="0092670C">
        <w:rPr>
          <w:rFonts w:ascii="Arial" w:hAnsi="Arial" w:cs="Arial"/>
        </w:rPr>
        <w:instrText xml:space="preserve"> REF _Ref30859252 \h  \* MERGEFORMAT </w:instrText>
      </w:r>
      <w:r w:rsidR="00AD5779" w:rsidRPr="0092670C">
        <w:rPr>
          <w:rFonts w:ascii="Arial" w:hAnsi="Arial" w:cs="Arial"/>
        </w:rPr>
      </w:r>
      <w:r w:rsidR="00AD5779"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6</w:t>
      </w:r>
      <w:r w:rsidR="007342C8" w:rsidRPr="007342C8">
        <w:rPr>
          <w:rFonts w:ascii="Arial" w:hAnsi="Arial" w:cs="Arial"/>
          <w:noProof/>
        </w:rPr>
        <w:noBreakHyphen/>
        <w:t>2</w:t>
      </w:r>
      <w:r w:rsidR="00AD5779" w:rsidRPr="0092670C">
        <w:rPr>
          <w:rFonts w:ascii="Arial" w:hAnsi="Arial" w:cs="Arial"/>
        </w:rPr>
        <w:fldChar w:fldCharType="end"/>
      </w:r>
      <w:r w:rsidR="00AD5779" w:rsidRPr="0092670C">
        <w:rPr>
          <w:rFonts w:ascii="Arial" w:hAnsi="Arial" w:cs="Arial"/>
        </w:rPr>
        <w:t xml:space="preserve">. </w:t>
      </w:r>
      <w:r w:rsidR="009E3391" w:rsidRPr="0092670C">
        <w:rPr>
          <w:rFonts w:ascii="Arial" w:hAnsi="Arial" w:cs="Arial"/>
        </w:rPr>
        <w:t xml:space="preserve">The initial cell performance is worse for electrochemically pre-lithiated cells when compared to the reference. This could be due to several factors. The first one is that as Na-hard carbon interaction are postulated to be based on adsorption the Li-based SEI could be making some adsorption sites inaccessible. These inaccessible sites then can no longer participate in the reaction. As the pre-lithiation time is increased the capacity decreases. This is most likely due to more sodium sites becoming inaccessible as the SEI grows. </w:t>
      </w:r>
      <w:r w:rsidR="004C16C9" w:rsidRPr="0092670C">
        <w:rPr>
          <w:rFonts w:ascii="Arial" w:hAnsi="Arial" w:cs="Arial"/>
        </w:rPr>
        <w:t>Despite this lo</w:t>
      </w:r>
      <w:r w:rsidR="00123ED4" w:rsidRPr="0092670C">
        <w:rPr>
          <w:rFonts w:ascii="Arial" w:hAnsi="Arial" w:cs="Arial"/>
        </w:rPr>
        <w:t xml:space="preserve">w initial </w:t>
      </w:r>
      <w:r w:rsidR="00AC2786" w:rsidRPr="0092670C">
        <w:rPr>
          <w:rFonts w:ascii="Arial" w:hAnsi="Arial" w:cs="Arial"/>
        </w:rPr>
        <w:t>capacity,</w:t>
      </w:r>
      <w:r w:rsidR="00123ED4" w:rsidRPr="0092670C">
        <w:rPr>
          <w:rFonts w:ascii="Arial" w:hAnsi="Arial" w:cs="Arial"/>
        </w:rPr>
        <w:t xml:space="preserve"> the cells show excellent </w:t>
      </w:r>
      <w:r w:rsidR="0059067B" w:rsidRPr="0092670C">
        <w:rPr>
          <w:rFonts w:ascii="Arial" w:hAnsi="Arial" w:cs="Arial"/>
        </w:rPr>
        <w:t>capacity retention</w:t>
      </w:r>
      <w:r w:rsidR="00AA38DF" w:rsidRPr="0092670C">
        <w:rPr>
          <w:rFonts w:ascii="Arial" w:hAnsi="Arial" w:cs="Arial"/>
        </w:rPr>
        <w:t xml:space="preserve"> which is comparable </w:t>
      </w:r>
      <w:r w:rsidR="0061042F" w:rsidRPr="0092670C">
        <w:rPr>
          <w:rFonts w:ascii="Arial" w:hAnsi="Arial" w:cs="Arial"/>
        </w:rPr>
        <w:t xml:space="preserve">to Li ion anodes. This suggests that </w:t>
      </w:r>
      <w:r w:rsidR="00143CC7" w:rsidRPr="0092670C">
        <w:rPr>
          <w:rFonts w:ascii="Arial" w:hAnsi="Arial" w:cs="Arial"/>
        </w:rPr>
        <w:t>the SEI</w:t>
      </w:r>
      <w:r w:rsidR="00E83987" w:rsidRPr="0092670C">
        <w:rPr>
          <w:rFonts w:ascii="Arial" w:hAnsi="Arial" w:cs="Arial"/>
        </w:rPr>
        <w:t xml:space="preserve"> formed </w:t>
      </w:r>
      <w:r w:rsidR="005B0708" w:rsidRPr="0092670C">
        <w:rPr>
          <w:rFonts w:ascii="Arial" w:hAnsi="Arial" w:cs="Arial"/>
        </w:rPr>
        <w:t xml:space="preserve">is working well and </w:t>
      </w:r>
      <w:r w:rsidR="00D02899" w:rsidRPr="0092670C">
        <w:rPr>
          <w:rFonts w:ascii="Arial" w:hAnsi="Arial" w:cs="Arial"/>
        </w:rPr>
        <w:t>retarding</w:t>
      </w:r>
      <w:r w:rsidR="005B0708" w:rsidRPr="0092670C">
        <w:rPr>
          <w:rFonts w:ascii="Arial" w:hAnsi="Arial" w:cs="Arial"/>
        </w:rPr>
        <w:t xml:space="preserve"> further </w:t>
      </w:r>
      <w:r w:rsidR="00D02899" w:rsidRPr="0092670C">
        <w:rPr>
          <w:rFonts w:ascii="Arial" w:hAnsi="Arial" w:cs="Arial"/>
        </w:rPr>
        <w:t xml:space="preserve">electrolyte degradation. </w:t>
      </w:r>
    </w:p>
    <w:p w14:paraId="1B284F3D" w14:textId="7BEDD5BD" w:rsidR="009E3391" w:rsidRDefault="009E3391" w:rsidP="009E3391">
      <w:pPr>
        <w:spacing w:line="360" w:lineRule="auto"/>
        <w:jc w:val="both"/>
        <w:rPr>
          <w:rFonts w:ascii="Arial" w:hAnsi="Arial" w:cs="Arial"/>
        </w:rPr>
      </w:pPr>
      <w:r w:rsidRPr="0092670C">
        <w:rPr>
          <w:rFonts w:ascii="Arial" w:hAnsi="Arial" w:cs="Arial"/>
        </w:rPr>
        <w:t xml:space="preserve">The capacity retention of the Na reference cell is very poor with the charge capacity falling below that of the cell lithiated for 10 minutes after 45 cycles. The cell went on to completely fail after 68 cycles. </w:t>
      </w:r>
    </w:p>
    <w:p w14:paraId="23F23DD3" w14:textId="2599472D" w:rsidR="00A57287" w:rsidRPr="0092670C" w:rsidRDefault="00A57287" w:rsidP="00A57287">
      <w:pPr>
        <w:spacing w:line="360" w:lineRule="auto"/>
        <w:jc w:val="both"/>
        <w:rPr>
          <w:rFonts w:ascii="Arial" w:hAnsi="Arial" w:cs="Arial"/>
        </w:rPr>
      </w:pPr>
      <w:r w:rsidRPr="0092670C">
        <w:rPr>
          <w:rFonts w:ascii="Arial" w:hAnsi="Arial" w:cs="Arial"/>
        </w:rPr>
        <w:t xml:space="preserve">As it is shown in </w:t>
      </w:r>
      <w:r w:rsidRPr="0092670C">
        <w:rPr>
          <w:rFonts w:ascii="Arial" w:hAnsi="Arial" w:cs="Arial"/>
        </w:rPr>
        <w:fldChar w:fldCharType="begin"/>
      </w:r>
      <w:r w:rsidRPr="0092670C">
        <w:rPr>
          <w:rFonts w:ascii="Arial" w:hAnsi="Arial" w:cs="Arial"/>
        </w:rPr>
        <w:instrText xml:space="preserve"> REF _Ref30854904 \h  \* MERGEFORMAT </w:instrText>
      </w:r>
      <w:r w:rsidRPr="0092670C">
        <w:rPr>
          <w:rFonts w:ascii="Arial" w:hAnsi="Arial" w:cs="Arial"/>
        </w:rPr>
      </w:r>
      <w:r w:rsidRPr="0092670C">
        <w:rPr>
          <w:rFonts w:ascii="Arial" w:hAnsi="Arial" w:cs="Arial"/>
        </w:rPr>
        <w:fldChar w:fldCharType="separate"/>
      </w:r>
      <w:r w:rsidRPr="007342C8">
        <w:rPr>
          <w:rFonts w:ascii="Arial" w:hAnsi="Arial" w:cs="Arial"/>
        </w:rPr>
        <w:t xml:space="preserve">Figure </w:t>
      </w:r>
      <w:r w:rsidRPr="007342C8">
        <w:rPr>
          <w:rFonts w:ascii="Arial" w:hAnsi="Arial" w:cs="Arial"/>
          <w:noProof/>
        </w:rPr>
        <w:t>6</w:t>
      </w:r>
      <w:r w:rsidRPr="007342C8">
        <w:rPr>
          <w:rFonts w:ascii="Arial" w:hAnsi="Arial" w:cs="Arial"/>
          <w:noProof/>
        </w:rPr>
        <w:noBreakHyphen/>
        <w:t>5</w:t>
      </w:r>
      <w:r w:rsidRPr="0092670C">
        <w:rPr>
          <w:rFonts w:ascii="Arial" w:hAnsi="Arial" w:cs="Arial"/>
        </w:rPr>
        <w:fldChar w:fldCharType="end"/>
      </w:r>
      <w:r w:rsidRPr="0092670C">
        <w:rPr>
          <w:rFonts w:ascii="Arial" w:hAnsi="Arial" w:cs="Arial"/>
        </w:rPr>
        <w:t xml:space="preserve"> 50 minutes of pre-lithiation only reduces the voltage of the cell to 1.2</w:t>
      </w:r>
      <w:r>
        <w:rPr>
          <w:rFonts w:ascii="Arial" w:hAnsi="Arial" w:cs="Arial"/>
        </w:rPr>
        <w:t xml:space="preserve"> </w:t>
      </w:r>
      <w:r w:rsidRPr="0092670C">
        <w:rPr>
          <w:rFonts w:ascii="Arial" w:hAnsi="Arial" w:cs="Arial"/>
        </w:rPr>
        <w:t>V Vs. Li/Li</w:t>
      </w:r>
      <w:r w:rsidRPr="0092670C">
        <w:rPr>
          <w:rFonts w:ascii="Arial" w:hAnsi="Arial" w:cs="Arial"/>
          <w:vertAlign w:val="superscript"/>
        </w:rPr>
        <w:t>+</w:t>
      </w:r>
      <w:r w:rsidRPr="0092670C">
        <w:rPr>
          <w:rFonts w:ascii="Arial" w:hAnsi="Arial" w:cs="Arial"/>
        </w:rPr>
        <w:t xml:space="preserve">. This voltage is much higher than that seen in graphite electrodes. This difference is due to the different intercalation mechanisms between Lithium and hard carbon compared to graphite. Graphite has well-defined intercalation potentials between 0.3 &amp; 0.01 volts. Hard carbon has more than one mechanism at different stages of charging. The first stage is believed to be adsorption with the </w:t>
      </w:r>
      <w:r w:rsidR="002A4409">
        <w:rPr>
          <w:rFonts w:ascii="Arial" w:hAnsi="Arial" w:cs="Arial"/>
        </w:rPr>
        <w:t xml:space="preserve">alkaline metal staying on the surface of the </w:t>
      </w:r>
      <w:r w:rsidRPr="0092670C">
        <w:rPr>
          <w:rFonts w:ascii="Arial" w:hAnsi="Arial" w:cs="Arial"/>
        </w:rPr>
        <w:t xml:space="preserve">hard carbon </w:t>
      </w:r>
      <w:r w:rsidRPr="0092670C">
        <w:rPr>
          <w:rFonts w:ascii="Arial" w:hAnsi="Arial" w:cs="Arial"/>
        </w:rPr>
        <w:fldChar w:fldCharType="begin"/>
      </w:r>
      <w:r w:rsidR="0034337D">
        <w:rPr>
          <w:rFonts w:ascii="Arial" w:hAnsi="Arial" w:cs="Arial"/>
        </w:rPr>
        <w:instrText xml:space="preserve"> ADDIN EN.CITE &lt;EndNote&gt;&lt;Cite&gt;&lt;Author&gt;Ding&lt;/Author&gt;&lt;Year&gt;2013&lt;/Year&gt;&lt;RecNum&gt;357&lt;/RecNum&gt;&lt;DisplayText&gt;[244]&lt;/DisplayText&gt;&lt;record&gt;&lt;rec-number&gt;357&lt;/rec-number&gt;&lt;foreign-keys&gt;&lt;key app="EN" db-id="5sa9s0e0r0d9fnexra7pr5xdwd5ztevx95s2" timestamp="1575394179"&gt;357&lt;/key&gt;&lt;/foreign-keys&gt;&lt;ref-type name="Journal Article"&gt;17&lt;/ref-type&gt;&lt;contributors&gt;&lt;authors&gt;&lt;author&gt;Ding, Jia&lt;/author&gt;&lt;author&gt;Wang, Huanlei&lt;/author&gt;&lt;author&gt;Li, Zhi&lt;/author&gt;&lt;author&gt;Kohandehghan, Alireza&lt;/author&gt;&lt;author&gt;Cui, Kai&lt;/author&gt;&lt;author&gt;Xu, Zhanwei&lt;/author&gt;&lt;author&gt;Zahiri, Beniamin&lt;/author&gt;&lt;author&gt;Tan, Xuehai&lt;/author&gt;&lt;author&gt;Lotfabad, Elmira Memarzadeh&lt;/author&gt;&lt;author&gt;Olsen, Brian C.&lt;/author&gt;&lt;author&gt;Mitlin, David&lt;/author&gt;&lt;/authors&gt;&lt;/contributors&gt;&lt;titles&gt;&lt;title&gt;Carbon Nanosheet Frameworks Derived from Peat Moss as High Performance Sodium Ion Battery Anodes&lt;/title&gt;&lt;secondary-title&gt;ACS Nano&lt;/secondary-title&gt;&lt;/titles&gt;&lt;periodical&gt;&lt;full-title&gt;ACS Nano&lt;/full-title&gt;&lt;/periodical&gt;&lt;pages&gt;11004-11015&lt;/pages&gt;&lt;volume&gt;7&lt;/volume&gt;&lt;number&gt;12&lt;/number&gt;&lt;dates&gt;&lt;year&gt;2013&lt;/year&gt;&lt;/dates&gt;&lt;publisher&gt;American Chemical Society (ACS)&lt;/publisher&gt;&lt;isbn&gt;1936-0851&lt;/isbn&gt;&lt;urls&gt;&lt;related-urls&gt;&lt;url&gt;https://dx.doi.org/10.1021/nn404640c&lt;/url&gt;&lt;/related-urls&gt;&lt;pdf-urls&gt;&lt;url&gt;file://C:\Users\danie\Downloads\kopernio\Ding-2013-Carbon-nanosheet-frameworks-derived.pdf&lt;/url&gt;&lt;/pdf-urls&gt;&lt;/urls&gt;&lt;electronic-resource-num&gt;10.1021/nn404640c&lt;/electronic-resource-num&gt;&lt;/record&gt;&lt;/Cite&gt;&lt;/EndNote&gt;</w:instrText>
      </w:r>
      <w:r w:rsidRPr="0092670C">
        <w:rPr>
          <w:rFonts w:ascii="Arial" w:hAnsi="Arial" w:cs="Arial"/>
        </w:rPr>
        <w:fldChar w:fldCharType="separate"/>
      </w:r>
      <w:r w:rsidR="0034337D">
        <w:rPr>
          <w:rFonts w:ascii="Arial" w:hAnsi="Arial" w:cs="Arial"/>
          <w:noProof/>
        </w:rPr>
        <w:t>[244]</w:t>
      </w:r>
      <w:r w:rsidRPr="0092670C">
        <w:rPr>
          <w:rFonts w:ascii="Arial" w:hAnsi="Arial" w:cs="Arial"/>
        </w:rPr>
        <w:fldChar w:fldCharType="end"/>
      </w:r>
      <w:r w:rsidRPr="0092670C">
        <w:rPr>
          <w:rFonts w:ascii="Arial" w:hAnsi="Arial" w:cs="Arial"/>
        </w:rPr>
        <w:t xml:space="preserve">. </w:t>
      </w:r>
    </w:p>
    <w:p w14:paraId="7474A17C" w14:textId="77777777"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2DB8DE43">
          <v:shape id="_x0000_i1135" type="#_x0000_t75" style="width:311.8pt;height:239.8pt" o:ole="">
            <v:imagedata r:id="rId277" o:title=""/>
          </v:shape>
          <o:OLEObject Type="Embed" ProgID="Origin95.Graph" ShapeID="_x0000_i1135" DrawAspect="Content" ObjectID="_1700734024" r:id="rId278"/>
        </w:object>
      </w:r>
    </w:p>
    <w:p w14:paraId="39641971" w14:textId="1D3E5FFD" w:rsidR="009E3391" w:rsidRPr="0092670C" w:rsidRDefault="009E3391" w:rsidP="009E3391">
      <w:pPr>
        <w:spacing w:after="200" w:line="360" w:lineRule="auto"/>
        <w:jc w:val="center"/>
        <w:rPr>
          <w:rFonts w:ascii="Arial" w:hAnsi="Arial" w:cs="Arial"/>
          <w:i/>
          <w:iCs/>
          <w:color w:val="44546A" w:themeColor="text2"/>
          <w:sz w:val="20"/>
          <w:szCs w:val="20"/>
        </w:rPr>
      </w:pPr>
      <w:bookmarkStart w:id="299" w:name="_Ref30857340"/>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3</w:t>
      </w:r>
      <w:r w:rsidR="00356A26">
        <w:rPr>
          <w:rFonts w:ascii="Arial" w:hAnsi="Arial" w:cs="Arial"/>
          <w:i/>
          <w:iCs/>
          <w:color w:val="44546A" w:themeColor="text2"/>
          <w:sz w:val="20"/>
          <w:szCs w:val="20"/>
        </w:rPr>
        <w:fldChar w:fldCharType="end"/>
      </w:r>
      <w:bookmarkEnd w:id="299"/>
      <w:r w:rsidRPr="0092670C">
        <w:rPr>
          <w:rFonts w:ascii="Arial" w:hAnsi="Arial" w:cs="Arial"/>
          <w:i/>
          <w:iCs/>
          <w:color w:val="44546A" w:themeColor="text2"/>
          <w:sz w:val="20"/>
          <w:szCs w:val="20"/>
        </w:rPr>
        <w:t>: Nyquist plots of cells before cycling</w:t>
      </w:r>
      <w:r w:rsidR="00834D3C" w:rsidRPr="0092670C">
        <w:rPr>
          <w:rFonts w:ascii="Arial" w:hAnsi="Arial" w:cs="Arial"/>
          <w:i/>
          <w:iCs/>
          <w:color w:val="44546A" w:themeColor="text2"/>
          <w:sz w:val="20"/>
          <w:szCs w:val="20"/>
        </w:rPr>
        <w:t>.</w:t>
      </w:r>
    </w:p>
    <w:p w14:paraId="5030E695" w14:textId="4CB47D1D" w:rsidR="009E3391" w:rsidRPr="0092670C" w:rsidRDefault="009E3391" w:rsidP="009E3391">
      <w:pPr>
        <w:spacing w:line="360" w:lineRule="auto"/>
        <w:jc w:val="both"/>
        <w:rPr>
          <w:rFonts w:ascii="Arial" w:hAnsi="Arial" w:cs="Arial"/>
        </w:rPr>
      </w:pPr>
      <w:r w:rsidRPr="0092670C">
        <w:rPr>
          <w:rFonts w:ascii="Arial" w:hAnsi="Arial" w:cs="Arial"/>
        </w:rPr>
        <w:t>EIS data show that these cells are much more complicated than typical Li-graphite half cells. As</w:t>
      </w:r>
      <w:r w:rsidR="00072A5A" w:rsidRPr="0092670C">
        <w:rPr>
          <w:rFonts w:ascii="Arial" w:hAnsi="Arial" w:cs="Arial"/>
        </w:rPr>
        <w:t xml:space="preserve"> seen in </w:t>
      </w:r>
      <w:r w:rsidR="00072A5A" w:rsidRPr="0092670C">
        <w:rPr>
          <w:rFonts w:ascii="Arial" w:hAnsi="Arial" w:cs="Arial"/>
        </w:rPr>
        <w:fldChar w:fldCharType="begin"/>
      </w:r>
      <w:r w:rsidR="00072A5A" w:rsidRPr="0092670C">
        <w:rPr>
          <w:rFonts w:ascii="Arial" w:hAnsi="Arial" w:cs="Arial"/>
        </w:rPr>
        <w:instrText xml:space="preserve"> REF _Ref30856136 \h  \* MERGEFORMAT </w:instrText>
      </w:r>
      <w:r w:rsidR="00072A5A" w:rsidRPr="0092670C">
        <w:rPr>
          <w:rFonts w:ascii="Arial" w:hAnsi="Arial" w:cs="Arial"/>
        </w:rPr>
      </w:r>
      <w:r w:rsidR="00072A5A"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6</w:t>
      </w:r>
      <w:r w:rsidR="007342C8" w:rsidRPr="007342C8">
        <w:rPr>
          <w:rFonts w:ascii="Arial" w:hAnsi="Arial" w:cs="Arial"/>
          <w:noProof/>
        </w:rPr>
        <w:noBreakHyphen/>
        <w:t>4</w:t>
      </w:r>
      <w:r w:rsidR="00072A5A" w:rsidRPr="0092670C">
        <w:rPr>
          <w:rFonts w:ascii="Arial" w:hAnsi="Arial" w:cs="Arial"/>
        </w:rPr>
        <w:fldChar w:fldCharType="end"/>
      </w:r>
      <w:r w:rsidRPr="0092670C">
        <w:rPr>
          <w:rFonts w:ascii="Arial" w:hAnsi="Arial" w:cs="Arial"/>
        </w:rPr>
        <w:t xml:space="preserve"> the pre-lithiation time increases so too does the resistance of the SEI (R</w:t>
      </w:r>
      <w:r w:rsidRPr="0092670C">
        <w:rPr>
          <w:rFonts w:ascii="Arial" w:hAnsi="Arial" w:cs="Arial"/>
          <w:vertAlign w:val="subscript"/>
        </w:rPr>
        <w:t>SEI</w:t>
      </w:r>
      <w:r w:rsidRPr="0092670C">
        <w:rPr>
          <w:rFonts w:ascii="Arial" w:hAnsi="Arial" w:cs="Arial"/>
        </w:rPr>
        <w:t>). This suggest that the SEI formation process is similar to that seen on traditional graphite anodes</w:t>
      </w:r>
      <w:r w:rsidR="007F009B"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&lt;EndNote&gt;&lt;Cite&gt;&lt;Author&gt;Zhang&lt;/Author&gt;&lt;Year&gt;2006&lt;/Year&gt;&lt;RecNum&gt;53&lt;/RecNum&gt;&lt;DisplayText&gt;[227]&lt;/DisplayText&gt;&lt;record&gt;&lt;rec-number&gt;53&lt;/rec-number&gt;&lt;foreign-keys&gt;&lt;key app="EN" db-id="5sa9s0e0r0d9fnexra7pr5xdwd5ztevx95s2" timestamp="1513258632"&gt;53&lt;/key&gt;&lt;/foreign-keys&gt;&lt;ref-type name="Journal Article"&gt;17&lt;/ref-type&gt;&lt;contributors&gt;&lt;authors&gt;&lt;author&gt;Zhang, S. S.&lt;/author&gt;&lt;author&gt;Xu, K.&lt;/author&gt;&lt;author&gt;Jow, T. R.&lt;/author&gt;&lt;/authors&gt;&lt;/contributors&gt;&lt;titles&gt;&lt;title&gt;EIS study on the formation of solid electrolyte interface in Li-ion battery&lt;/title&gt;&lt;secondary-title&gt;Electrochimica Acta&lt;/secondary-title&gt;&lt;/titles&gt;&lt;periodical&gt;&lt;full-title&gt;Electrochimica Acta&lt;/full-title&gt;&lt;/periodical&gt;&lt;pages&gt;1636-1640&lt;/pages&gt;&lt;volume&gt;51&lt;/volume&gt;&lt;number&gt;8&lt;/number&gt;&lt;keywords&gt;&lt;keyword&gt;Electrochemical impedance spectroscopy&lt;/keyword&gt;&lt;keyword&gt;Solid electrolyte interface&lt;/keyword&gt;&lt;keyword&gt;Ionic conductivity&lt;/keyword&gt;&lt;keyword&gt;Lithiation&lt;/keyword&gt;&lt;keyword&gt;Graphite&lt;/keyword&gt;&lt;/keywords&gt;&lt;dates&gt;&lt;year&gt;2006&lt;/year&gt;&lt;pub-dates&gt;&lt;date&gt;2006/01/20/&lt;/date&gt;&lt;/pub-dates&gt;&lt;/dates&gt;&lt;isbn&gt;0013-4686&lt;/isbn&gt;&lt;urls&gt;&lt;related-urls&gt;&lt;url&gt;http://www.sciencedirect.com/science/article/pii/S0013468605007966&lt;/url&gt;&lt;/related-urls&gt;&lt;/urls&gt;&lt;electronic-resource-num&gt;https://doi.org/10.1016/j.electacta.2005.02.137&lt;/electronic-resource-num&gt;&lt;/record&gt;&lt;/Cite&gt;&lt;/EndNote&gt;</w:instrText>
      </w:r>
      <w:r w:rsidRPr="0092670C">
        <w:rPr>
          <w:rFonts w:ascii="Arial" w:hAnsi="Arial" w:cs="Arial"/>
        </w:rPr>
        <w:fldChar w:fldCharType="separate"/>
      </w:r>
      <w:r w:rsidR="0034337D">
        <w:rPr>
          <w:rFonts w:ascii="Arial" w:hAnsi="Arial" w:cs="Arial"/>
          <w:noProof/>
        </w:rPr>
        <w:t>[227]</w:t>
      </w:r>
      <w:r w:rsidRPr="0092670C">
        <w:rPr>
          <w:rFonts w:ascii="Arial" w:hAnsi="Arial" w:cs="Arial"/>
        </w:rPr>
        <w:fldChar w:fldCharType="end"/>
      </w:r>
      <w:r w:rsidRPr="0092670C">
        <w:rPr>
          <w:rFonts w:ascii="Arial" w:hAnsi="Arial" w:cs="Arial"/>
        </w:rPr>
        <w:t>. The reference cell has a higher R</w:t>
      </w:r>
      <w:r w:rsidRPr="0092670C">
        <w:rPr>
          <w:rFonts w:ascii="Arial" w:hAnsi="Arial" w:cs="Arial"/>
          <w:vertAlign w:val="subscript"/>
        </w:rPr>
        <w:t xml:space="preserve">SEI </w:t>
      </w:r>
      <w:r w:rsidRPr="0092670C">
        <w:rPr>
          <w:rFonts w:ascii="Arial" w:hAnsi="Arial" w:cs="Arial"/>
        </w:rPr>
        <w:t>than the cell that had been pre-lithiated for 10minutes. This can be attributed to the thinness of the Li-based SEI is and the different conduction pathways that are available to the Li-based electrode. Whilst the cells show a traditional RC arc for the solid electrolyte interphase, the other processes are much more complicated and are far devoid of the idealised conduction pathways. The shape</w:t>
      </w:r>
      <w:r w:rsidR="006056A6" w:rsidRPr="0092670C">
        <w:rPr>
          <w:rFonts w:ascii="Arial" w:hAnsi="Arial" w:cs="Arial"/>
        </w:rPr>
        <w:t xml:space="preserve"> of the </w:t>
      </w:r>
      <w:r w:rsidR="00FE5D46" w:rsidRPr="0092670C">
        <w:rPr>
          <w:rFonts w:ascii="Arial" w:hAnsi="Arial" w:cs="Arial"/>
        </w:rPr>
        <w:t xml:space="preserve">Nyquist plots in </w:t>
      </w:r>
      <w:r w:rsidR="00482406" w:rsidRPr="0092670C">
        <w:rPr>
          <w:rFonts w:ascii="Arial" w:hAnsi="Arial" w:cs="Arial"/>
        </w:rPr>
        <w:fldChar w:fldCharType="begin"/>
      </w:r>
      <w:r w:rsidR="00482406" w:rsidRPr="0092670C">
        <w:rPr>
          <w:rFonts w:ascii="Arial" w:hAnsi="Arial" w:cs="Arial"/>
        </w:rPr>
        <w:instrText xml:space="preserve"> REF _Ref30857340 \h </w:instrText>
      </w:r>
      <w:r w:rsidR="00B20455" w:rsidRPr="0092670C">
        <w:rPr>
          <w:rFonts w:ascii="Arial" w:hAnsi="Arial" w:cs="Arial"/>
        </w:rPr>
        <w:instrText xml:space="preserve"> \* MERGEFORMAT </w:instrText>
      </w:r>
      <w:r w:rsidR="00482406" w:rsidRPr="0092670C">
        <w:rPr>
          <w:rFonts w:ascii="Arial" w:hAnsi="Arial" w:cs="Arial"/>
        </w:rPr>
      </w:r>
      <w:r w:rsidR="00482406"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6</w:t>
      </w:r>
      <w:r w:rsidR="007342C8" w:rsidRPr="007342C8">
        <w:rPr>
          <w:rFonts w:ascii="Arial" w:hAnsi="Arial" w:cs="Arial"/>
          <w:noProof/>
        </w:rPr>
        <w:noBreakHyphen/>
        <w:t>3</w:t>
      </w:r>
      <w:r w:rsidR="00482406" w:rsidRPr="0092670C">
        <w:rPr>
          <w:rFonts w:ascii="Arial" w:hAnsi="Arial" w:cs="Arial"/>
        </w:rPr>
        <w:fldChar w:fldCharType="end"/>
      </w:r>
      <w:r w:rsidRPr="0092670C">
        <w:rPr>
          <w:rFonts w:ascii="Arial" w:hAnsi="Arial" w:cs="Arial"/>
        </w:rPr>
        <w:t xml:space="preserve"> suggests that the </w:t>
      </w:r>
      <w:r w:rsidR="00CB11EB" w:rsidRPr="0092670C">
        <w:rPr>
          <w:rFonts w:ascii="Arial" w:hAnsi="Arial" w:cs="Arial"/>
        </w:rPr>
        <w:t xml:space="preserve">pre-lithiated </w:t>
      </w:r>
      <w:r w:rsidRPr="0092670C">
        <w:rPr>
          <w:rFonts w:ascii="Arial" w:hAnsi="Arial" w:cs="Arial"/>
        </w:rPr>
        <w:t>electrode</w:t>
      </w:r>
      <w:r w:rsidR="00CB11EB" w:rsidRPr="0092670C">
        <w:rPr>
          <w:rFonts w:ascii="Arial" w:hAnsi="Arial" w:cs="Arial"/>
        </w:rPr>
        <w:t>s</w:t>
      </w:r>
      <w:r w:rsidRPr="0092670C">
        <w:rPr>
          <w:rFonts w:ascii="Arial" w:hAnsi="Arial" w:cs="Arial"/>
        </w:rPr>
        <w:t xml:space="preserve"> </w:t>
      </w:r>
      <w:r w:rsidR="00A31F37">
        <w:rPr>
          <w:rFonts w:ascii="Arial" w:hAnsi="Arial" w:cs="Arial"/>
        </w:rPr>
        <w:t>Na-ion conduction pathways being</w:t>
      </w:r>
      <w:r w:rsidRPr="0092670C">
        <w:rPr>
          <w:rFonts w:ascii="Arial" w:hAnsi="Arial" w:cs="Arial"/>
        </w:rPr>
        <w:t xml:space="preserve"> partially blocked</w:t>
      </w:r>
      <w:r w:rsidR="00DF0322"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&lt;EndNote&gt;&lt;Cite&gt;&lt;Author&gt;Devos&lt;/Author&gt;&lt;Year&gt;2006&lt;/Year&gt;&lt;RecNum&gt;200&lt;/RecNum&gt;&lt;DisplayText&gt;[245]&lt;/DisplayText&gt;&lt;record&gt;&lt;rec-number&gt;200&lt;/rec-number&gt;&lt;foreign-keys&gt;&lt;key app="EN" db-id="5sa9s0e0r0d9fnexra7pr5xdwd5ztevx95s2" timestamp="1552572521"&gt;200&lt;/key&gt;&lt;/foreign-keys&gt;&lt;ref-type name="Journal Article"&gt;17&lt;/ref-type&gt;&lt;contributors&gt;&lt;authors&gt;&lt;author&gt;Devos, O.&lt;/author&gt;&lt;author&gt;Gabrielli, C.&lt;/author&gt;&lt;author&gt;Tribollet, B.&lt;/author&gt;&lt;/authors&gt;&lt;/contributors&gt;&lt;titles&gt;&lt;title&gt;Simultaneous EIS and in situ microscope observation on a partially blocked electrode application to scale electrodeposition&lt;/title&gt;&lt;secondary-title&gt;Electrochimica Acta&lt;/secondary-title&gt;&lt;/titles&gt;&lt;periodical&gt;&lt;full-title&gt;Electrochimica Acta&lt;/full-title&gt;&lt;/periodical&gt;&lt;pages&gt;1413-1422&lt;/pages&gt;&lt;volume&gt;51&lt;/volume&gt;&lt;number&gt;8&lt;/number&gt;&lt;keywords&gt;&lt;keyword&gt;Scale deposition&lt;/keyword&gt;&lt;keyword&gt;Partially blocking electrode&lt;/keyword&gt;&lt;keyword&gt;Oxygen reduction&lt;/keyword&gt;&lt;keyword&gt;EIS&lt;/keyword&gt;&lt;keyword&gt;Double layer capacity&lt;/keyword&gt;&lt;/keywords&gt;&lt;dates&gt;&lt;year&gt;2006&lt;/year&gt;&lt;pub-dates&gt;&lt;date&gt;2006/01/20/&lt;/date&gt;&lt;/pub-dates&gt;&lt;/dates&gt;&lt;isbn&gt;0013-4686&lt;/isbn&gt;&lt;urls&gt;&lt;related-urls&gt;&lt;url&gt;http://www.sciencedirect.com/science/article/pii/S0013468605008133&lt;/url&gt;&lt;/related-urls&gt;&lt;/urls&gt;&lt;electronic-resource-num&gt;https://doi.org/10.1016/j.electacta.2005.02.117&lt;/electronic-resource-num&gt;&lt;/record&gt;&lt;/Cite&gt;&lt;/EndNote&gt;</w:instrText>
      </w:r>
      <w:r w:rsidRPr="0092670C">
        <w:rPr>
          <w:rFonts w:ascii="Arial" w:hAnsi="Arial" w:cs="Arial"/>
        </w:rPr>
        <w:fldChar w:fldCharType="separate"/>
      </w:r>
      <w:r w:rsidR="0034337D">
        <w:rPr>
          <w:rFonts w:ascii="Arial" w:hAnsi="Arial" w:cs="Arial"/>
          <w:noProof/>
        </w:rPr>
        <w:t>[245]</w:t>
      </w:r>
      <w:r w:rsidRPr="0092670C">
        <w:rPr>
          <w:rFonts w:ascii="Arial" w:hAnsi="Arial" w:cs="Arial"/>
        </w:rPr>
        <w:fldChar w:fldCharType="end"/>
      </w:r>
      <w:r w:rsidRPr="0092670C">
        <w:rPr>
          <w:rFonts w:ascii="Arial" w:hAnsi="Arial" w:cs="Arial"/>
        </w:rPr>
        <w:t xml:space="preserve">. This partial blocking tallies well with what was seen in the cell’s capacities. The cell’s initial capacity is lower than hard carbon that hasn’t been pre-lithiated as a result of the Li-based SEI blocking some of the sites available on the hard carbon. It should be noted that even when the electrode is partially blocked the total impedance is lower than that of the reference cell. </w:t>
      </w:r>
    </w:p>
    <w:p w14:paraId="7F0AB67F" w14:textId="6083F295"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8337FFE">
          <v:shape id="_x0000_i1136" type="#_x0000_t75" style="width:324.3pt;height:252pt" o:ole="">
            <v:imagedata r:id="rId279" o:title=""/>
          </v:shape>
          <o:OLEObject Type="Embed" ProgID="Origin95.Graph" ShapeID="_x0000_i1136" DrawAspect="Content" ObjectID="_1700734025" r:id="rId280"/>
        </w:object>
      </w:r>
    </w:p>
    <w:p w14:paraId="59081435" w14:textId="653E2E86" w:rsidR="009E3391" w:rsidRPr="0092670C" w:rsidRDefault="009E3391" w:rsidP="009E3391">
      <w:pPr>
        <w:spacing w:after="200" w:line="360" w:lineRule="auto"/>
        <w:jc w:val="center"/>
        <w:rPr>
          <w:rFonts w:ascii="Arial" w:hAnsi="Arial" w:cs="Arial"/>
          <w:i/>
          <w:iCs/>
          <w:color w:val="44546A" w:themeColor="text2"/>
          <w:sz w:val="20"/>
          <w:szCs w:val="20"/>
        </w:rPr>
      </w:pPr>
      <w:bookmarkStart w:id="300" w:name="_Ref30856136"/>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4</w:t>
      </w:r>
      <w:r w:rsidR="00356A26">
        <w:rPr>
          <w:rFonts w:ascii="Arial" w:hAnsi="Arial" w:cs="Arial"/>
          <w:i/>
          <w:iCs/>
          <w:color w:val="44546A" w:themeColor="text2"/>
          <w:sz w:val="20"/>
          <w:szCs w:val="20"/>
        </w:rPr>
        <w:fldChar w:fldCharType="end"/>
      </w:r>
      <w:bookmarkEnd w:id="300"/>
      <w:r w:rsidRPr="0092670C">
        <w:rPr>
          <w:rFonts w:ascii="Arial" w:hAnsi="Arial" w:cs="Arial"/>
          <w:i/>
          <w:iCs/>
          <w:color w:val="44546A" w:themeColor="text2"/>
          <w:sz w:val="20"/>
          <w:szCs w:val="20"/>
        </w:rPr>
        <w:t>: Effect of pre-lithiation time on R</w:t>
      </w:r>
      <w:r w:rsidRPr="0092670C">
        <w:rPr>
          <w:rFonts w:ascii="Arial" w:hAnsi="Arial" w:cs="Arial"/>
          <w:i/>
          <w:iCs/>
          <w:color w:val="44546A" w:themeColor="text2"/>
          <w:sz w:val="20"/>
          <w:szCs w:val="20"/>
          <w:vertAlign w:val="subscript"/>
        </w:rPr>
        <w:t>SEI</w:t>
      </w:r>
      <w:r w:rsidR="00834D3C" w:rsidRPr="0092670C">
        <w:rPr>
          <w:rFonts w:ascii="Arial" w:hAnsi="Arial" w:cs="Arial"/>
          <w:i/>
          <w:iCs/>
          <w:color w:val="44546A" w:themeColor="text2"/>
          <w:sz w:val="20"/>
          <w:szCs w:val="20"/>
        </w:rPr>
        <w:t>.</w:t>
      </w:r>
    </w:p>
    <w:p w14:paraId="750955A1" w14:textId="6E574095" w:rsidR="009E3391" w:rsidRPr="0092670C" w:rsidRDefault="00481F8B" w:rsidP="009E3391">
      <w:pPr>
        <w:spacing w:line="360" w:lineRule="auto"/>
        <w:jc w:val="both"/>
        <w:rPr>
          <w:rFonts w:ascii="Arial" w:hAnsi="Arial" w:cs="Arial"/>
        </w:rPr>
      </w:pPr>
      <w:r w:rsidRPr="0092670C">
        <w:rPr>
          <w:rFonts w:ascii="Arial" w:hAnsi="Arial" w:cs="Arial"/>
        </w:rPr>
        <w:t xml:space="preserve">In </w:t>
      </w:r>
      <w:r w:rsidRPr="0092670C">
        <w:rPr>
          <w:rFonts w:ascii="Arial" w:hAnsi="Arial" w:cs="Arial"/>
        </w:rPr>
        <w:fldChar w:fldCharType="begin"/>
      </w:r>
      <w:r w:rsidRPr="0092670C">
        <w:rPr>
          <w:rFonts w:ascii="Arial" w:hAnsi="Arial" w:cs="Arial"/>
        </w:rPr>
        <w:instrText xml:space="preserve"> REF _Ref30854611 \h </w:instrText>
      </w:r>
      <w:r w:rsidR="00A74DD9" w:rsidRPr="0092670C">
        <w:rPr>
          <w:rFonts w:ascii="Arial" w:hAnsi="Arial" w:cs="Arial"/>
        </w:rPr>
        <w:instrText xml:space="preserve"> \* MERGEFORMAT </w:instrText>
      </w:r>
      <w:r w:rsidRPr="0092670C">
        <w:rPr>
          <w:rFonts w:ascii="Arial" w:hAnsi="Arial" w:cs="Arial"/>
        </w:rPr>
      </w:r>
      <w:r w:rsidRPr="0092670C">
        <w:rPr>
          <w:rFonts w:ascii="Arial" w:hAnsi="Arial" w:cs="Arial"/>
        </w:rPr>
        <w:fldChar w:fldCharType="separate"/>
      </w:r>
      <w:r w:rsidR="00A54A3C" w:rsidRPr="00A54A3C">
        <w:rPr>
          <w:rFonts w:ascii="Arial" w:hAnsi="Arial" w:cs="Arial"/>
        </w:rPr>
        <w:t xml:space="preserve">Figure </w:t>
      </w:r>
      <w:r w:rsidR="00A54A3C" w:rsidRPr="00A54A3C">
        <w:rPr>
          <w:rFonts w:ascii="Arial" w:hAnsi="Arial" w:cs="Arial"/>
          <w:noProof/>
        </w:rPr>
        <w:t>6</w:t>
      </w:r>
      <w:r w:rsidR="00A54A3C" w:rsidRPr="00A54A3C">
        <w:rPr>
          <w:rFonts w:ascii="Arial" w:hAnsi="Arial" w:cs="Arial"/>
          <w:noProof/>
        </w:rPr>
        <w:noBreakHyphen/>
        <w:t>6</w:t>
      </w:r>
      <w:r w:rsidRPr="0092670C">
        <w:rPr>
          <w:rFonts w:ascii="Arial" w:hAnsi="Arial" w:cs="Arial"/>
        </w:rPr>
        <w:fldChar w:fldCharType="end"/>
      </w:r>
      <w:r w:rsidRPr="0092670C">
        <w:rPr>
          <w:rFonts w:ascii="Arial" w:hAnsi="Arial" w:cs="Arial"/>
        </w:rPr>
        <w:t xml:space="preserve"> </w:t>
      </w:r>
      <w:r w:rsidR="00E94194" w:rsidRPr="0092670C">
        <w:rPr>
          <w:rFonts w:ascii="Arial" w:hAnsi="Arial" w:cs="Arial"/>
        </w:rPr>
        <w:t xml:space="preserve">it can be seen that </w:t>
      </w:r>
      <w:r w:rsidR="00A74DD9" w:rsidRPr="0092670C">
        <w:rPr>
          <w:rFonts w:ascii="Arial" w:hAnsi="Arial" w:cs="Arial"/>
        </w:rPr>
        <w:t>as</w:t>
      </w:r>
      <w:r w:rsidR="009E3391" w:rsidRPr="0092670C">
        <w:rPr>
          <w:rFonts w:ascii="Arial" w:hAnsi="Arial" w:cs="Arial"/>
        </w:rPr>
        <w:t xml:space="preserve"> the pre-lithiation time increases the capacity retention of the cell also increases. This suggests that as the SEI grows thicker it better protects the electrolyte. The value exceeds 100% after 10 minutes of pre-lithiation. This is due to the low initial capacity of the cell. This low initial capacity is possibly </w:t>
      </w:r>
      <w:r w:rsidR="00BD52AE">
        <w:rPr>
          <w:rFonts w:ascii="Arial" w:hAnsi="Arial" w:cs="Arial"/>
        </w:rPr>
        <w:t xml:space="preserve">due to </w:t>
      </w:r>
      <w:r w:rsidR="00EA548B">
        <w:rPr>
          <w:rFonts w:ascii="Arial" w:hAnsi="Arial" w:cs="Arial"/>
        </w:rPr>
        <w:t>fresh SEI formation lowering the resistance of the cell.</w:t>
      </w:r>
      <w:r w:rsidR="009E3391" w:rsidRPr="0092670C">
        <w:rPr>
          <w:rFonts w:ascii="Arial" w:hAnsi="Arial" w:cs="Arial"/>
        </w:rPr>
        <w:t xml:space="preserve"> </w:t>
      </w:r>
    </w:p>
    <w:p w14:paraId="0226EFB6" w14:textId="03EFAC36"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5C39BFDC">
          <v:shape id="_x0000_i1137" type="#_x0000_t75" style="width:330.1pt;height:252pt" o:ole="">
            <v:imagedata r:id="rId281" o:title=""/>
          </v:shape>
          <o:OLEObject Type="Embed" ProgID="Origin95.Graph" ShapeID="_x0000_i1137" DrawAspect="Content" ObjectID="_1700734026" r:id="rId282"/>
        </w:object>
      </w:r>
    </w:p>
    <w:p w14:paraId="2AC6D416" w14:textId="5D86554A" w:rsidR="009E3391" w:rsidRPr="0092670C" w:rsidRDefault="009E3391" w:rsidP="009E3391">
      <w:pPr>
        <w:spacing w:after="200" w:line="360" w:lineRule="auto"/>
        <w:jc w:val="center"/>
        <w:rPr>
          <w:rFonts w:ascii="Arial" w:hAnsi="Arial" w:cs="Arial"/>
          <w:i/>
          <w:iCs/>
          <w:color w:val="44546A" w:themeColor="text2"/>
          <w:sz w:val="20"/>
          <w:szCs w:val="20"/>
        </w:rPr>
      </w:pPr>
      <w:bookmarkStart w:id="301" w:name="_Ref30854833"/>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5</w:t>
      </w:r>
      <w:r w:rsidR="00356A26">
        <w:rPr>
          <w:rFonts w:ascii="Arial" w:hAnsi="Arial" w:cs="Arial"/>
          <w:i/>
          <w:iCs/>
          <w:color w:val="44546A" w:themeColor="text2"/>
          <w:sz w:val="20"/>
          <w:szCs w:val="20"/>
        </w:rPr>
        <w:fldChar w:fldCharType="end"/>
      </w:r>
      <w:bookmarkEnd w:id="301"/>
      <w:r w:rsidRPr="0092670C">
        <w:rPr>
          <w:rFonts w:ascii="Arial" w:hAnsi="Arial" w:cs="Arial"/>
          <w:i/>
          <w:iCs/>
          <w:color w:val="44546A" w:themeColor="text2"/>
          <w:sz w:val="20"/>
          <w:szCs w:val="20"/>
        </w:rPr>
        <w:t>: Pre-lithiation's impact on charge capacity</w:t>
      </w:r>
      <w:r w:rsidR="008E1A68" w:rsidRPr="0092670C">
        <w:rPr>
          <w:rFonts w:ascii="Arial" w:hAnsi="Arial" w:cs="Arial"/>
          <w:i/>
          <w:iCs/>
          <w:color w:val="44546A" w:themeColor="text2"/>
          <w:sz w:val="20"/>
          <w:szCs w:val="20"/>
        </w:rPr>
        <w:t>.</w:t>
      </w:r>
    </w:p>
    <w:p w14:paraId="28C327F6" w14:textId="3717889C" w:rsidR="009E3391" w:rsidRPr="0092670C" w:rsidRDefault="00076432" w:rsidP="009E3391">
      <w:pPr>
        <w:spacing w:line="360" w:lineRule="auto"/>
        <w:jc w:val="both"/>
        <w:rPr>
          <w:rFonts w:ascii="Arial" w:hAnsi="Arial" w:cs="Arial"/>
        </w:rPr>
      </w:pPr>
      <w:r w:rsidRPr="0092670C">
        <w:rPr>
          <w:rFonts w:ascii="Arial" w:hAnsi="Arial" w:cs="Arial"/>
        </w:rPr>
        <w:t xml:space="preserve">It can be </w:t>
      </w:r>
      <w:r w:rsidR="00B9760A" w:rsidRPr="0092670C">
        <w:rPr>
          <w:rFonts w:ascii="Arial" w:hAnsi="Arial" w:cs="Arial"/>
        </w:rPr>
        <w:t xml:space="preserve">noted from the </w:t>
      </w:r>
      <w:r w:rsidR="002C008C" w:rsidRPr="0092670C">
        <w:rPr>
          <w:rFonts w:ascii="Arial" w:hAnsi="Arial" w:cs="Arial"/>
        </w:rPr>
        <w:t xml:space="preserve">graph in </w:t>
      </w:r>
      <w:r w:rsidR="002C008C" w:rsidRPr="0092670C">
        <w:rPr>
          <w:rFonts w:ascii="Arial" w:hAnsi="Arial" w:cs="Arial"/>
        </w:rPr>
        <w:fldChar w:fldCharType="begin"/>
      </w:r>
      <w:r w:rsidR="002C008C" w:rsidRPr="0092670C">
        <w:rPr>
          <w:rFonts w:ascii="Arial" w:hAnsi="Arial" w:cs="Arial"/>
        </w:rPr>
        <w:instrText xml:space="preserve"> REF _Ref30854833 \h </w:instrText>
      </w:r>
      <w:r w:rsidR="00454EB3" w:rsidRPr="0092670C">
        <w:rPr>
          <w:rFonts w:ascii="Arial" w:hAnsi="Arial" w:cs="Arial"/>
        </w:rPr>
        <w:instrText xml:space="preserve"> \* MERGEFORMAT </w:instrText>
      </w:r>
      <w:r w:rsidR="002C008C" w:rsidRPr="0092670C">
        <w:rPr>
          <w:rFonts w:ascii="Arial" w:hAnsi="Arial" w:cs="Arial"/>
        </w:rPr>
      </w:r>
      <w:r w:rsidR="002C008C" w:rsidRPr="0092670C">
        <w:rPr>
          <w:rFonts w:ascii="Arial" w:hAnsi="Arial" w:cs="Arial"/>
        </w:rPr>
        <w:fldChar w:fldCharType="separate"/>
      </w:r>
      <w:r w:rsidR="00A54A3C" w:rsidRPr="00A54A3C">
        <w:rPr>
          <w:rFonts w:ascii="Arial" w:hAnsi="Arial" w:cs="Arial"/>
        </w:rPr>
        <w:t xml:space="preserve">Figure </w:t>
      </w:r>
      <w:r w:rsidR="00A54A3C" w:rsidRPr="00A54A3C">
        <w:rPr>
          <w:rFonts w:ascii="Arial" w:hAnsi="Arial" w:cs="Arial"/>
          <w:noProof/>
        </w:rPr>
        <w:t>6</w:t>
      </w:r>
      <w:r w:rsidR="00A54A3C" w:rsidRPr="00A54A3C">
        <w:rPr>
          <w:rFonts w:ascii="Arial" w:hAnsi="Arial" w:cs="Arial"/>
          <w:noProof/>
        </w:rPr>
        <w:noBreakHyphen/>
        <w:t>5</w:t>
      </w:r>
      <w:r w:rsidR="002C008C" w:rsidRPr="0092670C">
        <w:rPr>
          <w:rFonts w:ascii="Arial" w:hAnsi="Arial" w:cs="Arial"/>
        </w:rPr>
        <w:fldChar w:fldCharType="end"/>
      </w:r>
      <w:r w:rsidR="00454EB3" w:rsidRPr="0092670C">
        <w:rPr>
          <w:rFonts w:ascii="Arial" w:hAnsi="Arial" w:cs="Arial"/>
        </w:rPr>
        <w:t xml:space="preserve"> that as</w:t>
      </w:r>
      <w:r w:rsidR="009E3391" w:rsidRPr="0092670C">
        <w:rPr>
          <w:rFonts w:ascii="Arial" w:hAnsi="Arial" w:cs="Arial"/>
        </w:rPr>
        <w:t xml:space="preserve"> the pre-lithiation time increases the capacity of the cell decreases. This also coincides with an increase of impedance of the cell. This suggests that the increasing impedance of the Li-based SEI is resulting in less Na being able to reach the hard carbon as there are less Na conduction channels. This may be due to an ohmic drop that causes the cell cut-off voltage to be reached before sodiation could be completed.  It could also be to due the SEI blocking Na-binding sites on hard </w:t>
      </w:r>
      <w:r w:rsidR="00312B8B" w:rsidRPr="0092670C">
        <w:rPr>
          <w:rFonts w:ascii="Arial" w:hAnsi="Arial" w:cs="Arial"/>
        </w:rPr>
        <w:t>carbon,</w:t>
      </w:r>
      <w:r w:rsidR="009E3391" w:rsidRPr="0092670C">
        <w:rPr>
          <w:rFonts w:ascii="Arial" w:hAnsi="Arial" w:cs="Arial"/>
        </w:rPr>
        <w:t xml:space="preserve"> so they are inaccessible. </w:t>
      </w:r>
      <w:r w:rsidR="00C93081" w:rsidRPr="0092670C">
        <w:rPr>
          <w:rFonts w:ascii="Arial" w:hAnsi="Arial" w:cs="Arial"/>
        </w:rPr>
        <w:t xml:space="preserve">Either way it suggests that the </w:t>
      </w:r>
      <w:r w:rsidR="00CB0D09" w:rsidRPr="0092670C">
        <w:rPr>
          <w:rFonts w:ascii="Arial" w:hAnsi="Arial" w:cs="Arial"/>
        </w:rPr>
        <w:t xml:space="preserve">pre-lithiation beyond the minimum time </w:t>
      </w:r>
      <w:r w:rsidR="00C8774D" w:rsidRPr="0092670C">
        <w:rPr>
          <w:rFonts w:ascii="Arial" w:hAnsi="Arial" w:cs="Arial"/>
        </w:rPr>
        <w:t xml:space="preserve">isn’t recommended. </w:t>
      </w:r>
    </w:p>
    <w:p w14:paraId="61E0DC49" w14:textId="18FA5917"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E8242EC">
          <v:shape id="_x0000_i1138" type="#_x0000_t75" style="width:311.8pt;height:240.1pt" o:ole="">
            <v:imagedata r:id="rId283" o:title=""/>
          </v:shape>
          <o:OLEObject Type="Embed" ProgID="Origin95.Graph" ShapeID="_x0000_i1138" DrawAspect="Content" ObjectID="_1700734027" r:id="rId284"/>
        </w:object>
      </w:r>
    </w:p>
    <w:p w14:paraId="0A6FC725" w14:textId="5ABB17DC" w:rsidR="009E3391" w:rsidRPr="0092670C" w:rsidRDefault="009E3391" w:rsidP="009E3391">
      <w:pPr>
        <w:spacing w:after="200" w:line="360" w:lineRule="auto"/>
        <w:jc w:val="center"/>
        <w:rPr>
          <w:rFonts w:ascii="Arial" w:hAnsi="Arial" w:cs="Arial"/>
          <w:i/>
          <w:iCs/>
          <w:color w:val="44546A" w:themeColor="text2"/>
          <w:sz w:val="20"/>
          <w:szCs w:val="20"/>
        </w:rPr>
      </w:pPr>
      <w:bookmarkStart w:id="302" w:name="_Ref30854611"/>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bookmarkEnd w:id="302"/>
      <w:r w:rsidRPr="0092670C">
        <w:rPr>
          <w:rFonts w:ascii="Arial" w:hAnsi="Arial" w:cs="Arial"/>
          <w:i/>
          <w:iCs/>
          <w:color w:val="44546A" w:themeColor="text2"/>
          <w:sz w:val="20"/>
          <w:szCs w:val="20"/>
        </w:rPr>
        <w:t>:</w:t>
      </w:r>
      <w:r w:rsidR="009C4B84" w:rsidRPr="0092670C">
        <w:rPr>
          <w:rFonts w:ascii="Arial" w:hAnsi="Arial" w:cs="Arial"/>
          <w:i/>
          <w:iCs/>
          <w:color w:val="44546A" w:themeColor="text2"/>
          <w:sz w:val="20"/>
          <w:szCs w:val="20"/>
        </w:rPr>
        <w:t xml:space="preserve"> P</w:t>
      </w:r>
      <w:r w:rsidRPr="0092670C">
        <w:rPr>
          <w:rFonts w:ascii="Arial" w:hAnsi="Arial" w:cs="Arial"/>
          <w:i/>
          <w:iCs/>
          <w:color w:val="44546A" w:themeColor="text2"/>
          <w:sz w:val="20"/>
          <w:szCs w:val="20"/>
        </w:rPr>
        <w:t>re-lithiation's impact on capacity retention</w:t>
      </w:r>
      <w:r w:rsidR="009C4B84" w:rsidRPr="0092670C">
        <w:rPr>
          <w:rFonts w:ascii="Arial" w:hAnsi="Arial" w:cs="Arial"/>
          <w:i/>
          <w:iCs/>
          <w:color w:val="44546A" w:themeColor="text2"/>
          <w:sz w:val="20"/>
          <w:szCs w:val="20"/>
        </w:rPr>
        <w:t>.</w:t>
      </w:r>
    </w:p>
    <w:p w14:paraId="7D379C1F" w14:textId="77777777" w:rsidR="009E3391" w:rsidRPr="0092670C" w:rsidRDefault="009E3391" w:rsidP="008773FE">
      <w:pPr>
        <w:pStyle w:val="Heading3"/>
        <w:rPr>
          <w:rFonts w:ascii="Arial" w:hAnsi="Arial" w:cs="Arial"/>
          <w:color w:val="2F5496" w:themeColor="accent1" w:themeShade="BF"/>
          <w:sz w:val="26"/>
          <w:szCs w:val="26"/>
        </w:rPr>
      </w:pPr>
      <w:bookmarkStart w:id="303" w:name="_Toc82538812"/>
      <w:r w:rsidRPr="0092670C">
        <w:rPr>
          <w:rFonts w:ascii="Arial" w:hAnsi="Arial" w:cs="Arial"/>
          <w:color w:val="2F5496" w:themeColor="accent1" w:themeShade="BF"/>
          <w:sz w:val="26"/>
          <w:szCs w:val="26"/>
        </w:rPr>
        <w:t>Conclusion</w:t>
      </w:r>
      <w:bookmarkEnd w:id="303"/>
    </w:p>
    <w:p w14:paraId="596D4E9E" w14:textId="77777777" w:rsidR="009E3391" w:rsidRPr="0092670C" w:rsidRDefault="009E3391" w:rsidP="009E3391">
      <w:pPr>
        <w:spacing w:line="360" w:lineRule="auto"/>
        <w:jc w:val="both"/>
        <w:rPr>
          <w:rFonts w:ascii="Arial" w:hAnsi="Arial" w:cs="Arial"/>
        </w:rPr>
      </w:pPr>
      <w:r w:rsidRPr="0092670C">
        <w:rPr>
          <w:rFonts w:ascii="Arial" w:hAnsi="Arial" w:cs="Arial"/>
        </w:rPr>
        <w:t xml:space="preserve">The capacity retention is significantly higher for the pre-lithiated cells suggesting that the Li-based SEI is more robust and better at shielding Na from the electrolyte. Unfortunately, Pre-lithiation lowers the charge capacity of the cells significantly, which is exacerbated with increasing pre-lithiation times. These conflicting results means that the pre-lithiation time needs to be carefully considered. It is best to reduce pre-lithiation to a minimum level where the cell still has a thin, polymer rich, stable SEI. At this stage the SEI will block as few Na conduction pathways as possible. Making the SEI any thicker starts to constrict the conduction pathways through the SEI, resulting in a quadrupling of the impedance of the cell. This impedance is still far lower than that of the un-lithiated cell. The pre-lithiation process, when managed properly can ensure that hard carbon cycles well with high capacity retention, low impedance and respectable capacity. </w:t>
      </w:r>
    </w:p>
    <w:p w14:paraId="516DD8E4" w14:textId="77777777" w:rsidR="009E3391" w:rsidRPr="0092670C" w:rsidRDefault="009E3391" w:rsidP="008773FE">
      <w:pPr>
        <w:pStyle w:val="Heading2"/>
        <w:rPr>
          <w:rFonts w:ascii="Arial" w:hAnsi="Arial" w:cs="Arial"/>
          <w:sz w:val="32"/>
          <w:szCs w:val="32"/>
        </w:rPr>
      </w:pPr>
      <w:bookmarkStart w:id="304" w:name="_Toc82538813"/>
      <w:r w:rsidRPr="0092670C">
        <w:rPr>
          <w:rFonts w:ascii="Arial" w:hAnsi="Arial" w:cs="Arial"/>
          <w:sz w:val="32"/>
          <w:szCs w:val="32"/>
        </w:rPr>
        <w:t>SEI dissolution</w:t>
      </w:r>
      <w:bookmarkEnd w:id="304"/>
      <w:r w:rsidRPr="0092670C">
        <w:rPr>
          <w:rFonts w:ascii="Arial" w:hAnsi="Arial" w:cs="Arial"/>
          <w:sz w:val="32"/>
          <w:szCs w:val="32"/>
        </w:rPr>
        <w:t xml:space="preserve"> </w:t>
      </w:r>
    </w:p>
    <w:p w14:paraId="7E268654" w14:textId="2D45827C" w:rsidR="009E3391" w:rsidRPr="0092670C" w:rsidRDefault="009E3391" w:rsidP="009E3391">
      <w:pPr>
        <w:spacing w:line="360" w:lineRule="auto"/>
        <w:jc w:val="both"/>
        <w:rPr>
          <w:rFonts w:ascii="Arial" w:hAnsi="Arial" w:cs="Arial"/>
        </w:rPr>
      </w:pPr>
      <w:r w:rsidRPr="0092670C">
        <w:rPr>
          <w:rFonts w:ascii="Arial" w:hAnsi="Arial" w:cs="Arial"/>
        </w:rPr>
        <w:t>As mentioned previously one of the main issues attributed to the poor SEI performance in Na-ion batteries is the high solubility of the SEI</w:t>
      </w:r>
      <w:r w:rsidR="00E27A80"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&lt;EndNote&gt;&lt;Cite&gt;&lt;Author&gt;Mogensen&lt;/Author&gt;&lt;Year&gt;2016&lt;/Year&gt;&lt;RecNum&gt;83&lt;/RecNum&gt;&lt;DisplayText&gt;[175]&lt;/DisplayText&gt;&lt;record&gt;&lt;rec-number&gt;83&lt;/rec-number&gt;&lt;foreign-keys&gt;&lt;key app="EN" db-id="5sa9s0e0r0d9fnexra7pr5xdwd5ztevx95s2" timestamp="1516185253"&gt;83&lt;/key&gt;&lt;/foreign-keys&gt;&lt;ref-type name="Journal Article"&gt;17&lt;/ref-type&gt;&lt;contributors&gt;&lt;authors&gt;&lt;author&gt;Mogensen, Ronnie&lt;/author&gt;&lt;author&gt;Brandell, Daniel&lt;/author&gt;&lt;author&gt;Younesi, Reza&lt;/author&gt;&lt;/authors&gt;&lt;/contributors&gt;&lt;titles&gt;&lt;title&gt;Solubility of the Solid Electrolyte Interphase (SEI) in Sodium Ion Batteries&lt;/title&gt;&lt;secondary-title&gt;ACS Energy Letters&lt;/secondary-title&gt;&lt;/titles&gt;&lt;periodical&gt;&lt;full-title&gt;Acs Energy Letters&lt;/full-title&gt;&lt;abbr-1&gt;ACS Energy Lett.&lt;/abbr-1&gt;&lt;/periodical&gt;&lt;pages&gt;1173-1178&lt;/pages&gt;&lt;volume&gt;1&lt;/volume&gt;&lt;number&gt;6&lt;/number&gt;&lt;dates&gt;&lt;year&gt;2016&lt;/year&gt;&lt;pub-dates&gt;&lt;date&gt;2016/12/09&lt;/date&gt;&lt;/pub-dates&gt;&lt;/dates&gt;&lt;publisher&gt;American Chemical Society&lt;/publisher&gt;&lt;urls&gt;&lt;related-urls&gt;&lt;url&gt;http://dx.doi.org/10.1021/acsenergylett.6b00491&lt;/url&gt;&lt;/related-urls&gt;&lt;/urls&gt;&lt;electronic-resource-num&gt;10.1021/acsenergylett.6b00491&lt;/electronic-resource-num&gt;&lt;/record&gt;&lt;/Cite&gt;&lt;/EndNote&gt;</w:instrText>
      </w:r>
      <w:r w:rsidRPr="0092670C">
        <w:rPr>
          <w:rFonts w:ascii="Arial" w:hAnsi="Arial" w:cs="Arial"/>
        </w:rPr>
        <w:fldChar w:fldCharType="separate"/>
      </w:r>
      <w:r w:rsidR="0034337D">
        <w:rPr>
          <w:rFonts w:ascii="Arial" w:hAnsi="Arial" w:cs="Arial"/>
          <w:noProof/>
        </w:rPr>
        <w:t>[175]</w:t>
      </w:r>
      <w:r w:rsidRPr="0092670C">
        <w:rPr>
          <w:rFonts w:ascii="Arial" w:hAnsi="Arial" w:cs="Arial"/>
        </w:rPr>
        <w:fldChar w:fldCharType="end"/>
      </w:r>
      <w:r w:rsidRPr="0092670C">
        <w:rPr>
          <w:rFonts w:ascii="Arial" w:hAnsi="Arial" w:cs="Arial"/>
        </w:rPr>
        <w:t xml:space="preserve">. Li-based SEIs in Li-ion cells don’t suffer from the same issue and so </w:t>
      </w:r>
      <w:r w:rsidR="008409A9">
        <w:rPr>
          <w:rFonts w:ascii="Arial" w:hAnsi="Arial" w:cs="Arial"/>
        </w:rPr>
        <w:t>an investigation was conducted</w:t>
      </w:r>
      <w:r w:rsidRPr="0092670C">
        <w:rPr>
          <w:rFonts w:ascii="Arial" w:hAnsi="Arial" w:cs="Arial"/>
        </w:rPr>
        <w:t xml:space="preserve"> to see if the Li-based SEI </w:t>
      </w:r>
      <w:r w:rsidR="00D36C07" w:rsidRPr="0092670C">
        <w:rPr>
          <w:rFonts w:ascii="Arial" w:hAnsi="Arial" w:cs="Arial"/>
        </w:rPr>
        <w:t>I</w:t>
      </w:r>
      <w:r w:rsidRPr="0092670C">
        <w:rPr>
          <w:rFonts w:ascii="Arial" w:hAnsi="Arial" w:cs="Arial"/>
        </w:rPr>
        <w:t xml:space="preserve"> created on hard carbon anodes would show a reduced solubility compared with traditional Na-based SEI’s. If it reduce</w:t>
      </w:r>
      <w:r w:rsidR="00663658">
        <w:rPr>
          <w:rFonts w:ascii="Arial" w:hAnsi="Arial" w:cs="Arial"/>
        </w:rPr>
        <w:t>d</w:t>
      </w:r>
      <w:r w:rsidRPr="0092670C">
        <w:rPr>
          <w:rFonts w:ascii="Arial" w:hAnsi="Arial" w:cs="Arial"/>
        </w:rPr>
        <w:t xml:space="preserve"> the dissolution, then it could potentially make Na-ion cells more competitive with their </w:t>
      </w:r>
      <w:r w:rsidR="00663658">
        <w:rPr>
          <w:rFonts w:ascii="Arial" w:hAnsi="Arial" w:cs="Arial"/>
        </w:rPr>
        <w:t>L</w:t>
      </w:r>
      <w:r w:rsidRPr="0092670C">
        <w:rPr>
          <w:rFonts w:ascii="Arial" w:hAnsi="Arial" w:cs="Arial"/>
        </w:rPr>
        <w:t xml:space="preserve">i-ion counterparts. </w:t>
      </w:r>
    </w:p>
    <w:p w14:paraId="26FC4D1D" w14:textId="77777777" w:rsidR="009E3391" w:rsidRPr="0092670C" w:rsidRDefault="009E3391" w:rsidP="008773FE">
      <w:pPr>
        <w:pStyle w:val="Heading3"/>
        <w:rPr>
          <w:rFonts w:ascii="Arial" w:hAnsi="Arial" w:cs="Arial"/>
          <w:color w:val="2F5496" w:themeColor="accent1" w:themeShade="BF"/>
          <w:sz w:val="26"/>
          <w:szCs w:val="26"/>
        </w:rPr>
      </w:pPr>
      <w:bookmarkStart w:id="305" w:name="_Toc82538814"/>
      <w:r w:rsidRPr="0092670C">
        <w:rPr>
          <w:rFonts w:ascii="Arial" w:hAnsi="Arial" w:cs="Arial"/>
          <w:color w:val="2F5496" w:themeColor="accent1" w:themeShade="BF"/>
          <w:sz w:val="26"/>
          <w:szCs w:val="26"/>
        </w:rPr>
        <w:t>Experimental</w:t>
      </w:r>
      <w:bookmarkEnd w:id="305"/>
    </w:p>
    <w:p w14:paraId="4454253A" w14:textId="77777777" w:rsidR="00AB56B0" w:rsidRPr="00CB1606" w:rsidRDefault="00AB56B0" w:rsidP="00AB56B0">
      <w:pPr>
        <w:spacing w:line="360" w:lineRule="auto"/>
        <w:jc w:val="both"/>
        <w:rPr>
          <w:rFonts w:ascii="Arial" w:hAnsi="Arial" w:cs="Arial"/>
        </w:rPr>
      </w:pPr>
      <w:r w:rsidRPr="00CB1606">
        <w:rPr>
          <w:rFonts w:ascii="Arial" w:hAnsi="Arial" w:cs="Arial"/>
        </w:rPr>
        <w:t>Hard carbon was produced using the method outlined in 2. electrodes were made as described in 2.1. The electrodes were then pre-lithiated electrochemically with LP30 (1.0M LiPF</w:t>
      </w:r>
      <w:r w:rsidRPr="00CB1606">
        <w:rPr>
          <w:rFonts w:ascii="Arial" w:hAnsi="Arial" w:cs="Arial"/>
          <w:vertAlign w:val="subscript"/>
        </w:rPr>
        <w:t>6</w:t>
      </w:r>
      <w:r w:rsidRPr="00CB1606">
        <w:rPr>
          <w:rFonts w:ascii="Arial" w:hAnsi="Arial" w:cs="Arial"/>
        </w:rPr>
        <w:t xml:space="preserve"> in EC/DMC=50/50 (v/v), battery grade, Sigma Aldrich) as outlined in 2.3.2. This process was conducted between 10 and 40mins. These electrodes were then assembled into half cells with Na as the counter electrode and 0.5M NaPF</w:t>
      </w:r>
      <w:r w:rsidRPr="00CB1606">
        <w:rPr>
          <w:rFonts w:ascii="Arial" w:hAnsi="Arial" w:cs="Arial"/>
          <w:vertAlign w:val="subscript"/>
        </w:rPr>
        <w:t>6</w:t>
      </w:r>
      <w:r w:rsidRPr="00CB1606">
        <w:rPr>
          <w:rFonts w:ascii="Arial" w:hAnsi="Arial" w:cs="Arial"/>
        </w:rPr>
        <w:t xml:space="preserve"> in EC: DMC (50:50V/V)</w:t>
      </w:r>
      <w:r w:rsidRPr="00CB1606">
        <w:rPr>
          <w:rFonts w:ascii="Arial" w:hAnsi="Arial" w:cs="Arial"/>
          <w:vertAlign w:val="subscript"/>
        </w:rPr>
        <w:t xml:space="preserve"> </w:t>
      </w:r>
      <w:r w:rsidRPr="00CB1606">
        <w:rPr>
          <w:rFonts w:ascii="Arial" w:hAnsi="Arial" w:cs="Arial"/>
        </w:rPr>
        <w:t xml:space="preserve">was used as the electrolyte. </w:t>
      </w:r>
    </w:p>
    <w:p w14:paraId="6B24FFE1" w14:textId="37617A87" w:rsidR="00AB56B0" w:rsidRPr="00CB1606" w:rsidRDefault="00AB56B0" w:rsidP="00AB56B0">
      <w:pPr>
        <w:spacing w:line="360" w:lineRule="auto"/>
        <w:jc w:val="both"/>
        <w:rPr>
          <w:rFonts w:ascii="Arial" w:hAnsi="Arial" w:cs="Arial"/>
        </w:rPr>
      </w:pPr>
      <w:r w:rsidRPr="00CB1606">
        <w:rPr>
          <w:rFonts w:ascii="Arial" w:hAnsi="Arial" w:cs="Arial"/>
        </w:rPr>
        <w:t xml:space="preserve">Rather than traditional cycling at a constant </w:t>
      </w:r>
      <w:r w:rsidR="00B2176E">
        <w:rPr>
          <w:rFonts w:ascii="Arial" w:hAnsi="Arial" w:cs="Arial"/>
        </w:rPr>
        <w:t>C</w:t>
      </w:r>
      <w:r w:rsidRPr="00CB1606">
        <w:rPr>
          <w:rFonts w:ascii="Arial" w:hAnsi="Arial" w:cs="Arial"/>
        </w:rPr>
        <w:t xml:space="preserve">-rate we used the same cycle-rest pattern as used by Mogensen </w:t>
      </w:r>
      <w:r w:rsidRPr="00CB1606">
        <w:rPr>
          <w:rFonts w:ascii="Arial" w:hAnsi="Arial" w:cs="Arial"/>
          <w:i/>
          <w:iCs/>
        </w:rPr>
        <w:t>et al.</w:t>
      </w:r>
      <w:r w:rsidRPr="00CB1606">
        <w:rPr>
          <w:rFonts w:ascii="Arial" w:hAnsi="Arial" w:cs="Arial"/>
        </w:rPr>
        <w:t xml:space="preserve"> in their research in Na based SEI dissolution </w:t>
      </w:r>
      <w:r w:rsidRPr="00CB1606">
        <w:rPr>
          <w:rFonts w:ascii="Arial" w:hAnsi="Arial" w:cs="Arial"/>
        </w:rPr>
        <w:fldChar w:fldCharType="begin"/>
      </w:r>
      <w:r w:rsidR="0034337D">
        <w:rPr>
          <w:rFonts w:ascii="Arial" w:hAnsi="Arial" w:cs="Arial"/>
        </w:rPr>
        <w:instrText xml:space="preserve"> ADDIN EN.CITE &lt;EndNote&gt;&lt;Cite&gt;&lt;Author&gt;Mogensen&lt;/Author&gt;&lt;Year&gt;2016&lt;/Year&gt;&lt;RecNum&gt;83&lt;/RecNum&gt;&lt;DisplayText&gt;[175]&lt;/DisplayText&gt;&lt;record&gt;&lt;rec-number&gt;83&lt;/rec-number&gt;&lt;foreign-keys&gt;&lt;key app="EN" db-id="5sa9s0e0r0d9fnexra7pr5xdwd5ztevx95s2" timestamp="1516185253"&gt;83&lt;/key&gt;&lt;/foreign-keys&gt;&lt;ref-type name="Journal Article"&gt;17&lt;/ref-type&gt;&lt;contributors&gt;&lt;authors&gt;&lt;author&gt;Mogensen, Ronnie&lt;/author&gt;&lt;author&gt;Brandell, Daniel&lt;/author&gt;&lt;author&gt;Younesi, Reza&lt;/author&gt;&lt;/authors&gt;&lt;/contributors&gt;&lt;titles&gt;&lt;title&gt;Solubility of the Solid Electrolyte Interphase (SEI) in Sodium Ion Batteries&lt;/title&gt;&lt;secondary-title&gt;ACS Energy Letters&lt;/secondary-title&gt;&lt;/titles&gt;&lt;periodical&gt;&lt;full-title&gt;Acs Energy Letters&lt;/full-title&gt;&lt;abbr-1&gt;ACS Energy Lett.&lt;/abbr-1&gt;&lt;/periodical&gt;&lt;pages&gt;1173-1178&lt;/pages&gt;&lt;volume&gt;1&lt;/volume&gt;&lt;number&gt;6&lt;/number&gt;&lt;dates&gt;&lt;year&gt;2016&lt;/year&gt;&lt;pub-dates&gt;&lt;date&gt;2016/12/09&lt;/date&gt;&lt;/pub-dates&gt;&lt;/dates&gt;&lt;publisher&gt;American Chemical Society&lt;/publisher&gt;&lt;urls&gt;&lt;related-urls&gt;&lt;url&gt;http://dx.doi.org/10.1021/acsenergylett.6b00491&lt;/url&gt;&lt;/related-urls&gt;&lt;/urls&gt;&lt;electronic-resource-num&gt;10.1021/acsenergylett.6b00491&lt;/electronic-resource-num&gt;&lt;/record&gt;&lt;/Cite&gt;&lt;/EndNote&gt;</w:instrText>
      </w:r>
      <w:r w:rsidRPr="00CB1606">
        <w:rPr>
          <w:rFonts w:ascii="Arial" w:hAnsi="Arial" w:cs="Arial"/>
        </w:rPr>
        <w:fldChar w:fldCharType="separate"/>
      </w:r>
      <w:r w:rsidR="0034337D">
        <w:rPr>
          <w:rFonts w:ascii="Arial" w:hAnsi="Arial" w:cs="Arial"/>
          <w:noProof/>
        </w:rPr>
        <w:t>[175]</w:t>
      </w:r>
      <w:r w:rsidRPr="00CB1606">
        <w:rPr>
          <w:rFonts w:ascii="Arial" w:hAnsi="Arial" w:cs="Arial"/>
        </w:rPr>
        <w:fldChar w:fldCharType="end"/>
      </w:r>
      <w:r w:rsidRPr="00CB1606">
        <w:rPr>
          <w:rFonts w:ascii="Arial" w:hAnsi="Arial" w:cs="Arial"/>
        </w:rPr>
        <w:t xml:space="preserve">. This pattern is visualised in </w:t>
      </w:r>
      <w:r w:rsidRPr="00CB1606">
        <w:rPr>
          <w:rFonts w:ascii="Arial" w:hAnsi="Arial" w:cs="Arial"/>
        </w:rPr>
        <w:fldChar w:fldCharType="begin"/>
      </w:r>
      <w:r w:rsidRPr="00CB1606">
        <w:rPr>
          <w:rFonts w:ascii="Arial" w:hAnsi="Arial" w:cs="Arial"/>
        </w:rPr>
        <w:instrText xml:space="preserve"> REF _Ref14338346 \h  \* MERGEFORMAT </w:instrText>
      </w:r>
      <w:r w:rsidRPr="00CB1606">
        <w:rPr>
          <w:rFonts w:ascii="Arial" w:hAnsi="Arial" w:cs="Arial"/>
        </w:rPr>
      </w:r>
      <w:r w:rsidRPr="00CB1606">
        <w:rPr>
          <w:rFonts w:ascii="Arial" w:hAnsi="Arial" w:cs="Arial"/>
        </w:rPr>
        <w:fldChar w:fldCharType="separate"/>
      </w:r>
      <w:r w:rsidRPr="00CB1606">
        <w:rPr>
          <w:rFonts w:ascii="Arial" w:hAnsi="Arial" w:cs="Arial"/>
        </w:rPr>
        <w:t xml:space="preserve">Figure </w:t>
      </w:r>
      <w:r w:rsidRPr="00CB1606">
        <w:rPr>
          <w:rFonts w:ascii="Arial" w:hAnsi="Arial" w:cs="Arial"/>
          <w:noProof/>
        </w:rPr>
        <w:t>6</w:t>
      </w:r>
      <w:r w:rsidRPr="00CB1606">
        <w:rPr>
          <w:rFonts w:ascii="Arial" w:hAnsi="Arial" w:cs="Arial"/>
          <w:noProof/>
        </w:rPr>
        <w:noBreakHyphen/>
        <w:t>8</w:t>
      </w:r>
      <w:r w:rsidRPr="00CB1606">
        <w:rPr>
          <w:rFonts w:ascii="Arial" w:hAnsi="Arial" w:cs="Arial"/>
        </w:rPr>
        <w:fldChar w:fldCharType="end"/>
      </w:r>
      <w:r w:rsidRPr="00CB1606">
        <w:rPr>
          <w:rFonts w:ascii="Arial" w:hAnsi="Arial" w:cs="Arial"/>
          <w:sz w:val="28"/>
          <w:szCs w:val="28"/>
        </w:rPr>
        <w:t xml:space="preserve"> </w:t>
      </w:r>
      <w:r w:rsidRPr="00CB1606">
        <w:rPr>
          <w:rFonts w:ascii="Arial" w:hAnsi="Arial" w:cs="Arial"/>
        </w:rPr>
        <w:t xml:space="preserve">and consists of 10 initial cycles to form a consistent SEI. Once the SEI has been formed then the cell is left to rest for 100 hours. The cell is then cycled for 5 cycles to test the subsequent performance of the cell. Then the cell is rested for a further 50 hrs before undergoing another 5 cycles. Then the cell is rested for 25 hrs and the regime is then reversed. This cycling profile allows a range of different dissolution times to be tested. </w:t>
      </w:r>
      <w:r>
        <w:rPr>
          <w:rFonts w:ascii="Arial" w:hAnsi="Arial" w:cs="Arial"/>
        </w:rPr>
        <w:t>For reference a Na half cell with a fresh hard carbon electrode was used.</w:t>
      </w:r>
    </w:p>
    <w:p w14:paraId="521BD3CB" w14:textId="77777777" w:rsidR="009E3391" w:rsidRPr="0092670C" w:rsidRDefault="009E3391" w:rsidP="009E3391">
      <w:pPr>
        <w:keepNext/>
        <w:spacing w:line="360" w:lineRule="auto"/>
        <w:jc w:val="center"/>
        <w:rPr>
          <w:rFonts w:ascii="Arial" w:hAnsi="Arial" w:cs="Arial"/>
        </w:rPr>
      </w:pPr>
      <w:r w:rsidRPr="0092670C">
        <w:rPr>
          <w:rFonts w:ascii="Arial" w:hAnsi="Arial" w:cs="Arial"/>
          <w:noProof/>
        </w:rPr>
        <w:drawing>
          <wp:inline distT="0" distB="0" distL="0" distR="0" wp14:anchorId="233EDC72" wp14:editId="3D9BB6EA">
            <wp:extent cx="2080895" cy="819149"/>
            <wp:effectExtent l="0" t="0" r="0" b="635"/>
            <wp:docPr id="47" name="Picture 5">
              <a:extLst xmlns:a="http://schemas.openxmlformats.org/drawingml/2006/main">
                <a:ext uri="{FF2B5EF4-FFF2-40B4-BE49-F238E27FC236}">
                  <a16:creationId xmlns:a16="http://schemas.microsoft.com/office/drawing/2014/main" id="{59B6DFA9-C5C1-47B8-8F00-94B2CC86C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a:extLst>
                        <a:ext uri="{FF2B5EF4-FFF2-40B4-BE49-F238E27FC236}">
                          <a16:creationId xmlns:a16="http://schemas.microsoft.com/office/drawing/2014/main" id="{59B6DFA9-C5C1-47B8-8F00-94B2CC86C587}"/>
                        </a:ext>
                      </a:extLst>
                    </pic:cNvPr>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l="49831" t="5000" b="73498"/>
                    <a:stretch/>
                  </pic:blipFill>
                  <pic:spPr bwMode="auto">
                    <a:xfrm>
                      <a:off x="0" y="0"/>
                      <a:ext cx="2081055" cy="81921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098FA73" w14:textId="54ED548D" w:rsidR="009E3391" w:rsidRPr="0092670C" w:rsidRDefault="009E3391" w:rsidP="009E3391">
      <w:pPr>
        <w:spacing w:after="200" w:line="360" w:lineRule="auto"/>
        <w:jc w:val="center"/>
        <w:rPr>
          <w:rFonts w:ascii="Arial" w:hAnsi="Arial" w:cs="Arial"/>
          <w:i/>
          <w:iCs/>
          <w:color w:val="44546A" w:themeColor="text2"/>
          <w:sz w:val="20"/>
          <w:szCs w:val="20"/>
        </w:rPr>
      </w:pPr>
      <w:bookmarkStart w:id="306" w:name="_Ref14338346"/>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7</w:t>
      </w:r>
      <w:r w:rsidR="00356A26">
        <w:rPr>
          <w:rFonts w:ascii="Arial" w:hAnsi="Arial" w:cs="Arial"/>
          <w:i/>
          <w:iCs/>
          <w:color w:val="44546A" w:themeColor="text2"/>
          <w:sz w:val="20"/>
          <w:szCs w:val="20"/>
        </w:rPr>
        <w:fldChar w:fldCharType="end"/>
      </w:r>
      <w:bookmarkEnd w:id="306"/>
      <w:r w:rsidRPr="0092670C">
        <w:rPr>
          <w:rFonts w:ascii="Arial" w:hAnsi="Arial" w:cs="Arial"/>
          <w:i/>
          <w:iCs/>
          <w:color w:val="44546A" w:themeColor="text2"/>
          <w:sz w:val="20"/>
          <w:szCs w:val="20"/>
        </w:rPr>
        <w:t xml:space="preserve">: Schematic for testing SEI dissolution </w:t>
      </w:r>
      <w:r w:rsidRPr="0092670C">
        <w:rPr>
          <w:rFonts w:ascii="Arial" w:hAnsi="Arial" w:cs="Arial"/>
          <w:i/>
          <w:iCs/>
          <w:color w:val="44546A" w:themeColor="text2"/>
          <w:sz w:val="20"/>
          <w:szCs w:val="20"/>
        </w:rPr>
        <w:fldChar w:fldCharType="begin"/>
      </w:r>
      <w:r w:rsidR="0034337D">
        <w:rPr>
          <w:rFonts w:ascii="Arial" w:hAnsi="Arial" w:cs="Arial"/>
          <w:i/>
          <w:iCs/>
          <w:color w:val="44546A" w:themeColor="text2"/>
          <w:sz w:val="20"/>
          <w:szCs w:val="20"/>
        </w:rPr>
        <w:instrText xml:space="preserve"> ADDIN EN.CITE &lt;EndNote&gt;&lt;Cite&gt;&lt;Author&gt;Mogensen&lt;/Author&gt;&lt;Year&gt;2016&lt;/Year&gt;&lt;RecNum&gt;83&lt;/RecNum&gt;&lt;DisplayText&gt;[175]&lt;/DisplayText&gt;&lt;record&gt;&lt;rec-number&gt;83&lt;/rec-number&gt;&lt;foreign-keys&gt;&lt;key app="EN" db-id="5sa9s0e0r0d9fnexra7pr5xdwd5ztevx95s2" timestamp="1516185253"&gt;83&lt;/key&gt;&lt;/foreign-keys&gt;&lt;ref-type name="Journal Article"&gt;17&lt;/ref-type&gt;&lt;contributors&gt;&lt;authors&gt;&lt;author&gt;Mogensen, Ronnie&lt;/author&gt;&lt;author&gt;Brandell, Daniel&lt;/author&gt;&lt;author&gt;Younesi, Reza&lt;/author&gt;&lt;/authors&gt;&lt;/contributors&gt;&lt;titles&gt;&lt;title&gt;Solubility of the Solid Electrolyte Interphase (SEI) in Sodium Ion Batteries&lt;/title&gt;&lt;secondary-title&gt;ACS Energy Letters&lt;/secondary-title&gt;&lt;/titles&gt;&lt;periodical&gt;&lt;full-title&gt;Acs Energy Letters&lt;/full-title&gt;&lt;abbr-1&gt;ACS Energy Lett.&lt;/abbr-1&gt;&lt;/periodical&gt;&lt;pages&gt;1173-1178&lt;/pages&gt;&lt;volume&gt;1&lt;/volume&gt;&lt;number&gt;6&lt;/number&gt;&lt;dates&gt;&lt;year&gt;2016&lt;/year&gt;&lt;pub-dates&gt;&lt;date&gt;2016/12/09&lt;/date&gt;&lt;/pub-dates&gt;&lt;/dates&gt;&lt;publisher&gt;American Chemical Society&lt;/publisher&gt;&lt;urls&gt;&lt;related-urls&gt;&lt;url&gt;http://dx.doi.org/10.1021/acsenergylett.6b00491&lt;/url&gt;&lt;/related-urls&gt;&lt;/urls&gt;&lt;electronic-resource-num&gt;10.1021/acsenergylett.6b00491&lt;/electronic-resource-num&gt;&lt;/record&gt;&lt;/Cite&gt;&lt;/EndNote&gt;</w:instrText>
      </w:r>
      <w:r w:rsidRPr="0092670C">
        <w:rPr>
          <w:rFonts w:ascii="Arial" w:hAnsi="Arial" w:cs="Arial"/>
          <w:i/>
          <w:iCs/>
          <w:color w:val="44546A" w:themeColor="text2"/>
          <w:sz w:val="20"/>
          <w:szCs w:val="20"/>
        </w:rPr>
        <w:fldChar w:fldCharType="separate"/>
      </w:r>
      <w:r w:rsidR="0034337D">
        <w:rPr>
          <w:rFonts w:ascii="Arial" w:hAnsi="Arial" w:cs="Arial"/>
          <w:i/>
          <w:iCs/>
          <w:noProof/>
          <w:color w:val="44546A" w:themeColor="text2"/>
          <w:sz w:val="20"/>
          <w:szCs w:val="20"/>
        </w:rPr>
        <w:t>[175]</w:t>
      </w:r>
      <w:r w:rsidRPr="0092670C">
        <w:rPr>
          <w:rFonts w:ascii="Arial" w:hAnsi="Arial" w:cs="Arial"/>
          <w:i/>
          <w:iCs/>
          <w:color w:val="44546A" w:themeColor="text2"/>
          <w:sz w:val="20"/>
          <w:szCs w:val="20"/>
        </w:rPr>
        <w:fldChar w:fldCharType="end"/>
      </w:r>
      <w:r w:rsidR="009C4B84" w:rsidRPr="0092670C">
        <w:rPr>
          <w:rFonts w:ascii="Arial" w:hAnsi="Arial" w:cs="Arial"/>
          <w:i/>
          <w:iCs/>
          <w:color w:val="44546A" w:themeColor="text2"/>
          <w:sz w:val="20"/>
          <w:szCs w:val="20"/>
        </w:rPr>
        <w:t>.</w:t>
      </w:r>
    </w:p>
    <w:p w14:paraId="57CCD03D" w14:textId="77777777" w:rsidR="009E3391" w:rsidRPr="0092670C" w:rsidRDefault="009E3391" w:rsidP="008773FE">
      <w:pPr>
        <w:pStyle w:val="Heading3"/>
        <w:rPr>
          <w:rFonts w:ascii="Arial" w:hAnsi="Arial" w:cs="Arial"/>
          <w:color w:val="2F5496" w:themeColor="accent1" w:themeShade="BF"/>
          <w:sz w:val="26"/>
          <w:szCs w:val="26"/>
        </w:rPr>
      </w:pPr>
      <w:bookmarkStart w:id="307" w:name="_Toc82538815"/>
      <w:r w:rsidRPr="0092670C">
        <w:rPr>
          <w:rFonts w:ascii="Arial" w:hAnsi="Arial" w:cs="Arial"/>
          <w:color w:val="2F5496" w:themeColor="accent1" w:themeShade="BF"/>
          <w:sz w:val="26"/>
          <w:szCs w:val="26"/>
        </w:rPr>
        <w:t>Results</w:t>
      </w:r>
      <w:bookmarkEnd w:id="307"/>
    </w:p>
    <w:p w14:paraId="675D926B" w14:textId="19F56750" w:rsidR="009E3391" w:rsidRPr="0092670C" w:rsidRDefault="009E3391" w:rsidP="009E3391">
      <w:pPr>
        <w:spacing w:line="360" w:lineRule="auto"/>
        <w:jc w:val="both"/>
        <w:rPr>
          <w:rFonts w:ascii="Arial" w:hAnsi="Arial" w:cs="Arial"/>
        </w:rPr>
      </w:pPr>
      <w:r w:rsidRPr="0092670C">
        <w:rPr>
          <w:rFonts w:ascii="Arial" w:hAnsi="Arial" w:cs="Arial"/>
        </w:rPr>
        <w:t>The reference cell (0 mins of pre-lithiation) has a consistent capacity with drops occurring in the cycle</w:t>
      </w:r>
      <w:r w:rsidR="00E54441">
        <w:rPr>
          <w:rFonts w:ascii="Arial" w:hAnsi="Arial" w:cs="Arial"/>
        </w:rPr>
        <w:t>s that are</w:t>
      </w:r>
      <w:r w:rsidRPr="0092670C">
        <w:rPr>
          <w:rFonts w:ascii="Arial" w:hAnsi="Arial" w:cs="Arial"/>
        </w:rPr>
        <w:t xml:space="preserve"> immediately after a rest step. The</w:t>
      </w:r>
      <w:r w:rsidR="007D1CE9" w:rsidRPr="0092670C">
        <w:rPr>
          <w:rFonts w:ascii="Arial" w:hAnsi="Arial" w:cs="Arial"/>
        </w:rPr>
        <w:t xml:space="preserve"> magnitude of these</w:t>
      </w:r>
      <w:r w:rsidRPr="0092670C">
        <w:rPr>
          <w:rFonts w:ascii="Arial" w:hAnsi="Arial" w:cs="Arial"/>
        </w:rPr>
        <w:t xml:space="preserve"> drops</w:t>
      </w:r>
      <w:r w:rsidR="007D1CE9" w:rsidRPr="0092670C">
        <w:rPr>
          <w:rFonts w:ascii="Arial" w:hAnsi="Arial" w:cs="Arial"/>
        </w:rPr>
        <w:t xml:space="preserve"> in capacity</w:t>
      </w:r>
      <w:r w:rsidRPr="0092670C">
        <w:rPr>
          <w:rFonts w:ascii="Arial" w:hAnsi="Arial" w:cs="Arial"/>
        </w:rPr>
        <w:t xml:space="preserve"> rise</w:t>
      </w:r>
      <w:r w:rsidR="00B2176E">
        <w:rPr>
          <w:rFonts w:ascii="Arial" w:hAnsi="Arial" w:cs="Arial"/>
        </w:rPr>
        <w:t>s</w:t>
      </w:r>
      <w:r w:rsidRPr="0092670C">
        <w:rPr>
          <w:rFonts w:ascii="Arial" w:hAnsi="Arial" w:cs="Arial"/>
        </w:rPr>
        <w:t xml:space="preserve"> consistently with increasing rest time</w:t>
      </w:r>
      <w:r w:rsidR="007D1CE9" w:rsidRPr="0092670C">
        <w:rPr>
          <w:rFonts w:ascii="Arial" w:hAnsi="Arial" w:cs="Arial"/>
        </w:rPr>
        <w:t xml:space="preserve"> and this trend is </w:t>
      </w:r>
      <w:r w:rsidR="00F8111A" w:rsidRPr="0092670C">
        <w:rPr>
          <w:rFonts w:ascii="Arial" w:hAnsi="Arial" w:cs="Arial"/>
        </w:rPr>
        <w:t xml:space="preserve">demonstrated in </w:t>
      </w:r>
      <w:r w:rsidR="00F8111A" w:rsidRPr="0092670C">
        <w:rPr>
          <w:rFonts w:ascii="Arial" w:hAnsi="Arial" w:cs="Arial"/>
        </w:rPr>
        <w:fldChar w:fldCharType="begin"/>
      </w:r>
      <w:r w:rsidR="00F8111A" w:rsidRPr="0092670C">
        <w:rPr>
          <w:rFonts w:ascii="Arial" w:hAnsi="Arial" w:cs="Arial"/>
        </w:rPr>
        <w:instrText xml:space="preserve"> REF _Ref30853965 \h  \* MERGEFORMAT </w:instrText>
      </w:r>
      <w:r w:rsidR="00F8111A" w:rsidRPr="0092670C">
        <w:rPr>
          <w:rFonts w:ascii="Arial" w:hAnsi="Arial" w:cs="Arial"/>
        </w:rPr>
      </w:r>
      <w:r w:rsidR="00F8111A"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6</w:t>
      </w:r>
      <w:r w:rsidR="007342C8" w:rsidRPr="007342C8">
        <w:rPr>
          <w:rFonts w:ascii="Arial" w:hAnsi="Arial" w:cs="Arial"/>
          <w:noProof/>
        </w:rPr>
        <w:noBreakHyphen/>
        <w:t>9</w:t>
      </w:r>
      <w:r w:rsidR="00F8111A" w:rsidRPr="0092670C">
        <w:rPr>
          <w:rFonts w:ascii="Arial" w:hAnsi="Arial" w:cs="Arial"/>
        </w:rPr>
        <w:fldChar w:fldCharType="end"/>
      </w:r>
      <w:r w:rsidRPr="0092670C">
        <w:rPr>
          <w:rFonts w:ascii="Arial" w:hAnsi="Arial" w:cs="Arial"/>
        </w:rPr>
        <w:t xml:space="preserve">. This suggests that the cell is working as expected and </w:t>
      </w:r>
      <w:r w:rsidR="008F53FB" w:rsidRPr="0092670C">
        <w:rPr>
          <w:rFonts w:ascii="Arial" w:hAnsi="Arial" w:cs="Arial"/>
        </w:rPr>
        <w:t>a</w:t>
      </w:r>
      <w:r w:rsidR="00913131" w:rsidRPr="0092670C">
        <w:rPr>
          <w:rFonts w:ascii="Arial" w:hAnsi="Arial" w:cs="Arial"/>
        </w:rPr>
        <w:t xml:space="preserve"> portion of the SEI dissolv</w:t>
      </w:r>
      <w:r w:rsidR="008F53FB" w:rsidRPr="0092670C">
        <w:rPr>
          <w:rFonts w:ascii="Arial" w:hAnsi="Arial" w:cs="Arial"/>
        </w:rPr>
        <w:t>es</w:t>
      </w:r>
      <w:r w:rsidR="00913131" w:rsidRPr="0092670C">
        <w:rPr>
          <w:rFonts w:ascii="Arial" w:hAnsi="Arial" w:cs="Arial"/>
        </w:rPr>
        <w:t xml:space="preserve"> during the rest step</w:t>
      </w:r>
      <w:r w:rsidRPr="0092670C">
        <w:rPr>
          <w:rFonts w:ascii="Arial" w:hAnsi="Arial" w:cs="Arial"/>
        </w:rPr>
        <w:t xml:space="preserve">. The </w:t>
      </w:r>
      <w:r w:rsidR="0064487F" w:rsidRPr="0092670C">
        <w:rPr>
          <w:rFonts w:ascii="Arial" w:hAnsi="Arial" w:cs="Arial"/>
        </w:rPr>
        <w:t xml:space="preserve">capacity loss depends on the time </w:t>
      </w:r>
      <w:r w:rsidR="00AE51CD" w:rsidRPr="0092670C">
        <w:rPr>
          <w:rFonts w:ascii="Arial" w:hAnsi="Arial" w:cs="Arial"/>
        </w:rPr>
        <w:t>of the rest step with a large initial increase,</w:t>
      </w:r>
      <w:r w:rsidR="004121F3" w:rsidRPr="0092670C">
        <w:rPr>
          <w:rFonts w:ascii="Arial" w:hAnsi="Arial" w:cs="Arial"/>
        </w:rPr>
        <w:t xml:space="preserve"> and then a </w:t>
      </w:r>
      <w:r w:rsidR="00975156" w:rsidRPr="0092670C">
        <w:rPr>
          <w:rFonts w:ascii="Arial" w:hAnsi="Arial" w:cs="Arial"/>
        </w:rPr>
        <w:t xml:space="preserve">much more </w:t>
      </w:r>
      <w:r w:rsidR="00C07EF8" w:rsidRPr="0092670C">
        <w:rPr>
          <w:rFonts w:ascii="Arial" w:hAnsi="Arial" w:cs="Arial"/>
        </w:rPr>
        <w:t xml:space="preserve">gradual rise seen </w:t>
      </w:r>
      <w:r w:rsidR="00A5213C" w:rsidRPr="0092670C">
        <w:rPr>
          <w:rFonts w:ascii="Arial" w:hAnsi="Arial" w:cs="Arial"/>
        </w:rPr>
        <w:t xml:space="preserve">between 50 and 100 hours. </w:t>
      </w:r>
      <w:r w:rsidRPr="0092670C">
        <w:rPr>
          <w:rFonts w:ascii="Arial" w:hAnsi="Arial" w:cs="Arial"/>
        </w:rPr>
        <w:t xml:space="preserve">This is expected and matches </w:t>
      </w:r>
      <w:r w:rsidR="00B808EC" w:rsidRPr="0092670C">
        <w:rPr>
          <w:rFonts w:ascii="Arial" w:hAnsi="Arial" w:cs="Arial"/>
        </w:rPr>
        <w:t>the trends</w:t>
      </w:r>
      <w:r w:rsidRPr="0092670C">
        <w:rPr>
          <w:rFonts w:ascii="Arial" w:hAnsi="Arial" w:cs="Arial"/>
        </w:rPr>
        <w:t xml:space="preserve"> found in the literature, although the capacity lost is lower suggesting that our SEI has lower solubility</w:t>
      </w:r>
      <w:r w:rsidR="00754D77" w:rsidRPr="0092670C">
        <w:rPr>
          <w:rFonts w:ascii="Arial" w:hAnsi="Arial" w:cs="Arial"/>
        </w:rPr>
        <w:t xml:space="preserve"> </w:t>
      </w:r>
      <w:r w:rsidR="00B66122" w:rsidRPr="0092670C">
        <w:rPr>
          <w:rFonts w:ascii="Arial" w:hAnsi="Arial" w:cs="Arial"/>
        </w:rPr>
        <w:fldChar w:fldCharType="begin"/>
      </w:r>
      <w:r w:rsidR="0034337D">
        <w:rPr>
          <w:rFonts w:ascii="Arial" w:hAnsi="Arial" w:cs="Arial"/>
        </w:rPr>
        <w:instrText xml:space="preserve"> ADDIN EN.CITE &lt;EndNote&gt;&lt;Cite&gt;&lt;Author&gt;Mogensen&lt;/Author&gt;&lt;Year&gt;2016&lt;/Year&gt;&lt;RecNum&gt;83&lt;/RecNum&gt;&lt;DisplayText&gt;[175]&lt;/DisplayText&gt;&lt;record&gt;&lt;rec-number&gt;83&lt;/rec-number&gt;&lt;foreign-keys&gt;&lt;key app="EN" db-id="5sa9s0e0r0d9fnexra7pr5xdwd5ztevx95s2" timestamp="1516185253"&gt;83&lt;/key&gt;&lt;/foreign-keys&gt;&lt;ref-type name="Journal Article"&gt;17&lt;/ref-type&gt;&lt;contributors&gt;&lt;authors&gt;&lt;author&gt;Mogensen, Ronnie&lt;/author&gt;&lt;author&gt;Brandell, Daniel&lt;/author&gt;&lt;author&gt;Younesi, Reza&lt;/author&gt;&lt;/authors&gt;&lt;/contributors&gt;&lt;titles&gt;&lt;title&gt;Solubility of the Solid Electrolyte Interphase (SEI) in Sodium Ion Batteries&lt;/title&gt;&lt;secondary-title&gt;ACS Energy Letters&lt;/secondary-title&gt;&lt;/titles&gt;&lt;periodical&gt;&lt;full-title&gt;Acs Energy Letters&lt;/full-title&gt;&lt;abbr-1&gt;ACS Energy Lett.&lt;/abbr-1&gt;&lt;/periodical&gt;&lt;pages&gt;1173-1178&lt;/pages&gt;&lt;volume&gt;1&lt;/volume&gt;&lt;number&gt;6&lt;/number&gt;&lt;dates&gt;&lt;year&gt;2016&lt;/year&gt;&lt;pub-dates&gt;&lt;date&gt;2016/12/09&lt;/date&gt;&lt;/pub-dates&gt;&lt;/dates&gt;&lt;publisher&gt;American Chemical Society&lt;/publisher&gt;&lt;urls&gt;&lt;related-urls&gt;&lt;url&gt;http://dx.doi.org/10.1021/acsenergylett.6b00491&lt;/url&gt;&lt;/related-urls&gt;&lt;/urls&gt;&lt;electronic-resource-num&gt;10.1021/acsenergylett.6b00491&lt;/electronic-resource-num&gt;&lt;/record&gt;&lt;/Cite&gt;&lt;/EndNote&gt;</w:instrText>
      </w:r>
      <w:r w:rsidR="00B66122" w:rsidRPr="0092670C">
        <w:rPr>
          <w:rFonts w:ascii="Arial" w:hAnsi="Arial" w:cs="Arial"/>
        </w:rPr>
        <w:fldChar w:fldCharType="separate"/>
      </w:r>
      <w:r w:rsidR="0034337D">
        <w:rPr>
          <w:rFonts w:ascii="Arial" w:hAnsi="Arial" w:cs="Arial"/>
          <w:noProof/>
        </w:rPr>
        <w:t>[175]</w:t>
      </w:r>
      <w:r w:rsidR="00B66122" w:rsidRPr="0092670C">
        <w:rPr>
          <w:rFonts w:ascii="Arial" w:hAnsi="Arial" w:cs="Arial"/>
        </w:rPr>
        <w:fldChar w:fldCharType="end"/>
      </w:r>
      <w:r w:rsidRPr="0092670C">
        <w:rPr>
          <w:rFonts w:ascii="Arial" w:hAnsi="Arial" w:cs="Arial"/>
        </w:rPr>
        <w:t>.</w:t>
      </w:r>
      <w:r w:rsidR="005722BC" w:rsidRPr="0092670C">
        <w:rPr>
          <w:rFonts w:ascii="Arial" w:hAnsi="Arial" w:cs="Arial"/>
        </w:rPr>
        <w:t xml:space="preserve"> </w:t>
      </w:r>
    </w:p>
    <w:p w14:paraId="0BC7000C" w14:textId="0A8EF8B0" w:rsidR="009E3391" w:rsidRPr="0092670C" w:rsidRDefault="0067644A" w:rsidP="00373CB1">
      <w:pPr>
        <w:keepNext/>
        <w:spacing w:line="360" w:lineRule="auto"/>
        <w:rPr>
          <w:rFonts w:ascii="Arial" w:hAnsi="Arial" w:cs="Arial"/>
        </w:rPr>
      </w:pPr>
      <w:r>
        <w:rPr>
          <w:rFonts w:ascii="Arial" w:hAnsi="Arial" w:cs="Arial"/>
          <w:noProof/>
        </w:rPr>
      </w:r>
      <w:r w:rsidR="0067644A">
        <w:rPr>
          <w:rFonts w:ascii="Arial" w:hAnsi="Arial" w:cs="Arial"/>
          <w:noProof/>
        </w:rPr>
        <w:pict w14:anchorId="4EBAA423">
          <v:shape id="_x0000_s1647" type="#_x0000_t75" style="position:absolute;margin-left:56.4pt;margin-top:0;width:311.9pt;height:240.05pt;z-index:251691008">
            <v:imagedata r:id="rId286" o:title=""/>
            <w10:wrap type="square" side="right"/>
          </v:shape>
        </w:pict>
      </w:r>
      <w:r w:rsidR="00373CB1">
        <w:rPr>
          <w:rFonts w:ascii="Arial" w:hAnsi="Arial" w:cs="Arial"/>
        </w:rPr>
        <w:br w:type="textWrapping" w:clear="all"/>
      </w:r>
    </w:p>
    <w:p w14:paraId="6C59726C" w14:textId="414FC6D1" w:rsidR="009E3391" w:rsidRPr="0092670C" w:rsidRDefault="009E3391" w:rsidP="009E3391">
      <w:pPr>
        <w:spacing w:after="200" w:line="360" w:lineRule="auto"/>
        <w:jc w:val="center"/>
        <w:rPr>
          <w:rFonts w:ascii="Arial" w:hAnsi="Arial" w:cs="Arial"/>
          <w:i/>
          <w:iCs/>
          <w:color w:val="44546A" w:themeColor="text2"/>
          <w:sz w:val="20"/>
          <w:szCs w:val="20"/>
        </w:rPr>
      </w:pPr>
      <w:bookmarkStart w:id="308" w:name="_Ref30853965"/>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8</w:t>
      </w:r>
      <w:r w:rsidR="00356A26">
        <w:rPr>
          <w:rFonts w:ascii="Arial" w:hAnsi="Arial" w:cs="Arial"/>
          <w:i/>
          <w:iCs/>
          <w:color w:val="44546A" w:themeColor="text2"/>
          <w:sz w:val="20"/>
          <w:szCs w:val="20"/>
        </w:rPr>
        <w:fldChar w:fldCharType="end"/>
      </w:r>
      <w:bookmarkEnd w:id="308"/>
      <w:r w:rsidRPr="0092670C">
        <w:rPr>
          <w:rFonts w:ascii="Arial" w:hAnsi="Arial" w:cs="Arial"/>
          <w:i/>
          <w:iCs/>
          <w:color w:val="44546A" w:themeColor="text2"/>
          <w:sz w:val="20"/>
          <w:szCs w:val="20"/>
        </w:rPr>
        <w:t>: Effect of rest time on capacity loss for a Na-HC half-cell</w:t>
      </w:r>
      <w:r w:rsidR="009C4B84" w:rsidRPr="0092670C">
        <w:rPr>
          <w:rFonts w:ascii="Arial" w:hAnsi="Arial" w:cs="Arial"/>
          <w:i/>
          <w:iCs/>
          <w:color w:val="44546A" w:themeColor="text2"/>
          <w:sz w:val="20"/>
          <w:szCs w:val="20"/>
        </w:rPr>
        <w:t>.</w:t>
      </w:r>
    </w:p>
    <w:p w14:paraId="3E877D90" w14:textId="774740AB" w:rsidR="009E3391" w:rsidRPr="0092670C" w:rsidRDefault="009E3391" w:rsidP="009E3391">
      <w:pPr>
        <w:spacing w:line="360" w:lineRule="auto"/>
        <w:jc w:val="both"/>
        <w:rPr>
          <w:rFonts w:ascii="Arial" w:hAnsi="Arial" w:cs="Arial"/>
        </w:rPr>
      </w:pPr>
      <w:r w:rsidRPr="0092670C">
        <w:rPr>
          <w:rFonts w:ascii="Arial" w:hAnsi="Arial" w:cs="Arial"/>
        </w:rPr>
        <w:t>With the pre-lithiated cells there was a steady increase in cell capacity for the first 10 cycles</w:t>
      </w:r>
      <w:r w:rsidR="00737340" w:rsidRPr="0092670C">
        <w:rPr>
          <w:rFonts w:ascii="Arial" w:hAnsi="Arial" w:cs="Arial"/>
        </w:rPr>
        <w:t xml:space="preserve"> shown in </w:t>
      </w:r>
      <w:r w:rsidR="00737340" w:rsidRPr="0092670C">
        <w:rPr>
          <w:rFonts w:ascii="Arial" w:hAnsi="Arial" w:cs="Arial"/>
        </w:rPr>
        <w:fldChar w:fldCharType="begin"/>
      </w:r>
      <w:r w:rsidR="00737340" w:rsidRPr="0092670C">
        <w:rPr>
          <w:rFonts w:ascii="Arial" w:hAnsi="Arial" w:cs="Arial"/>
        </w:rPr>
        <w:instrText xml:space="preserve"> REF _Ref30854296 \h </w:instrText>
      </w:r>
      <w:r w:rsidR="00344400" w:rsidRPr="0092670C">
        <w:rPr>
          <w:rFonts w:ascii="Arial" w:hAnsi="Arial" w:cs="Arial"/>
        </w:rPr>
        <w:instrText xml:space="preserve"> \* MERGEFORMAT </w:instrText>
      </w:r>
      <w:r w:rsidR="00737340" w:rsidRPr="0092670C">
        <w:rPr>
          <w:rFonts w:ascii="Arial" w:hAnsi="Arial" w:cs="Arial"/>
        </w:rPr>
      </w:r>
      <w:r w:rsidR="00737340"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6</w:t>
      </w:r>
      <w:r w:rsidR="007342C8" w:rsidRPr="007342C8">
        <w:rPr>
          <w:rFonts w:ascii="Arial" w:hAnsi="Arial" w:cs="Arial"/>
          <w:noProof/>
        </w:rPr>
        <w:noBreakHyphen/>
        <w:t>10</w:t>
      </w:r>
      <w:r w:rsidR="00737340" w:rsidRPr="0092670C">
        <w:rPr>
          <w:rFonts w:ascii="Arial" w:hAnsi="Arial" w:cs="Arial"/>
        </w:rPr>
        <w:fldChar w:fldCharType="end"/>
      </w:r>
      <w:r w:rsidR="00737340" w:rsidRPr="0092670C">
        <w:rPr>
          <w:rFonts w:ascii="Arial" w:hAnsi="Arial" w:cs="Arial"/>
        </w:rPr>
        <w:t xml:space="preserve"> wi</w:t>
      </w:r>
      <w:r w:rsidR="00344400" w:rsidRPr="0092670C">
        <w:rPr>
          <w:rFonts w:ascii="Arial" w:hAnsi="Arial" w:cs="Arial"/>
        </w:rPr>
        <w:t>th the reference cell for comparison</w:t>
      </w:r>
      <w:r w:rsidRPr="0092670C">
        <w:rPr>
          <w:rFonts w:ascii="Arial" w:hAnsi="Arial" w:cs="Arial"/>
        </w:rPr>
        <w:t>. This increase has also been seen in pre-sodiated cells although the reason for th</w:t>
      </w:r>
      <w:r w:rsidR="003F4F82">
        <w:rPr>
          <w:rFonts w:ascii="Arial" w:hAnsi="Arial" w:cs="Arial"/>
        </w:rPr>
        <w:t>ese</w:t>
      </w:r>
      <w:r w:rsidRPr="0092670C">
        <w:rPr>
          <w:rFonts w:ascii="Arial" w:hAnsi="Arial" w:cs="Arial"/>
        </w:rPr>
        <w:t xml:space="preserve"> phenomena wasn’t addressed directly in the paper</w:t>
      </w:r>
      <w:r w:rsidR="00754D77"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&lt;EndNote&gt;&lt;Cite&gt;&lt;Author&gt;Ma&lt;/Author&gt;&lt;Year&gt;2018&lt;/Year&gt;&lt;RecNum&gt;332&lt;/RecNum&gt;&lt;DisplayText&gt;[246]&lt;/DisplayText&gt;&lt;record&gt;&lt;rec-number&gt;332&lt;/rec-number&gt;&lt;foreign-keys&gt;&lt;key app="EN" db-id="5sa9s0e0r0d9fnexra7pr5xdwd5ztevx95s2" timestamp="1562587195"&gt;332&lt;/key&gt;&lt;/foreign-keys&gt;&lt;ref-type name="Journal Article"&gt;17&lt;/ref-type&gt;&lt;contributors&gt;&lt;authors&gt;&lt;author&gt;Ma, Ruifang&lt;/author&gt;&lt;author&gt;Fan, Ling&lt;/author&gt;&lt;author&gt;Chen, Suhua&lt;/author&gt;&lt;author&gt;Wei, Zengxi&lt;/author&gt;&lt;author&gt;Yang, Yuhua&lt;/author&gt;&lt;author&gt;Yang, Hongguan&lt;/author&gt;&lt;author&gt;Qin, Yong&lt;/author&gt;&lt;author&gt;Lu, Bingan&lt;/author&gt;&lt;/authors&gt;&lt;/contributors&gt;&lt;titles&gt;&lt;title&gt;Offset Initial Sodium Loss To Improve Coulombic Efficiency and Stability of Sodium Dual-Ion Batteries&lt;/title&gt;&lt;secondary-title&gt;ACS Applied Materials &amp;amp; Interfaces&lt;/secondary-title&gt;&lt;/titles&gt;&lt;periodical&gt;&lt;full-title&gt;ACS Applied Materials &amp;amp; Interfaces&lt;/full-title&gt;&lt;/periodical&gt;&lt;pages&gt;15751-15759&lt;/pages&gt;&lt;volume&gt;10&lt;/volume&gt;&lt;number&gt;18&lt;/number&gt;&lt;dates&gt;&lt;year&gt;2018&lt;/year&gt;&lt;pub-dates&gt;&lt;date&gt;2018/05/09&lt;/date&gt;&lt;/pub-dates&gt;&lt;/dates&gt;&lt;publisher&gt;American Chemical Society&lt;/publisher&gt;&lt;isbn&gt;1944-8244&lt;/isbn&gt;&lt;urls&gt;&lt;related-urls&gt;&lt;url&gt;https://doi.org/10.1021/acsami.8b03648&lt;/url&gt;&lt;/related-urls&gt;&lt;/urls&gt;&lt;electronic-resource-num&gt;10.1021/acsami.8b03648&lt;/electronic-resource-num&gt;&lt;/record&gt;&lt;/Cite&gt;&lt;/EndNote&gt;</w:instrText>
      </w:r>
      <w:r w:rsidRPr="0092670C">
        <w:rPr>
          <w:rFonts w:ascii="Arial" w:hAnsi="Arial" w:cs="Arial"/>
        </w:rPr>
        <w:fldChar w:fldCharType="separate"/>
      </w:r>
      <w:r w:rsidR="0034337D">
        <w:rPr>
          <w:rFonts w:ascii="Arial" w:hAnsi="Arial" w:cs="Arial"/>
          <w:noProof/>
        </w:rPr>
        <w:t>[246]</w:t>
      </w:r>
      <w:r w:rsidRPr="0092670C">
        <w:rPr>
          <w:rFonts w:ascii="Arial" w:hAnsi="Arial" w:cs="Arial"/>
        </w:rPr>
        <w:fldChar w:fldCharType="end"/>
      </w:r>
      <w:r w:rsidRPr="0092670C">
        <w:rPr>
          <w:rFonts w:ascii="Arial" w:hAnsi="Arial" w:cs="Arial"/>
        </w:rPr>
        <w:t xml:space="preserve">. There is reduction in capacity after being rested in a similar manner to the reference cell. This decrease was decoupled from the rest time though. This suggests that in the pre-lithiated cells SEI dissolution doesn’t have as large of an effect on capacity, most likely due to the lower solubility of the Li-based SEI. </w:t>
      </w:r>
    </w:p>
    <w:p w14:paraId="6EE8DF8A" w14:textId="17AD86A4"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117D1E51">
          <v:shape id="_x0000_i1139" type="#_x0000_t75" style="width:306pt;height:234pt" o:ole="">
            <v:imagedata r:id="rId287" o:title=""/>
          </v:shape>
          <o:OLEObject Type="Embed" ProgID="Origin95.Graph" ShapeID="_x0000_i1139" DrawAspect="Content" ObjectID="_1700734028" r:id="rId288"/>
        </w:object>
      </w:r>
    </w:p>
    <w:p w14:paraId="76D4B65A" w14:textId="1A77C52D" w:rsidR="009E3391" w:rsidRPr="0092670C" w:rsidRDefault="009E3391" w:rsidP="009E3391">
      <w:pPr>
        <w:spacing w:after="200" w:line="360" w:lineRule="auto"/>
        <w:jc w:val="center"/>
        <w:rPr>
          <w:rFonts w:ascii="Arial" w:hAnsi="Arial" w:cs="Arial"/>
          <w:i/>
          <w:iCs/>
          <w:color w:val="44546A" w:themeColor="text2"/>
          <w:sz w:val="20"/>
          <w:szCs w:val="20"/>
        </w:rPr>
      </w:pPr>
      <w:bookmarkStart w:id="309" w:name="_Ref30854296"/>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9</w:t>
      </w:r>
      <w:r w:rsidR="00356A26">
        <w:rPr>
          <w:rFonts w:ascii="Arial" w:hAnsi="Arial" w:cs="Arial"/>
          <w:i/>
          <w:iCs/>
          <w:color w:val="44546A" w:themeColor="text2"/>
          <w:sz w:val="20"/>
          <w:szCs w:val="20"/>
        </w:rPr>
        <w:fldChar w:fldCharType="end"/>
      </w:r>
      <w:bookmarkEnd w:id="309"/>
      <w:r w:rsidRPr="0092670C">
        <w:rPr>
          <w:rFonts w:ascii="Arial" w:hAnsi="Arial" w:cs="Arial"/>
          <w:i/>
          <w:iCs/>
          <w:color w:val="44546A" w:themeColor="text2"/>
          <w:sz w:val="20"/>
          <w:szCs w:val="20"/>
        </w:rPr>
        <w:t>: A charge capacity Vs. cycle number plot with the increase in capacity after resting being visible</w:t>
      </w:r>
      <w:r w:rsidR="009C4B84" w:rsidRPr="0092670C">
        <w:rPr>
          <w:rFonts w:ascii="Arial" w:hAnsi="Arial" w:cs="Arial"/>
          <w:i/>
          <w:iCs/>
          <w:color w:val="44546A" w:themeColor="text2"/>
          <w:sz w:val="20"/>
          <w:szCs w:val="20"/>
        </w:rPr>
        <w:t>.</w:t>
      </w:r>
    </w:p>
    <w:p w14:paraId="59649966" w14:textId="2D1D2FD4" w:rsidR="009E3391" w:rsidRPr="0092670C" w:rsidRDefault="009E3391" w:rsidP="009E3391">
      <w:pPr>
        <w:spacing w:line="360" w:lineRule="auto"/>
        <w:jc w:val="both"/>
        <w:rPr>
          <w:rFonts w:ascii="Arial" w:hAnsi="Arial" w:cs="Arial"/>
        </w:rPr>
      </w:pPr>
      <w:r w:rsidRPr="0092670C">
        <w:rPr>
          <w:rFonts w:ascii="Arial" w:hAnsi="Arial" w:cs="Arial"/>
        </w:rPr>
        <w:t>After the initial decrease in performance seen there was an immediate increase in capacity exceeding the capacity of the cell preceding the rest step. With each additional rest step however, this increase in capacity reduced</w:t>
      </w:r>
      <w:r w:rsidR="00956B5A" w:rsidRPr="0092670C">
        <w:rPr>
          <w:rFonts w:ascii="Arial" w:hAnsi="Arial" w:cs="Arial"/>
        </w:rPr>
        <w:t xml:space="preserve"> but it did not reach </w:t>
      </w:r>
      <w:r w:rsidR="00B15C46" w:rsidRPr="0092670C">
        <w:rPr>
          <w:rFonts w:ascii="Arial" w:hAnsi="Arial" w:cs="Arial"/>
        </w:rPr>
        <w:t xml:space="preserve">0 during </w:t>
      </w:r>
      <w:r w:rsidR="002A61D7" w:rsidRPr="0092670C">
        <w:rPr>
          <w:rFonts w:ascii="Arial" w:hAnsi="Arial" w:cs="Arial"/>
        </w:rPr>
        <w:t>the length of the experiment</w:t>
      </w:r>
      <w:r w:rsidRPr="0092670C">
        <w:rPr>
          <w:rFonts w:ascii="Arial" w:hAnsi="Arial" w:cs="Arial"/>
        </w:rPr>
        <w:t xml:space="preserve">. This exponential decay suggests that the dissolution process is removing less SEI each time, possibly due to lower residual SEI as it becomes dominated by the underlying insoluble Li-based SEI. </w:t>
      </w:r>
    </w:p>
    <w:p w14:paraId="035DBDE4" w14:textId="65027B7A" w:rsidR="009E3391" w:rsidRPr="0092670C" w:rsidRDefault="009E3391" w:rsidP="009E3391">
      <w:pPr>
        <w:spacing w:line="360" w:lineRule="auto"/>
        <w:jc w:val="both"/>
        <w:rPr>
          <w:rFonts w:ascii="Arial" w:hAnsi="Arial" w:cs="Arial"/>
        </w:rPr>
      </w:pPr>
      <w:r w:rsidRPr="0092670C">
        <w:rPr>
          <w:rFonts w:ascii="Arial" w:hAnsi="Arial" w:cs="Arial"/>
        </w:rPr>
        <w:t xml:space="preserve">The capacity increase is </w:t>
      </w:r>
      <w:r w:rsidR="002A61D7" w:rsidRPr="0092670C">
        <w:rPr>
          <w:rFonts w:ascii="Arial" w:hAnsi="Arial" w:cs="Arial"/>
        </w:rPr>
        <w:t>dependent</w:t>
      </w:r>
      <w:r w:rsidRPr="0092670C">
        <w:rPr>
          <w:rFonts w:ascii="Arial" w:hAnsi="Arial" w:cs="Arial"/>
        </w:rPr>
        <w:t xml:space="preserve"> upon the pre-lithiation time of the cell. The cell that is pre-lithiated for 20 minutes shows a much lower increase in capacity than the cell only pre-lithiated for 10 minutes. The values start to converge as the rest steps increase, although the increase is trending towards zero. The smaller increases are most likely due to the thicker Li-based SEI that is difficult to dissolve, reducing Na conduction pathways. As the 10 minute cell has an SEI </w:t>
      </w:r>
      <w:r w:rsidR="00496FC6" w:rsidRPr="0092670C">
        <w:rPr>
          <w:rFonts w:ascii="Arial" w:hAnsi="Arial" w:cs="Arial"/>
        </w:rPr>
        <w:t>with a higher</w:t>
      </w:r>
      <w:r w:rsidRPr="0092670C">
        <w:rPr>
          <w:rFonts w:ascii="Arial" w:hAnsi="Arial" w:cs="Arial"/>
        </w:rPr>
        <w:t xml:space="preserve"> Na</w:t>
      </w:r>
      <w:r w:rsidR="00496FC6" w:rsidRPr="0092670C">
        <w:rPr>
          <w:rFonts w:ascii="Arial" w:hAnsi="Arial" w:cs="Arial"/>
        </w:rPr>
        <w:t xml:space="preserve"> content</w:t>
      </w:r>
      <w:r w:rsidRPr="0092670C">
        <w:rPr>
          <w:rFonts w:ascii="Arial" w:hAnsi="Arial" w:cs="Arial"/>
        </w:rPr>
        <w:t xml:space="preserve"> </w:t>
      </w:r>
      <w:r w:rsidR="00193A88" w:rsidRPr="0092670C">
        <w:rPr>
          <w:rFonts w:ascii="Arial" w:hAnsi="Arial" w:cs="Arial"/>
        </w:rPr>
        <w:t>the ne</w:t>
      </w:r>
      <w:r w:rsidR="005825F2" w:rsidRPr="0092670C">
        <w:rPr>
          <w:rFonts w:ascii="Arial" w:hAnsi="Arial" w:cs="Arial"/>
        </w:rPr>
        <w:t xml:space="preserve">w Na salt growth can </w:t>
      </w:r>
      <w:r w:rsidRPr="0092670C">
        <w:rPr>
          <w:rFonts w:ascii="Arial" w:hAnsi="Arial" w:cs="Arial"/>
        </w:rPr>
        <w:t xml:space="preserve">more easily </w:t>
      </w:r>
      <w:r w:rsidR="005825F2" w:rsidRPr="0092670C">
        <w:rPr>
          <w:rFonts w:ascii="Arial" w:hAnsi="Arial" w:cs="Arial"/>
        </w:rPr>
        <w:t>provide</w:t>
      </w:r>
      <w:r w:rsidRPr="0092670C">
        <w:rPr>
          <w:rFonts w:ascii="Arial" w:hAnsi="Arial" w:cs="Arial"/>
        </w:rPr>
        <w:t xml:space="preserve"> extra </w:t>
      </w:r>
      <w:r w:rsidR="005825F2" w:rsidRPr="0092670C">
        <w:rPr>
          <w:rFonts w:ascii="Arial" w:hAnsi="Arial" w:cs="Arial"/>
        </w:rPr>
        <w:t>Na</w:t>
      </w:r>
      <w:r w:rsidRPr="0092670C">
        <w:rPr>
          <w:rFonts w:ascii="Arial" w:hAnsi="Arial" w:cs="Arial"/>
        </w:rPr>
        <w:t>-ion conduction pathways</w:t>
      </w:r>
      <w:r w:rsidR="005825F2" w:rsidRPr="0092670C">
        <w:rPr>
          <w:rFonts w:ascii="Arial" w:hAnsi="Arial" w:cs="Arial"/>
        </w:rPr>
        <w:t xml:space="preserve"> through the SEI</w:t>
      </w:r>
      <w:r w:rsidRPr="0092670C">
        <w:rPr>
          <w:rFonts w:ascii="Arial" w:hAnsi="Arial" w:cs="Arial"/>
        </w:rPr>
        <w:t xml:space="preserve">.  </w:t>
      </w:r>
    </w:p>
    <w:p w14:paraId="3E4A9385" w14:textId="4599E113"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0800D1BC">
          <v:shape id="_x0000_i1140" type="#_x0000_t75" style="width:342pt;height:263.9pt" o:ole="">
            <v:imagedata r:id="rId289" o:title=""/>
          </v:shape>
          <o:OLEObject Type="Embed" ProgID="Origin95.Graph" ShapeID="_x0000_i1140" DrawAspect="Content" ObjectID="_1700734029" r:id="rId290"/>
        </w:object>
      </w:r>
    </w:p>
    <w:p w14:paraId="4E0A17ED" w14:textId="6925DD2F" w:rsidR="009E3391" w:rsidRPr="0092670C" w:rsidRDefault="009E3391" w:rsidP="009E3391">
      <w:pPr>
        <w:spacing w:after="200" w:line="360" w:lineRule="auto"/>
        <w:jc w:val="center"/>
        <w:rPr>
          <w:rFonts w:ascii="Arial" w:hAnsi="Arial" w:cs="Arial"/>
          <w:i/>
          <w:iCs/>
          <w:color w:val="44546A" w:themeColor="text2"/>
          <w:sz w:val="20"/>
          <w:szCs w:val="20"/>
        </w:rPr>
      </w:pPr>
      <w:bookmarkStart w:id="310" w:name="_Ref30853504"/>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10</w:t>
      </w:r>
      <w:r w:rsidR="00356A26">
        <w:rPr>
          <w:rFonts w:ascii="Arial" w:hAnsi="Arial" w:cs="Arial"/>
          <w:i/>
          <w:iCs/>
          <w:color w:val="44546A" w:themeColor="text2"/>
          <w:sz w:val="20"/>
          <w:szCs w:val="20"/>
        </w:rPr>
        <w:fldChar w:fldCharType="end"/>
      </w:r>
      <w:bookmarkEnd w:id="310"/>
      <w:r w:rsidRPr="0092670C">
        <w:rPr>
          <w:rFonts w:ascii="Arial" w:hAnsi="Arial" w:cs="Arial"/>
          <w:i/>
          <w:iCs/>
          <w:color w:val="44546A" w:themeColor="text2"/>
          <w:sz w:val="20"/>
          <w:szCs w:val="20"/>
        </w:rPr>
        <w:t xml:space="preserve">: </w:t>
      </w:r>
      <w:r w:rsidR="009C4B84" w:rsidRPr="0092670C">
        <w:rPr>
          <w:rFonts w:ascii="Arial" w:hAnsi="Arial" w:cs="Arial"/>
          <w:i/>
          <w:iCs/>
          <w:color w:val="44546A" w:themeColor="text2"/>
          <w:sz w:val="20"/>
          <w:szCs w:val="20"/>
        </w:rPr>
        <w:t>G</w:t>
      </w:r>
      <w:r w:rsidRPr="0092670C">
        <w:rPr>
          <w:rFonts w:ascii="Arial" w:hAnsi="Arial" w:cs="Arial"/>
          <w:i/>
          <w:iCs/>
          <w:color w:val="44546A" w:themeColor="text2"/>
          <w:sz w:val="20"/>
          <w:szCs w:val="20"/>
        </w:rPr>
        <w:t>raph showing that the capacity increase bears no relation to the rest time</w:t>
      </w:r>
      <w:r w:rsidR="009C4B84" w:rsidRPr="0092670C">
        <w:rPr>
          <w:rFonts w:ascii="Arial" w:hAnsi="Arial" w:cs="Arial"/>
          <w:i/>
          <w:iCs/>
          <w:color w:val="44546A" w:themeColor="text2"/>
          <w:sz w:val="20"/>
          <w:szCs w:val="20"/>
        </w:rPr>
        <w:t>.</w:t>
      </w:r>
    </w:p>
    <w:p w14:paraId="7444CB4B" w14:textId="667BEFC0" w:rsidR="009E3391" w:rsidRPr="0092670C" w:rsidRDefault="0041210B" w:rsidP="009E3391">
      <w:pPr>
        <w:spacing w:line="360" w:lineRule="auto"/>
        <w:jc w:val="both"/>
        <w:rPr>
          <w:rFonts w:ascii="Arial" w:hAnsi="Arial" w:cs="Arial"/>
        </w:rPr>
      </w:pPr>
      <w:r w:rsidRPr="0092670C">
        <w:rPr>
          <w:rFonts w:ascii="Arial" w:hAnsi="Arial" w:cs="Arial"/>
        </w:rPr>
        <w:t xml:space="preserve">In </w:t>
      </w:r>
      <w:r w:rsidRPr="0092670C">
        <w:rPr>
          <w:rFonts w:ascii="Arial" w:hAnsi="Arial" w:cs="Arial"/>
        </w:rPr>
        <w:fldChar w:fldCharType="begin"/>
      </w:r>
      <w:r w:rsidRPr="0092670C">
        <w:rPr>
          <w:rFonts w:ascii="Arial" w:hAnsi="Arial" w:cs="Arial"/>
        </w:rPr>
        <w:instrText xml:space="preserve"> REF _Ref30853504 \h  \* MERGEFORMAT </w:instrText>
      </w:r>
      <w:r w:rsidRPr="0092670C">
        <w:rPr>
          <w:rFonts w:ascii="Arial" w:hAnsi="Arial" w:cs="Arial"/>
        </w:rPr>
      </w:r>
      <w:r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6</w:t>
      </w:r>
      <w:r w:rsidR="007342C8" w:rsidRPr="007342C8">
        <w:rPr>
          <w:rFonts w:ascii="Arial" w:hAnsi="Arial" w:cs="Arial"/>
          <w:noProof/>
        </w:rPr>
        <w:noBreakHyphen/>
        <w:t>11</w:t>
      </w:r>
      <w:r w:rsidRPr="0092670C">
        <w:rPr>
          <w:rFonts w:ascii="Arial" w:hAnsi="Arial" w:cs="Arial"/>
        </w:rPr>
        <w:fldChar w:fldCharType="end"/>
      </w:r>
      <w:r w:rsidRPr="0092670C">
        <w:rPr>
          <w:rFonts w:ascii="Arial" w:hAnsi="Arial" w:cs="Arial"/>
        </w:rPr>
        <w:t xml:space="preserve"> it can be seen that the</w:t>
      </w:r>
      <w:r w:rsidR="009E3391" w:rsidRPr="0092670C">
        <w:rPr>
          <w:rFonts w:ascii="Arial" w:hAnsi="Arial" w:cs="Arial"/>
        </w:rPr>
        <w:t xml:space="preserve"> </w:t>
      </w:r>
      <w:r w:rsidRPr="0092670C">
        <w:rPr>
          <w:rFonts w:ascii="Arial" w:hAnsi="Arial" w:cs="Arial"/>
        </w:rPr>
        <w:t>c</w:t>
      </w:r>
      <w:r w:rsidR="009E3391" w:rsidRPr="0092670C">
        <w:rPr>
          <w:rFonts w:ascii="Arial" w:hAnsi="Arial" w:cs="Arial"/>
        </w:rPr>
        <w:t>apacity increase of the pre-lithiated cells decreases for each subsequent rest step, regardless of the length of the rest step. This suggests that the process takes place in less than 25</w:t>
      </w:r>
      <w:r w:rsidR="008D7785">
        <w:rPr>
          <w:rFonts w:ascii="Arial" w:hAnsi="Arial" w:cs="Arial"/>
        </w:rPr>
        <w:t xml:space="preserve"> hours</w:t>
      </w:r>
      <w:r w:rsidR="009E3391" w:rsidRPr="0092670C">
        <w:rPr>
          <w:rFonts w:ascii="Arial" w:hAnsi="Arial" w:cs="Arial"/>
        </w:rPr>
        <w:t xml:space="preserve"> (the shortest rest step). As Li based SEIs don’t dissolve in the electrolyte to the same extent as Na-based ones then there must be another reason for the change.</w:t>
      </w:r>
      <w:r w:rsidR="009F560A" w:rsidRPr="0092670C">
        <w:rPr>
          <w:rFonts w:ascii="Arial" w:hAnsi="Arial" w:cs="Arial"/>
        </w:rPr>
        <w:t xml:space="preserve">  </w:t>
      </w:r>
    </w:p>
    <w:p w14:paraId="0E37E12E" w14:textId="77777777"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227AD7A4">
          <v:shape id="_x0000_i1141" type="#_x0000_t75" style="width:311.8pt;height:239.8pt" o:ole="">
            <v:imagedata r:id="rId291" o:title=""/>
          </v:shape>
          <o:OLEObject Type="Embed" ProgID="Origin95.Graph" ShapeID="_x0000_i1141" DrawAspect="Content" ObjectID="_1700734030" r:id="rId292"/>
        </w:object>
      </w:r>
    </w:p>
    <w:p w14:paraId="10C6489A" w14:textId="0AF5AD05" w:rsidR="009E3391" w:rsidRPr="0092670C" w:rsidRDefault="009E3391" w:rsidP="009E3391">
      <w:pPr>
        <w:spacing w:after="200" w:line="360" w:lineRule="auto"/>
        <w:jc w:val="center"/>
        <w:rPr>
          <w:rFonts w:ascii="Arial" w:hAnsi="Arial" w:cs="Arial"/>
          <w:i/>
          <w:iCs/>
          <w:color w:val="44546A" w:themeColor="text2"/>
          <w:sz w:val="20"/>
          <w:szCs w:val="20"/>
        </w:rPr>
      </w:pPr>
      <w:bookmarkStart w:id="311" w:name="_Ref30853165"/>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11</w:t>
      </w:r>
      <w:r w:rsidR="00356A26">
        <w:rPr>
          <w:rFonts w:ascii="Arial" w:hAnsi="Arial" w:cs="Arial"/>
          <w:i/>
          <w:iCs/>
          <w:color w:val="44546A" w:themeColor="text2"/>
          <w:sz w:val="20"/>
          <w:szCs w:val="20"/>
        </w:rPr>
        <w:fldChar w:fldCharType="end"/>
      </w:r>
      <w:bookmarkEnd w:id="311"/>
      <w:r w:rsidRPr="0092670C">
        <w:rPr>
          <w:rFonts w:ascii="Arial" w:hAnsi="Arial" w:cs="Arial"/>
          <w:i/>
          <w:iCs/>
          <w:color w:val="44546A" w:themeColor="text2"/>
          <w:sz w:val="20"/>
          <w:szCs w:val="20"/>
        </w:rPr>
        <w:t>: Nyquist plots of reference cells before and after rest steps</w:t>
      </w:r>
      <w:r w:rsidR="009C4B84" w:rsidRPr="0092670C">
        <w:rPr>
          <w:rFonts w:ascii="Arial" w:hAnsi="Arial" w:cs="Arial"/>
          <w:i/>
          <w:iCs/>
          <w:color w:val="44546A" w:themeColor="text2"/>
          <w:sz w:val="20"/>
          <w:szCs w:val="20"/>
        </w:rPr>
        <w:t>.</w:t>
      </w:r>
    </w:p>
    <w:p w14:paraId="21DBF9D7" w14:textId="501F1800" w:rsidR="009E3391" w:rsidRPr="0092670C" w:rsidRDefault="009E3391" w:rsidP="009E3391">
      <w:pPr>
        <w:spacing w:line="360" w:lineRule="auto"/>
        <w:jc w:val="both"/>
        <w:rPr>
          <w:rFonts w:ascii="Arial" w:hAnsi="Arial" w:cs="Arial"/>
        </w:rPr>
      </w:pPr>
      <w:r w:rsidRPr="0092670C">
        <w:rPr>
          <w:rFonts w:ascii="Arial" w:hAnsi="Arial" w:cs="Arial"/>
        </w:rPr>
        <w:t>With the reference cell</w:t>
      </w:r>
      <w:r w:rsidR="00F84254" w:rsidRPr="0092670C">
        <w:rPr>
          <w:rFonts w:ascii="Arial" w:hAnsi="Arial" w:cs="Arial"/>
        </w:rPr>
        <w:t xml:space="preserve"> (</w:t>
      </w:r>
      <w:r w:rsidR="00F84254" w:rsidRPr="0092670C">
        <w:rPr>
          <w:rFonts w:ascii="Arial" w:hAnsi="Arial" w:cs="Arial"/>
        </w:rPr>
        <w:fldChar w:fldCharType="begin"/>
      </w:r>
      <w:r w:rsidR="00F84254" w:rsidRPr="0092670C">
        <w:rPr>
          <w:rFonts w:ascii="Arial" w:hAnsi="Arial" w:cs="Arial"/>
        </w:rPr>
        <w:instrText xml:space="preserve"> REF _Ref30853165 \h  \* MERGEFORMAT </w:instrText>
      </w:r>
      <w:r w:rsidR="00F84254" w:rsidRPr="0092670C">
        <w:rPr>
          <w:rFonts w:ascii="Arial" w:hAnsi="Arial" w:cs="Arial"/>
        </w:rPr>
      </w:r>
      <w:r w:rsidR="00F84254"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6</w:t>
      </w:r>
      <w:r w:rsidR="007342C8" w:rsidRPr="007342C8">
        <w:rPr>
          <w:rFonts w:ascii="Arial" w:hAnsi="Arial" w:cs="Arial"/>
          <w:noProof/>
        </w:rPr>
        <w:noBreakHyphen/>
        <w:t>12</w:t>
      </w:r>
      <w:r w:rsidR="00F84254" w:rsidRPr="0092670C">
        <w:rPr>
          <w:rFonts w:ascii="Arial" w:hAnsi="Arial" w:cs="Arial"/>
        </w:rPr>
        <w:fldChar w:fldCharType="end"/>
      </w:r>
      <w:r w:rsidR="00F84254" w:rsidRPr="0092670C">
        <w:rPr>
          <w:rFonts w:ascii="Arial" w:hAnsi="Arial" w:cs="Arial"/>
        </w:rPr>
        <w:t>)</w:t>
      </w:r>
      <w:r w:rsidRPr="0092670C">
        <w:rPr>
          <w:rFonts w:ascii="Arial" w:hAnsi="Arial" w:cs="Arial"/>
        </w:rPr>
        <w:t xml:space="preserve"> the impedance decreases drastically when the cell is left to rest for 100</w:t>
      </w:r>
      <w:r w:rsidR="00A9416D">
        <w:rPr>
          <w:rFonts w:ascii="Arial" w:hAnsi="Arial" w:cs="Arial"/>
        </w:rPr>
        <w:t xml:space="preserve"> </w:t>
      </w:r>
      <w:r w:rsidRPr="0092670C">
        <w:rPr>
          <w:rFonts w:ascii="Arial" w:hAnsi="Arial" w:cs="Arial"/>
        </w:rPr>
        <w:t>hrs with smaller changes for smaller rest periods. This suggests that the longer rest periods result in the largest changes to the SEI with the smaller rest steps have a much more limited impact upon the cell. This conflicts with the capacity loss profile so the largest drop in SEI resistance coincides with the smallest capacity drop. This suggests that whilst the SEI may play a role in the decrease in capacity there are other factors involved. This may be affected by the Na counter electrode which is known to be less robust than an Li one</w:t>
      </w:r>
      <w:r w:rsidR="00754D77"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&lt;EndNote&gt;&lt;Cite&gt;&lt;Author&gt;Bommier&lt;/Author&gt;&lt;Year&gt;2016&lt;/Year&gt;&lt;RecNum&gt;345&lt;/RecNum&gt;&lt;DisplayText&gt;[247]&lt;/DisplayText&gt;&lt;record&gt;&lt;rec-number&gt;345&lt;/rec-number&gt;&lt;foreign-keys&gt;&lt;key app="EN" db-id="5sa9s0e0r0d9fnexra7pr5xdwd5ztevx95s2" timestamp="1563460581"&gt;345&lt;/key&gt;&lt;/foreign-keys&gt;&lt;ref-type name="Journal Article"&gt;17&lt;/ref-type&gt;&lt;contributors&gt;&lt;authors&gt;&lt;author&gt;Bommier, Clement&lt;/author&gt;&lt;author&gt;Leonard, Daniel&lt;/author&gt;&lt;author&gt;Jian, Zelang&lt;/author&gt;&lt;author&gt;Stickle, William F&lt;/author&gt;&lt;author&gt;Greaney, P Alex&lt;/author&gt;&lt;author&gt;Ji, Xiulei&lt;/author&gt;&lt;/authors&gt;&lt;/contributors&gt;&lt;titles&gt;&lt;title&gt;New Paradigms on the Nature of Solid Electrolyte Interphase Formation and Capacity Fading of Hard Carbon Anodes in Na</w:instrText>
      </w:r>
      <w:r w:rsidR="0034337D">
        <w:rPr>
          <w:rFonts w:ascii="Cambria Math" w:hAnsi="Cambria Math" w:cs="Cambria Math"/>
        </w:rPr>
        <w:instrText>‐</w:instrText>
      </w:r>
      <w:r w:rsidR="0034337D">
        <w:rPr>
          <w:rFonts w:ascii="Arial" w:hAnsi="Arial" w:cs="Arial"/>
        </w:rPr>
        <w:instrText>Ion Batteries&lt;/title&gt;&lt;secondary-title&gt;Advanced Materials Interfaces&lt;/secondary-title&gt;&lt;/titles&gt;&lt;periodical&gt;&lt;full-title&gt;Advanced Materials Interfaces&lt;/full-title&gt;&lt;/periodical&gt;&lt;pages&gt;1600449&lt;/pages&gt;&lt;volume&gt;3&lt;/volume&gt;&lt;number&gt;19&lt;/number&gt;&lt;dates&gt;&lt;year&gt;2016&lt;/year&gt;&lt;/dates&gt;&lt;isbn&gt;2196-7350&lt;/isbn&gt;&lt;urls&gt;&lt;/urls&gt;&lt;/record&gt;&lt;/Cite&gt;&lt;/EndNote&gt;</w:instrText>
      </w:r>
      <w:r w:rsidRPr="0092670C">
        <w:rPr>
          <w:rFonts w:ascii="Arial" w:hAnsi="Arial" w:cs="Arial"/>
        </w:rPr>
        <w:fldChar w:fldCharType="separate"/>
      </w:r>
      <w:r w:rsidR="0034337D">
        <w:rPr>
          <w:rFonts w:ascii="Arial" w:hAnsi="Arial" w:cs="Arial"/>
          <w:noProof/>
        </w:rPr>
        <w:t>[247]</w:t>
      </w:r>
      <w:r w:rsidRPr="0092670C">
        <w:rPr>
          <w:rFonts w:ascii="Arial" w:hAnsi="Arial" w:cs="Arial"/>
        </w:rPr>
        <w:fldChar w:fldCharType="end"/>
      </w:r>
      <w:r w:rsidRPr="0092670C">
        <w:rPr>
          <w:rFonts w:ascii="Arial" w:hAnsi="Arial" w:cs="Arial"/>
        </w:rPr>
        <w:t xml:space="preserve">. </w:t>
      </w:r>
    </w:p>
    <w:p w14:paraId="0F0C61EF" w14:textId="77777777" w:rsidR="009E3391" w:rsidRPr="0092670C" w:rsidRDefault="0067644A" w:rsidP="009E3391">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5DAF66D9">
          <v:shape id="_x0000_i1142" type="#_x0000_t75" style="width:311.8pt;height:239.8pt" o:ole="">
            <v:imagedata r:id="rId293" o:title=""/>
          </v:shape>
          <o:OLEObject Type="Embed" ProgID="Origin95.Graph" ShapeID="_x0000_i1142" DrawAspect="Content" ObjectID="_1700734031" r:id="rId294"/>
        </w:object>
      </w:r>
    </w:p>
    <w:p w14:paraId="6915C378" w14:textId="2BB925C5" w:rsidR="009E3391" w:rsidRPr="0092670C" w:rsidRDefault="009E3391" w:rsidP="009E3391">
      <w:pPr>
        <w:spacing w:after="200" w:line="360" w:lineRule="auto"/>
        <w:jc w:val="center"/>
        <w:rPr>
          <w:rFonts w:ascii="Arial" w:hAnsi="Arial" w:cs="Arial"/>
          <w:i/>
          <w:iCs/>
          <w:color w:val="44546A" w:themeColor="text2"/>
          <w:sz w:val="20"/>
          <w:szCs w:val="20"/>
        </w:rPr>
      </w:pPr>
      <w:bookmarkStart w:id="312" w:name="_Ref30852663"/>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287757">
        <w:rPr>
          <w:rFonts w:ascii="Arial" w:hAnsi="Arial" w:cs="Arial"/>
          <w:i/>
          <w:iCs/>
          <w:noProof/>
          <w:color w:val="44546A" w:themeColor="text2"/>
          <w:sz w:val="20"/>
          <w:szCs w:val="20"/>
        </w:rPr>
        <w:t>11</w:t>
      </w:r>
      <w:r w:rsidR="00356A26">
        <w:rPr>
          <w:rFonts w:ascii="Arial" w:hAnsi="Arial" w:cs="Arial"/>
          <w:i/>
          <w:iCs/>
          <w:color w:val="44546A" w:themeColor="text2"/>
          <w:sz w:val="20"/>
          <w:szCs w:val="20"/>
        </w:rPr>
        <w:fldChar w:fldCharType="end"/>
      </w:r>
      <w:bookmarkEnd w:id="312"/>
      <w:r w:rsidRPr="0092670C">
        <w:rPr>
          <w:rFonts w:ascii="Arial" w:hAnsi="Arial" w:cs="Arial"/>
          <w:i/>
          <w:iCs/>
          <w:color w:val="44546A" w:themeColor="text2"/>
          <w:sz w:val="20"/>
          <w:szCs w:val="20"/>
        </w:rPr>
        <w:t>: Nyquist plots of cell pre-lithiated for 10 minutes</w:t>
      </w:r>
      <w:r w:rsidR="009C4B84" w:rsidRPr="0092670C">
        <w:rPr>
          <w:rFonts w:ascii="Arial" w:hAnsi="Arial" w:cs="Arial"/>
          <w:i/>
          <w:iCs/>
          <w:color w:val="44546A" w:themeColor="text2"/>
          <w:sz w:val="20"/>
          <w:szCs w:val="20"/>
        </w:rPr>
        <w:t>.</w:t>
      </w:r>
    </w:p>
    <w:p w14:paraId="02F8D4E6" w14:textId="1F81A9AA" w:rsidR="009E3391" w:rsidRPr="0092670C" w:rsidRDefault="00F45C25" w:rsidP="009E3391">
      <w:pPr>
        <w:spacing w:line="360" w:lineRule="auto"/>
        <w:jc w:val="both"/>
        <w:rPr>
          <w:rFonts w:ascii="Arial" w:hAnsi="Arial" w:cs="Arial"/>
        </w:rPr>
      </w:pPr>
      <w:r w:rsidRPr="0092670C">
        <w:rPr>
          <w:rFonts w:ascii="Arial" w:hAnsi="Arial" w:cs="Arial"/>
        </w:rPr>
        <w:t xml:space="preserve">With the cell that has been pre-lithiated for 10 minutes the impedance profile is very different </w:t>
      </w:r>
      <w:r>
        <w:rPr>
          <w:rFonts w:ascii="Arial" w:hAnsi="Arial" w:cs="Arial"/>
        </w:rPr>
        <w:t>to the reference cell, with far higher initial resistances as</w:t>
      </w:r>
      <w:r w:rsidRPr="0092670C">
        <w:rPr>
          <w:rFonts w:ascii="Arial" w:hAnsi="Arial" w:cs="Arial"/>
        </w:rPr>
        <w:t xml:space="preserve"> can be seen in </w:t>
      </w:r>
      <w:r w:rsidRPr="0092670C">
        <w:rPr>
          <w:rFonts w:ascii="Arial" w:hAnsi="Arial" w:cs="Arial"/>
        </w:rPr>
        <w:fldChar w:fldCharType="begin"/>
      </w:r>
      <w:r w:rsidRPr="0092670C">
        <w:rPr>
          <w:rFonts w:ascii="Arial" w:hAnsi="Arial" w:cs="Arial"/>
        </w:rPr>
        <w:instrText xml:space="preserve"> REF _Ref30852663 \h  \* MERGEFORMAT </w:instrText>
      </w:r>
      <w:r w:rsidRPr="0092670C">
        <w:rPr>
          <w:rFonts w:ascii="Arial" w:hAnsi="Arial" w:cs="Arial"/>
        </w:rPr>
      </w:r>
      <w:r w:rsidRPr="0092670C">
        <w:rPr>
          <w:rFonts w:ascii="Arial" w:hAnsi="Arial" w:cs="Arial"/>
        </w:rPr>
        <w:fldChar w:fldCharType="separate"/>
      </w:r>
      <w:r w:rsidRPr="00287757">
        <w:rPr>
          <w:rFonts w:ascii="Arial" w:hAnsi="Arial" w:cs="Arial"/>
        </w:rPr>
        <w:t xml:space="preserve">Figure </w:t>
      </w:r>
      <w:r w:rsidRPr="00287757">
        <w:rPr>
          <w:rFonts w:ascii="Arial" w:hAnsi="Arial" w:cs="Arial"/>
          <w:noProof/>
        </w:rPr>
        <w:t>6</w:t>
      </w:r>
      <w:r w:rsidRPr="00287757">
        <w:rPr>
          <w:rFonts w:ascii="Arial" w:hAnsi="Arial" w:cs="Arial"/>
          <w:noProof/>
        </w:rPr>
        <w:noBreakHyphen/>
        <w:t>11</w:t>
      </w:r>
      <w:r w:rsidRPr="0092670C">
        <w:rPr>
          <w:rFonts w:ascii="Arial" w:hAnsi="Arial" w:cs="Arial"/>
        </w:rPr>
        <w:fldChar w:fldCharType="end"/>
      </w:r>
      <w:r w:rsidR="009E3391" w:rsidRPr="0092670C">
        <w:rPr>
          <w:rFonts w:ascii="Arial" w:hAnsi="Arial" w:cs="Arial"/>
        </w:rPr>
        <w:t xml:space="preserve">. For the initial Nyquist plot a second RC circuit is visible. The second RC starts to overlap with the first in the subsequent steps due to the fact that the initial EIS is taken at open circuit and the others are taken after discharge. The resistance of the SEI increases dramatically after the rest step. The initial small SEI can be attributed to the thin Li-based SEI and the large increase in impedance after this is due to the formation of Na-based SEI on top of the initial SEI. The Na-based SEI in the reference cell doesn’t have such high impedance values on its own so the combination of both types reduces Na-ion conduction pathways. </w:t>
      </w:r>
      <w:r w:rsidRPr="0092670C">
        <w:rPr>
          <w:rFonts w:ascii="Arial" w:hAnsi="Arial" w:cs="Arial"/>
        </w:rPr>
        <w:t>The rest steps cause the impedance of the</w:t>
      </w:r>
      <w:r>
        <w:rPr>
          <w:rFonts w:ascii="Arial" w:hAnsi="Arial" w:cs="Arial"/>
        </w:rPr>
        <w:t xml:space="preserve"> pre-lithiated electrode</w:t>
      </w:r>
      <w:r w:rsidRPr="0092670C">
        <w:rPr>
          <w:rFonts w:ascii="Arial" w:hAnsi="Arial" w:cs="Arial"/>
        </w:rPr>
        <w:t xml:space="preserve"> to decrease substantially in a similar manner to the reference cell.</w:t>
      </w:r>
    </w:p>
    <w:p w14:paraId="1F0C2A2A" w14:textId="6D203628" w:rsidR="009E3391" w:rsidRPr="0092670C" w:rsidRDefault="006C7316" w:rsidP="009E3391">
      <w:pPr>
        <w:keepNext/>
        <w:spacing w:line="360" w:lineRule="auto"/>
        <w:jc w:val="center"/>
        <w:rPr>
          <w:rFonts w:ascii="Arial" w:hAnsi="Arial" w:cs="Arial"/>
        </w:rPr>
      </w:pPr>
      <w:r w:rsidRPr="0092670C">
        <w:rPr>
          <w:rFonts w:ascii="Arial" w:hAnsi="Arial" w:cs="Arial"/>
          <w:noProof/>
        </w:rPr>
        <mc:AlternateContent>
          <mc:Choice Requires="wps">
            <w:drawing>
              <wp:anchor distT="0" distB="0" distL="114300" distR="114300" simplePos="0" relativeHeight="251658255" behindDoc="0" locked="0" layoutInCell="1" allowOverlap="1" wp14:anchorId="50825987" wp14:editId="103388B6">
                <wp:simplePos x="0" y="0"/>
                <wp:positionH relativeFrom="column">
                  <wp:posOffset>1348740</wp:posOffset>
                </wp:positionH>
                <wp:positionV relativeFrom="paragraph">
                  <wp:posOffset>2232025</wp:posOffset>
                </wp:positionV>
                <wp:extent cx="594360" cy="457200"/>
                <wp:effectExtent l="0" t="0" r="15240" b="19050"/>
                <wp:wrapNone/>
                <wp:docPr id="45" name="Rectangle 45"/>
                <wp:cNvGraphicFramePr/>
                <a:graphic xmlns:a="http://schemas.openxmlformats.org/drawingml/2006/main">
                  <a:graphicData uri="http://schemas.microsoft.com/office/word/2010/wordprocessingShape">
                    <wps:wsp>
                      <wps:cNvSpPr/>
                      <wps:spPr>
                        <a:xfrm>
                          <a:off x="0" y="0"/>
                          <a:ext cx="594360" cy="45720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5FE072" id="Rectangle 45" o:spid="_x0000_s1026" style="position:absolute;margin-left:106.2pt;margin-top:175.75pt;width:46.8pt;height:36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" filled="f" strokecolor="windowText" strokeweight="1pt">
                <v:stroke dashstyle="dash"/>
              </v:rect>
            </w:pict>
          </mc:Fallback>
        </mc:AlternateContent>
      </w:r>
      <w:r w:rsidR="009E3391" w:rsidRPr="0092670C">
        <w:rPr>
          <w:rFonts w:ascii="Arial" w:hAnsi="Arial" w:cs="Arial"/>
          <w:noProof/>
        </w:rPr>
        <mc:AlternateContent>
          <mc:Choice Requires="wps">
            <w:drawing>
              <wp:anchor distT="0" distB="0" distL="114300" distR="114300" simplePos="0" relativeHeight="251658256" behindDoc="0" locked="0" layoutInCell="1" allowOverlap="1" wp14:anchorId="19C4FD03" wp14:editId="48E71921">
                <wp:simplePos x="0" y="0"/>
                <wp:positionH relativeFrom="column">
                  <wp:posOffset>1733550</wp:posOffset>
                </wp:positionH>
                <wp:positionV relativeFrom="paragraph">
                  <wp:posOffset>2698750</wp:posOffset>
                </wp:positionV>
                <wp:extent cx="0" cy="723900"/>
                <wp:effectExtent l="7620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723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90E4BF5" id="Straight Arrow Connector 44" o:spid="_x0000_s1026" type="#_x0000_t32" style="position:absolute;margin-left:136.5pt;margin-top:212.5pt;width:0;height:57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" strokecolor="windowText" strokeweight=".5pt">
                <v:stroke endarrow="block" joinstyle="miter"/>
              </v:shape>
            </w:pict>
          </mc:Fallback>
        </mc:AlternateContent>
      </w:r>
      <w:r w:rsidR="0067644A" w:rsidRPr="0092670C">
        <w:rPr>
          <w:rFonts w:ascii="Arial" w:hAnsi="Arial" w:cs="Arial"/>
          <w:noProof/>
        </w:rPr>
      </w:r>
      <w:r w:rsidR="0067644A" w:rsidRPr="0092670C">
        <w:rPr>
          <w:rFonts w:ascii="Arial" w:hAnsi="Arial" w:cs="Arial"/>
          <w:noProof/>
        </w:rPr>
        <w:object w:dxaOrig="6163" w:dyaOrig="4723" w14:anchorId="2D097C7B">
          <v:shape id="_x0000_i1143" type="#_x0000_t75" style="width:311.8pt;height:239.8pt" o:ole="">
            <v:imagedata r:id="rId295" o:title=""/>
          </v:shape>
          <o:OLEObject Type="Embed" ProgID="Origin95.Graph" ShapeID="_x0000_i1143" DrawAspect="Content" ObjectID="_1700734032" r:id="rId296"/>
        </w:object>
      </w:r>
      <w:r w:rsidR="009E3391" w:rsidRPr="0092670C">
        <w:rPr>
          <w:rFonts w:ascii="Arial" w:hAnsi="Arial" w:cs="Arial"/>
        </w:rPr>
        <w:t xml:space="preserve"> </w:t>
      </w:r>
      <w:r w:rsidR="0067644A" w:rsidRPr="0092670C">
        <w:rPr>
          <w:rFonts w:ascii="Arial" w:hAnsi="Arial" w:cs="Arial"/>
          <w:noProof/>
        </w:rPr>
      </w:r>
      <w:r w:rsidR="0067644A" w:rsidRPr="0092670C">
        <w:rPr>
          <w:rFonts w:ascii="Arial" w:hAnsi="Arial" w:cs="Arial"/>
          <w:noProof/>
        </w:rPr>
        <w:object w:dxaOrig="6163" w:dyaOrig="4723" w14:anchorId="5FF958DE">
          <v:shape id="_x0000_i1144" type="#_x0000_t75" style="width:311.8pt;height:239.8pt" o:ole="">
            <v:imagedata r:id="rId297" o:title=""/>
          </v:shape>
          <o:OLEObject Type="Embed" ProgID="Origin95.Graph" ShapeID="_x0000_i1144" DrawAspect="Content" ObjectID="_1700734033" r:id="rId298"/>
        </w:object>
      </w:r>
    </w:p>
    <w:p w14:paraId="30BA3FFD" w14:textId="3E20A515" w:rsidR="009E3391" w:rsidRPr="0092670C" w:rsidRDefault="009E3391" w:rsidP="009E3391">
      <w:pPr>
        <w:spacing w:after="200" w:line="240" w:lineRule="auto"/>
        <w:jc w:val="center"/>
        <w:rPr>
          <w:rFonts w:ascii="Arial" w:hAnsi="Arial" w:cs="Arial"/>
          <w:i/>
          <w:iCs/>
          <w:color w:val="44546A" w:themeColor="text2"/>
          <w:sz w:val="20"/>
          <w:szCs w:val="20"/>
        </w:rPr>
      </w:pPr>
      <w:bookmarkStart w:id="313" w:name="_Ref30852249"/>
      <w:r w:rsidRPr="0092670C">
        <w:rPr>
          <w:rFonts w:ascii="Arial" w:hAnsi="Arial" w:cs="Arial"/>
          <w:i/>
          <w:iCs/>
          <w:color w:val="44546A" w:themeColor="text2"/>
          <w:sz w:val="20"/>
          <w:szCs w:val="20"/>
        </w:rPr>
        <w:t xml:space="preserve">Figure </w:t>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STYLEREF 1 \s </w:instrText>
      </w:r>
      <w:r w:rsidR="00356A26">
        <w:rPr>
          <w:rFonts w:ascii="Arial" w:hAnsi="Arial" w:cs="Arial"/>
          <w:i/>
          <w:iCs/>
          <w:color w:val="44546A" w:themeColor="text2"/>
          <w:sz w:val="20"/>
          <w:szCs w:val="20"/>
        </w:rPr>
        <w:fldChar w:fldCharType="separate"/>
      </w:r>
      <w:r w:rsidR="00356A26">
        <w:rPr>
          <w:rFonts w:ascii="Arial" w:hAnsi="Arial" w:cs="Arial"/>
          <w:i/>
          <w:iCs/>
          <w:noProof/>
          <w:color w:val="44546A" w:themeColor="text2"/>
          <w:sz w:val="20"/>
          <w:szCs w:val="20"/>
        </w:rPr>
        <w:t>6</w:t>
      </w:r>
      <w:r w:rsidR="00356A26">
        <w:rPr>
          <w:rFonts w:ascii="Arial" w:hAnsi="Arial" w:cs="Arial"/>
          <w:i/>
          <w:iCs/>
          <w:color w:val="44546A" w:themeColor="text2"/>
          <w:sz w:val="20"/>
          <w:szCs w:val="20"/>
        </w:rPr>
        <w:fldChar w:fldCharType="end"/>
      </w:r>
      <w:r w:rsidR="00356A26">
        <w:rPr>
          <w:rFonts w:ascii="Arial" w:hAnsi="Arial" w:cs="Arial"/>
          <w:i/>
          <w:iCs/>
          <w:color w:val="44546A" w:themeColor="text2"/>
          <w:sz w:val="20"/>
          <w:szCs w:val="20"/>
        </w:rPr>
        <w:noBreakHyphen/>
      </w:r>
      <w:r w:rsidR="00356A26">
        <w:rPr>
          <w:rFonts w:ascii="Arial" w:hAnsi="Arial" w:cs="Arial"/>
          <w:i/>
          <w:iCs/>
          <w:color w:val="44546A" w:themeColor="text2"/>
          <w:sz w:val="20"/>
          <w:szCs w:val="20"/>
        </w:rPr>
        <w:fldChar w:fldCharType="begin"/>
      </w:r>
      <w:r w:rsidR="00356A26">
        <w:rPr>
          <w:rFonts w:ascii="Arial" w:hAnsi="Arial" w:cs="Arial"/>
          <w:i/>
          <w:iCs/>
          <w:color w:val="44546A" w:themeColor="text2"/>
          <w:sz w:val="20"/>
          <w:szCs w:val="20"/>
        </w:rPr>
        <w:instrText xml:space="preserve"> SEQ Figure \* ARABIC \s 1 </w:instrText>
      </w:r>
      <w:r w:rsidR="00356A26">
        <w:rPr>
          <w:rFonts w:ascii="Arial" w:hAnsi="Arial" w:cs="Arial"/>
          <w:i/>
          <w:iCs/>
          <w:color w:val="44546A" w:themeColor="text2"/>
          <w:sz w:val="20"/>
          <w:szCs w:val="20"/>
        </w:rPr>
        <w:fldChar w:fldCharType="separate"/>
      </w:r>
      <w:r w:rsidR="00287757">
        <w:rPr>
          <w:rFonts w:ascii="Arial" w:hAnsi="Arial" w:cs="Arial"/>
          <w:i/>
          <w:iCs/>
          <w:noProof/>
          <w:color w:val="44546A" w:themeColor="text2"/>
          <w:sz w:val="20"/>
          <w:szCs w:val="20"/>
        </w:rPr>
        <w:t>12</w:t>
      </w:r>
      <w:r w:rsidR="00356A26">
        <w:rPr>
          <w:rFonts w:ascii="Arial" w:hAnsi="Arial" w:cs="Arial"/>
          <w:i/>
          <w:iCs/>
          <w:color w:val="44546A" w:themeColor="text2"/>
          <w:sz w:val="20"/>
          <w:szCs w:val="20"/>
        </w:rPr>
        <w:fldChar w:fldCharType="end"/>
      </w:r>
      <w:bookmarkEnd w:id="313"/>
      <w:r w:rsidRPr="0092670C">
        <w:rPr>
          <w:rFonts w:ascii="Arial" w:hAnsi="Arial" w:cs="Arial"/>
          <w:i/>
          <w:iCs/>
          <w:color w:val="44546A" w:themeColor="text2"/>
          <w:sz w:val="20"/>
          <w:szCs w:val="20"/>
        </w:rPr>
        <w:t>: Nyquist plots of cell pre-lithiated for 20 minutes</w:t>
      </w:r>
      <w:r w:rsidR="009C4B84" w:rsidRPr="0092670C">
        <w:rPr>
          <w:rFonts w:ascii="Arial" w:hAnsi="Arial" w:cs="Arial"/>
          <w:i/>
          <w:iCs/>
          <w:color w:val="44546A" w:themeColor="text2"/>
          <w:sz w:val="20"/>
          <w:szCs w:val="20"/>
        </w:rPr>
        <w:t>.</w:t>
      </w:r>
    </w:p>
    <w:p w14:paraId="74359643" w14:textId="2AC1A035" w:rsidR="009E3391" w:rsidRPr="0092670C" w:rsidRDefault="009E3391" w:rsidP="009E3391">
      <w:pPr>
        <w:spacing w:line="360" w:lineRule="auto"/>
        <w:jc w:val="both"/>
        <w:rPr>
          <w:rFonts w:ascii="Arial" w:hAnsi="Arial" w:cs="Arial"/>
        </w:rPr>
      </w:pPr>
      <w:r w:rsidRPr="0092670C">
        <w:rPr>
          <w:rFonts w:ascii="Arial" w:hAnsi="Arial" w:cs="Arial"/>
        </w:rPr>
        <w:t xml:space="preserve">The </w:t>
      </w:r>
      <w:r w:rsidR="00366B1B">
        <w:rPr>
          <w:rFonts w:ascii="Arial" w:hAnsi="Arial" w:cs="Arial"/>
        </w:rPr>
        <w:t>charge trans</w:t>
      </w:r>
      <w:r w:rsidR="000846ED">
        <w:rPr>
          <w:rFonts w:ascii="Arial" w:hAnsi="Arial" w:cs="Arial"/>
        </w:rPr>
        <w:t>fer resistance (</w:t>
      </w:r>
      <w:r w:rsidR="005B12D8">
        <w:rPr>
          <w:rFonts w:ascii="Arial" w:hAnsi="Arial" w:cs="Arial"/>
        </w:rPr>
        <w:t>second semicircle)</w:t>
      </w:r>
      <w:r w:rsidRPr="0092670C">
        <w:rPr>
          <w:rFonts w:ascii="Arial" w:hAnsi="Arial" w:cs="Arial"/>
        </w:rPr>
        <w:t xml:space="preserve"> also decreases with an increasing number of rest steps that isn’t seen in charge transfer circuits in Li-ion batteries at constant voltages. This suggests that the changes to the SEI that occur during the rest steps are also helping to facilitate the charge transfer reaction. In Li batteries the main cause for the charge resistance is graphite intercalation-deintercalation but these results suggest that the main cause of charge transfer resistance is the hard carbon SEI interface.  </w:t>
      </w:r>
    </w:p>
    <w:p w14:paraId="46D281E0" w14:textId="77777777" w:rsidR="009E3391" w:rsidRPr="0092670C" w:rsidRDefault="009E3391" w:rsidP="009E3391">
      <w:pPr>
        <w:spacing w:line="360" w:lineRule="auto"/>
        <w:jc w:val="both"/>
        <w:rPr>
          <w:rFonts w:ascii="Arial" w:hAnsi="Arial" w:cs="Arial"/>
        </w:rPr>
      </w:pPr>
      <w:r w:rsidRPr="0092670C">
        <w:rPr>
          <w:rFonts w:ascii="Arial" w:hAnsi="Arial" w:cs="Arial"/>
        </w:rPr>
        <w:t xml:space="preserve">Note that the SEI resistance of the cell after the dissolution process matches the value of the initial cycle before dissolution. This suggests that the dissolution process has selectively stripped the excess Na based SEI off of the hard carbon, leaving behind the core that was formed during the pre-lithiation process.  This rapid decrease in impedance is the main driver for the increase in cell capacity. </w:t>
      </w:r>
    </w:p>
    <w:p w14:paraId="14CD39D5" w14:textId="058A5B8E" w:rsidR="009E3391" w:rsidRPr="0092670C" w:rsidRDefault="009E3391" w:rsidP="009E3391">
      <w:pPr>
        <w:spacing w:line="360" w:lineRule="auto"/>
        <w:jc w:val="both"/>
        <w:rPr>
          <w:rFonts w:ascii="Arial" w:hAnsi="Arial" w:cs="Arial"/>
        </w:rPr>
      </w:pPr>
      <w:r w:rsidRPr="0092670C">
        <w:rPr>
          <w:rFonts w:ascii="Arial" w:hAnsi="Arial" w:cs="Arial"/>
        </w:rPr>
        <w:t>The cell that has been pre-lithiated for 20 minutes</w:t>
      </w:r>
      <w:r w:rsidR="00F80ABD" w:rsidRPr="0092670C">
        <w:rPr>
          <w:rFonts w:ascii="Arial" w:hAnsi="Arial" w:cs="Arial"/>
        </w:rPr>
        <w:t xml:space="preserve">, shown in </w:t>
      </w:r>
      <w:r w:rsidR="00F80ABD" w:rsidRPr="0092670C">
        <w:rPr>
          <w:rFonts w:ascii="Arial" w:hAnsi="Arial" w:cs="Arial"/>
        </w:rPr>
        <w:fldChar w:fldCharType="begin"/>
      </w:r>
      <w:r w:rsidR="00F80ABD" w:rsidRPr="0092670C">
        <w:rPr>
          <w:rFonts w:ascii="Arial" w:hAnsi="Arial" w:cs="Arial"/>
        </w:rPr>
        <w:instrText xml:space="preserve"> REF _Ref30852249 \h  \* MERGEFORMAT </w:instrText>
      </w:r>
      <w:r w:rsidR="00F80ABD" w:rsidRPr="0092670C">
        <w:rPr>
          <w:rFonts w:ascii="Arial" w:hAnsi="Arial" w:cs="Arial"/>
        </w:rPr>
      </w:r>
      <w:r w:rsidR="00F80ABD" w:rsidRPr="0092670C">
        <w:rPr>
          <w:rFonts w:ascii="Arial" w:hAnsi="Arial" w:cs="Arial"/>
        </w:rPr>
        <w:fldChar w:fldCharType="separate"/>
      </w:r>
      <w:r w:rsidR="00513F07" w:rsidRPr="00513F07">
        <w:rPr>
          <w:rFonts w:ascii="Arial" w:hAnsi="Arial" w:cs="Arial"/>
        </w:rPr>
        <w:t xml:space="preserve">Figure </w:t>
      </w:r>
      <w:r w:rsidR="00513F07" w:rsidRPr="00513F07">
        <w:rPr>
          <w:rFonts w:ascii="Arial" w:hAnsi="Arial" w:cs="Arial"/>
          <w:noProof/>
        </w:rPr>
        <w:t>6</w:t>
      </w:r>
      <w:r w:rsidR="00513F07" w:rsidRPr="00513F07">
        <w:rPr>
          <w:rFonts w:ascii="Arial" w:hAnsi="Arial" w:cs="Arial"/>
          <w:noProof/>
        </w:rPr>
        <w:noBreakHyphen/>
        <w:t>12</w:t>
      </w:r>
      <w:r w:rsidR="00F80ABD" w:rsidRPr="0092670C">
        <w:rPr>
          <w:rFonts w:ascii="Arial" w:hAnsi="Arial" w:cs="Arial"/>
        </w:rPr>
        <w:fldChar w:fldCharType="end"/>
      </w:r>
      <w:r w:rsidRPr="0092670C">
        <w:rPr>
          <w:rFonts w:ascii="Arial" w:hAnsi="Arial" w:cs="Arial"/>
        </w:rPr>
        <w:t xml:space="preserve"> follows many of the same trends that are seen in the cell that was pre-lithiated for 10 minutes. The resistances were much lower than those seen in the 10 minute cell apart from the value taken before cycling. This suggest that the Sodium SEI growth has been smaller on the cell that has been pre-lithiated for 20 minutes. This makes sense when you consider that the thicker Li-based SEI would keep the sodium better shielded from the electrolyte result in less excess Na-SEI formation. As a </w:t>
      </w:r>
      <w:r w:rsidR="00312B8B" w:rsidRPr="0092670C">
        <w:rPr>
          <w:rFonts w:ascii="Arial" w:hAnsi="Arial" w:cs="Arial"/>
        </w:rPr>
        <w:t>result,</w:t>
      </w:r>
      <w:r w:rsidRPr="0092670C">
        <w:rPr>
          <w:rFonts w:ascii="Arial" w:hAnsi="Arial" w:cs="Arial"/>
        </w:rPr>
        <w:t xml:space="preserve"> the decrease in impedance isn’t as rapid in the cell that has only been pre-lithiated for 10 minutes, converging after the final rest. </w:t>
      </w:r>
    </w:p>
    <w:p w14:paraId="2030507C" w14:textId="77777777" w:rsidR="009E3391" w:rsidRPr="0092670C" w:rsidRDefault="009E3391" w:rsidP="008773FE">
      <w:pPr>
        <w:pStyle w:val="Heading3"/>
        <w:rPr>
          <w:rFonts w:ascii="Arial" w:hAnsi="Arial" w:cs="Arial"/>
          <w:color w:val="2F5496" w:themeColor="accent1" w:themeShade="BF"/>
          <w:sz w:val="32"/>
          <w:szCs w:val="32"/>
        </w:rPr>
      </w:pPr>
      <w:bookmarkStart w:id="314" w:name="_Toc82538816"/>
      <w:r w:rsidRPr="0092670C">
        <w:rPr>
          <w:rFonts w:ascii="Arial" w:hAnsi="Arial" w:cs="Arial"/>
          <w:color w:val="2F5496" w:themeColor="accent1" w:themeShade="BF"/>
          <w:sz w:val="32"/>
          <w:szCs w:val="32"/>
        </w:rPr>
        <w:t>Conclusion</w:t>
      </w:r>
      <w:bookmarkEnd w:id="314"/>
    </w:p>
    <w:p w14:paraId="788C700C" w14:textId="77777777" w:rsidR="009E3391" w:rsidRPr="0092670C" w:rsidRDefault="009E3391" w:rsidP="009E3391">
      <w:pPr>
        <w:spacing w:line="360" w:lineRule="auto"/>
        <w:jc w:val="both"/>
        <w:rPr>
          <w:rFonts w:ascii="Arial" w:hAnsi="Arial" w:cs="Arial"/>
        </w:rPr>
      </w:pPr>
      <w:r w:rsidRPr="0092670C">
        <w:rPr>
          <w:rFonts w:ascii="Arial" w:hAnsi="Arial" w:cs="Arial"/>
        </w:rPr>
        <w:t xml:space="preserve">Dissolution causes the Li-based SEI performance to increase substantially. This coincides with a substantial decrease in the impedance of the cell. This suggests that a thinner SEI results in a cell with a higher capacity, due to a smaller IR drop and more Na conduction channels being open. This matched well with what was found during pre-lithiation that the lower pre-lithiation time had a higher capacity. This means that further work needs to be conducted to reduce the thickness of the Li-based SEI to ensure that the maximum number of Na conduction channels are accessible whilst maintaining its superior performance. </w:t>
      </w:r>
    </w:p>
    <w:p w14:paraId="3EB375BE" w14:textId="7E301595" w:rsidR="009E3391" w:rsidRPr="0092670C" w:rsidRDefault="009E3391" w:rsidP="009E3391">
      <w:pPr>
        <w:spacing w:line="360" w:lineRule="auto"/>
        <w:jc w:val="both"/>
        <w:rPr>
          <w:rFonts w:ascii="Arial" w:hAnsi="Arial" w:cs="Arial"/>
        </w:rPr>
      </w:pPr>
      <w:r w:rsidRPr="0092670C">
        <w:rPr>
          <w:rFonts w:ascii="Arial" w:hAnsi="Arial" w:cs="Arial"/>
        </w:rPr>
        <w:t xml:space="preserve">It was found that the pre-lithiated cells demonstrated a lower initial capacity, but they had a capacity retention comparable to Li-ion anodes. This experiment demonstrates the benefits of pre-treating a cell as </w:t>
      </w:r>
      <w:r w:rsidR="00B42310">
        <w:rPr>
          <w:rFonts w:ascii="Arial" w:hAnsi="Arial" w:cs="Arial"/>
        </w:rPr>
        <w:t>l</w:t>
      </w:r>
      <w:r w:rsidRPr="0092670C">
        <w:rPr>
          <w:rFonts w:ascii="Arial" w:hAnsi="Arial" w:cs="Arial"/>
        </w:rPr>
        <w:t xml:space="preserve">ithium couldn’t be placed into a commercial </w:t>
      </w:r>
      <w:r w:rsidR="00312B8B" w:rsidRPr="0092670C">
        <w:rPr>
          <w:rFonts w:ascii="Arial" w:hAnsi="Arial" w:cs="Arial"/>
        </w:rPr>
        <w:t>cell,</w:t>
      </w:r>
      <w:r w:rsidRPr="0092670C">
        <w:rPr>
          <w:rFonts w:ascii="Arial" w:hAnsi="Arial" w:cs="Arial"/>
        </w:rPr>
        <w:t xml:space="preserve"> but it can be used in the manufacturing process to improve the performance beforehand.</w:t>
      </w:r>
    </w:p>
    <w:p w14:paraId="05B8DDC2" w14:textId="77777777" w:rsidR="009E3391" w:rsidRPr="0092670C" w:rsidRDefault="009E3391" w:rsidP="008773FE">
      <w:pPr>
        <w:pStyle w:val="Heading2"/>
        <w:rPr>
          <w:rFonts w:ascii="Arial" w:hAnsi="Arial" w:cs="Arial"/>
        </w:rPr>
      </w:pPr>
      <w:bookmarkStart w:id="315" w:name="_Toc82538817"/>
      <w:r w:rsidRPr="0092670C">
        <w:rPr>
          <w:rFonts w:ascii="Arial" w:hAnsi="Arial" w:cs="Arial"/>
        </w:rPr>
        <w:t>Lithiation vs. sodiation</w:t>
      </w:r>
      <w:bookmarkEnd w:id="315"/>
    </w:p>
    <w:p w14:paraId="202005E3" w14:textId="09734901" w:rsidR="009E3391" w:rsidRPr="0092670C" w:rsidRDefault="00C47BF8" w:rsidP="009E3391">
      <w:pPr>
        <w:spacing w:line="360" w:lineRule="auto"/>
        <w:jc w:val="both"/>
        <w:rPr>
          <w:rFonts w:ascii="Arial" w:hAnsi="Arial" w:cs="Arial"/>
        </w:rPr>
      </w:pPr>
      <w:r w:rsidRPr="0092670C">
        <w:rPr>
          <w:rFonts w:ascii="Arial" w:hAnsi="Arial" w:cs="Arial"/>
        </w:rPr>
        <w:t xml:space="preserve">We have seen that </w:t>
      </w:r>
      <w:r w:rsidR="00E764EE" w:rsidRPr="0092670C">
        <w:rPr>
          <w:rFonts w:ascii="Arial" w:hAnsi="Arial" w:cs="Arial"/>
        </w:rPr>
        <w:t>pre-l</w:t>
      </w:r>
      <w:r w:rsidR="009E3391" w:rsidRPr="0092670C">
        <w:rPr>
          <w:rFonts w:ascii="Arial" w:hAnsi="Arial" w:cs="Arial"/>
        </w:rPr>
        <w:t xml:space="preserve">ithiation </w:t>
      </w:r>
      <w:r w:rsidR="00E764EE" w:rsidRPr="0092670C">
        <w:rPr>
          <w:rFonts w:ascii="Arial" w:hAnsi="Arial" w:cs="Arial"/>
        </w:rPr>
        <w:t xml:space="preserve">of hard carbon </w:t>
      </w:r>
      <w:r w:rsidR="009E3391" w:rsidRPr="0092670C">
        <w:rPr>
          <w:rFonts w:ascii="Arial" w:hAnsi="Arial" w:cs="Arial"/>
        </w:rPr>
        <w:t xml:space="preserve">provides a significant capacity retention increase that is comparable with that seen in traditional Li-ion batteries. </w:t>
      </w:r>
      <w:r w:rsidR="00D8542E" w:rsidRPr="0092670C">
        <w:rPr>
          <w:rFonts w:ascii="Arial" w:hAnsi="Arial" w:cs="Arial"/>
        </w:rPr>
        <w:t xml:space="preserve">We also saw that </w:t>
      </w:r>
      <w:r w:rsidR="00010B89" w:rsidRPr="0092670C">
        <w:rPr>
          <w:rFonts w:ascii="Arial" w:hAnsi="Arial" w:cs="Arial"/>
        </w:rPr>
        <w:t>the capacity of the hard carbon suffered as a r</w:t>
      </w:r>
      <w:r w:rsidR="006E608D" w:rsidRPr="0092670C">
        <w:rPr>
          <w:rFonts w:ascii="Arial" w:hAnsi="Arial" w:cs="Arial"/>
        </w:rPr>
        <w:t>esult of the pre-lithiation process</w:t>
      </w:r>
      <w:r w:rsidR="009E3391" w:rsidRPr="0092670C">
        <w:rPr>
          <w:rFonts w:ascii="Arial" w:hAnsi="Arial" w:cs="Arial"/>
        </w:rPr>
        <w:t xml:space="preserve">, and this would have to be increased to make the cells more viable as a Li-ion battery replacement. The increased capacity retention is promising, and this would be key to create a long-lasting </w:t>
      </w:r>
      <w:r w:rsidR="001F0E66" w:rsidRPr="0092670C">
        <w:rPr>
          <w:rFonts w:ascii="Arial" w:hAnsi="Arial" w:cs="Arial"/>
        </w:rPr>
        <w:t xml:space="preserve">Na-ion </w:t>
      </w:r>
      <w:r w:rsidR="009E3391" w:rsidRPr="0092670C">
        <w:rPr>
          <w:rFonts w:ascii="Arial" w:hAnsi="Arial" w:cs="Arial"/>
        </w:rPr>
        <w:t xml:space="preserve">full cell. </w:t>
      </w:r>
      <w:r w:rsidR="002C25C9" w:rsidRPr="0092670C">
        <w:rPr>
          <w:rFonts w:ascii="Arial" w:hAnsi="Arial" w:cs="Arial"/>
        </w:rPr>
        <w:t xml:space="preserve">We saw that the </w:t>
      </w:r>
      <w:r w:rsidR="000E0152" w:rsidRPr="0092670C">
        <w:rPr>
          <w:rFonts w:ascii="Arial" w:hAnsi="Arial" w:cs="Arial"/>
        </w:rPr>
        <w:t>presence</w:t>
      </w:r>
      <w:r w:rsidR="002C25C9" w:rsidRPr="0092670C">
        <w:rPr>
          <w:rFonts w:ascii="Arial" w:hAnsi="Arial" w:cs="Arial"/>
        </w:rPr>
        <w:t xml:space="preserve"> of FEC was </w:t>
      </w:r>
      <w:r w:rsidR="000E0152" w:rsidRPr="0092670C">
        <w:rPr>
          <w:rFonts w:ascii="Arial" w:hAnsi="Arial" w:cs="Arial"/>
        </w:rPr>
        <w:t xml:space="preserve">beneficial </w:t>
      </w:r>
      <w:r w:rsidR="00911AD6" w:rsidRPr="0092670C">
        <w:rPr>
          <w:rFonts w:ascii="Arial" w:hAnsi="Arial" w:cs="Arial"/>
        </w:rPr>
        <w:t>when pre-l</w:t>
      </w:r>
      <w:r w:rsidR="002C361B" w:rsidRPr="0092670C">
        <w:rPr>
          <w:rFonts w:ascii="Arial" w:hAnsi="Arial" w:cs="Arial"/>
        </w:rPr>
        <w:t>ithiating hard carbon</w:t>
      </w:r>
      <w:r w:rsidR="009E3391" w:rsidRPr="0092670C">
        <w:rPr>
          <w:rFonts w:ascii="Arial" w:hAnsi="Arial" w:cs="Arial"/>
        </w:rPr>
        <w:t xml:space="preserve">. Further additive work could increase capacity whilst maintaining high capacity retention. </w:t>
      </w:r>
    </w:p>
    <w:p w14:paraId="078EA7F7" w14:textId="1B67A37D" w:rsidR="009E3391" w:rsidRPr="0092670C" w:rsidRDefault="009E3391" w:rsidP="009E3391">
      <w:pPr>
        <w:spacing w:line="360" w:lineRule="auto"/>
        <w:jc w:val="both"/>
        <w:rPr>
          <w:rFonts w:ascii="Arial" w:hAnsi="Arial" w:cs="Arial"/>
        </w:rPr>
      </w:pPr>
      <w:r w:rsidRPr="0092670C">
        <w:rPr>
          <w:rFonts w:ascii="Arial" w:hAnsi="Arial" w:cs="Arial"/>
        </w:rPr>
        <w:t>Pre-sodiation has also been shown to improve the performance of Na-ion batteries with an increase in both the initial coulombic efficiency and charge capacity</w:t>
      </w:r>
      <w:r w:rsidR="00DC3757" w:rsidRPr="0092670C">
        <w:rPr>
          <w:rFonts w:ascii="Arial" w:hAnsi="Arial" w:cs="Arial"/>
        </w:rPr>
        <w:t xml:space="preserve"> </w:t>
      </w:r>
      <w:r w:rsidRPr="0092670C">
        <w:rPr>
          <w:rFonts w:ascii="Arial" w:hAnsi="Arial" w:cs="Arial"/>
        </w:rPr>
        <w:fldChar w:fldCharType="begin">
          <w:fldData xml:space="preserve">PEVuZE5vdGU+PENpdGU+PEF1dGhvcj5kZSBsYSBMbGF2ZTwvQXV0aG9yPjxZZWFyPjIwMTY8L1ll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PEVuZE5vdGU+PENpdGU+PEF1dGhvcj5kZSBsYSBMbGF2ZTwvQXV0aG9yPjxZZWFyPjIwMTY8L1ll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[134, 248]</w:t>
      </w:r>
      <w:r w:rsidRPr="0092670C">
        <w:rPr>
          <w:rFonts w:ascii="Arial" w:hAnsi="Arial" w:cs="Arial"/>
        </w:rPr>
        <w:fldChar w:fldCharType="end"/>
      </w:r>
      <w:r w:rsidRPr="0092670C">
        <w:rPr>
          <w:rFonts w:ascii="Arial" w:hAnsi="Arial" w:cs="Arial"/>
        </w:rPr>
        <w:t xml:space="preserve">. Most pre-sodiation experiments have only been conducted over short cycle lengths (less than 100 cycles) and </w:t>
      </w:r>
      <w:r w:rsidR="00A626A9" w:rsidRPr="0092670C">
        <w:rPr>
          <w:rFonts w:ascii="Arial" w:hAnsi="Arial" w:cs="Arial"/>
        </w:rPr>
        <w:t>it</w:t>
      </w:r>
      <w:r w:rsidRPr="0092670C">
        <w:rPr>
          <w:rFonts w:ascii="Arial" w:hAnsi="Arial" w:cs="Arial"/>
        </w:rPr>
        <w:t xml:space="preserve"> needs to be conducted over longer length scales to understand if it is a </w:t>
      </w:r>
      <w:r w:rsidR="005A372B" w:rsidRPr="0092670C">
        <w:rPr>
          <w:rFonts w:ascii="Arial" w:hAnsi="Arial" w:cs="Arial"/>
        </w:rPr>
        <w:t>short-term</w:t>
      </w:r>
      <w:r w:rsidRPr="0092670C">
        <w:rPr>
          <w:rFonts w:ascii="Arial" w:hAnsi="Arial" w:cs="Arial"/>
        </w:rPr>
        <w:t xml:space="preserve"> phenomenon or it lasts as long as the results we reported with pre-lithiation and/or if it’s as effective.</w:t>
      </w:r>
    </w:p>
    <w:p w14:paraId="06CE61AF" w14:textId="77777777" w:rsidR="009E3391" w:rsidRPr="0092670C" w:rsidRDefault="009E3391" w:rsidP="009E3391">
      <w:pPr>
        <w:spacing w:line="360" w:lineRule="auto"/>
        <w:jc w:val="both"/>
        <w:rPr>
          <w:rFonts w:ascii="Arial" w:hAnsi="Arial" w:cs="Arial"/>
        </w:rPr>
      </w:pPr>
      <w:r w:rsidRPr="0092670C">
        <w:rPr>
          <w:rFonts w:ascii="Arial" w:hAnsi="Arial" w:cs="Arial"/>
        </w:rPr>
        <w:t xml:space="preserve">It is important to compare both types of pre-metalation on hard carbon electrodes as both have been shown to improve the electrochemical performance in different ways. Pre-lithiation improves the capacity retention of the cell and pre-sodiation improves the charge capacity. The question is does sodiation limit the capacity decay seen in normal cells. I hypothesise that pre-sodiation may make the SEI more stable as it is already formed before cycling but it will still be subject to dissolution, but the process will take longer to begin. </w:t>
      </w:r>
    </w:p>
    <w:p w14:paraId="36863DD5" w14:textId="77777777" w:rsidR="009E3391" w:rsidRPr="0092670C" w:rsidRDefault="009E3391" w:rsidP="005455EA">
      <w:pPr>
        <w:pStyle w:val="Heading3"/>
        <w:rPr>
          <w:rFonts w:ascii="Arial" w:hAnsi="Arial" w:cs="Arial"/>
        </w:rPr>
      </w:pPr>
      <w:bookmarkStart w:id="316" w:name="_Toc82538818"/>
      <w:r w:rsidRPr="0092670C">
        <w:rPr>
          <w:rFonts w:ascii="Arial" w:hAnsi="Arial" w:cs="Arial"/>
        </w:rPr>
        <w:t>Experimental</w:t>
      </w:r>
      <w:bookmarkEnd w:id="316"/>
    </w:p>
    <w:p w14:paraId="68A768CE" w14:textId="77777777" w:rsidR="008C2216" w:rsidRPr="00EA186B" w:rsidRDefault="008C2216" w:rsidP="008C2216">
      <w:pPr>
        <w:spacing w:line="360" w:lineRule="auto"/>
        <w:jc w:val="both"/>
        <w:rPr>
          <w:rFonts w:ascii="Arial" w:hAnsi="Arial" w:cs="Arial"/>
        </w:rPr>
      </w:pPr>
      <w:r w:rsidRPr="00EA186B">
        <w:rPr>
          <w:rFonts w:ascii="Arial" w:hAnsi="Arial" w:cs="Arial"/>
        </w:rPr>
        <w:t>Hard carbon was produced using the method outlined in 2. The hard carbon electrodes were made as described in 2.2.1. The electrodes were then either pre-lithiated or pre-sodiated electrochemically with as outlined in 2.3.2. Cells that were pre-lithiated used LP30 + 10wt.% FEC as the electrolyte. Cells that were pre-sodiated used 0.5M NaPF</w:t>
      </w:r>
      <w:r w:rsidRPr="00EA186B">
        <w:rPr>
          <w:rFonts w:ascii="Arial" w:hAnsi="Arial" w:cs="Arial"/>
          <w:vertAlign w:val="subscript"/>
        </w:rPr>
        <w:t>6</w:t>
      </w:r>
      <w:r w:rsidRPr="00EA186B">
        <w:rPr>
          <w:rFonts w:ascii="Arial" w:hAnsi="Arial" w:cs="Arial"/>
        </w:rPr>
        <w:t xml:space="preserve"> in EC: DMC (50:50V/V) as the electrolyte. This process was conducted between 10 and 50mins. These electrodes were then assembled into half cells with Na as the counter electrode and 0.5M NaPF</w:t>
      </w:r>
      <w:r w:rsidRPr="00EA186B">
        <w:rPr>
          <w:rFonts w:ascii="Arial" w:hAnsi="Arial" w:cs="Arial"/>
          <w:vertAlign w:val="subscript"/>
        </w:rPr>
        <w:t>6</w:t>
      </w:r>
      <w:r w:rsidRPr="00EA186B">
        <w:rPr>
          <w:rFonts w:ascii="Arial" w:hAnsi="Arial" w:cs="Arial"/>
        </w:rPr>
        <w:t xml:space="preserve"> in EC: DMC (50:50V/V)</w:t>
      </w:r>
      <w:r w:rsidRPr="00EA186B">
        <w:rPr>
          <w:rFonts w:ascii="Arial" w:hAnsi="Arial" w:cs="Arial"/>
          <w:vertAlign w:val="subscript"/>
        </w:rPr>
        <w:t xml:space="preserve"> </w:t>
      </w:r>
      <w:r w:rsidRPr="00EA186B">
        <w:rPr>
          <w:rFonts w:ascii="Arial" w:hAnsi="Arial" w:cs="Arial"/>
        </w:rPr>
        <w:t>was used as the electrolyte. The coin cells were cycled at C/10 for 100 cycles using CC/CV cycling for the charge on a Maccor series 4000M at 25°C All impedance measurements were taken between 100 kHz and 0.01 Hz with 11 steps per decade using a Solartron Modulab 2101A.</w:t>
      </w:r>
      <w:r>
        <w:rPr>
          <w:rFonts w:ascii="Arial" w:hAnsi="Arial" w:cs="Arial"/>
        </w:rPr>
        <w:t xml:space="preserve"> </w:t>
      </w:r>
      <w:r w:rsidRPr="00EA186B">
        <w:rPr>
          <w:rFonts w:ascii="Arial" w:hAnsi="Arial" w:cs="Arial"/>
        </w:rPr>
        <w:t xml:space="preserve">For reference a cell was pre-lithiated in a 90%LP30:10%FEC V/V solution for 10 minutes before being reassembled into a Na-half cell. </w:t>
      </w:r>
    </w:p>
    <w:p w14:paraId="523ED420" w14:textId="21D71A7B" w:rsidR="00A93DD5" w:rsidRPr="0092670C" w:rsidRDefault="009E3391" w:rsidP="005455EA">
      <w:pPr>
        <w:pStyle w:val="Heading3"/>
        <w:rPr>
          <w:rFonts w:ascii="Arial" w:hAnsi="Arial" w:cs="Arial"/>
        </w:rPr>
      </w:pPr>
      <w:bookmarkStart w:id="317" w:name="_Toc82538819"/>
      <w:r w:rsidRPr="0092670C">
        <w:rPr>
          <w:rFonts w:ascii="Arial" w:hAnsi="Arial" w:cs="Arial"/>
        </w:rPr>
        <w:t>Results</w:t>
      </w:r>
      <w:bookmarkEnd w:id="317"/>
    </w:p>
    <w:p w14:paraId="541FA372" w14:textId="14961DC8" w:rsidR="000D7881" w:rsidRPr="0092670C" w:rsidRDefault="000D7881" w:rsidP="0027086D">
      <w:pPr>
        <w:spacing w:line="360" w:lineRule="auto"/>
        <w:jc w:val="both"/>
        <w:rPr>
          <w:rFonts w:ascii="Arial" w:hAnsi="Arial" w:cs="Arial"/>
        </w:rPr>
      </w:pPr>
      <w:r w:rsidRPr="0092670C">
        <w:rPr>
          <w:rFonts w:ascii="Arial" w:hAnsi="Arial" w:cs="Arial"/>
        </w:rPr>
        <w:t>Pre-</w:t>
      </w:r>
      <w:r w:rsidR="00BE5F53" w:rsidRPr="0092670C">
        <w:rPr>
          <w:rFonts w:ascii="Arial" w:hAnsi="Arial" w:cs="Arial"/>
        </w:rPr>
        <w:t xml:space="preserve">lithiating in both electrolytes </w:t>
      </w:r>
      <w:r w:rsidR="007B02B8" w:rsidRPr="0092670C">
        <w:rPr>
          <w:rFonts w:ascii="Arial" w:hAnsi="Arial" w:cs="Arial"/>
        </w:rPr>
        <w:t>allows</w:t>
      </w:r>
      <w:r w:rsidR="0046796C" w:rsidRPr="0092670C">
        <w:rPr>
          <w:rFonts w:ascii="Arial" w:hAnsi="Arial" w:cs="Arial"/>
        </w:rPr>
        <w:t xml:space="preserve"> us to compare </w:t>
      </w:r>
      <w:r w:rsidR="003015CF" w:rsidRPr="0092670C">
        <w:rPr>
          <w:rFonts w:ascii="Arial" w:hAnsi="Arial" w:cs="Arial"/>
        </w:rPr>
        <w:t>their</w:t>
      </w:r>
      <w:r w:rsidR="0046796C" w:rsidRPr="0092670C">
        <w:rPr>
          <w:rFonts w:ascii="Arial" w:hAnsi="Arial" w:cs="Arial"/>
        </w:rPr>
        <w:t xml:space="preserve"> effectiveness </w:t>
      </w:r>
      <w:r w:rsidR="00685583" w:rsidRPr="0092670C">
        <w:rPr>
          <w:rFonts w:ascii="Arial" w:hAnsi="Arial" w:cs="Arial"/>
        </w:rPr>
        <w:t xml:space="preserve">for the role as FEC </w:t>
      </w:r>
      <w:r w:rsidR="00E74872" w:rsidRPr="0092670C">
        <w:rPr>
          <w:rFonts w:ascii="Arial" w:hAnsi="Arial" w:cs="Arial"/>
        </w:rPr>
        <w:t>isn’t known to be as reliable for improving the charge capacity of sodium cells</w:t>
      </w:r>
      <w:r w:rsidR="0042500C" w:rsidRPr="0092670C">
        <w:rPr>
          <w:rFonts w:ascii="Arial" w:hAnsi="Arial" w:cs="Arial"/>
        </w:rPr>
        <w:t xml:space="preserve">, unlike its strong track record </w:t>
      </w:r>
      <w:r w:rsidR="00FE7CBE" w:rsidRPr="0092670C">
        <w:rPr>
          <w:rFonts w:ascii="Arial" w:hAnsi="Arial" w:cs="Arial"/>
        </w:rPr>
        <w:t>with most</w:t>
      </w:r>
      <w:r w:rsidR="0042500C" w:rsidRPr="0092670C">
        <w:rPr>
          <w:rFonts w:ascii="Arial" w:hAnsi="Arial" w:cs="Arial"/>
        </w:rPr>
        <w:t xml:space="preserve"> Li cell chemistries</w:t>
      </w:r>
      <w:r w:rsidR="00DC3757" w:rsidRPr="0092670C">
        <w:rPr>
          <w:rFonts w:ascii="Arial" w:hAnsi="Arial" w:cs="Arial"/>
        </w:rPr>
        <w:t xml:space="preserve"> </w:t>
      </w:r>
      <w:r w:rsidR="00C57D24" w:rsidRPr="0092670C">
        <w:rPr>
          <w:rFonts w:ascii="Arial" w:hAnsi="Arial" w:cs="Arial"/>
        </w:rPr>
        <w:fldChar w:fldCharType="begin"/>
      </w:r>
      <w:r w:rsidR="0034337D">
        <w:rPr>
          <w:rFonts w:ascii="Arial" w:hAnsi="Arial" w:cs="Arial"/>
        </w:rPr>
        <w:instrText xml:space="preserve"> ADDIN EN.CITE &lt;EndNote&gt;&lt;Cite&gt;&lt;Author&gt;Ponrouch&lt;/Author&gt;&lt;Year&gt;2013&lt;/Year&gt;&lt;RecNum&gt;358&lt;/RecNum&gt;&lt;DisplayText&gt;[249]&lt;/DisplayText&gt;&lt;record&gt;&lt;rec-number&gt;358&lt;/rec-number&gt;&lt;foreign-keys&gt;&lt;key app="EN" db-id="5sa9s0e0r0d9fnexra7pr5xdwd5ztevx95s2" timestamp="1575459879"&gt;358&lt;/key&gt;&lt;/foreign-keys&gt;&lt;ref-type name="Journal Article"&gt;17&lt;/ref-type&gt;&lt;contributors&gt;&lt;authors&gt;&lt;author&gt;Ponrouch, A.&lt;/author&gt;&lt;author&gt;Goñi, A. R.&lt;/author&gt;&lt;author&gt;Palacín, M. Rosa&lt;/author&gt;&lt;/authors&gt;&lt;/contributors&gt;&lt;titles&gt;&lt;title&gt;High capacity hard carbon anodes for sodium ion batteries in additive free electrolyte&lt;/title&gt;&lt;secondary-title&gt;Electrochemistry Communications&lt;/secondary-title&gt;&lt;/titles&gt;&lt;periodical&gt;&lt;full-title&gt;Electrochemistry Communications&lt;/full-title&gt;&lt;/periodical&gt;&lt;pages&gt;85-88&lt;/pages&gt;&lt;volume&gt;27&lt;/volume&gt;&lt;keywords&gt;&lt;keyword&gt;Sodium ion batteries&lt;/keyword&gt;&lt;keyword&gt;Negative electrode&lt;/keyword&gt;&lt;keyword&gt;Hard carbon&lt;/keyword&gt;&lt;keyword&gt;Electrolyte&lt;/keyword&gt;&lt;keyword&gt;FEC additive&lt;/keyword&gt;&lt;/keywords&gt;&lt;dates&gt;&lt;year&gt;2013&lt;/year&gt;&lt;pub-dates&gt;&lt;date&gt;2013/02/01/&lt;/date&gt;&lt;/pub-dates&gt;&lt;/dates&gt;&lt;isbn&gt;1388-2481&lt;/isbn&gt;&lt;urls&gt;&lt;related-urls&gt;&lt;url&gt;http://www.sciencedirect.com/science/article/pii/S1388248112004766&lt;/url&gt;&lt;/related-urls&gt;&lt;/urls&gt;&lt;electronic-resource-num&gt;https://doi.org/10.1016/j.elecom.2012.10.038&lt;/electronic-resource-num&gt;&lt;/record&gt;&lt;/Cite&gt;&lt;/EndNote&gt;</w:instrText>
      </w:r>
      <w:r w:rsidR="00C57D24" w:rsidRPr="0092670C">
        <w:rPr>
          <w:rFonts w:ascii="Arial" w:hAnsi="Arial" w:cs="Arial"/>
        </w:rPr>
        <w:fldChar w:fldCharType="separate"/>
      </w:r>
      <w:r w:rsidR="0034337D">
        <w:rPr>
          <w:rFonts w:ascii="Arial" w:hAnsi="Arial" w:cs="Arial"/>
          <w:noProof/>
        </w:rPr>
        <w:t>[249]</w:t>
      </w:r>
      <w:r w:rsidR="00C57D24" w:rsidRPr="0092670C">
        <w:rPr>
          <w:rFonts w:ascii="Arial" w:hAnsi="Arial" w:cs="Arial"/>
        </w:rPr>
        <w:fldChar w:fldCharType="end"/>
      </w:r>
      <w:r w:rsidR="0042500C" w:rsidRPr="0092670C">
        <w:rPr>
          <w:rFonts w:ascii="Arial" w:hAnsi="Arial" w:cs="Arial"/>
        </w:rPr>
        <w:t xml:space="preserve">. </w:t>
      </w:r>
    </w:p>
    <w:p w14:paraId="0019FAC7" w14:textId="4CE69902" w:rsidR="00957A60" w:rsidRPr="0092670C" w:rsidRDefault="009F00DD" w:rsidP="0027086D">
      <w:pPr>
        <w:spacing w:line="360" w:lineRule="auto"/>
        <w:jc w:val="both"/>
        <w:rPr>
          <w:rFonts w:ascii="Arial" w:hAnsi="Arial" w:cs="Arial"/>
        </w:rPr>
      </w:pPr>
      <w:r w:rsidRPr="0092670C">
        <w:rPr>
          <w:rFonts w:ascii="Arial" w:hAnsi="Arial" w:cs="Arial"/>
        </w:rPr>
        <w:t>The charge capacity plots of the cells pre-</w:t>
      </w:r>
      <w:r w:rsidR="004E1ECE">
        <w:rPr>
          <w:rFonts w:ascii="Arial" w:hAnsi="Arial" w:cs="Arial"/>
        </w:rPr>
        <w:t>lithiated</w:t>
      </w:r>
      <w:r w:rsidRPr="0092670C">
        <w:rPr>
          <w:rFonts w:ascii="Arial" w:hAnsi="Arial" w:cs="Arial"/>
        </w:rPr>
        <w:t xml:space="preserve"> in </w:t>
      </w:r>
      <w:r w:rsidR="00071776" w:rsidRPr="0092670C">
        <w:rPr>
          <w:rFonts w:ascii="Arial" w:hAnsi="Arial" w:cs="Arial"/>
        </w:rPr>
        <w:t xml:space="preserve">10% FEC </w:t>
      </w:r>
      <w:r w:rsidR="00BF79EF" w:rsidRPr="0092670C">
        <w:rPr>
          <w:rFonts w:ascii="Arial" w:hAnsi="Arial" w:cs="Arial"/>
        </w:rPr>
        <w:t>are</w:t>
      </w:r>
      <w:r w:rsidR="00071776" w:rsidRPr="0092670C">
        <w:rPr>
          <w:rFonts w:ascii="Arial" w:hAnsi="Arial" w:cs="Arial"/>
        </w:rPr>
        <w:t xml:space="preserve"> erratic </w:t>
      </w:r>
      <w:r w:rsidR="00BF79EF" w:rsidRPr="0092670C">
        <w:rPr>
          <w:rFonts w:ascii="Arial" w:hAnsi="Arial" w:cs="Arial"/>
        </w:rPr>
        <w:t>with large variations in</w:t>
      </w:r>
      <w:r w:rsidR="00E60237" w:rsidRPr="0092670C">
        <w:rPr>
          <w:rFonts w:ascii="Arial" w:hAnsi="Arial" w:cs="Arial"/>
        </w:rPr>
        <w:t xml:space="preserve"> their capacity</w:t>
      </w:r>
      <w:r w:rsidR="00A77D9F" w:rsidRPr="0092670C">
        <w:rPr>
          <w:rFonts w:ascii="Arial" w:hAnsi="Arial" w:cs="Arial"/>
        </w:rPr>
        <w:t xml:space="preserve"> suggest</w:t>
      </w:r>
      <w:r w:rsidR="00496218" w:rsidRPr="0092670C">
        <w:rPr>
          <w:rFonts w:ascii="Arial" w:hAnsi="Arial" w:cs="Arial"/>
        </w:rPr>
        <w:t>ing</w:t>
      </w:r>
      <w:r w:rsidR="00A77D9F" w:rsidRPr="0092670C">
        <w:rPr>
          <w:rFonts w:ascii="Arial" w:hAnsi="Arial" w:cs="Arial"/>
        </w:rPr>
        <w:t xml:space="preserve"> </w:t>
      </w:r>
      <w:r w:rsidR="008553FE" w:rsidRPr="0092670C">
        <w:rPr>
          <w:rFonts w:ascii="Arial" w:hAnsi="Arial" w:cs="Arial"/>
        </w:rPr>
        <w:t xml:space="preserve">FEC isn’t </w:t>
      </w:r>
      <w:r w:rsidR="00496218" w:rsidRPr="0092670C">
        <w:rPr>
          <w:rFonts w:ascii="Arial" w:hAnsi="Arial" w:cs="Arial"/>
        </w:rPr>
        <w:t>a</w:t>
      </w:r>
      <w:r w:rsidR="00370FD8" w:rsidRPr="0092670C">
        <w:rPr>
          <w:rFonts w:ascii="Arial" w:hAnsi="Arial" w:cs="Arial"/>
        </w:rPr>
        <w:t xml:space="preserve"> </w:t>
      </w:r>
      <w:r w:rsidR="008553FE" w:rsidRPr="0092670C">
        <w:rPr>
          <w:rFonts w:ascii="Arial" w:hAnsi="Arial" w:cs="Arial"/>
        </w:rPr>
        <w:t xml:space="preserve">suitable </w:t>
      </w:r>
      <w:r w:rsidR="00370FD8" w:rsidRPr="0092670C">
        <w:rPr>
          <w:rFonts w:ascii="Arial" w:hAnsi="Arial" w:cs="Arial"/>
        </w:rPr>
        <w:t>additive when</w:t>
      </w:r>
      <w:r w:rsidR="008553FE" w:rsidRPr="0092670C">
        <w:rPr>
          <w:rFonts w:ascii="Arial" w:hAnsi="Arial" w:cs="Arial"/>
        </w:rPr>
        <w:t xml:space="preserve"> </w:t>
      </w:r>
      <w:r w:rsidR="00EC3CBE" w:rsidRPr="0092670C">
        <w:rPr>
          <w:rFonts w:ascii="Arial" w:hAnsi="Arial" w:cs="Arial"/>
        </w:rPr>
        <w:t xml:space="preserve">pre-sodiating </w:t>
      </w:r>
      <w:r w:rsidR="00B06B9F" w:rsidRPr="0092670C">
        <w:rPr>
          <w:rFonts w:ascii="Arial" w:hAnsi="Arial" w:cs="Arial"/>
        </w:rPr>
        <w:t>hard carbon</w:t>
      </w:r>
      <w:r w:rsidR="008553FE" w:rsidRPr="0092670C">
        <w:rPr>
          <w:rFonts w:ascii="Arial" w:hAnsi="Arial" w:cs="Arial"/>
        </w:rPr>
        <w:t xml:space="preserve">. </w:t>
      </w:r>
      <w:r w:rsidR="00014ED0" w:rsidRPr="0092670C">
        <w:rPr>
          <w:rFonts w:ascii="Arial" w:hAnsi="Arial" w:cs="Arial"/>
        </w:rPr>
        <w:t>Despite this s</w:t>
      </w:r>
      <w:r w:rsidR="00F42809" w:rsidRPr="0092670C">
        <w:rPr>
          <w:rFonts w:ascii="Arial" w:hAnsi="Arial" w:cs="Arial"/>
        </w:rPr>
        <w:t>everal trends ca</w:t>
      </w:r>
      <w:r w:rsidR="002B3573" w:rsidRPr="0092670C">
        <w:rPr>
          <w:rFonts w:ascii="Arial" w:hAnsi="Arial" w:cs="Arial"/>
        </w:rPr>
        <w:t xml:space="preserve">n </w:t>
      </w:r>
      <w:r w:rsidR="0056711A" w:rsidRPr="0092670C">
        <w:rPr>
          <w:rFonts w:ascii="Arial" w:hAnsi="Arial" w:cs="Arial"/>
        </w:rPr>
        <w:t xml:space="preserve">be seen in </w:t>
      </w:r>
      <w:r w:rsidR="005B2E51" w:rsidRPr="0092670C">
        <w:rPr>
          <w:rFonts w:ascii="Arial" w:hAnsi="Arial" w:cs="Arial"/>
        </w:rPr>
        <w:t xml:space="preserve">this data. </w:t>
      </w:r>
      <w:r w:rsidR="001F6621" w:rsidRPr="0092670C">
        <w:rPr>
          <w:rFonts w:ascii="Arial" w:hAnsi="Arial" w:cs="Arial"/>
        </w:rPr>
        <w:t xml:space="preserve">It is clear that pre-lithiation can improve </w:t>
      </w:r>
      <w:r w:rsidR="00CC204F" w:rsidRPr="0092670C">
        <w:rPr>
          <w:rFonts w:ascii="Arial" w:hAnsi="Arial" w:cs="Arial"/>
        </w:rPr>
        <w:t xml:space="preserve">both the </w:t>
      </w:r>
      <w:r w:rsidR="00940C83" w:rsidRPr="0092670C">
        <w:rPr>
          <w:rFonts w:ascii="Arial" w:hAnsi="Arial" w:cs="Arial"/>
        </w:rPr>
        <w:t>initial</w:t>
      </w:r>
      <w:r w:rsidR="00CC204F" w:rsidRPr="0092670C">
        <w:rPr>
          <w:rFonts w:ascii="Arial" w:hAnsi="Arial" w:cs="Arial"/>
        </w:rPr>
        <w:t xml:space="preserve"> capacity </w:t>
      </w:r>
      <w:r w:rsidR="00940C83" w:rsidRPr="0092670C">
        <w:rPr>
          <w:rFonts w:ascii="Arial" w:hAnsi="Arial" w:cs="Arial"/>
        </w:rPr>
        <w:t xml:space="preserve">and the </w:t>
      </w:r>
      <w:r w:rsidR="00282D70" w:rsidRPr="0092670C">
        <w:rPr>
          <w:rFonts w:ascii="Arial" w:hAnsi="Arial" w:cs="Arial"/>
        </w:rPr>
        <w:t>capacity retention of the cells</w:t>
      </w:r>
      <w:r w:rsidR="00F00DE0" w:rsidRPr="0092670C">
        <w:rPr>
          <w:rFonts w:ascii="Arial" w:hAnsi="Arial" w:cs="Arial"/>
        </w:rPr>
        <w:t xml:space="preserve">. </w:t>
      </w:r>
      <w:r w:rsidR="00E32AA2" w:rsidRPr="0092670C">
        <w:rPr>
          <w:rFonts w:ascii="Arial" w:hAnsi="Arial" w:cs="Arial"/>
        </w:rPr>
        <w:t xml:space="preserve">Despite this improvement </w:t>
      </w:r>
      <w:r w:rsidR="00A2785E" w:rsidRPr="0092670C">
        <w:rPr>
          <w:rFonts w:ascii="Arial" w:hAnsi="Arial" w:cs="Arial"/>
        </w:rPr>
        <w:t xml:space="preserve">the </w:t>
      </w:r>
      <w:r w:rsidR="00E343DC" w:rsidRPr="0092670C">
        <w:rPr>
          <w:rFonts w:ascii="Arial" w:hAnsi="Arial" w:cs="Arial"/>
        </w:rPr>
        <w:t>best performing cells that were pre-lithiated in FEC</w:t>
      </w:r>
      <w:r w:rsidR="00EC754C" w:rsidRPr="0092670C">
        <w:rPr>
          <w:rFonts w:ascii="Arial" w:hAnsi="Arial" w:cs="Arial"/>
        </w:rPr>
        <w:t xml:space="preserve"> (</w:t>
      </w:r>
      <w:r w:rsidR="00CB7B3A" w:rsidRPr="0092670C">
        <w:rPr>
          <w:rFonts w:ascii="Arial" w:hAnsi="Arial" w:cs="Arial"/>
        </w:rPr>
        <w:fldChar w:fldCharType="begin"/>
      </w:r>
      <w:r w:rsidR="00CB7B3A" w:rsidRPr="0092670C">
        <w:rPr>
          <w:rFonts w:ascii="Arial" w:hAnsi="Arial" w:cs="Arial"/>
        </w:rPr>
        <w:instrText xml:space="preserve"> REF _Ref30851873 \h </w:instrText>
      </w:r>
      <w:r w:rsidR="00624D75" w:rsidRPr="0092670C">
        <w:rPr>
          <w:rFonts w:ascii="Arial" w:hAnsi="Arial" w:cs="Arial"/>
        </w:rPr>
        <w:instrText xml:space="preserve"> \* MERGEFORMAT </w:instrText>
      </w:r>
      <w:r w:rsidR="00CB7B3A" w:rsidRPr="0092670C">
        <w:rPr>
          <w:rFonts w:ascii="Arial" w:hAnsi="Arial" w:cs="Arial"/>
        </w:rPr>
      </w:r>
      <w:r w:rsidR="00CB7B3A" w:rsidRPr="0092670C">
        <w:rPr>
          <w:rFonts w:ascii="Arial" w:hAnsi="Arial" w:cs="Arial"/>
        </w:rPr>
        <w:fldChar w:fldCharType="separate"/>
      </w:r>
      <w:r w:rsidR="00513F07" w:rsidRPr="00513F07">
        <w:rPr>
          <w:rFonts w:ascii="Arial" w:hAnsi="Arial" w:cs="Arial"/>
        </w:rPr>
        <w:t xml:space="preserve">Figure </w:t>
      </w:r>
      <w:r w:rsidR="00513F07" w:rsidRPr="00513F07">
        <w:rPr>
          <w:rFonts w:ascii="Arial" w:hAnsi="Arial" w:cs="Arial"/>
          <w:noProof/>
        </w:rPr>
        <w:t>6</w:t>
      </w:r>
      <w:r w:rsidR="00513F07" w:rsidRPr="00513F07">
        <w:rPr>
          <w:rFonts w:ascii="Arial" w:hAnsi="Arial" w:cs="Arial"/>
          <w:noProof/>
        </w:rPr>
        <w:noBreakHyphen/>
        <w:t>13</w:t>
      </w:r>
      <w:r w:rsidR="00CB7B3A" w:rsidRPr="0092670C">
        <w:rPr>
          <w:rFonts w:ascii="Arial" w:hAnsi="Arial" w:cs="Arial"/>
        </w:rPr>
        <w:fldChar w:fldCharType="end"/>
      </w:r>
      <w:r w:rsidR="00CB7B3A" w:rsidRPr="0092670C">
        <w:rPr>
          <w:rFonts w:ascii="Arial" w:hAnsi="Arial" w:cs="Arial"/>
        </w:rPr>
        <w:t>)</w:t>
      </w:r>
      <w:r w:rsidR="00E343DC" w:rsidRPr="0092670C">
        <w:rPr>
          <w:rFonts w:ascii="Arial" w:hAnsi="Arial" w:cs="Arial"/>
        </w:rPr>
        <w:t xml:space="preserve"> still have </w:t>
      </w:r>
      <w:r w:rsidR="00723D61" w:rsidRPr="0092670C">
        <w:rPr>
          <w:rFonts w:ascii="Arial" w:hAnsi="Arial" w:cs="Arial"/>
        </w:rPr>
        <w:t>a lower charge capacity and retention</w:t>
      </w:r>
      <w:r w:rsidR="006731BD" w:rsidRPr="0092670C">
        <w:rPr>
          <w:rFonts w:ascii="Arial" w:hAnsi="Arial" w:cs="Arial"/>
        </w:rPr>
        <w:t xml:space="preserve"> than the</w:t>
      </w:r>
      <w:r w:rsidR="00C0165B" w:rsidRPr="0092670C">
        <w:rPr>
          <w:rFonts w:ascii="Arial" w:hAnsi="Arial" w:cs="Arial"/>
        </w:rPr>
        <w:t xml:space="preserve"> LP30 variant seen</w:t>
      </w:r>
      <w:r w:rsidR="00CB7B3A" w:rsidRPr="0092670C">
        <w:rPr>
          <w:rFonts w:ascii="Arial" w:hAnsi="Arial" w:cs="Arial"/>
        </w:rPr>
        <w:t xml:space="preserve"> in </w:t>
      </w:r>
      <w:r w:rsidR="00CB7B3A" w:rsidRPr="0092670C">
        <w:rPr>
          <w:rFonts w:ascii="Arial" w:hAnsi="Arial" w:cs="Arial"/>
        </w:rPr>
        <w:fldChar w:fldCharType="begin"/>
      </w:r>
      <w:r w:rsidR="00CB7B3A" w:rsidRPr="0092670C">
        <w:rPr>
          <w:rFonts w:ascii="Arial" w:hAnsi="Arial" w:cs="Arial"/>
        </w:rPr>
        <w:instrText xml:space="preserve"> REF _Ref30851900 \h </w:instrText>
      </w:r>
      <w:r w:rsidR="00624D75" w:rsidRPr="0092670C">
        <w:rPr>
          <w:rFonts w:ascii="Arial" w:hAnsi="Arial" w:cs="Arial"/>
        </w:rPr>
        <w:instrText xml:space="preserve"> \* MERGEFORMAT </w:instrText>
      </w:r>
      <w:r w:rsidR="00CB7B3A" w:rsidRPr="0092670C">
        <w:rPr>
          <w:rFonts w:ascii="Arial" w:hAnsi="Arial" w:cs="Arial"/>
        </w:rPr>
      </w:r>
      <w:r w:rsidR="00CB7B3A" w:rsidRPr="0092670C">
        <w:rPr>
          <w:rFonts w:ascii="Arial" w:hAnsi="Arial" w:cs="Arial"/>
        </w:rPr>
        <w:fldChar w:fldCharType="separate"/>
      </w:r>
      <w:r w:rsidR="00513F07" w:rsidRPr="00513F07">
        <w:rPr>
          <w:rFonts w:ascii="Arial" w:hAnsi="Arial" w:cs="Arial"/>
        </w:rPr>
        <w:t xml:space="preserve">Figure </w:t>
      </w:r>
      <w:r w:rsidR="00513F07" w:rsidRPr="00513F07">
        <w:rPr>
          <w:rFonts w:ascii="Arial" w:hAnsi="Arial" w:cs="Arial"/>
          <w:noProof/>
        </w:rPr>
        <w:t>6</w:t>
      </w:r>
      <w:r w:rsidR="00513F07" w:rsidRPr="00513F07">
        <w:rPr>
          <w:rFonts w:ascii="Arial" w:hAnsi="Arial" w:cs="Arial"/>
          <w:noProof/>
        </w:rPr>
        <w:noBreakHyphen/>
        <w:t>15</w:t>
      </w:r>
      <w:r w:rsidR="00CB7B3A" w:rsidRPr="0092670C">
        <w:rPr>
          <w:rFonts w:ascii="Arial" w:hAnsi="Arial" w:cs="Arial"/>
        </w:rPr>
        <w:fldChar w:fldCharType="end"/>
      </w:r>
      <w:r w:rsidR="00C0165B" w:rsidRPr="0092670C">
        <w:rPr>
          <w:rFonts w:ascii="Arial" w:hAnsi="Arial" w:cs="Arial"/>
        </w:rPr>
        <w:t xml:space="preserve">.  </w:t>
      </w:r>
      <w:r w:rsidR="00C30D2A" w:rsidRPr="0092670C">
        <w:rPr>
          <w:rFonts w:ascii="Arial" w:hAnsi="Arial" w:cs="Arial"/>
        </w:rPr>
        <w:t xml:space="preserve">This shows that pre-sodiating cells can be beneficial </w:t>
      </w:r>
      <w:r w:rsidR="0046139D" w:rsidRPr="0092670C">
        <w:rPr>
          <w:rFonts w:ascii="Arial" w:hAnsi="Arial" w:cs="Arial"/>
        </w:rPr>
        <w:t>even in non-ideal situations</w:t>
      </w:r>
      <w:r w:rsidR="00A95A1A" w:rsidRPr="0092670C">
        <w:rPr>
          <w:rFonts w:ascii="Arial" w:hAnsi="Arial" w:cs="Arial"/>
        </w:rPr>
        <w:t>.</w:t>
      </w:r>
      <w:r w:rsidR="0046139D" w:rsidRPr="0092670C">
        <w:rPr>
          <w:rFonts w:ascii="Arial" w:hAnsi="Arial" w:cs="Arial"/>
        </w:rPr>
        <w:t xml:space="preserve"> </w:t>
      </w:r>
    </w:p>
    <w:p w14:paraId="5FF0D691" w14:textId="77777777" w:rsidR="00FE3CC1" w:rsidRPr="0092670C" w:rsidRDefault="0067644A" w:rsidP="00FE3CC1">
      <w:pPr>
        <w:keepNext/>
        <w:jc w:val="center"/>
        <w:rPr>
          <w:rFonts w:ascii="Arial" w:hAnsi="Arial" w:cs="Arial"/>
        </w:rPr>
      </w:pPr>
      <w:r w:rsidRPr="0092670C">
        <w:rPr>
          <w:rFonts w:ascii="Arial" w:hAnsi="Arial" w:cs="Arial"/>
          <w:noProof/>
        </w:rPr>
      </w:r>
      <w:r w:rsidR="0067644A" w:rsidRPr="0092670C">
        <w:rPr>
          <w:rFonts w:ascii="Arial" w:hAnsi="Arial" w:cs="Arial"/>
          <w:noProof/>
        </w:rPr>
        <w:object w:dxaOrig="6180" w:dyaOrig="4729" w14:anchorId="2F00502C">
          <v:shape id="_x0000_i1145" type="#_x0000_t75" style="width:312.1pt;height:240.1pt" o:ole="">
            <v:imagedata r:id="rId299" o:title=""/>
          </v:shape>
          <o:OLEObject Type="Embed" ProgID="Origin95.Graph" ShapeID="_x0000_i1145" DrawAspect="Content" ObjectID="_1700734034" r:id="rId300"/>
        </w:object>
      </w:r>
    </w:p>
    <w:p w14:paraId="21DF50FF" w14:textId="1F188F61" w:rsidR="00B96622" w:rsidRPr="0092670C" w:rsidRDefault="00FE3CC1" w:rsidP="00FE3CC1">
      <w:pPr>
        <w:pStyle w:val="Caption"/>
        <w:jc w:val="center"/>
        <w:rPr>
          <w:rFonts w:ascii="Arial" w:hAnsi="Arial" w:cs="Arial"/>
          <w:sz w:val="20"/>
          <w:szCs w:val="20"/>
        </w:rPr>
      </w:pPr>
      <w:bookmarkStart w:id="318" w:name="_Ref30851873"/>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ED0D2B">
        <w:rPr>
          <w:rFonts w:ascii="Arial" w:hAnsi="Arial" w:cs="Arial"/>
          <w:noProof/>
          <w:sz w:val="20"/>
          <w:szCs w:val="20"/>
        </w:rPr>
        <w:t>13</w:t>
      </w:r>
      <w:r w:rsidR="00356A26">
        <w:rPr>
          <w:rFonts w:ascii="Arial" w:hAnsi="Arial" w:cs="Arial"/>
          <w:sz w:val="20"/>
          <w:szCs w:val="20"/>
        </w:rPr>
        <w:fldChar w:fldCharType="end"/>
      </w:r>
      <w:bookmarkEnd w:id="318"/>
      <w:r w:rsidRPr="0092670C">
        <w:rPr>
          <w:rFonts w:ascii="Arial" w:hAnsi="Arial" w:cs="Arial"/>
          <w:sz w:val="20"/>
          <w:szCs w:val="20"/>
        </w:rPr>
        <w:t>: Capacity retention of cells pre-</w:t>
      </w:r>
      <w:r w:rsidR="00A81B6B">
        <w:rPr>
          <w:rFonts w:ascii="Arial" w:hAnsi="Arial" w:cs="Arial"/>
          <w:sz w:val="20"/>
          <w:szCs w:val="20"/>
        </w:rPr>
        <w:t>lithiated</w:t>
      </w:r>
      <w:r w:rsidRPr="0092670C">
        <w:rPr>
          <w:rFonts w:ascii="Arial" w:hAnsi="Arial" w:cs="Arial"/>
          <w:sz w:val="20"/>
          <w:szCs w:val="20"/>
        </w:rPr>
        <w:t xml:space="preserve"> in FEC</w:t>
      </w:r>
      <w:r w:rsidR="009C4B84" w:rsidRPr="0092670C">
        <w:rPr>
          <w:rFonts w:ascii="Arial" w:hAnsi="Arial" w:cs="Arial"/>
          <w:sz w:val="20"/>
          <w:szCs w:val="20"/>
        </w:rPr>
        <w:t>.</w:t>
      </w:r>
    </w:p>
    <w:p w14:paraId="0651DE37" w14:textId="77777777" w:rsidR="007E1DD3" w:rsidRDefault="00665516" w:rsidP="007E1DD3">
      <w:pPr>
        <w:keepNext/>
        <w:spacing w:line="360" w:lineRule="auto"/>
        <w:jc w:val="both"/>
        <w:rPr>
          <w:rFonts w:ascii="Arial" w:hAnsi="Arial" w:cs="Arial"/>
        </w:rPr>
      </w:pPr>
      <w:r w:rsidRPr="0092670C">
        <w:rPr>
          <w:rFonts w:ascii="Arial" w:hAnsi="Arial" w:cs="Arial"/>
        </w:rPr>
        <w:t>The cells pre-</w:t>
      </w:r>
      <w:r w:rsidR="00A53993" w:rsidRPr="0092670C">
        <w:rPr>
          <w:rFonts w:ascii="Arial" w:hAnsi="Arial" w:cs="Arial"/>
        </w:rPr>
        <w:t>sodiated</w:t>
      </w:r>
      <w:r w:rsidRPr="0092670C">
        <w:rPr>
          <w:rFonts w:ascii="Arial" w:hAnsi="Arial" w:cs="Arial"/>
        </w:rPr>
        <w:t xml:space="preserve"> in LP30 </w:t>
      </w:r>
      <w:r w:rsidR="003F5E6C" w:rsidRPr="0092670C">
        <w:rPr>
          <w:rFonts w:ascii="Arial" w:hAnsi="Arial" w:cs="Arial"/>
        </w:rPr>
        <w:t xml:space="preserve">have a </w:t>
      </w:r>
      <w:r w:rsidR="00C06E27" w:rsidRPr="0092670C">
        <w:rPr>
          <w:rFonts w:ascii="Arial" w:hAnsi="Arial" w:cs="Arial"/>
        </w:rPr>
        <w:t xml:space="preserve">more stable profile than that of their </w:t>
      </w:r>
      <w:r w:rsidR="00A02A4A" w:rsidRPr="0092670C">
        <w:rPr>
          <w:rFonts w:ascii="Arial" w:hAnsi="Arial" w:cs="Arial"/>
        </w:rPr>
        <w:t>FEC</w:t>
      </w:r>
      <w:r w:rsidR="00C06E27" w:rsidRPr="0092670C">
        <w:rPr>
          <w:rFonts w:ascii="Arial" w:hAnsi="Arial" w:cs="Arial"/>
        </w:rPr>
        <w:t xml:space="preserve"> counterparts. </w:t>
      </w:r>
      <w:r w:rsidR="00A02A4A" w:rsidRPr="0092670C">
        <w:rPr>
          <w:rFonts w:ascii="Arial" w:hAnsi="Arial" w:cs="Arial"/>
        </w:rPr>
        <w:t>The</w:t>
      </w:r>
      <w:r w:rsidR="00824795" w:rsidRPr="0092670C">
        <w:rPr>
          <w:rFonts w:ascii="Arial" w:hAnsi="Arial" w:cs="Arial"/>
        </w:rPr>
        <w:t xml:space="preserve"> trend</w:t>
      </w:r>
      <w:r w:rsidR="002156F8" w:rsidRPr="0092670C">
        <w:rPr>
          <w:rFonts w:ascii="Arial" w:hAnsi="Arial" w:cs="Arial"/>
        </w:rPr>
        <w:t>s</w:t>
      </w:r>
      <w:r w:rsidR="00824795" w:rsidRPr="0092670C">
        <w:rPr>
          <w:rFonts w:ascii="Arial" w:hAnsi="Arial" w:cs="Arial"/>
        </w:rPr>
        <w:t xml:space="preserve"> seen </w:t>
      </w:r>
      <w:r w:rsidR="003A0A4E" w:rsidRPr="0092670C">
        <w:rPr>
          <w:rFonts w:ascii="Arial" w:hAnsi="Arial" w:cs="Arial"/>
        </w:rPr>
        <w:t xml:space="preserve">again </w:t>
      </w:r>
      <w:r w:rsidR="005717D9" w:rsidRPr="0092670C">
        <w:rPr>
          <w:rFonts w:ascii="Arial" w:hAnsi="Arial" w:cs="Arial"/>
        </w:rPr>
        <w:t xml:space="preserve">suggests that </w:t>
      </w:r>
      <w:r w:rsidR="002156F8" w:rsidRPr="0092670C">
        <w:rPr>
          <w:rFonts w:ascii="Arial" w:hAnsi="Arial" w:cs="Arial"/>
        </w:rPr>
        <w:t xml:space="preserve">capacity retention </w:t>
      </w:r>
      <w:r w:rsidR="005717D9" w:rsidRPr="0092670C">
        <w:rPr>
          <w:rFonts w:ascii="Arial" w:hAnsi="Arial" w:cs="Arial"/>
        </w:rPr>
        <w:t xml:space="preserve">increases </w:t>
      </w:r>
      <w:r w:rsidR="000D6AD7" w:rsidRPr="0092670C">
        <w:rPr>
          <w:rFonts w:ascii="Arial" w:hAnsi="Arial" w:cs="Arial"/>
        </w:rPr>
        <w:t>with increasing pre-lithiation time</w:t>
      </w:r>
      <w:r w:rsidR="00D07B24" w:rsidRPr="0092670C">
        <w:rPr>
          <w:rFonts w:ascii="Arial" w:hAnsi="Arial" w:cs="Arial"/>
        </w:rPr>
        <w:t xml:space="preserve">, similarly to our earlier work with </w:t>
      </w:r>
      <w:r w:rsidR="00E57C94" w:rsidRPr="0092670C">
        <w:rPr>
          <w:rFonts w:ascii="Arial" w:hAnsi="Arial" w:cs="Arial"/>
        </w:rPr>
        <w:t xml:space="preserve">pre-lithiating </w:t>
      </w:r>
      <w:r w:rsidR="00B7781E" w:rsidRPr="0092670C">
        <w:rPr>
          <w:rFonts w:ascii="Arial" w:hAnsi="Arial" w:cs="Arial"/>
        </w:rPr>
        <w:t>graphite</w:t>
      </w:r>
      <w:r w:rsidR="000D6AD7" w:rsidRPr="0092670C">
        <w:rPr>
          <w:rFonts w:ascii="Arial" w:hAnsi="Arial" w:cs="Arial"/>
        </w:rPr>
        <w:t xml:space="preserve">. </w:t>
      </w:r>
      <w:r w:rsidR="00CB387A" w:rsidRPr="0092670C">
        <w:rPr>
          <w:rFonts w:ascii="Arial" w:hAnsi="Arial" w:cs="Arial"/>
        </w:rPr>
        <w:t xml:space="preserve">This </w:t>
      </w:r>
      <w:r w:rsidR="00F43864" w:rsidRPr="0092670C">
        <w:rPr>
          <w:rFonts w:ascii="Arial" w:hAnsi="Arial" w:cs="Arial"/>
        </w:rPr>
        <w:t xml:space="preserve">trend </w:t>
      </w:r>
      <w:r w:rsidR="00A34989" w:rsidRPr="0092670C">
        <w:rPr>
          <w:rFonts w:ascii="Arial" w:hAnsi="Arial" w:cs="Arial"/>
        </w:rPr>
        <w:t xml:space="preserve">peaks after 30 minutes of pre-lithiation </w:t>
      </w:r>
      <w:r w:rsidR="005973AE" w:rsidRPr="0092670C">
        <w:rPr>
          <w:rFonts w:ascii="Arial" w:hAnsi="Arial" w:cs="Arial"/>
        </w:rPr>
        <w:t>before cycl</w:t>
      </w:r>
      <w:r w:rsidR="00EC06EB" w:rsidRPr="0092670C">
        <w:rPr>
          <w:rFonts w:ascii="Arial" w:hAnsi="Arial" w:cs="Arial"/>
        </w:rPr>
        <w:t xml:space="preserve">ing. </w:t>
      </w:r>
      <w:r w:rsidR="008B67F5" w:rsidRPr="0092670C">
        <w:rPr>
          <w:rFonts w:ascii="Arial" w:hAnsi="Arial" w:cs="Arial"/>
        </w:rPr>
        <w:t xml:space="preserve">After this point the </w:t>
      </w:r>
      <w:r w:rsidR="00C06831" w:rsidRPr="0092670C">
        <w:rPr>
          <w:rFonts w:ascii="Arial" w:hAnsi="Arial" w:cs="Arial"/>
        </w:rPr>
        <w:t xml:space="preserve">capacity </w:t>
      </w:r>
      <w:r w:rsidR="00A53993" w:rsidRPr="0092670C">
        <w:rPr>
          <w:rFonts w:ascii="Arial" w:hAnsi="Arial" w:cs="Arial"/>
        </w:rPr>
        <w:t xml:space="preserve">fade </w:t>
      </w:r>
      <w:r w:rsidR="00C06831" w:rsidRPr="0092670C">
        <w:rPr>
          <w:rFonts w:ascii="Arial" w:hAnsi="Arial" w:cs="Arial"/>
        </w:rPr>
        <w:t xml:space="preserve">starts to increase again </w:t>
      </w:r>
      <w:r w:rsidR="00A53993" w:rsidRPr="0092670C">
        <w:rPr>
          <w:rFonts w:ascii="Arial" w:hAnsi="Arial" w:cs="Arial"/>
        </w:rPr>
        <w:t>although it is still superior to</w:t>
      </w:r>
      <w:r w:rsidR="006B1586" w:rsidRPr="0092670C">
        <w:rPr>
          <w:rFonts w:ascii="Arial" w:hAnsi="Arial" w:cs="Arial"/>
        </w:rPr>
        <w:t xml:space="preserve"> the cell that hasn’t been pre-lithiated.</w:t>
      </w:r>
    </w:p>
    <w:p w14:paraId="79016925" w14:textId="3F2840FC" w:rsidR="007E1DD3" w:rsidRPr="0092670C" w:rsidRDefault="006B1586" w:rsidP="007E1DD3">
      <w:pPr>
        <w:keepNext/>
        <w:spacing w:line="360" w:lineRule="auto"/>
        <w:jc w:val="center"/>
        <w:rPr>
          <w:rFonts w:ascii="Arial" w:hAnsi="Arial" w:cs="Arial"/>
        </w:rPr>
      </w:pPr>
      <w:r w:rsidRPr="0092670C">
        <w:rPr>
          <w:rFonts w:ascii="Arial" w:hAnsi="Arial" w:cs="Arial"/>
        </w:rPr>
        <w:t xml:space="preserve"> </w:t>
      </w:r>
      <w:r w:rsidR="0067644A" w:rsidRPr="0092670C">
        <w:rPr>
          <w:rFonts w:ascii="Arial" w:hAnsi="Arial" w:cs="Arial"/>
          <w:noProof/>
        </w:rPr>
      </w:r>
      <w:r w:rsidR="0067644A" w:rsidRPr="0092670C">
        <w:rPr>
          <w:rFonts w:ascii="Arial" w:hAnsi="Arial" w:cs="Arial"/>
          <w:noProof/>
        </w:rPr>
        <w:object w:dxaOrig="7252" w:dyaOrig="5569" w14:anchorId="2B29ADE8">
          <v:shape id="_x0000_i1146" type="#_x0000_t75" style="width:324.3pt;height:252pt" o:ole="">
            <v:imagedata r:id="rId301" o:title=""/>
          </v:shape>
          <o:OLEObject Type="Embed" ProgID="Origin95.Graph" ShapeID="_x0000_i1146" DrawAspect="Content" ObjectID="_1700734035" r:id="rId302"/>
        </w:object>
      </w:r>
    </w:p>
    <w:p w14:paraId="462B9A0E" w14:textId="03A39625" w:rsidR="007E1DD3" w:rsidRPr="006B4762" w:rsidRDefault="007E1DD3" w:rsidP="007E1DD3">
      <w:pPr>
        <w:spacing w:after="200" w:line="360" w:lineRule="auto"/>
        <w:jc w:val="center"/>
        <w:rPr>
          <w:rFonts w:ascii="Arial" w:hAnsi="Arial" w:cs="Arial"/>
          <w:i/>
          <w:iCs/>
          <w:color w:val="44546A" w:themeColor="text2"/>
          <w:sz w:val="20"/>
          <w:szCs w:val="20"/>
        </w:rPr>
      </w:pPr>
      <w:bookmarkStart w:id="319" w:name="_Ref30854904"/>
      <w:r w:rsidRPr="0092670C">
        <w:rPr>
          <w:rFonts w:ascii="Arial" w:hAnsi="Arial" w:cs="Arial"/>
          <w:i/>
          <w:iCs/>
          <w:color w:val="44546A" w:themeColor="text2"/>
          <w:sz w:val="20"/>
          <w:szCs w:val="20"/>
        </w:rPr>
        <w:t xml:space="preserve">Figure </w:t>
      </w:r>
      <w:r>
        <w:rPr>
          <w:rFonts w:ascii="Arial" w:hAnsi="Arial" w:cs="Arial"/>
          <w:i/>
          <w:iCs/>
          <w:color w:val="44546A" w:themeColor="text2"/>
          <w:sz w:val="20"/>
          <w:szCs w:val="20"/>
        </w:rPr>
        <w:fldChar w:fldCharType="begin"/>
      </w:r>
      <w:r>
        <w:rPr>
          <w:rFonts w:ascii="Arial" w:hAnsi="Arial" w:cs="Arial"/>
          <w:i/>
          <w:iCs/>
          <w:color w:val="44546A" w:themeColor="text2"/>
          <w:sz w:val="20"/>
          <w:szCs w:val="20"/>
        </w:rPr>
        <w:instrText xml:space="preserve"> STYLEREF 1 \s </w:instrText>
      </w:r>
      <w:r>
        <w:rPr>
          <w:rFonts w:ascii="Arial" w:hAnsi="Arial" w:cs="Arial"/>
          <w:i/>
          <w:iCs/>
          <w:color w:val="44546A" w:themeColor="text2"/>
          <w:sz w:val="20"/>
          <w:szCs w:val="20"/>
        </w:rPr>
        <w:fldChar w:fldCharType="separate"/>
      </w:r>
      <w:r w:rsidR="00ED0D2B">
        <w:rPr>
          <w:rFonts w:ascii="Arial" w:hAnsi="Arial" w:cs="Arial"/>
          <w:i/>
          <w:iCs/>
          <w:noProof/>
          <w:color w:val="44546A" w:themeColor="text2"/>
          <w:sz w:val="20"/>
          <w:szCs w:val="20"/>
        </w:rPr>
        <w:t>6</w:t>
      </w:r>
      <w:r>
        <w:rPr>
          <w:rFonts w:ascii="Arial" w:hAnsi="Arial" w:cs="Arial"/>
          <w:i/>
          <w:iCs/>
          <w:color w:val="44546A" w:themeColor="text2"/>
          <w:sz w:val="20"/>
          <w:szCs w:val="20"/>
        </w:rPr>
        <w:fldChar w:fldCharType="end"/>
      </w:r>
      <w:r>
        <w:rPr>
          <w:rFonts w:ascii="Arial" w:hAnsi="Arial" w:cs="Arial"/>
          <w:i/>
          <w:iCs/>
          <w:color w:val="44546A" w:themeColor="text2"/>
          <w:sz w:val="20"/>
          <w:szCs w:val="20"/>
        </w:rPr>
        <w:noBreakHyphen/>
      </w:r>
      <w:r>
        <w:rPr>
          <w:rFonts w:ascii="Arial" w:hAnsi="Arial" w:cs="Arial"/>
          <w:i/>
          <w:iCs/>
          <w:color w:val="44546A" w:themeColor="text2"/>
          <w:sz w:val="20"/>
          <w:szCs w:val="20"/>
        </w:rPr>
        <w:fldChar w:fldCharType="begin"/>
      </w:r>
      <w:r>
        <w:rPr>
          <w:rFonts w:ascii="Arial" w:hAnsi="Arial" w:cs="Arial"/>
          <w:i/>
          <w:iCs/>
          <w:color w:val="44546A" w:themeColor="text2"/>
          <w:sz w:val="20"/>
          <w:szCs w:val="20"/>
        </w:rPr>
        <w:instrText xml:space="preserve"> SEQ Figure \* ARABIC \s 1 </w:instrText>
      </w:r>
      <w:r>
        <w:rPr>
          <w:rFonts w:ascii="Arial" w:hAnsi="Arial" w:cs="Arial"/>
          <w:i/>
          <w:iCs/>
          <w:color w:val="44546A" w:themeColor="text2"/>
          <w:sz w:val="20"/>
          <w:szCs w:val="20"/>
        </w:rPr>
        <w:fldChar w:fldCharType="separate"/>
      </w:r>
      <w:r w:rsidR="00ED0D2B">
        <w:rPr>
          <w:rFonts w:ascii="Arial" w:hAnsi="Arial" w:cs="Arial"/>
          <w:i/>
          <w:iCs/>
          <w:noProof/>
          <w:color w:val="44546A" w:themeColor="text2"/>
          <w:sz w:val="20"/>
          <w:szCs w:val="20"/>
        </w:rPr>
        <w:t>14</w:t>
      </w:r>
      <w:r>
        <w:rPr>
          <w:rFonts w:ascii="Arial" w:hAnsi="Arial" w:cs="Arial"/>
          <w:i/>
          <w:iCs/>
          <w:color w:val="44546A" w:themeColor="text2"/>
          <w:sz w:val="20"/>
          <w:szCs w:val="20"/>
        </w:rPr>
        <w:fldChar w:fldCharType="end"/>
      </w:r>
      <w:bookmarkEnd w:id="319"/>
      <w:r w:rsidRPr="0092670C">
        <w:rPr>
          <w:rFonts w:ascii="Arial" w:hAnsi="Arial" w:cs="Arial"/>
          <w:i/>
          <w:iCs/>
          <w:color w:val="44546A" w:themeColor="text2"/>
          <w:sz w:val="20"/>
          <w:szCs w:val="20"/>
        </w:rPr>
        <w:t>: Voltage Vs. pre-lithiation time demonstrating a voltage plateau around 1.3</w:t>
      </w:r>
      <w:r>
        <w:rPr>
          <w:rFonts w:ascii="Arial" w:hAnsi="Arial" w:cs="Arial"/>
          <w:i/>
          <w:iCs/>
          <w:color w:val="44546A" w:themeColor="text2"/>
          <w:sz w:val="20"/>
          <w:szCs w:val="20"/>
        </w:rPr>
        <w:t xml:space="preserve"> </w:t>
      </w:r>
      <w:r w:rsidRPr="0092670C">
        <w:rPr>
          <w:rFonts w:ascii="Arial" w:hAnsi="Arial" w:cs="Arial"/>
          <w:i/>
          <w:iCs/>
          <w:color w:val="44546A" w:themeColor="text2"/>
          <w:sz w:val="20"/>
          <w:szCs w:val="20"/>
        </w:rPr>
        <w:t>V.</w:t>
      </w:r>
    </w:p>
    <w:p w14:paraId="024BF521" w14:textId="11C1D2A5" w:rsidR="00F31C98" w:rsidRPr="0092670C" w:rsidRDefault="00F31C98" w:rsidP="007B5442">
      <w:pPr>
        <w:spacing w:line="360" w:lineRule="auto"/>
        <w:jc w:val="both"/>
        <w:rPr>
          <w:rFonts w:ascii="Arial" w:hAnsi="Arial" w:cs="Arial"/>
        </w:rPr>
      </w:pPr>
    </w:p>
    <w:p w14:paraId="60941806" w14:textId="436EA81D" w:rsidR="00513F07" w:rsidRDefault="00513F07" w:rsidP="007B5442">
      <w:pPr>
        <w:spacing w:line="360" w:lineRule="auto"/>
        <w:jc w:val="both"/>
        <w:rPr>
          <w:rFonts w:ascii="Arial" w:hAnsi="Arial" w:cs="Arial"/>
        </w:rPr>
      </w:pPr>
      <w:r>
        <w:rPr>
          <w:rFonts w:ascii="Arial" w:hAnsi="Arial" w:cs="Arial"/>
        </w:rPr>
        <w:fldChar w:fldCharType="begin"/>
      </w:r>
      <w:r>
        <w:rPr>
          <w:rFonts w:ascii="Arial" w:hAnsi="Arial" w:cs="Arial"/>
        </w:rPr>
        <w:instrText xml:space="preserve"> REF _Ref30854904 \h </w:instrText>
      </w:r>
      <w:r>
        <w:rPr>
          <w:rFonts w:ascii="Arial" w:hAnsi="Arial" w:cs="Arial"/>
        </w:rPr>
      </w:r>
      <w:r>
        <w:rPr>
          <w:rFonts w:ascii="Arial" w:hAnsi="Arial" w:cs="Arial"/>
        </w:rPr>
        <w:fldChar w:fldCharType="separate"/>
      </w:r>
      <w:r w:rsidRPr="0092670C">
        <w:rPr>
          <w:rFonts w:ascii="Arial" w:hAnsi="Arial" w:cs="Arial"/>
          <w:i/>
          <w:iCs/>
          <w:color w:val="44546A" w:themeColor="text2"/>
          <w:sz w:val="20"/>
          <w:szCs w:val="20"/>
        </w:rPr>
        <w:t xml:space="preserve">Figure </w:t>
      </w:r>
      <w:r>
        <w:rPr>
          <w:rFonts w:ascii="Arial" w:hAnsi="Arial" w:cs="Arial"/>
          <w:i/>
          <w:iCs/>
          <w:noProof/>
          <w:color w:val="44546A" w:themeColor="text2"/>
          <w:sz w:val="20"/>
          <w:szCs w:val="20"/>
        </w:rPr>
        <w:t>6</w:t>
      </w:r>
      <w:r>
        <w:rPr>
          <w:rFonts w:ascii="Arial" w:hAnsi="Arial" w:cs="Arial"/>
          <w:i/>
          <w:iCs/>
          <w:color w:val="44546A" w:themeColor="text2"/>
          <w:sz w:val="20"/>
          <w:szCs w:val="20"/>
        </w:rPr>
        <w:noBreakHyphen/>
      </w:r>
      <w:r>
        <w:rPr>
          <w:rFonts w:ascii="Arial" w:hAnsi="Arial" w:cs="Arial"/>
          <w:i/>
          <w:iCs/>
          <w:noProof/>
          <w:color w:val="44546A" w:themeColor="text2"/>
          <w:sz w:val="20"/>
          <w:szCs w:val="20"/>
        </w:rPr>
        <w:t>14</w:t>
      </w:r>
      <w:r>
        <w:rPr>
          <w:rFonts w:ascii="Arial" w:hAnsi="Arial" w:cs="Arial"/>
        </w:rPr>
        <w:fldChar w:fldCharType="end"/>
      </w:r>
      <w:r w:rsidR="004138AE">
        <w:rPr>
          <w:rFonts w:ascii="Arial" w:hAnsi="Arial" w:cs="Arial"/>
        </w:rPr>
        <w:t xml:space="preserve"> shows </w:t>
      </w:r>
      <w:r w:rsidR="005875B6">
        <w:rPr>
          <w:rFonts w:ascii="Arial" w:hAnsi="Arial" w:cs="Arial"/>
        </w:rPr>
        <w:t xml:space="preserve">pre-lithiation causing a </w:t>
      </w:r>
      <w:r w:rsidR="00396418">
        <w:rPr>
          <w:rFonts w:ascii="Arial" w:hAnsi="Arial" w:cs="Arial"/>
        </w:rPr>
        <w:t xml:space="preserve">large </w:t>
      </w:r>
      <w:r w:rsidR="00A70DE8">
        <w:rPr>
          <w:rFonts w:ascii="Arial" w:hAnsi="Arial" w:cs="Arial"/>
        </w:rPr>
        <w:t>a decrease in the voltage of the cell with a plateau visible aro</w:t>
      </w:r>
      <w:r w:rsidR="0041152F">
        <w:rPr>
          <w:rFonts w:ascii="Arial" w:hAnsi="Arial" w:cs="Arial"/>
        </w:rPr>
        <w:t xml:space="preserve">und 1.3V. After 30 minutes of pre-lithiation there is a visible increase in the </w:t>
      </w:r>
      <w:r w:rsidR="005979ED">
        <w:rPr>
          <w:rFonts w:ascii="Arial" w:hAnsi="Arial" w:cs="Arial"/>
        </w:rPr>
        <w:t xml:space="preserve">OCV of the cell. </w:t>
      </w:r>
      <w:r w:rsidR="006B2E86">
        <w:rPr>
          <w:rFonts w:ascii="Arial" w:hAnsi="Arial" w:cs="Arial"/>
        </w:rPr>
        <w:t xml:space="preserve">We </w:t>
      </w:r>
      <w:r w:rsidR="006546AD">
        <w:rPr>
          <w:rFonts w:ascii="Arial" w:hAnsi="Arial" w:cs="Arial"/>
        </w:rPr>
        <w:t xml:space="preserve">know that the resistance of the pre-lithiated cells increased </w:t>
      </w:r>
      <w:r w:rsidR="00AE775E">
        <w:rPr>
          <w:rFonts w:ascii="Arial" w:hAnsi="Arial" w:cs="Arial"/>
        </w:rPr>
        <w:t>substantially after longer periods</w:t>
      </w:r>
      <w:r w:rsidR="0077791E">
        <w:rPr>
          <w:rFonts w:ascii="Arial" w:hAnsi="Arial" w:cs="Arial"/>
        </w:rPr>
        <w:t xml:space="preserve"> </w:t>
      </w:r>
      <w:r w:rsidR="001354DF">
        <w:rPr>
          <w:rFonts w:ascii="Arial" w:hAnsi="Arial" w:cs="Arial"/>
        </w:rPr>
        <w:t>of pre-lithiation</w:t>
      </w:r>
      <w:r w:rsidR="00AC5A23">
        <w:rPr>
          <w:rFonts w:ascii="Arial" w:hAnsi="Arial" w:cs="Arial"/>
        </w:rPr>
        <w:t xml:space="preserve">, which raises the </w:t>
      </w:r>
      <w:r w:rsidR="00232F85">
        <w:rPr>
          <w:rFonts w:ascii="Arial" w:hAnsi="Arial" w:cs="Arial"/>
        </w:rPr>
        <w:t xml:space="preserve">OCV of the cell at rest due to the overpotential. </w:t>
      </w:r>
    </w:p>
    <w:p w14:paraId="443C0437" w14:textId="0A89B93D" w:rsidR="002A1BE7" w:rsidRPr="0092670C" w:rsidRDefault="002A1BE7" w:rsidP="007B5442">
      <w:pPr>
        <w:spacing w:line="360" w:lineRule="auto"/>
        <w:jc w:val="both"/>
        <w:rPr>
          <w:rFonts w:ascii="Arial" w:hAnsi="Arial" w:cs="Arial"/>
        </w:rPr>
      </w:pPr>
      <w:r w:rsidRPr="0092670C">
        <w:rPr>
          <w:rFonts w:ascii="Arial" w:hAnsi="Arial" w:cs="Arial"/>
        </w:rPr>
        <w:t xml:space="preserve">Whilst the </w:t>
      </w:r>
      <w:r w:rsidR="00000CA3" w:rsidRPr="0092670C">
        <w:rPr>
          <w:rFonts w:ascii="Arial" w:hAnsi="Arial" w:cs="Arial"/>
        </w:rPr>
        <w:t xml:space="preserve">improvements to </w:t>
      </w:r>
      <w:r w:rsidR="001B32B1" w:rsidRPr="0092670C">
        <w:rPr>
          <w:rFonts w:ascii="Arial" w:hAnsi="Arial" w:cs="Arial"/>
        </w:rPr>
        <w:t xml:space="preserve">capacity retention are substantial </w:t>
      </w:r>
      <w:r w:rsidR="002103BD" w:rsidRPr="0092670C">
        <w:rPr>
          <w:rFonts w:ascii="Arial" w:hAnsi="Arial" w:cs="Arial"/>
        </w:rPr>
        <w:t xml:space="preserve">there is still </w:t>
      </w:r>
      <w:r w:rsidR="00C10371" w:rsidRPr="0092670C">
        <w:rPr>
          <w:rFonts w:ascii="Arial" w:hAnsi="Arial" w:cs="Arial"/>
        </w:rPr>
        <w:t xml:space="preserve">some capacity fade </w:t>
      </w:r>
      <w:r w:rsidR="00A528CD" w:rsidRPr="0092670C">
        <w:rPr>
          <w:rFonts w:ascii="Arial" w:hAnsi="Arial" w:cs="Arial"/>
        </w:rPr>
        <w:t xml:space="preserve">that </w:t>
      </w:r>
      <w:r w:rsidR="00AF196F" w:rsidRPr="0092670C">
        <w:rPr>
          <w:rFonts w:ascii="Arial" w:hAnsi="Arial" w:cs="Arial"/>
        </w:rPr>
        <w:t xml:space="preserve">puts these cells at a disadvantage to </w:t>
      </w:r>
      <w:r w:rsidR="00F70651" w:rsidRPr="0092670C">
        <w:rPr>
          <w:rFonts w:ascii="Arial" w:hAnsi="Arial" w:cs="Arial"/>
        </w:rPr>
        <w:t xml:space="preserve">the cells </w:t>
      </w:r>
      <w:r w:rsidR="00EB70F9" w:rsidRPr="0092670C">
        <w:rPr>
          <w:rFonts w:ascii="Arial" w:hAnsi="Arial" w:cs="Arial"/>
        </w:rPr>
        <w:t>that have been pre-lithiated</w:t>
      </w:r>
      <w:r w:rsidR="008B0D87" w:rsidRPr="0092670C">
        <w:rPr>
          <w:rFonts w:ascii="Arial" w:hAnsi="Arial" w:cs="Arial"/>
        </w:rPr>
        <w:t xml:space="preserve"> </w:t>
      </w:r>
      <w:r w:rsidR="005D061A" w:rsidRPr="0092670C">
        <w:rPr>
          <w:rFonts w:ascii="Arial" w:hAnsi="Arial" w:cs="Arial"/>
        </w:rPr>
        <w:t xml:space="preserve">which show almost no capacity fade. </w:t>
      </w:r>
    </w:p>
    <w:p w14:paraId="386CBB07" w14:textId="77777777" w:rsidR="00FE3CC1" w:rsidRPr="0092670C" w:rsidRDefault="0067644A" w:rsidP="00FE3CC1">
      <w:pPr>
        <w:keepNext/>
        <w:jc w:val="center"/>
        <w:rPr>
          <w:rFonts w:ascii="Arial" w:hAnsi="Arial" w:cs="Arial"/>
        </w:rPr>
      </w:pPr>
      <w:r w:rsidRPr="0092670C">
        <w:rPr>
          <w:rFonts w:ascii="Arial" w:hAnsi="Arial" w:cs="Arial"/>
          <w:noProof/>
        </w:rPr>
      </w:r>
      <w:r w:rsidR="0067644A" w:rsidRPr="0092670C">
        <w:rPr>
          <w:rFonts w:ascii="Arial" w:hAnsi="Arial" w:cs="Arial"/>
          <w:noProof/>
        </w:rPr>
        <w:object w:dxaOrig="6180" w:dyaOrig="4729" w14:anchorId="34CC9CBD">
          <v:shape id="_x0000_i1147" type="#_x0000_t75" style="width:312.1pt;height:240.1pt" o:ole="">
            <v:imagedata r:id="rId303" o:title=""/>
          </v:shape>
          <o:OLEObject Type="Embed" ProgID="Origin95.Graph" ShapeID="_x0000_i1147" DrawAspect="Content" ObjectID="_1700734036" r:id="rId304"/>
        </w:object>
      </w:r>
    </w:p>
    <w:p w14:paraId="3624EAFA" w14:textId="09982C81" w:rsidR="00CD41C2" w:rsidRPr="0092670C" w:rsidRDefault="00FE3CC1" w:rsidP="00FE3CC1">
      <w:pPr>
        <w:pStyle w:val="Caption"/>
        <w:jc w:val="center"/>
        <w:rPr>
          <w:rFonts w:ascii="Arial" w:hAnsi="Arial" w:cs="Arial"/>
          <w:sz w:val="20"/>
          <w:szCs w:val="20"/>
        </w:rPr>
      </w:pPr>
      <w:bookmarkStart w:id="320" w:name="_Ref30851900"/>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15</w:t>
      </w:r>
      <w:r w:rsidR="00356A26">
        <w:rPr>
          <w:rFonts w:ascii="Arial" w:hAnsi="Arial" w:cs="Arial"/>
          <w:sz w:val="20"/>
          <w:szCs w:val="20"/>
        </w:rPr>
        <w:fldChar w:fldCharType="end"/>
      </w:r>
      <w:bookmarkEnd w:id="320"/>
      <w:r w:rsidRPr="0092670C">
        <w:rPr>
          <w:rFonts w:ascii="Arial" w:hAnsi="Arial" w:cs="Arial"/>
          <w:sz w:val="20"/>
          <w:szCs w:val="20"/>
        </w:rPr>
        <w:t xml:space="preserve">: Capacity retention of cells pre-sodiated in </w:t>
      </w:r>
      <w:r w:rsidR="00537D48" w:rsidRPr="0092670C">
        <w:rPr>
          <w:rFonts w:ascii="Arial" w:hAnsi="Arial" w:cs="Arial"/>
          <w:sz w:val="20"/>
          <w:szCs w:val="20"/>
        </w:rPr>
        <w:t>electrolyte not containing FEC</w:t>
      </w:r>
      <w:r w:rsidR="00906BC9" w:rsidRPr="0092670C">
        <w:rPr>
          <w:rFonts w:ascii="Arial" w:hAnsi="Arial" w:cs="Arial"/>
          <w:sz w:val="20"/>
          <w:szCs w:val="20"/>
        </w:rPr>
        <w:t>.</w:t>
      </w:r>
    </w:p>
    <w:p w14:paraId="642A798B" w14:textId="24DA12D1" w:rsidR="006B4762" w:rsidRPr="0092670C" w:rsidRDefault="0067644A" w:rsidP="006B4762">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27C5A3D2">
          <v:shape id="_x0000_i1148" type="#_x0000_t75" style="width:311.8pt;height:240.1pt" o:ole="">
            <v:imagedata r:id="rId305" o:title=""/>
          </v:shape>
          <o:OLEObject Type="Embed" ProgID="Origin95.Graph" ShapeID="_x0000_i1148" DrawAspect="Content" ObjectID="_1700734037" r:id="rId306"/>
        </w:object>
      </w:r>
    </w:p>
    <w:p w14:paraId="4C85AF10" w14:textId="51BEF9CA" w:rsidR="006B4762" w:rsidRPr="0092670C" w:rsidRDefault="006B4762" w:rsidP="006B4762">
      <w:pPr>
        <w:pStyle w:val="Caption"/>
        <w:jc w:val="center"/>
        <w:rPr>
          <w:rFonts w:ascii="Arial" w:hAnsi="Arial" w:cs="Arial"/>
          <w:sz w:val="20"/>
          <w:szCs w:val="20"/>
        </w:rPr>
      </w:pPr>
      <w:bookmarkStart w:id="321" w:name="_Ref30712260"/>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16</w:t>
      </w:r>
      <w:r w:rsidR="00356A26">
        <w:rPr>
          <w:rFonts w:ascii="Arial" w:hAnsi="Arial" w:cs="Arial"/>
          <w:sz w:val="20"/>
          <w:szCs w:val="20"/>
        </w:rPr>
        <w:fldChar w:fldCharType="end"/>
      </w:r>
      <w:bookmarkEnd w:id="321"/>
      <w:r w:rsidRPr="0092670C">
        <w:rPr>
          <w:rFonts w:ascii="Arial" w:hAnsi="Arial" w:cs="Arial"/>
          <w:sz w:val="20"/>
          <w:szCs w:val="20"/>
        </w:rPr>
        <w:t>: Cell voltage with increasing pre-sodiation time.</w:t>
      </w:r>
    </w:p>
    <w:p w14:paraId="3F99C7A3" w14:textId="784697BC" w:rsidR="006B4762" w:rsidRPr="0092670C" w:rsidRDefault="006B4762" w:rsidP="006B4762">
      <w:pPr>
        <w:spacing w:line="360" w:lineRule="auto"/>
        <w:jc w:val="both"/>
        <w:rPr>
          <w:rFonts w:ascii="Arial" w:hAnsi="Arial" w:cs="Arial"/>
        </w:rPr>
      </w:pPr>
      <w:r w:rsidRPr="0092670C">
        <w:rPr>
          <w:rFonts w:ascii="Arial" w:hAnsi="Arial" w:cs="Arial"/>
        </w:rPr>
        <w:t xml:space="preserve">The decrease in charge capacity seen after the sharp maxima in </w:t>
      </w:r>
      <w:r w:rsidRPr="00086400">
        <w:rPr>
          <w:rFonts w:ascii="Arial" w:hAnsi="Arial" w:cs="Arial"/>
        </w:rPr>
        <w:fldChar w:fldCharType="begin"/>
      </w:r>
      <w:r w:rsidRPr="00086400">
        <w:rPr>
          <w:rFonts w:ascii="Arial" w:hAnsi="Arial" w:cs="Arial"/>
        </w:rPr>
        <w:instrText xml:space="preserve"> REF _Ref30712134 \h  \* MERGEFORMAT </w:instrText>
      </w:r>
      <w:r w:rsidRPr="00086400">
        <w:rPr>
          <w:rFonts w:ascii="Arial" w:hAnsi="Arial" w:cs="Arial"/>
        </w:rPr>
      </w:r>
      <w:r w:rsidRPr="00086400">
        <w:rPr>
          <w:rFonts w:ascii="Arial" w:hAnsi="Arial" w:cs="Arial"/>
        </w:rPr>
        <w:fldChar w:fldCharType="separate"/>
      </w:r>
      <w:r w:rsidR="007F598A" w:rsidRPr="007F598A">
        <w:rPr>
          <w:rFonts w:ascii="Arial" w:hAnsi="Arial" w:cs="Arial"/>
        </w:rPr>
        <w:t xml:space="preserve">Figure </w:t>
      </w:r>
      <w:r w:rsidR="007F598A" w:rsidRPr="007F598A">
        <w:rPr>
          <w:rFonts w:ascii="Arial" w:hAnsi="Arial" w:cs="Arial"/>
          <w:noProof/>
        </w:rPr>
        <w:t>6</w:t>
      </w:r>
      <w:r w:rsidR="007F598A" w:rsidRPr="007F598A">
        <w:rPr>
          <w:rFonts w:ascii="Arial" w:hAnsi="Arial" w:cs="Arial"/>
          <w:noProof/>
        </w:rPr>
        <w:noBreakHyphen/>
        <w:t>19</w:t>
      </w:r>
      <w:r w:rsidRPr="00086400">
        <w:rPr>
          <w:rFonts w:ascii="Arial" w:hAnsi="Arial" w:cs="Arial"/>
        </w:rPr>
        <w:fldChar w:fldCharType="end"/>
      </w:r>
      <w:r w:rsidRPr="00086400">
        <w:rPr>
          <w:rFonts w:ascii="Arial" w:hAnsi="Arial" w:cs="Arial"/>
          <w:sz w:val="28"/>
          <w:szCs w:val="28"/>
        </w:rPr>
        <w:t xml:space="preserve"> </w:t>
      </w:r>
      <w:r w:rsidRPr="0092670C">
        <w:rPr>
          <w:rFonts w:ascii="Arial" w:hAnsi="Arial" w:cs="Arial"/>
        </w:rPr>
        <w:t xml:space="preserve">is a result of the sodium starting to react with the hard carbon. This is confirmed with the plateau in the pre-sodiation voltage, shown in </w:t>
      </w:r>
      <w:r w:rsidRPr="0092670C">
        <w:rPr>
          <w:rFonts w:ascii="Arial" w:hAnsi="Arial" w:cs="Arial"/>
        </w:rPr>
        <w:fldChar w:fldCharType="begin"/>
      </w:r>
      <w:r w:rsidRPr="0092670C">
        <w:rPr>
          <w:rFonts w:ascii="Arial" w:hAnsi="Arial" w:cs="Arial"/>
        </w:rPr>
        <w:instrText xml:space="preserve"> REF _Ref30712260 \h  \* MERGEFORMAT </w:instrText>
      </w:r>
      <w:r w:rsidRPr="0092670C">
        <w:rPr>
          <w:rFonts w:ascii="Arial" w:hAnsi="Arial" w:cs="Arial"/>
        </w:rPr>
      </w:r>
      <w:r w:rsidRPr="0092670C">
        <w:rPr>
          <w:rFonts w:ascii="Arial" w:hAnsi="Arial" w:cs="Arial"/>
        </w:rPr>
        <w:fldChar w:fldCharType="separate"/>
      </w:r>
      <w:r w:rsidR="00FC6D83" w:rsidRPr="00FC6D83">
        <w:rPr>
          <w:rFonts w:ascii="Arial" w:hAnsi="Arial" w:cs="Arial"/>
        </w:rPr>
        <w:t xml:space="preserve">Figure </w:t>
      </w:r>
      <w:r w:rsidR="00FC6D83" w:rsidRPr="00FC6D83">
        <w:rPr>
          <w:rFonts w:ascii="Arial" w:hAnsi="Arial" w:cs="Arial"/>
          <w:noProof/>
        </w:rPr>
        <w:t>6</w:t>
      </w:r>
      <w:r w:rsidR="00FC6D83" w:rsidRPr="00FC6D83">
        <w:rPr>
          <w:rFonts w:ascii="Arial" w:hAnsi="Arial" w:cs="Arial"/>
          <w:noProof/>
        </w:rPr>
        <w:noBreakHyphen/>
        <w:t>16</w:t>
      </w:r>
      <w:r w:rsidRPr="0092670C">
        <w:rPr>
          <w:rFonts w:ascii="Arial" w:hAnsi="Arial" w:cs="Arial"/>
        </w:rPr>
        <w:fldChar w:fldCharType="end"/>
      </w:r>
      <w:r w:rsidRPr="0092670C">
        <w:rPr>
          <w:rFonts w:ascii="Arial" w:hAnsi="Arial" w:cs="Arial"/>
        </w:rPr>
        <w:t xml:space="preserve">. This plateau is much higher than that seen in graphite pre-lithiation. This is due to the different reaction mechanisms between hard carbon and graphite. </w:t>
      </w:r>
    </w:p>
    <w:p w14:paraId="08166FB6" w14:textId="1FD06082" w:rsidR="00D97129" w:rsidRPr="0092670C" w:rsidRDefault="00D97129" w:rsidP="00F64EF4">
      <w:pPr>
        <w:spacing w:line="360" w:lineRule="auto"/>
        <w:jc w:val="both"/>
        <w:rPr>
          <w:rFonts w:ascii="Arial" w:hAnsi="Arial" w:cs="Arial"/>
        </w:rPr>
      </w:pPr>
      <w:r w:rsidRPr="0092670C">
        <w:rPr>
          <w:rFonts w:ascii="Arial" w:hAnsi="Arial" w:cs="Arial"/>
        </w:rPr>
        <w:t xml:space="preserve">EIS can give us an insight into how the </w:t>
      </w:r>
      <w:r w:rsidR="00BF3AB3" w:rsidRPr="0092670C">
        <w:rPr>
          <w:rFonts w:ascii="Arial" w:hAnsi="Arial" w:cs="Arial"/>
        </w:rPr>
        <w:t xml:space="preserve">Na-SEI develops over the cycle life of the cell </w:t>
      </w:r>
      <w:r w:rsidR="00F64EF4" w:rsidRPr="0092670C">
        <w:rPr>
          <w:rFonts w:ascii="Arial" w:hAnsi="Arial" w:cs="Arial"/>
        </w:rPr>
        <w:t>and how pre-</w:t>
      </w:r>
      <w:r w:rsidR="0082276E">
        <w:rPr>
          <w:rFonts w:ascii="Arial" w:hAnsi="Arial" w:cs="Arial"/>
        </w:rPr>
        <w:t>lithiation</w:t>
      </w:r>
      <w:r w:rsidR="00477BCE" w:rsidRPr="0092670C">
        <w:rPr>
          <w:rFonts w:ascii="Arial" w:hAnsi="Arial" w:cs="Arial"/>
        </w:rPr>
        <w:t xml:space="preserve"> affects </w:t>
      </w:r>
      <w:r w:rsidR="00CA7CB6" w:rsidRPr="0092670C">
        <w:rPr>
          <w:rFonts w:ascii="Arial" w:hAnsi="Arial" w:cs="Arial"/>
        </w:rPr>
        <w:t xml:space="preserve">this process. </w:t>
      </w:r>
      <w:r w:rsidR="00F64EF4" w:rsidRPr="0092670C">
        <w:rPr>
          <w:rFonts w:ascii="Arial" w:hAnsi="Arial" w:cs="Arial"/>
        </w:rPr>
        <w:t xml:space="preserve"> </w:t>
      </w:r>
      <w:r w:rsidR="00EB14D3" w:rsidRPr="0092670C">
        <w:rPr>
          <w:rFonts w:ascii="Arial" w:hAnsi="Arial" w:cs="Arial"/>
        </w:rPr>
        <w:t xml:space="preserve">As can be seen in </w:t>
      </w:r>
      <w:r w:rsidR="00EB14D3" w:rsidRPr="0092670C">
        <w:rPr>
          <w:rFonts w:ascii="Arial" w:hAnsi="Arial" w:cs="Arial"/>
        </w:rPr>
        <w:fldChar w:fldCharType="begin"/>
      </w:r>
      <w:r w:rsidR="00EB14D3" w:rsidRPr="0092670C">
        <w:rPr>
          <w:rFonts w:ascii="Arial" w:hAnsi="Arial" w:cs="Arial"/>
        </w:rPr>
        <w:instrText xml:space="preserve"> REF _Ref25778989 \h </w:instrText>
      </w:r>
      <w:r w:rsidR="00A568A0" w:rsidRPr="0092670C">
        <w:rPr>
          <w:rFonts w:ascii="Arial" w:hAnsi="Arial" w:cs="Arial"/>
        </w:rPr>
        <w:instrText xml:space="preserve"> \* MERGEFORMAT </w:instrText>
      </w:r>
      <w:r w:rsidR="00EB14D3" w:rsidRPr="0092670C">
        <w:rPr>
          <w:rFonts w:ascii="Arial" w:hAnsi="Arial" w:cs="Arial"/>
        </w:rPr>
      </w:r>
      <w:r w:rsidR="00EB14D3" w:rsidRPr="0092670C">
        <w:rPr>
          <w:rFonts w:ascii="Arial" w:hAnsi="Arial" w:cs="Arial"/>
        </w:rPr>
        <w:fldChar w:fldCharType="separate"/>
      </w:r>
      <w:r w:rsidR="007F598A" w:rsidRPr="007F598A">
        <w:rPr>
          <w:rFonts w:ascii="Arial" w:hAnsi="Arial" w:cs="Arial"/>
        </w:rPr>
        <w:t xml:space="preserve">Figure </w:t>
      </w:r>
      <w:r w:rsidR="007F598A" w:rsidRPr="007F598A">
        <w:rPr>
          <w:rFonts w:ascii="Arial" w:hAnsi="Arial" w:cs="Arial"/>
          <w:noProof/>
        </w:rPr>
        <w:t>6</w:t>
      </w:r>
      <w:r w:rsidR="007F598A" w:rsidRPr="007F598A">
        <w:rPr>
          <w:rFonts w:ascii="Arial" w:hAnsi="Arial" w:cs="Arial"/>
          <w:noProof/>
        </w:rPr>
        <w:noBreakHyphen/>
        <w:t>17</w:t>
      </w:r>
      <w:r w:rsidR="00EB14D3" w:rsidRPr="0092670C">
        <w:rPr>
          <w:rFonts w:ascii="Arial" w:hAnsi="Arial" w:cs="Arial"/>
        </w:rPr>
        <w:fldChar w:fldCharType="end"/>
      </w:r>
      <w:r w:rsidR="00EB14D3" w:rsidRPr="0092670C">
        <w:rPr>
          <w:rFonts w:ascii="Arial" w:hAnsi="Arial" w:cs="Arial"/>
        </w:rPr>
        <w:t xml:space="preserve"> the </w:t>
      </w:r>
      <w:r w:rsidR="00D4441C" w:rsidRPr="0092670C">
        <w:rPr>
          <w:rFonts w:ascii="Arial" w:hAnsi="Arial" w:cs="Arial"/>
        </w:rPr>
        <w:t xml:space="preserve">resistance of the SEI increases more </w:t>
      </w:r>
      <w:r w:rsidR="00820DA5" w:rsidRPr="0092670C">
        <w:rPr>
          <w:rFonts w:ascii="Arial" w:hAnsi="Arial" w:cs="Arial"/>
        </w:rPr>
        <w:t>rapidl</w:t>
      </w:r>
      <w:r w:rsidR="0085711D" w:rsidRPr="0092670C">
        <w:rPr>
          <w:rFonts w:ascii="Arial" w:hAnsi="Arial" w:cs="Arial"/>
        </w:rPr>
        <w:t xml:space="preserve">y than it does for similar Li-graphite half cells. </w:t>
      </w:r>
      <w:r w:rsidR="00D91440" w:rsidRPr="0092670C">
        <w:rPr>
          <w:rFonts w:ascii="Arial" w:hAnsi="Arial" w:cs="Arial"/>
        </w:rPr>
        <w:t>Th</w:t>
      </w:r>
      <w:r w:rsidR="009A0E79" w:rsidRPr="0092670C">
        <w:rPr>
          <w:rFonts w:ascii="Arial" w:hAnsi="Arial" w:cs="Arial"/>
        </w:rPr>
        <w:t>is increase</w:t>
      </w:r>
      <w:r w:rsidR="00600BF4" w:rsidRPr="0092670C">
        <w:rPr>
          <w:rFonts w:ascii="Arial" w:hAnsi="Arial" w:cs="Arial"/>
        </w:rPr>
        <w:t xml:space="preserve"> is </w:t>
      </w:r>
      <w:r w:rsidR="00762232" w:rsidRPr="0092670C">
        <w:rPr>
          <w:rFonts w:ascii="Arial" w:hAnsi="Arial" w:cs="Arial"/>
        </w:rPr>
        <w:t>dependent</w:t>
      </w:r>
      <w:r w:rsidR="00600BF4" w:rsidRPr="0092670C">
        <w:rPr>
          <w:rFonts w:ascii="Arial" w:hAnsi="Arial" w:cs="Arial"/>
        </w:rPr>
        <w:t xml:space="preserve"> upon the pre-lithiation time. </w:t>
      </w:r>
    </w:p>
    <w:p w14:paraId="5D1D0E43" w14:textId="77777777" w:rsidR="00017322" w:rsidRPr="0092670C" w:rsidRDefault="0067644A" w:rsidP="00017322">
      <w:pPr>
        <w:keepNext/>
        <w:jc w:val="center"/>
        <w:rPr>
          <w:rFonts w:ascii="Arial" w:hAnsi="Arial" w:cs="Arial"/>
        </w:rPr>
      </w:pPr>
      <w:r w:rsidRPr="0092670C">
        <w:rPr>
          <w:rFonts w:ascii="Arial" w:hAnsi="Arial" w:cs="Arial"/>
          <w:noProof/>
        </w:rPr>
      </w:r>
      <w:r w:rsidR="0067644A" w:rsidRPr="0092670C">
        <w:rPr>
          <w:rFonts w:ascii="Arial" w:hAnsi="Arial" w:cs="Arial"/>
          <w:noProof/>
        </w:rPr>
        <w:object w:dxaOrig="6163" w:dyaOrig="4723" w14:anchorId="02829A8D">
          <v:shape id="_x0000_i1149" type="#_x0000_t75" style="width:311.8pt;height:239.8pt" o:ole="">
            <v:imagedata r:id="rId307" o:title=""/>
          </v:shape>
          <o:OLEObject Type="Embed" ProgID="Origin95.Graph" ShapeID="_x0000_i1149" DrawAspect="Content" ObjectID="_1700734038" r:id="rId308"/>
        </w:object>
      </w:r>
    </w:p>
    <w:p w14:paraId="7BF41E09" w14:textId="7E5DA275" w:rsidR="001E4B81" w:rsidRPr="0092670C" w:rsidRDefault="00017322" w:rsidP="00017322">
      <w:pPr>
        <w:pStyle w:val="Caption"/>
        <w:jc w:val="center"/>
        <w:rPr>
          <w:rFonts w:ascii="Arial" w:hAnsi="Arial" w:cs="Arial"/>
          <w:sz w:val="20"/>
          <w:szCs w:val="20"/>
        </w:rPr>
      </w:pPr>
      <w:bookmarkStart w:id="322" w:name="_Ref25778989"/>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7F598A">
        <w:rPr>
          <w:rFonts w:ascii="Arial" w:hAnsi="Arial" w:cs="Arial"/>
          <w:noProof/>
          <w:sz w:val="20"/>
          <w:szCs w:val="20"/>
        </w:rPr>
        <w:t>17</w:t>
      </w:r>
      <w:r w:rsidR="00356A26">
        <w:rPr>
          <w:rFonts w:ascii="Arial" w:hAnsi="Arial" w:cs="Arial"/>
          <w:sz w:val="20"/>
          <w:szCs w:val="20"/>
        </w:rPr>
        <w:fldChar w:fldCharType="end"/>
      </w:r>
      <w:bookmarkEnd w:id="322"/>
      <w:r w:rsidRPr="0092670C">
        <w:rPr>
          <w:rFonts w:ascii="Arial" w:hAnsi="Arial" w:cs="Arial"/>
          <w:sz w:val="20"/>
          <w:szCs w:val="20"/>
        </w:rPr>
        <w:t>: Nyquist plots of the cell lithiated in LP30 for 10 minutes with increasing cycle number</w:t>
      </w:r>
      <w:r w:rsidR="00906BC9" w:rsidRPr="0092670C">
        <w:rPr>
          <w:rFonts w:ascii="Arial" w:hAnsi="Arial" w:cs="Arial"/>
          <w:sz w:val="20"/>
          <w:szCs w:val="20"/>
        </w:rPr>
        <w:t>.</w:t>
      </w:r>
    </w:p>
    <w:p w14:paraId="2709C6C8" w14:textId="79F1E434" w:rsidR="005D7BD7" w:rsidRPr="0092670C" w:rsidRDefault="0067644A" w:rsidP="005D7BD7">
      <w:pPr>
        <w:keepNext/>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560854B0">
          <v:shape id="_x0000_i1150" type="#_x0000_t75" style="width:317.9pt;height:245.9pt" o:ole="">
            <v:imagedata r:id="rId309" o:title=""/>
          </v:shape>
          <o:OLEObject Type="Embed" ProgID="Origin95.Graph" ShapeID="_x0000_i1150" DrawAspect="Content" ObjectID="_1700734039" r:id="rId310"/>
        </w:object>
      </w:r>
    </w:p>
    <w:p w14:paraId="44742F7F" w14:textId="5655527B" w:rsidR="005D7BD7" w:rsidRPr="0092670C" w:rsidRDefault="005D7BD7" w:rsidP="005D7BD7">
      <w:pPr>
        <w:pStyle w:val="Caption"/>
        <w:jc w:val="center"/>
        <w:rPr>
          <w:rFonts w:ascii="Arial" w:hAnsi="Arial" w:cs="Arial"/>
          <w:sz w:val="20"/>
          <w:szCs w:val="20"/>
        </w:rPr>
      </w:pPr>
      <w:bookmarkStart w:id="323" w:name="_Ref30712359"/>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FC6D83">
        <w:rPr>
          <w:rFonts w:ascii="Arial" w:hAnsi="Arial" w:cs="Arial"/>
          <w:noProof/>
          <w:sz w:val="20"/>
          <w:szCs w:val="20"/>
        </w:rPr>
        <w:t>18</w:t>
      </w:r>
      <w:r w:rsidR="00356A26">
        <w:rPr>
          <w:rFonts w:ascii="Arial" w:hAnsi="Arial" w:cs="Arial"/>
          <w:sz w:val="20"/>
          <w:szCs w:val="20"/>
        </w:rPr>
        <w:fldChar w:fldCharType="end"/>
      </w:r>
      <w:bookmarkEnd w:id="323"/>
      <w:r w:rsidRPr="0092670C">
        <w:rPr>
          <w:rFonts w:ascii="Arial" w:hAnsi="Arial" w:cs="Arial"/>
          <w:sz w:val="20"/>
          <w:szCs w:val="20"/>
        </w:rPr>
        <w:t>: The effect of pre-</w:t>
      </w:r>
      <w:r w:rsidR="00316FFB" w:rsidRPr="0092670C">
        <w:rPr>
          <w:rFonts w:ascii="Arial" w:hAnsi="Arial" w:cs="Arial"/>
          <w:sz w:val="20"/>
          <w:szCs w:val="20"/>
        </w:rPr>
        <w:t>sodiation</w:t>
      </w:r>
      <w:r w:rsidRPr="0092670C">
        <w:rPr>
          <w:rFonts w:ascii="Arial" w:hAnsi="Arial" w:cs="Arial"/>
          <w:sz w:val="20"/>
          <w:szCs w:val="20"/>
        </w:rPr>
        <w:t xml:space="preserve"> time on R</w:t>
      </w:r>
      <w:r w:rsidRPr="0092670C">
        <w:rPr>
          <w:rFonts w:ascii="Arial" w:hAnsi="Arial" w:cs="Arial"/>
          <w:sz w:val="20"/>
          <w:szCs w:val="20"/>
          <w:vertAlign w:val="subscript"/>
        </w:rPr>
        <w:t>SEI</w:t>
      </w:r>
      <w:r w:rsidRPr="0092670C">
        <w:rPr>
          <w:rFonts w:ascii="Arial" w:hAnsi="Arial" w:cs="Arial"/>
          <w:sz w:val="20"/>
          <w:szCs w:val="20"/>
        </w:rPr>
        <w:t xml:space="preserve"> at the 10th cycle</w:t>
      </w:r>
      <w:r w:rsidR="00906BC9" w:rsidRPr="0092670C">
        <w:rPr>
          <w:rFonts w:ascii="Arial" w:hAnsi="Arial" w:cs="Arial"/>
          <w:sz w:val="20"/>
          <w:szCs w:val="20"/>
        </w:rPr>
        <w:t>.</w:t>
      </w:r>
    </w:p>
    <w:p w14:paraId="206A31AD" w14:textId="1801E731" w:rsidR="00F06816" w:rsidRPr="0092670C" w:rsidRDefault="00F06816" w:rsidP="00D675B2">
      <w:pPr>
        <w:spacing w:line="360" w:lineRule="auto"/>
        <w:jc w:val="both"/>
        <w:rPr>
          <w:rFonts w:ascii="Arial" w:hAnsi="Arial" w:cs="Arial"/>
        </w:rPr>
      </w:pPr>
      <w:r w:rsidRPr="0092670C">
        <w:rPr>
          <w:rFonts w:ascii="Arial" w:hAnsi="Arial" w:cs="Arial"/>
        </w:rPr>
        <w:t>By looking at the impact</w:t>
      </w:r>
      <w:r w:rsidR="00871490" w:rsidRPr="0092670C">
        <w:rPr>
          <w:rFonts w:ascii="Arial" w:hAnsi="Arial" w:cs="Arial"/>
        </w:rPr>
        <w:t xml:space="preserve"> of pre-lithiation time on </w:t>
      </w:r>
      <w:r w:rsidR="00AA6328" w:rsidRPr="0092670C">
        <w:rPr>
          <w:rFonts w:ascii="Arial" w:hAnsi="Arial" w:cs="Arial"/>
        </w:rPr>
        <w:t>R</w:t>
      </w:r>
      <w:r w:rsidR="00AA6328" w:rsidRPr="0092670C">
        <w:rPr>
          <w:rFonts w:ascii="Arial" w:hAnsi="Arial" w:cs="Arial"/>
          <w:vertAlign w:val="subscript"/>
        </w:rPr>
        <w:t>SEI</w:t>
      </w:r>
      <w:r w:rsidR="00AA6328" w:rsidRPr="0092670C">
        <w:rPr>
          <w:rFonts w:ascii="Arial" w:hAnsi="Arial" w:cs="Arial"/>
        </w:rPr>
        <w:t xml:space="preserve"> in </w:t>
      </w:r>
      <w:r w:rsidR="001B4DA6" w:rsidRPr="00086400">
        <w:rPr>
          <w:rFonts w:ascii="Arial" w:hAnsi="Arial" w:cs="Arial"/>
        </w:rPr>
        <w:fldChar w:fldCharType="begin"/>
      </w:r>
      <w:r w:rsidR="001B4DA6" w:rsidRPr="00086400">
        <w:rPr>
          <w:rFonts w:ascii="Arial" w:hAnsi="Arial" w:cs="Arial"/>
        </w:rPr>
        <w:instrText xml:space="preserve"> REF _Ref30712359 \h </w:instrText>
      </w:r>
      <w:r w:rsidR="00A568A0" w:rsidRPr="00086400">
        <w:rPr>
          <w:rFonts w:ascii="Arial" w:hAnsi="Arial" w:cs="Arial"/>
        </w:rPr>
        <w:instrText xml:space="preserve"> \* MERGEFORMAT </w:instrText>
      </w:r>
      <w:r w:rsidR="001B4DA6" w:rsidRPr="00086400">
        <w:rPr>
          <w:rFonts w:ascii="Arial" w:hAnsi="Arial" w:cs="Arial"/>
        </w:rPr>
      </w:r>
      <w:r w:rsidR="001B4DA6" w:rsidRPr="00086400">
        <w:rPr>
          <w:rFonts w:ascii="Arial" w:hAnsi="Arial" w:cs="Arial"/>
        </w:rPr>
        <w:fldChar w:fldCharType="separate"/>
      </w:r>
      <w:r w:rsidR="007F598A" w:rsidRPr="007F598A">
        <w:rPr>
          <w:rFonts w:ascii="Arial" w:hAnsi="Arial" w:cs="Arial"/>
        </w:rPr>
        <w:t xml:space="preserve">Figure </w:t>
      </w:r>
      <w:r w:rsidR="007F598A" w:rsidRPr="007F598A">
        <w:rPr>
          <w:rFonts w:ascii="Arial" w:hAnsi="Arial" w:cs="Arial"/>
          <w:noProof/>
        </w:rPr>
        <w:t>6</w:t>
      </w:r>
      <w:r w:rsidR="007F598A" w:rsidRPr="007F598A">
        <w:rPr>
          <w:rFonts w:ascii="Arial" w:hAnsi="Arial" w:cs="Arial"/>
          <w:noProof/>
        </w:rPr>
        <w:noBreakHyphen/>
        <w:t>18</w:t>
      </w:r>
      <w:r w:rsidR="001B4DA6" w:rsidRPr="00086400">
        <w:rPr>
          <w:rFonts w:ascii="Arial" w:hAnsi="Arial" w:cs="Arial"/>
        </w:rPr>
        <w:fldChar w:fldCharType="end"/>
      </w:r>
      <w:r w:rsidR="001B4DA6" w:rsidRPr="0092670C">
        <w:rPr>
          <w:rFonts w:ascii="Arial" w:hAnsi="Arial" w:cs="Arial"/>
        </w:rPr>
        <w:t xml:space="preserve"> </w:t>
      </w:r>
      <w:r w:rsidR="0091039D" w:rsidRPr="0092670C">
        <w:rPr>
          <w:rFonts w:ascii="Arial" w:hAnsi="Arial" w:cs="Arial"/>
        </w:rPr>
        <w:t>w</w:t>
      </w:r>
      <w:r w:rsidR="0020027B" w:rsidRPr="0092670C">
        <w:rPr>
          <w:rFonts w:ascii="Arial" w:hAnsi="Arial" w:cs="Arial"/>
        </w:rPr>
        <w:t xml:space="preserve">e can see that initially </w:t>
      </w:r>
      <w:r w:rsidR="00705F9E" w:rsidRPr="0092670C">
        <w:rPr>
          <w:rFonts w:ascii="Arial" w:hAnsi="Arial" w:cs="Arial"/>
        </w:rPr>
        <w:t>R</w:t>
      </w:r>
      <w:r w:rsidR="00705F9E" w:rsidRPr="0092670C">
        <w:rPr>
          <w:rFonts w:ascii="Arial" w:hAnsi="Arial" w:cs="Arial"/>
          <w:vertAlign w:val="subscript"/>
        </w:rPr>
        <w:t>SEI</w:t>
      </w:r>
      <w:r w:rsidR="00705F9E" w:rsidRPr="0092670C">
        <w:rPr>
          <w:rFonts w:ascii="Arial" w:hAnsi="Arial" w:cs="Arial"/>
        </w:rPr>
        <w:t xml:space="preserve"> decreas</w:t>
      </w:r>
      <w:r w:rsidR="00261652" w:rsidRPr="0092670C">
        <w:rPr>
          <w:rFonts w:ascii="Arial" w:hAnsi="Arial" w:cs="Arial"/>
        </w:rPr>
        <w:t>es at s</w:t>
      </w:r>
      <w:r w:rsidR="00883160" w:rsidRPr="0092670C">
        <w:rPr>
          <w:rFonts w:ascii="Arial" w:hAnsi="Arial" w:cs="Arial"/>
        </w:rPr>
        <w:t>mall pre-</w:t>
      </w:r>
      <w:r w:rsidR="004C68E5" w:rsidRPr="0092670C">
        <w:rPr>
          <w:rFonts w:ascii="Arial" w:hAnsi="Arial" w:cs="Arial"/>
        </w:rPr>
        <w:t xml:space="preserve">sodiation times before increasing again. </w:t>
      </w:r>
      <w:r w:rsidR="006E7C3D" w:rsidRPr="0092670C">
        <w:rPr>
          <w:rFonts w:ascii="Arial" w:hAnsi="Arial" w:cs="Arial"/>
        </w:rPr>
        <w:t>The initial decrease is due to the</w:t>
      </w:r>
      <w:r w:rsidR="00316FFB" w:rsidRPr="0092670C">
        <w:rPr>
          <w:rFonts w:ascii="Arial" w:hAnsi="Arial" w:cs="Arial"/>
        </w:rPr>
        <w:t xml:space="preserve"> ultra-thin SEI that is formed at low </w:t>
      </w:r>
      <w:r w:rsidR="00D675B2" w:rsidRPr="0092670C">
        <w:rPr>
          <w:rFonts w:ascii="Arial" w:hAnsi="Arial" w:cs="Arial"/>
        </w:rPr>
        <w:t xml:space="preserve">pre-lithiation times. This was also seen in our pre-lithiation work </w:t>
      </w:r>
      <w:r w:rsidR="00BC301E" w:rsidRPr="0092670C">
        <w:rPr>
          <w:rFonts w:ascii="Arial" w:hAnsi="Arial" w:cs="Arial"/>
        </w:rPr>
        <w:t xml:space="preserve">so that </w:t>
      </w:r>
      <w:r w:rsidR="00B40438" w:rsidRPr="0092670C">
        <w:rPr>
          <w:rFonts w:ascii="Arial" w:hAnsi="Arial" w:cs="Arial"/>
        </w:rPr>
        <w:t>demonstrates the similarities between the two techniques.</w:t>
      </w:r>
      <w:r w:rsidR="003C7B34" w:rsidRPr="0092670C">
        <w:rPr>
          <w:rFonts w:ascii="Arial" w:hAnsi="Arial" w:cs="Arial"/>
        </w:rPr>
        <w:t xml:space="preserve"> </w:t>
      </w:r>
      <w:r w:rsidR="004D197E" w:rsidRPr="0092670C">
        <w:rPr>
          <w:rFonts w:ascii="Arial" w:hAnsi="Arial" w:cs="Arial"/>
        </w:rPr>
        <w:t>Th</w:t>
      </w:r>
      <w:r w:rsidR="0059441B" w:rsidRPr="0092670C">
        <w:rPr>
          <w:rFonts w:ascii="Arial" w:hAnsi="Arial" w:cs="Arial"/>
        </w:rPr>
        <w:t xml:space="preserve">e cell pre-lithiated cell </w:t>
      </w:r>
      <w:r w:rsidR="00BD0B22" w:rsidRPr="0092670C">
        <w:rPr>
          <w:rFonts w:ascii="Arial" w:hAnsi="Arial" w:cs="Arial"/>
        </w:rPr>
        <w:t>performs poorly compared to the reference cell and this suggest that the SEI formed is</w:t>
      </w:r>
      <w:r w:rsidR="002B247F" w:rsidRPr="0092670C">
        <w:rPr>
          <w:rFonts w:ascii="Arial" w:hAnsi="Arial" w:cs="Arial"/>
        </w:rPr>
        <w:t xml:space="preserve"> too thin and therefore inadequate </w:t>
      </w:r>
      <w:r w:rsidR="008F0B1C" w:rsidRPr="0092670C">
        <w:rPr>
          <w:rFonts w:ascii="Arial" w:hAnsi="Arial" w:cs="Arial"/>
        </w:rPr>
        <w:t xml:space="preserve">for cycling. </w:t>
      </w:r>
      <w:r w:rsidR="00046747" w:rsidRPr="0092670C">
        <w:rPr>
          <w:rFonts w:ascii="Arial" w:hAnsi="Arial" w:cs="Arial"/>
        </w:rPr>
        <w:t xml:space="preserve">When </w:t>
      </w:r>
      <w:r w:rsidR="00EB0768" w:rsidRPr="0092670C">
        <w:rPr>
          <w:rFonts w:ascii="Arial" w:hAnsi="Arial" w:cs="Arial"/>
        </w:rPr>
        <w:t>R</w:t>
      </w:r>
      <w:r w:rsidR="00EB0768" w:rsidRPr="0092670C">
        <w:rPr>
          <w:rFonts w:ascii="Arial" w:hAnsi="Arial" w:cs="Arial"/>
          <w:vertAlign w:val="subscript"/>
        </w:rPr>
        <w:t>SEI</w:t>
      </w:r>
      <w:r w:rsidR="00EB0768" w:rsidRPr="0092670C">
        <w:rPr>
          <w:rFonts w:ascii="Arial" w:hAnsi="Arial" w:cs="Arial"/>
        </w:rPr>
        <w:t xml:space="preserve"> reaches its maxima </w:t>
      </w:r>
      <w:r w:rsidR="00377FF8" w:rsidRPr="0092670C">
        <w:rPr>
          <w:rFonts w:ascii="Arial" w:hAnsi="Arial" w:cs="Arial"/>
        </w:rPr>
        <w:t xml:space="preserve">so too does its </w:t>
      </w:r>
      <w:r w:rsidR="005F2E00" w:rsidRPr="0092670C">
        <w:rPr>
          <w:rFonts w:ascii="Arial" w:hAnsi="Arial" w:cs="Arial"/>
        </w:rPr>
        <w:t>charge capacity</w:t>
      </w:r>
      <w:r w:rsidR="008F26BC" w:rsidRPr="0092670C">
        <w:rPr>
          <w:rFonts w:ascii="Arial" w:hAnsi="Arial" w:cs="Arial"/>
        </w:rPr>
        <w:t xml:space="preserve">, further reinforcing </w:t>
      </w:r>
      <w:r w:rsidR="00D86EBB" w:rsidRPr="0092670C">
        <w:rPr>
          <w:rFonts w:ascii="Arial" w:hAnsi="Arial" w:cs="Arial"/>
        </w:rPr>
        <w:t xml:space="preserve">the link between </w:t>
      </w:r>
      <w:r w:rsidR="005F2E00" w:rsidRPr="0092670C">
        <w:rPr>
          <w:rFonts w:ascii="Arial" w:hAnsi="Arial" w:cs="Arial"/>
        </w:rPr>
        <w:t>the two</w:t>
      </w:r>
      <w:r w:rsidR="00284743" w:rsidRPr="0092670C">
        <w:rPr>
          <w:rFonts w:ascii="Arial" w:hAnsi="Arial" w:cs="Arial"/>
        </w:rPr>
        <w:t xml:space="preserve">. </w:t>
      </w:r>
      <w:r w:rsidR="005F2E00" w:rsidRPr="0092670C">
        <w:rPr>
          <w:rFonts w:ascii="Arial" w:hAnsi="Arial" w:cs="Arial"/>
        </w:rPr>
        <w:t xml:space="preserve"> </w:t>
      </w:r>
    </w:p>
    <w:p w14:paraId="5111347C" w14:textId="488B4536" w:rsidR="00060F89" w:rsidRPr="0092670C" w:rsidRDefault="0067644A" w:rsidP="00060F89">
      <w:pPr>
        <w:keepNext/>
        <w:jc w:val="center"/>
        <w:rPr>
          <w:rFonts w:ascii="Arial" w:hAnsi="Arial" w:cs="Arial"/>
        </w:rPr>
      </w:pPr>
      <w:r w:rsidRPr="0092670C">
        <w:rPr>
          <w:rFonts w:ascii="Arial" w:hAnsi="Arial" w:cs="Arial"/>
          <w:noProof/>
        </w:rPr>
      </w:r>
      <w:r w:rsidR="0067644A" w:rsidRPr="0092670C">
        <w:rPr>
          <w:rFonts w:ascii="Arial" w:hAnsi="Arial" w:cs="Arial"/>
          <w:noProof/>
        </w:rPr>
        <w:object w:dxaOrig="7252" w:dyaOrig="5569" w14:anchorId="47D9048D">
          <v:shape id="_x0000_i1151" type="#_x0000_t75" style="width:330.1pt;height:252pt" o:ole="">
            <v:imagedata r:id="rId311" o:title=""/>
          </v:shape>
          <o:OLEObject Type="Embed" ProgID="Origin95.Graph" ShapeID="_x0000_i1151" DrawAspect="Content" ObjectID="_1700734040" r:id="rId312"/>
        </w:object>
      </w:r>
    </w:p>
    <w:p w14:paraId="7382397E" w14:textId="262A103F" w:rsidR="001A58DA" w:rsidRPr="0092670C" w:rsidRDefault="00060F89" w:rsidP="00060F89">
      <w:pPr>
        <w:pStyle w:val="Caption"/>
        <w:jc w:val="center"/>
        <w:rPr>
          <w:rFonts w:ascii="Arial" w:hAnsi="Arial" w:cs="Arial"/>
          <w:sz w:val="20"/>
          <w:szCs w:val="20"/>
        </w:rPr>
      </w:pPr>
      <w:bookmarkStart w:id="324" w:name="_Ref30712134"/>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6</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734EE4">
        <w:rPr>
          <w:rFonts w:ascii="Arial" w:hAnsi="Arial" w:cs="Arial"/>
          <w:noProof/>
          <w:sz w:val="20"/>
          <w:szCs w:val="20"/>
        </w:rPr>
        <w:t>19</w:t>
      </w:r>
      <w:r w:rsidR="00356A26">
        <w:rPr>
          <w:rFonts w:ascii="Arial" w:hAnsi="Arial" w:cs="Arial"/>
          <w:sz w:val="20"/>
          <w:szCs w:val="20"/>
        </w:rPr>
        <w:fldChar w:fldCharType="end"/>
      </w:r>
      <w:bookmarkEnd w:id="324"/>
      <w:r w:rsidRPr="0092670C">
        <w:rPr>
          <w:rFonts w:ascii="Arial" w:hAnsi="Arial" w:cs="Arial"/>
          <w:sz w:val="20"/>
          <w:szCs w:val="20"/>
        </w:rPr>
        <w:t>: Charge capacity as a function of pre-lithiation time</w:t>
      </w:r>
      <w:r w:rsidR="00906BC9" w:rsidRPr="0092670C">
        <w:rPr>
          <w:rFonts w:ascii="Arial" w:hAnsi="Arial" w:cs="Arial"/>
          <w:sz w:val="20"/>
          <w:szCs w:val="20"/>
        </w:rPr>
        <w:t>.</w:t>
      </w:r>
    </w:p>
    <w:p w14:paraId="4879B84C" w14:textId="6490C1DD" w:rsidR="00FB6BC9" w:rsidRPr="0092670C" w:rsidRDefault="00FB6BC9" w:rsidP="005455EA">
      <w:pPr>
        <w:pStyle w:val="Heading3"/>
        <w:rPr>
          <w:rFonts w:ascii="Arial" w:hAnsi="Arial" w:cs="Arial"/>
        </w:rPr>
      </w:pPr>
      <w:bookmarkStart w:id="325" w:name="_Toc82538820"/>
      <w:r w:rsidRPr="0092670C">
        <w:rPr>
          <w:rFonts w:ascii="Arial" w:hAnsi="Arial" w:cs="Arial"/>
        </w:rPr>
        <w:t>Conclusion</w:t>
      </w:r>
      <w:bookmarkEnd w:id="325"/>
    </w:p>
    <w:p w14:paraId="3531E780" w14:textId="136291F5" w:rsidR="00F80C05" w:rsidRPr="0092670C" w:rsidRDefault="00961CCC" w:rsidP="00C35972">
      <w:pPr>
        <w:spacing w:line="360" w:lineRule="auto"/>
        <w:jc w:val="both"/>
        <w:rPr>
          <w:rFonts w:ascii="Arial" w:hAnsi="Arial" w:cs="Arial"/>
        </w:rPr>
      </w:pPr>
      <w:r w:rsidRPr="0092670C">
        <w:rPr>
          <w:rFonts w:ascii="Arial" w:hAnsi="Arial" w:cs="Arial"/>
        </w:rPr>
        <w:t>Pre-sodi</w:t>
      </w:r>
      <w:r w:rsidR="008E5FA3" w:rsidRPr="0092670C">
        <w:rPr>
          <w:rFonts w:ascii="Arial" w:hAnsi="Arial" w:cs="Arial"/>
        </w:rPr>
        <w:t>ation can drastically improve the</w:t>
      </w:r>
      <w:r w:rsidR="00DF1B51" w:rsidRPr="0092670C">
        <w:rPr>
          <w:rFonts w:ascii="Arial" w:hAnsi="Arial" w:cs="Arial"/>
        </w:rPr>
        <w:t xml:space="preserve"> </w:t>
      </w:r>
      <w:r w:rsidR="00B54065" w:rsidRPr="0092670C">
        <w:rPr>
          <w:rFonts w:ascii="Arial" w:hAnsi="Arial" w:cs="Arial"/>
        </w:rPr>
        <w:t xml:space="preserve">capacity retention of </w:t>
      </w:r>
      <w:r w:rsidR="00B90E9B" w:rsidRPr="0092670C">
        <w:rPr>
          <w:rFonts w:ascii="Arial" w:hAnsi="Arial" w:cs="Arial"/>
        </w:rPr>
        <w:t xml:space="preserve">hard carbon although </w:t>
      </w:r>
      <w:r w:rsidR="003D3473" w:rsidRPr="0092670C">
        <w:rPr>
          <w:rFonts w:ascii="Arial" w:hAnsi="Arial" w:cs="Arial"/>
        </w:rPr>
        <w:t>the re</w:t>
      </w:r>
      <w:r w:rsidR="00734934" w:rsidRPr="0092670C">
        <w:rPr>
          <w:rFonts w:ascii="Arial" w:hAnsi="Arial" w:cs="Arial"/>
        </w:rPr>
        <w:t xml:space="preserve">tention </w:t>
      </w:r>
      <w:r w:rsidR="00E52695" w:rsidRPr="0092670C">
        <w:rPr>
          <w:rFonts w:ascii="Arial" w:hAnsi="Arial" w:cs="Arial"/>
        </w:rPr>
        <w:t xml:space="preserve">still doesn’t match that seen in </w:t>
      </w:r>
      <w:r w:rsidR="00446615" w:rsidRPr="0092670C">
        <w:rPr>
          <w:rFonts w:ascii="Arial" w:hAnsi="Arial" w:cs="Arial"/>
        </w:rPr>
        <w:t>either</w:t>
      </w:r>
      <w:r w:rsidR="00E52695" w:rsidRPr="0092670C">
        <w:rPr>
          <w:rFonts w:ascii="Arial" w:hAnsi="Arial" w:cs="Arial"/>
        </w:rPr>
        <w:t xml:space="preserve"> </w:t>
      </w:r>
      <w:r w:rsidR="00446615" w:rsidRPr="0092670C">
        <w:rPr>
          <w:rFonts w:ascii="Arial" w:hAnsi="Arial" w:cs="Arial"/>
        </w:rPr>
        <w:t xml:space="preserve">Li-graphite anodes or pre-lithiated hard carbon anodes. This </w:t>
      </w:r>
      <w:r w:rsidR="00DA33BC" w:rsidRPr="0092670C">
        <w:rPr>
          <w:rFonts w:ascii="Arial" w:hAnsi="Arial" w:cs="Arial"/>
        </w:rPr>
        <w:t>demonstrates th</w:t>
      </w:r>
      <w:r w:rsidR="001D0D58" w:rsidRPr="0092670C">
        <w:rPr>
          <w:rFonts w:ascii="Arial" w:hAnsi="Arial" w:cs="Arial"/>
        </w:rPr>
        <w:t xml:space="preserve">at </w:t>
      </w:r>
      <w:r w:rsidR="0017370E" w:rsidRPr="0092670C">
        <w:rPr>
          <w:rFonts w:ascii="Arial" w:hAnsi="Arial" w:cs="Arial"/>
        </w:rPr>
        <w:t xml:space="preserve">the issues with hard carbon SEI </w:t>
      </w:r>
      <w:r w:rsidR="00A016F8" w:rsidRPr="0092670C">
        <w:rPr>
          <w:rFonts w:ascii="Arial" w:hAnsi="Arial" w:cs="Arial"/>
        </w:rPr>
        <w:t>exten</w:t>
      </w:r>
      <w:r w:rsidR="00D65696" w:rsidRPr="0092670C">
        <w:rPr>
          <w:rFonts w:ascii="Arial" w:hAnsi="Arial" w:cs="Arial"/>
        </w:rPr>
        <w:t xml:space="preserve">d beyond </w:t>
      </w:r>
      <w:r w:rsidR="003358F8" w:rsidRPr="0092670C">
        <w:rPr>
          <w:rFonts w:ascii="Arial" w:hAnsi="Arial" w:cs="Arial"/>
        </w:rPr>
        <w:t>Q</w:t>
      </w:r>
      <w:r w:rsidR="003358F8" w:rsidRPr="0092670C">
        <w:rPr>
          <w:rFonts w:ascii="Arial" w:hAnsi="Arial" w:cs="Arial"/>
          <w:vertAlign w:val="subscript"/>
        </w:rPr>
        <w:t>irr</w:t>
      </w:r>
      <w:r w:rsidR="003358F8" w:rsidRPr="0092670C">
        <w:rPr>
          <w:rFonts w:ascii="Arial" w:hAnsi="Arial" w:cs="Arial"/>
        </w:rPr>
        <w:t xml:space="preserve"> and its solubility limits capacity retention in even </w:t>
      </w:r>
      <w:r w:rsidR="00112ED9" w:rsidRPr="0092670C">
        <w:rPr>
          <w:rFonts w:ascii="Arial" w:hAnsi="Arial" w:cs="Arial"/>
        </w:rPr>
        <w:t xml:space="preserve">the best-case scenario. </w:t>
      </w:r>
      <w:r w:rsidR="002178CF" w:rsidRPr="0092670C">
        <w:rPr>
          <w:rFonts w:ascii="Arial" w:hAnsi="Arial" w:cs="Arial"/>
        </w:rPr>
        <w:t>Both Pre-sodiation and pre-lithiation ha</w:t>
      </w:r>
      <w:r w:rsidR="0076670D" w:rsidRPr="0092670C">
        <w:rPr>
          <w:rFonts w:ascii="Arial" w:hAnsi="Arial" w:cs="Arial"/>
        </w:rPr>
        <w:t xml:space="preserve">ve </w:t>
      </w:r>
      <w:r w:rsidR="0082731F" w:rsidRPr="0092670C">
        <w:rPr>
          <w:rFonts w:ascii="Arial" w:hAnsi="Arial" w:cs="Arial"/>
        </w:rPr>
        <w:t xml:space="preserve">advantages and disadvantages that need to be carefully weighed when deciding </w:t>
      </w:r>
      <w:r w:rsidR="003F29BB" w:rsidRPr="0092670C">
        <w:rPr>
          <w:rFonts w:ascii="Arial" w:hAnsi="Arial" w:cs="Arial"/>
        </w:rPr>
        <w:t>manufacturing strategies</w:t>
      </w:r>
      <w:r w:rsidR="00CB3A4B" w:rsidRPr="0092670C">
        <w:rPr>
          <w:rFonts w:ascii="Arial" w:hAnsi="Arial" w:cs="Arial"/>
        </w:rPr>
        <w:t xml:space="preserve"> and these are summarised in </w:t>
      </w:r>
      <w:r w:rsidR="003E6895" w:rsidRPr="003E6895">
        <w:rPr>
          <w:rFonts w:ascii="Arial" w:hAnsi="Arial" w:cs="Arial"/>
        </w:rPr>
        <w:fldChar w:fldCharType="begin"/>
      </w:r>
      <w:r w:rsidR="003E6895" w:rsidRPr="003E6895">
        <w:rPr>
          <w:rFonts w:ascii="Arial" w:hAnsi="Arial" w:cs="Arial"/>
        </w:rPr>
        <w:instrText xml:space="preserve"> REF _Ref44869584 \h </w:instrText>
      </w:r>
      <w:r w:rsidR="003E6895">
        <w:rPr>
          <w:rFonts w:ascii="Arial" w:hAnsi="Arial" w:cs="Arial"/>
        </w:rPr>
        <w:instrText xml:space="preserve"> \* MERGEFORMAT </w:instrText>
      </w:r>
      <w:r w:rsidR="003E6895" w:rsidRPr="003E6895">
        <w:rPr>
          <w:rFonts w:ascii="Arial" w:hAnsi="Arial" w:cs="Arial"/>
        </w:rPr>
      </w:r>
      <w:r w:rsidR="003E6895" w:rsidRPr="003E6895">
        <w:rPr>
          <w:rFonts w:ascii="Arial" w:hAnsi="Arial" w:cs="Arial"/>
        </w:rPr>
        <w:fldChar w:fldCharType="separate"/>
      </w:r>
      <w:r w:rsidR="007342C8" w:rsidRPr="007342C8">
        <w:rPr>
          <w:rFonts w:ascii="Arial" w:hAnsi="Arial" w:cs="Arial"/>
        </w:rPr>
        <w:t xml:space="preserve">Table </w:t>
      </w:r>
      <w:r w:rsidR="007342C8" w:rsidRPr="007342C8">
        <w:rPr>
          <w:rFonts w:ascii="Arial" w:hAnsi="Arial" w:cs="Arial"/>
          <w:noProof/>
        </w:rPr>
        <w:t>6</w:t>
      </w:r>
      <w:r w:rsidR="007342C8" w:rsidRPr="007342C8">
        <w:rPr>
          <w:rFonts w:ascii="Arial" w:hAnsi="Arial" w:cs="Arial"/>
          <w:noProof/>
        </w:rPr>
        <w:noBreakHyphen/>
        <w:t>1</w:t>
      </w:r>
      <w:r w:rsidR="003E6895" w:rsidRPr="003E6895">
        <w:rPr>
          <w:rFonts w:ascii="Arial" w:hAnsi="Arial" w:cs="Arial"/>
        </w:rPr>
        <w:fldChar w:fldCharType="end"/>
      </w:r>
      <w:r w:rsidR="003E6895">
        <w:rPr>
          <w:rFonts w:ascii="Arial" w:hAnsi="Arial" w:cs="Arial"/>
        </w:rPr>
        <w:t>.</w:t>
      </w:r>
    </w:p>
    <w:p w14:paraId="0D0D8D06" w14:textId="0AA0C5E0" w:rsidR="0076670D" w:rsidRPr="0092670C" w:rsidRDefault="00B246AD" w:rsidP="00C35972">
      <w:pPr>
        <w:spacing w:line="360" w:lineRule="auto"/>
        <w:jc w:val="both"/>
        <w:rPr>
          <w:rFonts w:ascii="Arial" w:hAnsi="Arial" w:cs="Arial"/>
        </w:rPr>
      </w:pPr>
      <w:r w:rsidRPr="0092670C">
        <w:rPr>
          <w:rFonts w:ascii="Arial" w:hAnsi="Arial" w:cs="Arial"/>
        </w:rPr>
        <w:t xml:space="preserve">The inclusion of </w:t>
      </w:r>
      <w:r w:rsidR="00867323" w:rsidRPr="0092670C">
        <w:rPr>
          <w:rFonts w:ascii="Arial" w:hAnsi="Arial" w:cs="Arial"/>
        </w:rPr>
        <w:t xml:space="preserve">FEC </w:t>
      </w:r>
      <w:r w:rsidR="008B15A8" w:rsidRPr="0092670C">
        <w:rPr>
          <w:rFonts w:ascii="Arial" w:hAnsi="Arial" w:cs="Arial"/>
        </w:rPr>
        <w:t xml:space="preserve">into the electrolyte results in cells </w:t>
      </w:r>
      <w:r w:rsidR="00CE3DED" w:rsidRPr="0092670C">
        <w:rPr>
          <w:rFonts w:ascii="Arial" w:hAnsi="Arial" w:cs="Arial"/>
        </w:rPr>
        <w:t xml:space="preserve">with </w:t>
      </w:r>
      <w:r w:rsidR="00F80C05" w:rsidRPr="0092670C">
        <w:rPr>
          <w:rFonts w:ascii="Arial" w:hAnsi="Arial" w:cs="Arial"/>
        </w:rPr>
        <w:t xml:space="preserve">erratic performance which correlate well with other reports of </w:t>
      </w:r>
      <w:r w:rsidR="00F36067" w:rsidRPr="0092670C">
        <w:rPr>
          <w:rFonts w:ascii="Arial" w:hAnsi="Arial" w:cs="Arial"/>
        </w:rPr>
        <w:t xml:space="preserve">mixed </w:t>
      </w:r>
      <w:r w:rsidR="0026764A" w:rsidRPr="0092670C">
        <w:rPr>
          <w:rFonts w:ascii="Arial" w:hAnsi="Arial" w:cs="Arial"/>
        </w:rPr>
        <w:t>performance in hard carbon anodes</w:t>
      </w:r>
      <w:r w:rsidR="005C68F8" w:rsidRPr="0092670C">
        <w:rPr>
          <w:rFonts w:ascii="Arial" w:hAnsi="Arial" w:cs="Arial"/>
        </w:rPr>
        <w:t xml:space="preserve"> </w:t>
      </w:r>
      <w:r w:rsidR="0040106A" w:rsidRPr="0092670C">
        <w:rPr>
          <w:rFonts w:ascii="Arial" w:hAnsi="Arial" w:cs="Arial"/>
        </w:rPr>
        <w:fldChar w:fldCharType="begin"/>
      </w:r>
      <w:r w:rsidR="0034337D">
        <w:rPr>
          <w:rFonts w:ascii="Arial" w:hAnsi="Arial" w:cs="Arial"/>
        </w:rPr>
        <w:instrText xml:space="preserve"> ADDIN EN.CITE &lt;EndNote&gt;&lt;Cite&gt;&lt;Author&gt;!!! INVALID CITATION !!! {}&lt;/Author&gt;&lt;RecNum&gt;0&lt;/RecNum&gt;&lt;DisplayText&gt;[171]&lt;/DisplayText&gt;&lt;record&gt;&lt;dates&gt;&lt;year&gt;!!! INVALID CITATION !!! {}&lt;/year&gt;&lt;/dates&gt;&lt;/record&gt;&lt;/Cite&gt;&lt;/EndNote&gt;</w:instrText>
      </w:r>
      <w:r w:rsidR="0040106A" w:rsidRPr="0092670C">
        <w:rPr>
          <w:rFonts w:ascii="Arial" w:hAnsi="Arial" w:cs="Arial"/>
        </w:rPr>
        <w:fldChar w:fldCharType="separate"/>
      </w:r>
      <w:r w:rsidR="0034337D">
        <w:rPr>
          <w:rFonts w:ascii="Arial" w:hAnsi="Arial" w:cs="Arial"/>
          <w:noProof/>
        </w:rPr>
        <w:t>[171]</w:t>
      </w:r>
      <w:r w:rsidR="0040106A" w:rsidRPr="0092670C">
        <w:rPr>
          <w:rFonts w:ascii="Arial" w:hAnsi="Arial" w:cs="Arial"/>
        </w:rPr>
        <w:fldChar w:fldCharType="end"/>
      </w:r>
      <w:r w:rsidR="0026764A" w:rsidRPr="0092670C">
        <w:rPr>
          <w:rFonts w:ascii="Arial" w:hAnsi="Arial" w:cs="Arial"/>
        </w:rPr>
        <w:t xml:space="preserve">. </w:t>
      </w:r>
      <w:r w:rsidR="00C92CA2" w:rsidRPr="0092670C">
        <w:rPr>
          <w:rFonts w:ascii="Arial" w:hAnsi="Arial" w:cs="Arial"/>
        </w:rPr>
        <w:t>Th</w:t>
      </w:r>
      <w:r w:rsidR="00FA2F5D" w:rsidRPr="0092670C">
        <w:rPr>
          <w:rFonts w:ascii="Arial" w:hAnsi="Arial" w:cs="Arial"/>
        </w:rPr>
        <w:t xml:space="preserve">is </w:t>
      </w:r>
      <w:r w:rsidR="001C4C84" w:rsidRPr="0092670C">
        <w:rPr>
          <w:rFonts w:ascii="Arial" w:hAnsi="Arial" w:cs="Arial"/>
        </w:rPr>
        <w:t xml:space="preserve">demonstrates the lack of understanding of </w:t>
      </w:r>
      <w:r w:rsidR="00BB4EFF" w:rsidRPr="0092670C">
        <w:rPr>
          <w:rFonts w:ascii="Arial" w:hAnsi="Arial" w:cs="Arial"/>
        </w:rPr>
        <w:t xml:space="preserve">we currently have about additives and their </w:t>
      </w:r>
      <w:r w:rsidR="009910C1" w:rsidRPr="0092670C">
        <w:rPr>
          <w:rFonts w:ascii="Arial" w:hAnsi="Arial" w:cs="Arial"/>
        </w:rPr>
        <w:t xml:space="preserve">effect on </w:t>
      </w:r>
      <w:r w:rsidR="00E72B77" w:rsidRPr="0092670C">
        <w:rPr>
          <w:rFonts w:ascii="Arial" w:hAnsi="Arial" w:cs="Arial"/>
        </w:rPr>
        <w:t>the SEI in Na-</w:t>
      </w:r>
      <w:r w:rsidR="00852C63" w:rsidRPr="0092670C">
        <w:rPr>
          <w:rFonts w:ascii="Arial" w:hAnsi="Arial" w:cs="Arial"/>
        </w:rPr>
        <w:t xml:space="preserve">ion </w:t>
      </w:r>
      <w:r w:rsidR="00E72B77" w:rsidRPr="0092670C">
        <w:rPr>
          <w:rFonts w:ascii="Arial" w:hAnsi="Arial" w:cs="Arial"/>
        </w:rPr>
        <w:t xml:space="preserve">systems. </w:t>
      </w:r>
      <w:r w:rsidR="00DF2EE5" w:rsidRPr="0092670C">
        <w:rPr>
          <w:rFonts w:ascii="Arial" w:hAnsi="Arial" w:cs="Arial"/>
        </w:rPr>
        <w:t xml:space="preserve">To move towards </w:t>
      </w:r>
      <w:r w:rsidR="00734D85" w:rsidRPr="0092670C">
        <w:rPr>
          <w:rFonts w:ascii="Arial" w:hAnsi="Arial" w:cs="Arial"/>
        </w:rPr>
        <w:t xml:space="preserve">commercial Na-ion batteries </w:t>
      </w:r>
      <w:r w:rsidR="000F4F55" w:rsidRPr="0092670C">
        <w:rPr>
          <w:rFonts w:ascii="Arial" w:hAnsi="Arial" w:cs="Arial"/>
        </w:rPr>
        <w:t xml:space="preserve">further work is required to create a stable </w:t>
      </w:r>
      <w:r w:rsidR="00C80193" w:rsidRPr="0092670C">
        <w:rPr>
          <w:rFonts w:ascii="Arial" w:hAnsi="Arial" w:cs="Arial"/>
        </w:rPr>
        <w:t xml:space="preserve">SEI that has lower solubility than current ones. </w:t>
      </w:r>
    </w:p>
    <w:p w14:paraId="1ED20492" w14:textId="2AE32FAE" w:rsidR="004E008E" w:rsidRPr="0092670C" w:rsidRDefault="004E008E" w:rsidP="004E008E">
      <w:pPr>
        <w:pStyle w:val="Caption"/>
        <w:keepNext/>
        <w:rPr>
          <w:rFonts w:ascii="Arial" w:hAnsi="Arial" w:cs="Arial"/>
          <w:sz w:val="20"/>
          <w:szCs w:val="20"/>
        </w:rPr>
      </w:pPr>
      <w:bookmarkStart w:id="326" w:name="_Ref44869584"/>
      <w:r w:rsidRPr="0092670C">
        <w:rPr>
          <w:rFonts w:ascii="Arial" w:hAnsi="Arial" w:cs="Arial"/>
          <w:sz w:val="20"/>
          <w:szCs w:val="20"/>
        </w:rPr>
        <w:t xml:space="preserve">Table </w:t>
      </w:r>
      <w:r w:rsidR="004F6B49">
        <w:rPr>
          <w:rFonts w:ascii="Arial" w:hAnsi="Arial" w:cs="Arial"/>
          <w:sz w:val="20"/>
          <w:szCs w:val="20"/>
        </w:rPr>
        <w:fldChar w:fldCharType="begin"/>
      </w:r>
      <w:r w:rsidR="004F6B49">
        <w:rPr>
          <w:rFonts w:ascii="Arial" w:hAnsi="Arial" w:cs="Arial"/>
          <w:sz w:val="20"/>
          <w:szCs w:val="20"/>
        </w:rPr>
        <w:instrText xml:space="preserve"> STYLEREF 1 \s </w:instrText>
      </w:r>
      <w:r w:rsidR="004F6B49">
        <w:rPr>
          <w:rFonts w:ascii="Arial" w:hAnsi="Arial" w:cs="Arial"/>
          <w:sz w:val="20"/>
          <w:szCs w:val="20"/>
        </w:rPr>
        <w:fldChar w:fldCharType="separate"/>
      </w:r>
      <w:r w:rsidR="007342C8">
        <w:rPr>
          <w:rFonts w:ascii="Arial" w:hAnsi="Arial" w:cs="Arial"/>
          <w:noProof/>
          <w:sz w:val="20"/>
          <w:szCs w:val="20"/>
        </w:rPr>
        <w:t>6</w:t>
      </w:r>
      <w:r w:rsidR="004F6B49">
        <w:rPr>
          <w:rFonts w:ascii="Arial" w:hAnsi="Arial" w:cs="Arial"/>
          <w:sz w:val="20"/>
          <w:szCs w:val="20"/>
        </w:rPr>
        <w:fldChar w:fldCharType="end"/>
      </w:r>
      <w:r w:rsidR="004F6B49">
        <w:rPr>
          <w:rFonts w:ascii="Arial" w:hAnsi="Arial" w:cs="Arial"/>
          <w:sz w:val="20"/>
          <w:szCs w:val="20"/>
        </w:rPr>
        <w:noBreakHyphen/>
      </w:r>
      <w:r w:rsidR="004F6B49">
        <w:rPr>
          <w:rFonts w:ascii="Arial" w:hAnsi="Arial" w:cs="Arial"/>
          <w:sz w:val="20"/>
          <w:szCs w:val="20"/>
        </w:rPr>
        <w:fldChar w:fldCharType="begin"/>
      </w:r>
      <w:r w:rsidR="004F6B49">
        <w:rPr>
          <w:rFonts w:ascii="Arial" w:hAnsi="Arial" w:cs="Arial"/>
          <w:sz w:val="20"/>
          <w:szCs w:val="20"/>
        </w:rPr>
        <w:instrText xml:space="preserve"> SEQ Table \* ARABIC \s 1 </w:instrText>
      </w:r>
      <w:r w:rsidR="004F6B49">
        <w:rPr>
          <w:rFonts w:ascii="Arial" w:hAnsi="Arial" w:cs="Arial"/>
          <w:sz w:val="20"/>
          <w:szCs w:val="20"/>
        </w:rPr>
        <w:fldChar w:fldCharType="separate"/>
      </w:r>
      <w:r w:rsidR="007342C8">
        <w:rPr>
          <w:rFonts w:ascii="Arial" w:hAnsi="Arial" w:cs="Arial"/>
          <w:noProof/>
          <w:sz w:val="20"/>
          <w:szCs w:val="20"/>
        </w:rPr>
        <w:t>1</w:t>
      </w:r>
      <w:r w:rsidR="004F6B49">
        <w:rPr>
          <w:rFonts w:ascii="Arial" w:hAnsi="Arial" w:cs="Arial"/>
          <w:sz w:val="20"/>
          <w:szCs w:val="20"/>
        </w:rPr>
        <w:fldChar w:fldCharType="end"/>
      </w:r>
      <w:bookmarkEnd w:id="326"/>
      <w:r w:rsidRPr="0092670C">
        <w:rPr>
          <w:rFonts w:ascii="Arial" w:hAnsi="Arial" w:cs="Arial"/>
          <w:sz w:val="20"/>
          <w:szCs w:val="20"/>
        </w:rPr>
        <w:t>: Outline of differences between pre-lithiation and pre-sodiation.</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1"/>
        <w:gridCol w:w="2839"/>
      </w:tblGrid>
      <w:tr w:rsidR="00691601" w:rsidRPr="0092670C" w14:paraId="6DE1D4EA" w14:textId="77777777" w:rsidTr="004E008E">
        <w:tc>
          <w:tcPr>
            <w:tcW w:w="2834" w:type="dxa"/>
            <w:tcBorders>
              <w:top w:val="single" w:sz="4" w:space="0" w:color="auto"/>
              <w:bottom w:val="single" w:sz="4" w:space="0" w:color="auto"/>
            </w:tcBorders>
          </w:tcPr>
          <w:p w14:paraId="47BE304E" w14:textId="311C490C" w:rsidR="00691601" w:rsidRPr="0092670C" w:rsidRDefault="001C2D96" w:rsidP="00906BC9">
            <w:pPr>
              <w:keepNext/>
              <w:spacing w:line="360" w:lineRule="auto"/>
              <w:jc w:val="both"/>
              <w:rPr>
                <w:rFonts w:ascii="Arial" w:hAnsi="Arial" w:cs="Arial"/>
              </w:rPr>
            </w:pPr>
            <w:r w:rsidRPr="0092670C">
              <w:rPr>
                <w:rFonts w:ascii="Arial" w:hAnsi="Arial" w:cs="Arial"/>
              </w:rPr>
              <w:t>Technique</w:t>
            </w:r>
          </w:p>
        </w:tc>
        <w:tc>
          <w:tcPr>
            <w:tcW w:w="2831" w:type="dxa"/>
            <w:tcBorders>
              <w:top w:val="single" w:sz="4" w:space="0" w:color="auto"/>
              <w:bottom w:val="single" w:sz="4" w:space="0" w:color="auto"/>
            </w:tcBorders>
          </w:tcPr>
          <w:p w14:paraId="66500556" w14:textId="1D72B635" w:rsidR="00691601" w:rsidRPr="0092670C" w:rsidRDefault="00691601" w:rsidP="00906BC9">
            <w:pPr>
              <w:keepNext/>
              <w:spacing w:line="360" w:lineRule="auto"/>
              <w:jc w:val="both"/>
              <w:rPr>
                <w:rFonts w:ascii="Arial" w:hAnsi="Arial" w:cs="Arial"/>
              </w:rPr>
            </w:pPr>
            <w:r w:rsidRPr="0092670C">
              <w:rPr>
                <w:rFonts w:ascii="Arial" w:hAnsi="Arial" w:cs="Arial"/>
              </w:rPr>
              <w:t>Pros</w:t>
            </w:r>
          </w:p>
        </w:tc>
        <w:tc>
          <w:tcPr>
            <w:tcW w:w="2839" w:type="dxa"/>
            <w:tcBorders>
              <w:top w:val="single" w:sz="4" w:space="0" w:color="auto"/>
              <w:bottom w:val="single" w:sz="4" w:space="0" w:color="auto"/>
            </w:tcBorders>
          </w:tcPr>
          <w:p w14:paraId="26E9AEC0" w14:textId="7D144353" w:rsidR="00691601" w:rsidRPr="0092670C" w:rsidRDefault="00691601" w:rsidP="00906BC9">
            <w:pPr>
              <w:keepNext/>
              <w:spacing w:line="360" w:lineRule="auto"/>
              <w:jc w:val="both"/>
              <w:rPr>
                <w:rFonts w:ascii="Arial" w:hAnsi="Arial" w:cs="Arial"/>
              </w:rPr>
            </w:pPr>
            <w:r w:rsidRPr="0092670C">
              <w:rPr>
                <w:rFonts w:ascii="Arial" w:hAnsi="Arial" w:cs="Arial"/>
              </w:rPr>
              <w:t>Cons</w:t>
            </w:r>
          </w:p>
        </w:tc>
      </w:tr>
      <w:tr w:rsidR="00691601" w:rsidRPr="0092670C" w14:paraId="0BA2478C" w14:textId="77777777" w:rsidTr="004E008E">
        <w:tc>
          <w:tcPr>
            <w:tcW w:w="2834" w:type="dxa"/>
            <w:tcBorders>
              <w:top w:val="single" w:sz="4" w:space="0" w:color="auto"/>
            </w:tcBorders>
          </w:tcPr>
          <w:p w14:paraId="0BB1F4B2" w14:textId="58834F80" w:rsidR="00691601" w:rsidRPr="0092670C" w:rsidRDefault="00C70A3A" w:rsidP="00906BC9">
            <w:pPr>
              <w:keepNext/>
              <w:spacing w:line="360" w:lineRule="auto"/>
              <w:jc w:val="both"/>
              <w:rPr>
                <w:rFonts w:ascii="Arial" w:hAnsi="Arial" w:cs="Arial"/>
              </w:rPr>
            </w:pPr>
            <w:r w:rsidRPr="0092670C">
              <w:rPr>
                <w:rFonts w:ascii="Arial" w:hAnsi="Arial" w:cs="Arial"/>
              </w:rPr>
              <w:t>Pre-li</w:t>
            </w:r>
            <w:r w:rsidR="00C34B60" w:rsidRPr="0092670C">
              <w:rPr>
                <w:rFonts w:ascii="Arial" w:hAnsi="Arial" w:cs="Arial"/>
              </w:rPr>
              <w:t>t</w:t>
            </w:r>
            <w:r w:rsidRPr="0092670C">
              <w:rPr>
                <w:rFonts w:ascii="Arial" w:hAnsi="Arial" w:cs="Arial"/>
              </w:rPr>
              <w:t>hiation</w:t>
            </w:r>
          </w:p>
        </w:tc>
        <w:tc>
          <w:tcPr>
            <w:tcW w:w="2831" w:type="dxa"/>
            <w:tcBorders>
              <w:top w:val="single" w:sz="4" w:space="0" w:color="auto"/>
            </w:tcBorders>
          </w:tcPr>
          <w:p w14:paraId="1C0DDD18" w14:textId="77777777" w:rsidR="00691601" w:rsidRPr="0092670C" w:rsidRDefault="00DD116B" w:rsidP="00906BC9">
            <w:pPr>
              <w:keepNext/>
              <w:spacing w:line="360" w:lineRule="auto"/>
              <w:jc w:val="both"/>
              <w:rPr>
                <w:rFonts w:ascii="Arial" w:hAnsi="Arial" w:cs="Arial"/>
              </w:rPr>
            </w:pPr>
            <w:r w:rsidRPr="0092670C">
              <w:rPr>
                <w:rFonts w:ascii="Arial" w:hAnsi="Arial" w:cs="Arial"/>
              </w:rPr>
              <w:t>High capacity retention</w:t>
            </w:r>
          </w:p>
          <w:p w14:paraId="4505027E" w14:textId="2A67DE51" w:rsidR="00AC6C18" w:rsidRPr="0092670C" w:rsidRDefault="00DA3A7D" w:rsidP="00906BC9">
            <w:pPr>
              <w:keepNext/>
              <w:spacing w:line="360" w:lineRule="auto"/>
              <w:jc w:val="both"/>
              <w:rPr>
                <w:rFonts w:ascii="Arial" w:hAnsi="Arial" w:cs="Arial"/>
              </w:rPr>
            </w:pPr>
            <w:r w:rsidRPr="0092670C">
              <w:rPr>
                <w:rFonts w:ascii="Arial" w:hAnsi="Arial" w:cs="Arial"/>
              </w:rPr>
              <w:t xml:space="preserve">Robust SEI </w:t>
            </w:r>
          </w:p>
        </w:tc>
        <w:tc>
          <w:tcPr>
            <w:tcW w:w="2839" w:type="dxa"/>
            <w:tcBorders>
              <w:top w:val="single" w:sz="4" w:space="0" w:color="auto"/>
            </w:tcBorders>
          </w:tcPr>
          <w:p w14:paraId="5DEF959A" w14:textId="77777777" w:rsidR="00691601" w:rsidRPr="0092670C" w:rsidRDefault="001E0879" w:rsidP="00906BC9">
            <w:pPr>
              <w:keepNext/>
              <w:spacing w:line="360" w:lineRule="auto"/>
              <w:jc w:val="both"/>
              <w:rPr>
                <w:rFonts w:ascii="Arial" w:hAnsi="Arial" w:cs="Arial"/>
              </w:rPr>
            </w:pPr>
            <w:r w:rsidRPr="0092670C">
              <w:rPr>
                <w:rFonts w:ascii="Arial" w:hAnsi="Arial" w:cs="Arial"/>
              </w:rPr>
              <w:t>Poor speci</w:t>
            </w:r>
            <w:r w:rsidR="00034FDE" w:rsidRPr="0092670C">
              <w:rPr>
                <w:rFonts w:ascii="Arial" w:hAnsi="Arial" w:cs="Arial"/>
              </w:rPr>
              <w:t xml:space="preserve">fic capacity </w:t>
            </w:r>
          </w:p>
          <w:p w14:paraId="6C3D6D98" w14:textId="113E6DFB" w:rsidR="00FA3D5F" w:rsidRPr="0092670C" w:rsidRDefault="00FA3D5F" w:rsidP="00906BC9">
            <w:pPr>
              <w:keepNext/>
              <w:spacing w:line="360" w:lineRule="auto"/>
              <w:jc w:val="both"/>
              <w:rPr>
                <w:rFonts w:ascii="Arial" w:hAnsi="Arial" w:cs="Arial"/>
              </w:rPr>
            </w:pPr>
            <w:r w:rsidRPr="0092670C">
              <w:rPr>
                <w:rFonts w:ascii="Arial" w:hAnsi="Arial" w:cs="Arial"/>
              </w:rPr>
              <w:t>High resistance SEI</w:t>
            </w:r>
          </w:p>
        </w:tc>
      </w:tr>
      <w:tr w:rsidR="00691601" w:rsidRPr="0092670C" w14:paraId="42EB3C4F" w14:textId="77777777" w:rsidTr="004E008E">
        <w:tc>
          <w:tcPr>
            <w:tcW w:w="2834" w:type="dxa"/>
          </w:tcPr>
          <w:p w14:paraId="6B9F8BEA" w14:textId="04F0E6FB" w:rsidR="00691601" w:rsidRPr="0092670C" w:rsidRDefault="005D32BC" w:rsidP="00906BC9">
            <w:pPr>
              <w:keepNext/>
              <w:spacing w:line="360" w:lineRule="auto"/>
              <w:jc w:val="both"/>
              <w:rPr>
                <w:rFonts w:ascii="Arial" w:hAnsi="Arial" w:cs="Arial"/>
              </w:rPr>
            </w:pPr>
            <w:r w:rsidRPr="0092670C">
              <w:rPr>
                <w:rFonts w:ascii="Arial" w:hAnsi="Arial" w:cs="Arial"/>
              </w:rPr>
              <w:t>Pre-sodiation</w:t>
            </w:r>
          </w:p>
        </w:tc>
        <w:tc>
          <w:tcPr>
            <w:tcW w:w="2831" w:type="dxa"/>
          </w:tcPr>
          <w:p w14:paraId="12D1C81F" w14:textId="77777777" w:rsidR="00691601" w:rsidRPr="0092670C" w:rsidRDefault="00034FDE" w:rsidP="00906BC9">
            <w:pPr>
              <w:keepNext/>
              <w:spacing w:line="360" w:lineRule="auto"/>
              <w:jc w:val="both"/>
              <w:rPr>
                <w:rFonts w:ascii="Arial" w:hAnsi="Arial" w:cs="Arial"/>
              </w:rPr>
            </w:pPr>
            <w:r w:rsidRPr="0092670C">
              <w:rPr>
                <w:rFonts w:ascii="Arial" w:hAnsi="Arial" w:cs="Arial"/>
              </w:rPr>
              <w:t>High specific capacity</w:t>
            </w:r>
          </w:p>
          <w:p w14:paraId="62C789D7" w14:textId="5BEE88C0" w:rsidR="00806F6D" w:rsidRPr="0092670C" w:rsidRDefault="00806F6D" w:rsidP="00906BC9">
            <w:pPr>
              <w:keepNext/>
              <w:spacing w:line="360" w:lineRule="auto"/>
              <w:jc w:val="both"/>
              <w:rPr>
                <w:rFonts w:ascii="Arial" w:hAnsi="Arial" w:cs="Arial"/>
              </w:rPr>
            </w:pPr>
            <w:r w:rsidRPr="0092670C">
              <w:rPr>
                <w:rFonts w:ascii="Arial" w:hAnsi="Arial" w:cs="Arial"/>
              </w:rPr>
              <w:t>Low resistance SEI</w:t>
            </w:r>
          </w:p>
        </w:tc>
        <w:tc>
          <w:tcPr>
            <w:tcW w:w="2839" w:type="dxa"/>
          </w:tcPr>
          <w:p w14:paraId="56DAC4D6" w14:textId="77777777" w:rsidR="00691601" w:rsidRPr="0092670C" w:rsidRDefault="00AC6C18" w:rsidP="00906BC9">
            <w:pPr>
              <w:keepNext/>
              <w:spacing w:line="360" w:lineRule="auto"/>
              <w:jc w:val="both"/>
              <w:rPr>
                <w:rFonts w:ascii="Arial" w:hAnsi="Arial" w:cs="Arial"/>
              </w:rPr>
            </w:pPr>
            <w:r w:rsidRPr="0092670C">
              <w:rPr>
                <w:rFonts w:ascii="Arial" w:hAnsi="Arial" w:cs="Arial"/>
              </w:rPr>
              <w:t>P</w:t>
            </w:r>
            <w:r w:rsidR="00DD116B" w:rsidRPr="0092670C">
              <w:rPr>
                <w:rFonts w:ascii="Arial" w:hAnsi="Arial" w:cs="Arial"/>
              </w:rPr>
              <w:t>oor</w:t>
            </w:r>
            <w:r w:rsidRPr="0092670C">
              <w:rPr>
                <w:rFonts w:ascii="Arial" w:hAnsi="Arial" w:cs="Arial"/>
              </w:rPr>
              <w:t xml:space="preserve"> capacity retention</w:t>
            </w:r>
          </w:p>
          <w:p w14:paraId="1BFFE46F" w14:textId="08823BF2" w:rsidR="00AC6C18" w:rsidRPr="0092670C" w:rsidRDefault="00AC6C18" w:rsidP="00906BC9">
            <w:pPr>
              <w:keepNext/>
              <w:spacing w:line="360" w:lineRule="auto"/>
              <w:jc w:val="both"/>
              <w:rPr>
                <w:rFonts w:ascii="Arial" w:hAnsi="Arial" w:cs="Arial"/>
              </w:rPr>
            </w:pPr>
            <w:r w:rsidRPr="0092670C">
              <w:rPr>
                <w:rFonts w:ascii="Arial" w:hAnsi="Arial" w:cs="Arial"/>
              </w:rPr>
              <w:t>SEI prone to dissolution</w:t>
            </w:r>
          </w:p>
        </w:tc>
      </w:tr>
    </w:tbl>
    <w:p w14:paraId="5210B9A8" w14:textId="21322D07" w:rsidR="002D36BB" w:rsidRPr="0092670C" w:rsidRDefault="002D36BB" w:rsidP="00C35972">
      <w:pPr>
        <w:spacing w:line="360" w:lineRule="auto"/>
        <w:jc w:val="both"/>
        <w:rPr>
          <w:rFonts w:ascii="Arial" w:hAnsi="Arial" w:cs="Arial"/>
        </w:rPr>
      </w:pPr>
      <w:r w:rsidRPr="0092670C">
        <w:rPr>
          <w:rFonts w:ascii="Arial" w:hAnsi="Arial" w:cs="Arial"/>
        </w:rPr>
        <w:br w:type="page"/>
      </w:r>
    </w:p>
    <w:p w14:paraId="1CF6369E" w14:textId="77777777" w:rsidR="00936D60" w:rsidRPr="0092670C" w:rsidRDefault="00936D60" w:rsidP="00C35972">
      <w:pPr>
        <w:spacing w:line="360" w:lineRule="auto"/>
        <w:jc w:val="both"/>
        <w:rPr>
          <w:rFonts w:ascii="Arial" w:eastAsiaTheme="majorEastAsia" w:hAnsi="Arial" w:cs="Arial"/>
          <w:color w:val="2F5496" w:themeColor="accent1" w:themeShade="BF"/>
          <w:sz w:val="32"/>
          <w:szCs w:val="32"/>
        </w:rPr>
      </w:pPr>
    </w:p>
    <w:p w14:paraId="0E35A64F" w14:textId="4D1B4AC7" w:rsidR="00311E04" w:rsidRPr="0092670C" w:rsidRDefault="00101033" w:rsidP="002D36BB">
      <w:pPr>
        <w:pStyle w:val="Heading1"/>
        <w:spacing w:before="4000" w:line="360" w:lineRule="auto"/>
        <w:rPr>
          <w:rFonts w:ascii="Arial" w:hAnsi="Arial" w:cs="Arial"/>
          <w:b/>
        </w:rPr>
      </w:pPr>
      <w:bookmarkStart w:id="327" w:name="_Toc82538821"/>
      <w:r w:rsidRPr="0092670C">
        <w:rPr>
          <w:rFonts w:ascii="Arial" w:hAnsi="Arial" w:cs="Arial"/>
          <w:b/>
        </w:rPr>
        <w:t>C</w:t>
      </w:r>
      <w:r w:rsidR="00BF7610" w:rsidRPr="0092670C">
        <w:rPr>
          <w:rFonts w:ascii="Arial" w:hAnsi="Arial" w:cs="Arial"/>
          <w:b/>
        </w:rPr>
        <w:t xml:space="preserve">onclusion &amp; </w:t>
      </w:r>
      <w:r w:rsidR="004B0BC5" w:rsidRPr="0092670C">
        <w:rPr>
          <w:rFonts w:ascii="Arial" w:hAnsi="Arial" w:cs="Arial"/>
          <w:b/>
        </w:rPr>
        <w:t>Future work</w:t>
      </w:r>
      <w:bookmarkEnd w:id="327"/>
    </w:p>
    <w:p w14:paraId="428C9B61" w14:textId="17D6B173" w:rsidR="00A16316" w:rsidRPr="0092670C" w:rsidRDefault="00B46A79" w:rsidP="00B332BE">
      <w:pPr>
        <w:spacing w:line="360" w:lineRule="auto"/>
        <w:jc w:val="both"/>
        <w:rPr>
          <w:rFonts w:ascii="Arial" w:hAnsi="Arial" w:cs="Arial"/>
        </w:rPr>
      </w:pPr>
      <w:r w:rsidRPr="0092670C">
        <w:rPr>
          <w:rFonts w:ascii="Arial" w:hAnsi="Arial" w:cs="Arial"/>
        </w:rPr>
        <w:t xml:space="preserve">This chapter </w:t>
      </w:r>
      <w:r w:rsidR="00421A85" w:rsidRPr="0092670C">
        <w:rPr>
          <w:rFonts w:ascii="Arial" w:hAnsi="Arial" w:cs="Arial"/>
        </w:rPr>
        <w:t xml:space="preserve">shows the outcome of the work carried out within this thesis and </w:t>
      </w:r>
      <w:r w:rsidR="004D6C5A" w:rsidRPr="0092670C">
        <w:rPr>
          <w:rFonts w:ascii="Arial" w:hAnsi="Arial" w:cs="Arial"/>
        </w:rPr>
        <w:t xml:space="preserve">how </w:t>
      </w:r>
      <w:r w:rsidR="006E5CF3" w:rsidRPr="0092670C">
        <w:rPr>
          <w:rFonts w:ascii="Arial" w:hAnsi="Arial" w:cs="Arial"/>
        </w:rPr>
        <w:t xml:space="preserve">it impacts the </w:t>
      </w:r>
      <w:r w:rsidR="00D617D5" w:rsidRPr="0092670C">
        <w:rPr>
          <w:rFonts w:ascii="Arial" w:hAnsi="Arial" w:cs="Arial"/>
        </w:rPr>
        <w:t xml:space="preserve">wider scientific body of knowledge. It also outlines new potential avenues of work to be conducted outside the scope of this thesis and </w:t>
      </w:r>
      <w:r w:rsidR="00121D15" w:rsidRPr="0092670C">
        <w:rPr>
          <w:rFonts w:ascii="Arial" w:hAnsi="Arial" w:cs="Arial"/>
        </w:rPr>
        <w:t xml:space="preserve">how these would benefit from the work </w:t>
      </w:r>
      <w:r w:rsidR="00BD7F87" w:rsidRPr="0092670C">
        <w:rPr>
          <w:rFonts w:ascii="Arial" w:hAnsi="Arial" w:cs="Arial"/>
        </w:rPr>
        <w:t xml:space="preserve">begun in this thesis. </w:t>
      </w:r>
      <w:r w:rsidR="00A16316" w:rsidRPr="0092670C">
        <w:rPr>
          <w:rFonts w:ascii="Arial" w:hAnsi="Arial" w:cs="Arial"/>
        </w:rPr>
        <w:br w:type="page"/>
      </w:r>
    </w:p>
    <w:p w14:paraId="08EA8CC1" w14:textId="77777777" w:rsidR="00560C78" w:rsidRDefault="00560C78" w:rsidP="00560C78">
      <w:pPr>
        <w:pStyle w:val="Heading2"/>
        <w:rPr>
          <w:rFonts w:ascii="Arial" w:hAnsi="Arial" w:cs="Arial"/>
        </w:rPr>
      </w:pPr>
      <w:bookmarkStart w:id="328" w:name="_Toc82538822"/>
      <w:r>
        <w:rPr>
          <w:rFonts w:ascii="Arial" w:hAnsi="Arial" w:cs="Arial"/>
        </w:rPr>
        <w:t>Conclusion</w:t>
      </w:r>
      <w:bookmarkEnd w:id="328"/>
    </w:p>
    <w:p w14:paraId="6545D4C1" w14:textId="4BF45F54" w:rsidR="00C176E0" w:rsidRPr="0092670C" w:rsidRDefault="004B0BC5" w:rsidP="004B0BC5">
      <w:pPr>
        <w:spacing w:line="360" w:lineRule="auto"/>
        <w:jc w:val="both"/>
        <w:rPr>
          <w:rFonts w:ascii="Arial" w:hAnsi="Arial" w:cs="Arial"/>
        </w:rPr>
      </w:pPr>
      <w:r w:rsidRPr="0092670C">
        <w:rPr>
          <w:rFonts w:ascii="Arial" w:hAnsi="Arial" w:cs="Arial"/>
        </w:rPr>
        <w:t xml:space="preserve">This thesis has demonstrated that the SEI can be </w:t>
      </w:r>
      <w:r w:rsidR="00D7213A" w:rsidRPr="0092670C">
        <w:rPr>
          <w:rFonts w:ascii="Arial" w:hAnsi="Arial" w:cs="Arial"/>
        </w:rPr>
        <w:t xml:space="preserve">formed </w:t>
      </w:r>
      <w:r w:rsidR="00E92FAD" w:rsidRPr="0092670C">
        <w:rPr>
          <w:rFonts w:ascii="Arial" w:hAnsi="Arial" w:cs="Arial"/>
        </w:rPr>
        <w:t>before cycling</w:t>
      </w:r>
      <w:r w:rsidRPr="0092670C">
        <w:rPr>
          <w:rFonts w:ascii="Arial" w:hAnsi="Arial" w:cs="Arial"/>
        </w:rPr>
        <w:t xml:space="preserve"> and </w:t>
      </w:r>
      <w:r w:rsidR="00341239">
        <w:rPr>
          <w:rFonts w:ascii="Arial" w:hAnsi="Arial" w:cs="Arial"/>
        </w:rPr>
        <w:t xml:space="preserve">can have long lasting effects on the </w:t>
      </w:r>
      <w:r w:rsidR="002E3316">
        <w:rPr>
          <w:rFonts w:ascii="Arial" w:hAnsi="Arial" w:cs="Arial"/>
        </w:rPr>
        <w:t>performance of the cell</w:t>
      </w:r>
      <w:r w:rsidR="00F50B25" w:rsidRPr="0092670C">
        <w:rPr>
          <w:rFonts w:ascii="Arial" w:hAnsi="Arial" w:cs="Arial"/>
        </w:rPr>
        <w:t xml:space="preserve">. </w:t>
      </w:r>
      <w:r w:rsidR="00E92FAD" w:rsidRPr="0092670C">
        <w:rPr>
          <w:rFonts w:ascii="Arial" w:hAnsi="Arial" w:cs="Arial"/>
        </w:rPr>
        <w:t xml:space="preserve">We saw that </w:t>
      </w:r>
      <w:r w:rsidR="005A2A00" w:rsidRPr="0092670C">
        <w:rPr>
          <w:rFonts w:ascii="Arial" w:hAnsi="Arial" w:cs="Arial"/>
        </w:rPr>
        <w:t xml:space="preserve">altering the </w:t>
      </w:r>
      <w:r w:rsidR="00C82B34" w:rsidRPr="0092670C">
        <w:rPr>
          <w:rFonts w:ascii="Arial" w:hAnsi="Arial" w:cs="Arial"/>
        </w:rPr>
        <w:t xml:space="preserve">material used for pe-lithiation </w:t>
      </w:r>
      <w:r w:rsidR="00F75EF6" w:rsidRPr="0092670C">
        <w:rPr>
          <w:rFonts w:ascii="Arial" w:hAnsi="Arial" w:cs="Arial"/>
        </w:rPr>
        <w:t>cou</w:t>
      </w:r>
      <w:r w:rsidR="00A47EFF" w:rsidRPr="0092670C">
        <w:rPr>
          <w:rFonts w:ascii="Arial" w:hAnsi="Arial" w:cs="Arial"/>
        </w:rPr>
        <w:t>ld i</w:t>
      </w:r>
      <w:r w:rsidR="00880B66" w:rsidRPr="0092670C">
        <w:rPr>
          <w:rFonts w:ascii="Arial" w:hAnsi="Arial" w:cs="Arial"/>
        </w:rPr>
        <w:t>ncrease</w:t>
      </w:r>
      <w:r w:rsidR="00A47EFF" w:rsidRPr="0092670C">
        <w:rPr>
          <w:rFonts w:ascii="Arial" w:hAnsi="Arial" w:cs="Arial"/>
        </w:rPr>
        <w:t xml:space="preserve"> the </w:t>
      </w:r>
      <w:r w:rsidR="00C57EB7" w:rsidRPr="0092670C">
        <w:rPr>
          <w:rFonts w:ascii="Arial" w:hAnsi="Arial" w:cs="Arial"/>
        </w:rPr>
        <w:t>init</w:t>
      </w:r>
      <w:r w:rsidR="00880B66" w:rsidRPr="0092670C">
        <w:rPr>
          <w:rFonts w:ascii="Arial" w:hAnsi="Arial" w:cs="Arial"/>
        </w:rPr>
        <w:t>ial coulombic efficiency and charge</w:t>
      </w:r>
      <w:r w:rsidR="00C82B34" w:rsidRPr="0092670C">
        <w:rPr>
          <w:rFonts w:ascii="Arial" w:hAnsi="Arial" w:cs="Arial"/>
        </w:rPr>
        <w:t xml:space="preserve"> </w:t>
      </w:r>
      <w:r w:rsidR="00880B66" w:rsidRPr="0092670C">
        <w:rPr>
          <w:rFonts w:ascii="Arial" w:hAnsi="Arial" w:cs="Arial"/>
        </w:rPr>
        <w:t>capacity of the cell.</w:t>
      </w:r>
      <w:r w:rsidR="00E977AC" w:rsidRPr="0092670C">
        <w:rPr>
          <w:rFonts w:ascii="Arial" w:hAnsi="Arial" w:cs="Arial"/>
        </w:rPr>
        <w:t xml:space="preserve"> </w:t>
      </w:r>
      <w:r w:rsidR="00DE0E92" w:rsidRPr="0092670C">
        <w:rPr>
          <w:rFonts w:ascii="Arial" w:hAnsi="Arial" w:cs="Arial"/>
        </w:rPr>
        <w:t xml:space="preserve">Using EIS showed us that </w:t>
      </w:r>
      <w:r w:rsidR="00AD66DD" w:rsidRPr="0092670C">
        <w:rPr>
          <w:rFonts w:ascii="Arial" w:hAnsi="Arial" w:cs="Arial"/>
        </w:rPr>
        <w:t>alter</w:t>
      </w:r>
      <w:r w:rsidR="009500D9" w:rsidRPr="0092670C">
        <w:rPr>
          <w:rFonts w:ascii="Arial" w:hAnsi="Arial" w:cs="Arial"/>
        </w:rPr>
        <w:t xml:space="preserve">ing the </w:t>
      </w:r>
      <w:r w:rsidR="003740D3" w:rsidRPr="0092670C">
        <w:rPr>
          <w:rFonts w:ascii="Arial" w:hAnsi="Arial" w:cs="Arial"/>
        </w:rPr>
        <w:t xml:space="preserve">electrolyte </w:t>
      </w:r>
      <w:r w:rsidR="00362BE6" w:rsidRPr="0092670C">
        <w:rPr>
          <w:rFonts w:ascii="Arial" w:hAnsi="Arial" w:cs="Arial"/>
        </w:rPr>
        <w:t xml:space="preserve">would impact the </w:t>
      </w:r>
      <w:r w:rsidR="00517CE5" w:rsidRPr="0092670C">
        <w:rPr>
          <w:rFonts w:ascii="Arial" w:hAnsi="Arial" w:cs="Arial"/>
        </w:rPr>
        <w:t xml:space="preserve">SEI even when the same material had been used for pre-lithiation. </w:t>
      </w:r>
    </w:p>
    <w:p w14:paraId="0D07CC39" w14:textId="170E2C07" w:rsidR="004353E1" w:rsidRPr="0092670C" w:rsidRDefault="004353E1" w:rsidP="004B0BC5">
      <w:pPr>
        <w:spacing w:line="360" w:lineRule="auto"/>
        <w:jc w:val="both"/>
        <w:rPr>
          <w:rFonts w:ascii="Arial" w:hAnsi="Arial" w:cs="Arial"/>
        </w:rPr>
      </w:pPr>
      <w:r w:rsidRPr="0092670C">
        <w:rPr>
          <w:rFonts w:ascii="Arial" w:hAnsi="Arial" w:cs="Arial"/>
        </w:rPr>
        <w:t>Alto</w:t>
      </w:r>
      <w:r w:rsidR="00C8339C" w:rsidRPr="0092670C">
        <w:rPr>
          <w:rFonts w:ascii="Arial" w:hAnsi="Arial" w:cs="Arial"/>
        </w:rPr>
        <w:t xml:space="preserve">gether this work has shown that pre-lithiation </w:t>
      </w:r>
      <w:r w:rsidR="005859BE" w:rsidRPr="0092670C">
        <w:rPr>
          <w:rFonts w:ascii="Arial" w:hAnsi="Arial" w:cs="Arial"/>
        </w:rPr>
        <w:t xml:space="preserve">is a resilient technique that </w:t>
      </w:r>
      <w:r w:rsidR="00BF4994" w:rsidRPr="0092670C">
        <w:rPr>
          <w:rFonts w:ascii="Arial" w:hAnsi="Arial" w:cs="Arial"/>
        </w:rPr>
        <w:t xml:space="preserve">can be used to </w:t>
      </w:r>
      <w:r w:rsidR="00A84BA3" w:rsidRPr="0092670C">
        <w:rPr>
          <w:rFonts w:ascii="Arial" w:hAnsi="Arial" w:cs="Arial"/>
        </w:rPr>
        <w:t xml:space="preserve">improve cell performance and </w:t>
      </w:r>
      <w:r w:rsidR="00EB4E8D" w:rsidRPr="0092670C">
        <w:rPr>
          <w:rFonts w:ascii="Arial" w:hAnsi="Arial" w:cs="Arial"/>
        </w:rPr>
        <w:t xml:space="preserve">can </w:t>
      </w:r>
      <w:r w:rsidR="007B20E0" w:rsidRPr="0092670C">
        <w:rPr>
          <w:rFonts w:ascii="Arial" w:hAnsi="Arial" w:cs="Arial"/>
        </w:rPr>
        <w:t>surv</w:t>
      </w:r>
      <w:r w:rsidR="00695A90" w:rsidRPr="0092670C">
        <w:rPr>
          <w:rFonts w:ascii="Arial" w:hAnsi="Arial" w:cs="Arial"/>
        </w:rPr>
        <w:t xml:space="preserve">ive moving across </w:t>
      </w:r>
      <w:r w:rsidR="003425CD" w:rsidRPr="0092670C">
        <w:rPr>
          <w:rFonts w:ascii="Arial" w:hAnsi="Arial" w:cs="Arial"/>
        </w:rPr>
        <w:t xml:space="preserve">different cell chemistries. </w:t>
      </w:r>
      <w:r w:rsidR="00BD1A99" w:rsidRPr="0092670C">
        <w:rPr>
          <w:rFonts w:ascii="Arial" w:hAnsi="Arial" w:cs="Arial"/>
        </w:rPr>
        <w:t xml:space="preserve">We also saw that the techniques we used to optimise </w:t>
      </w:r>
      <w:r w:rsidR="007C526B" w:rsidRPr="0092670C">
        <w:rPr>
          <w:rFonts w:ascii="Arial" w:hAnsi="Arial" w:cs="Arial"/>
        </w:rPr>
        <w:t xml:space="preserve">the capacity retention of the cell </w:t>
      </w:r>
      <w:r w:rsidR="00037779" w:rsidRPr="0092670C">
        <w:rPr>
          <w:rFonts w:ascii="Arial" w:hAnsi="Arial" w:cs="Arial"/>
        </w:rPr>
        <w:t xml:space="preserve">could be applied in a systematic manner between the different </w:t>
      </w:r>
      <w:r w:rsidR="00CB1B9E" w:rsidRPr="0092670C">
        <w:rPr>
          <w:rFonts w:ascii="Arial" w:hAnsi="Arial" w:cs="Arial"/>
        </w:rPr>
        <w:t>anode</w:t>
      </w:r>
      <w:r w:rsidR="00AD4FDD" w:rsidRPr="0092670C">
        <w:rPr>
          <w:rFonts w:ascii="Arial" w:hAnsi="Arial" w:cs="Arial"/>
        </w:rPr>
        <w:t xml:space="preserve"> materials. </w:t>
      </w:r>
    </w:p>
    <w:p w14:paraId="659E88E7" w14:textId="7FC4DC09" w:rsidR="00BD7B4A" w:rsidRDefault="004B0BC5" w:rsidP="004B0BC5">
      <w:pPr>
        <w:spacing w:line="360" w:lineRule="auto"/>
        <w:jc w:val="both"/>
        <w:rPr>
          <w:rFonts w:ascii="Arial" w:hAnsi="Arial" w:cs="Arial"/>
        </w:rPr>
      </w:pPr>
      <w:r w:rsidRPr="0092670C">
        <w:rPr>
          <w:rFonts w:ascii="Arial" w:hAnsi="Arial" w:cs="Arial"/>
        </w:rPr>
        <w:t>This is not the end of this research though and there is a range of work that could be completed in the future to further the understanding</w:t>
      </w:r>
      <w:r w:rsidR="00723D42" w:rsidRPr="0092670C">
        <w:rPr>
          <w:rFonts w:ascii="Arial" w:hAnsi="Arial" w:cs="Arial"/>
        </w:rPr>
        <w:t xml:space="preserve"> about the effects of pre-</w:t>
      </w:r>
      <w:r w:rsidR="0014391C" w:rsidRPr="0092670C">
        <w:rPr>
          <w:rFonts w:ascii="Arial" w:hAnsi="Arial" w:cs="Arial"/>
        </w:rPr>
        <w:t xml:space="preserve">lithiation and </w:t>
      </w:r>
      <w:r w:rsidR="00A13AE7" w:rsidRPr="0092670C">
        <w:rPr>
          <w:rFonts w:ascii="Arial" w:hAnsi="Arial" w:cs="Arial"/>
        </w:rPr>
        <w:t xml:space="preserve">its </w:t>
      </w:r>
      <w:r w:rsidR="00D72ECF" w:rsidRPr="0092670C">
        <w:rPr>
          <w:rFonts w:ascii="Arial" w:hAnsi="Arial" w:cs="Arial"/>
        </w:rPr>
        <w:t xml:space="preserve">longevity. </w:t>
      </w:r>
      <w:r w:rsidR="002940F8" w:rsidRPr="0092670C">
        <w:rPr>
          <w:rFonts w:ascii="Arial" w:hAnsi="Arial" w:cs="Arial"/>
        </w:rPr>
        <w:t xml:space="preserve">This would be vital to </w:t>
      </w:r>
      <w:r w:rsidR="0074126E" w:rsidRPr="0092670C">
        <w:rPr>
          <w:rFonts w:ascii="Arial" w:hAnsi="Arial" w:cs="Arial"/>
        </w:rPr>
        <w:t xml:space="preserve">ensure </w:t>
      </w:r>
      <w:r w:rsidR="001B0870" w:rsidRPr="0092670C">
        <w:rPr>
          <w:rFonts w:ascii="Arial" w:hAnsi="Arial" w:cs="Arial"/>
        </w:rPr>
        <w:t xml:space="preserve">that pre-lithiation becomes a viable technique in Li-ion battery manufacturing.  </w:t>
      </w:r>
      <w:r w:rsidR="00D72ECF" w:rsidRPr="0092670C">
        <w:rPr>
          <w:rFonts w:ascii="Arial" w:hAnsi="Arial" w:cs="Arial"/>
        </w:rPr>
        <w:t xml:space="preserve"> </w:t>
      </w:r>
    </w:p>
    <w:p w14:paraId="7B6D71E0" w14:textId="3F62FEDB" w:rsidR="00BD7B4A" w:rsidRDefault="00BD7B4A" w:rsidP="004B0BC5">
      <w:pPr>
        <w:spacing w:line="360" w:lineRule="auto"/>
        <w:jc w:val="both"/>
        <w:rPr>
          <w:rFonts w:ascii="Arial" w:hAnsi="Arial" w:cs="Arial"/>
        </w:rPr>
      </w:pPr>
      <w:r>
        <w:rPr>
          <w:rFonts w:ascii="Arial" w:hAnsi="Arial" w:cs="Arial"/>
        </w:rPr>
        <w:t xml:space="preserve">Chapter 3 </w:t>
      </w:r>
      <w:r w:rsidR="00151DC6">
        <w:rPr>
          <w:rFonts w:ascii="Arial" w:hAnsi="Arial" w:cs="Arial"/>
        </w:rPr>
        <w:t xml:space="preserve">demonstrated that </w:t>
      </w:r>
      <w:r w:rsidR="00774228">
        <w:rPr>
          <w:rFonts w:ascii="Arial" w:hAnsi="Arial" w:cs="Arial"/>
        </w:rPr>
        <w:t xml:space="preserve">the </w:t>
      </w:r>
      <w:r w:rsidR="007708C3">
        <w:rPr>
          <w:rFonts w:ascii="Arial" w:hAnsi="Arial" w:cs="Arial"/>
        </w:rPr>
        <w:t>SEI formed using pre-lithiation</w:t>
      </w:r>
      <w:r w:rsidR="00E45EF0">
        <w:rPr>
          <w:rFonts w:ascii="Arial" w:hAnsi="Arial" w:cs="Arial"/>
        </w:rPr>
        <w:t xml:space="preserve"> can improve the coulombic efficiency of the cell </w:t>
      </w:r>
      <w:r w:rsidR="00C545DE">
        <w:rPr>
          <w:rFonts w:ascii="Arial" w:hAnsi="Arial" w:cs="Arial"/>
        </w:rPr>
        <w:t>and capacity retention</w:t>
      </w:r>
      <w:r w:rsidR="00047F0C">
        <w:rPr>
          <w:rFonts w:ascii="Arial" w:hAnsi="Arial" w:cs="Arial"/>
        </w:rPr>
        <w:t xml:space="preserve">. </w:t>
      </w:r>
      <w:r w:rsidR="00BB7692">
        <w:rPr>
          <w:rFonts w:ascii="Arial" w:hAnsi="Arial" w:cs="Arial"/>
        </w:rPr>
        <w:t xml:space="preserve">This chapter looked at the </w:t>
      </w:r>
      <w:r w:rsidR="00272B4C">
        <w:rPr>
          <w:rFonts w:ascii="Arial" w:hAnsi="Arial" w:cs="Arial"/>
        </w:rPr>
        <w:t xml:space="preserve">different Solvent components of the electrolyte and used them as the </w:t>
      </w:r>
      <w:r w:rsidR="004D6EC2">
        <w:rPr>
          <w:rFonts w:ascii="Arial" w:hAnsi="Arial" w:cs="Arial"/>
        </w:rPr>
        <w:t xml:space="preserve">pre-lithiation media for the cells. It was </w:t>
      </w:r>
      <w:r w:rsidR="001E1341">
        <w:rPr>
          <w:rFonts w:ascii="Arial" w:hAnsi="Arial" w:cs="Arial"/>
        </w:rPr>
        <w:t xml:space="preserve">found that the </w:t>
      </w:r>
      <w:r w:rsidR="00A07B4B">
        <w:rPr>
          <w:rFonts w:ascii="Arial" w:hAnsi="Arial" w:cs="Arial"/>
        </w:rPr>
        <w:t xml:space="preserve">capacity of the cells </w:t>
      </w:r>
      <w:r w:rsidR="005B5DCD">
        <w:rPr>
          <w:rFonts w:ascii="Arial" w:hAnsi="Arial" w:cs="Arial"/>
        </w:rPr>
        <w:t xml:space="preserve">was very sensitive to the pre-lithiation media used and went in the order FEC&gt;DMC&gt;&gt;EC. </w:t>
      </w:r>
      <w:r w:rsidR="002E1076">
        <w:rPr>
          <w:rFonts w:ascii="Arial" w:hAnsi="Arial" w:cs="Arial"/>
        </w:rPr>
        <w:t>A similar trend was also seen with the coulombic efficiency of the cells with</w:t>
      </w:r>
      <w:r w:rsidR="003E1934">
        <w:rPr>
          <w:rFonts w:ascii="Arial" w:hAnsi="Arial" w:cs="Arial"/>
        </w:rPr>
        <w:t xml:space="preserve"> FEC&gt;&gt;DMC&gt;EC. </w:t>
      </w:r>
    </w:p>
    <w:p w14:paraId="663DDD76" w14:textId="7C5CF00B" w:rsidR="00BD7B4A" w:rsidRDefault="00BD7B4A" w:rsidP="004B0BC5">
      <w:pPr>
        <w:spacing w:line="360" w:lineRule="auto"/>
        <w:jc w:val="both"/>
        <w:rPr>
          <w:rFonts w:ascii="Arial" w:hAnsi="Arial" w:cs="Arial"/>
        </w:rPr>
      </w:pPr>
      <w:r>
        <w:rPr>
          <w:rFonts w:ascii="Arial" w:hAnsi="Arial" w:cs="Arial"/>
        </w:rPr>
        <w:t>Chapter 4</w:t>
      </w:r>
      <w:r w:rsidR="0053358A">
        <w:rPr>
          <w:rFonts w:ascii="Arial" w:hAnsi="Arial" w:cs="Arial"/>
        </w:rPr>
        <w:t xml:space="preserve"> </w:t>
      </w:r>
      <w:r w:rsidR="000D5CD2">
        <w:rPr>
          <w:rFonts w:ascii="Arial" w:hAnsi="Arial" w:cs="Arial"/>
        </w:rPr>
        <w:t xml:space="preserve">applied the knowledge </w:t>
      </w:r>
      <w:r w:rsidR="00150F30">
        <w:rPr>
          <w:rFonts w:ascii="Arial" w:hAnsi="Arial" w:cs="Arial"/>
        </w:rPr>
        <w:t xml:space="preserve">gained during chapter 3 and applied it to Si electrodes. </w:t>
      </w:r>
      <w:r w:rsidR="00653D85">
        <w:rPr>
          <w:rFonts w:ascii="Arial" w:hAnsi="Arial" w:cs="Arial"/>
        </w:rPr>
        <w:t xml:space="preserve">The cells that were pre-lithiated demonstrated a higher </w:t>
      </w:r>
      <w:r w:rsidR="006B0916">
        <w:rPr>
          <w:rFonts w:ascii="Arial" w:hAnsi="Arial" w:cs="Arial"/>
        </w:rPr>
        <w:t>capacity than those that weren’t pre-lithiated</w:t>
      </w:r>
      <w:r w:rsidR="00345A60">
        <w:rPr>
          <w:rFonts w:ascii="Arial" w:hAnsi="Arial" w:cs="Arial"/>
        </w:rPr>
        <w:t xml:space="preserve">, just as was seen with </w:t>
      </w:r>
      <w:r w:rsidR="00C06E4B">
        <w:rPr>
          <w:rFonts w:ascii="Arial" w:hAnsi="Arial" w:cs="Arial"/>
        </w:rPr>
        <w:t xml:space="preserve">graphite electrodes in chapter </w:t>
      </w:r>
      <w:r w:rsidR="00323B64">
        <w:rPr>
          <w:rFonts w:ascii="Arial" w:hAnsi="Arial" w:cs="Arial"/>
        </w:rPr>
        <w:t xml:space="preserve">3. The cells that were pre-lithiated had lower capacity retention than the </w:t>
      </w:r>
      <w:r w:rsidR="00641D00">
        <w:rPr>
          <w:rFonts w:ascii="Arial" w:hAnsi="Arial" w:cs="Arial"/>
        </w:rPr>
        <w:t xml:space="preserve">reference cell. This was </w:t>
      </w:r>
      <w:r w:rsidR="003C07BD">
        <w:rPr>
          <w:rFonts w:ascii="Arial" w:hAnsi="Arial" w:cs="Arial"/>
        </w:rPr>
        <w:t xml:space="preserve">attributed to </w:t>
      </w:r>
      <w:r w:rsidR="00081CDE">
        <w:rPr>
          <w:rFonts w:ascii="Arial" w:hAnsi="Arial" w:cs="Arial"/>
        </w:rPr>
        <w:t xml:space="preserve">a </w:t>
      </w:r>
      <w:r w:rsidR="00EC7994">
        <w:rPr>
          <w:rFonts w:ascii="Arial" w:hAnsi="Arial" w:cs="Arial"/>
        </w:rPr>
        <w:t>local minimum</w:t>
      </w:r>
      <w:r w:rsidR="00081CDE">
        <w:rPr>
          <w:rFonts w:ascii="Arial" w:hAnsi="Arial" w:cs="Arial"/>
        </w:rPr>
        <w:t xml:space="preserve"> in the coulombic efficiency seen between </w:t>
      </w:r>
      <w:r w:rsidR="00B701B9">
        <w:rPr>
          <w:rFonts w:ascii="Arial" w:hAnsi="Arial" w:cs="Arial"/>
        </w:rPr>
        <w:t>the 5</w:t>
      </w:r>
      <w:r w:rsidR="00B701B9" w:rsidRPr="00B701B9">
        <w:rPr>
          <w:rFonts w:ascii="Arial" w:hAnsi="Arial" w:cs="Arial"/>
          <w:vertAlign w:val="superscript"/>
        </w:rPr>
        <w:t>th</w:t>
      </w:r>
      <w:r w:rsidR="00B701B9">
        <w:rPr>
          <w:rFonts w:ascii="Arial" w:hAnsi="Arial" w:cs="Arial"/>
        </w:rPr>
        <w:t xml:space="preserve"> and 10</w:t>
      </w:r>
      <w:r w:rsidR="00B701B9" w:rsidRPr="00B701B9">
        <w:rPr>
          <w:rFonts w:ascii="Arial" w:hAnsi="Arial" w:cs="Arial"/>
          <w:vertAlign w:val="superscript"/>
        </w:rPr>
        <w:t>th</w:t>
      </w:r>
      <w:r w:rsidR="00B701B9">
        <w:rPr>
          <w:rFonts w:ascii="Arial" w:hAnsi="Arial" w:cs="Arial"/>
        </w:rPr>
        <w:t xml:space="preserve"> cycles. This was the </w:t>
      </w:r>
      <w:r w:rsidR="00A8630B">
        <w:rPr>
          <w:rFonts w:ascii="Arial" w:hAnsi="Arial" w:cs="Arial"/>
        </w:rPr>
        <w:t xml:space="preserve">result of </w:t>
      </w:r>
      <w:r w:rsidR="00837999">
        <w:rPr>
          <w:rFonts w:ascii="Arial" w:hAnsi="Arial" w:cs="Arial"/>
        </w:rPr>
        <w:t xml:space="preserve">SEI cracking during the expansion of the Si </w:t>
      </w:r>
      <w:r w:rsidR="00F00664">
        <w:rPr>
          <w:rFonts w:ascii="Arial" w:hAnsi="Arial" w:cs="Arial"/>
        </w:rPr>
        <w:t xml:space="preserve">active material. </w:t>
      </w:r>
      <w:r w:rsidR="00B71BDB">
        <w:rPr>
          <w:rFonts w:ascii="Arial" w:hAnsi="Arial" w:cs="Arial"/>
        </w:rPr>
        <w:t>This finding reinforces</w:t>
      </w:r>
      <w:r w:rsidR="00047F0C">
        <w:rPr>
          <w:rFonts w:ascii="Arial" w:hAnsi="Arial" w:cs="Arial"/>
        </w:rPr>
        <w:t xml:space="preserve"> the fact that SEI formation </w:t>
      </w:r>
      <w:r w:rsidR="00CC21BE">
        <w:rPr>
          <w:rFonts w:ascii="Arial" w:hAnsi="Arial" w:cs="Arial"/>
        </w:rPr>
        <w:t>is dynamic process</w:t>
      </w:r>
      <w:r w:rsidR="00D15C0C">
        <w:rPr>
          <w:rFonts w:ascii="Arial" w:hAnsi="Arial" w:cs="Arial"/>
        </w:rPr>
        <w:t>.</w:t>
      </w:r>
    </w:p>
    <w:p w14:paraId="181AF498" w14:textId="37DBD44B" w:rsidR="00BD7B4A" w:rsidRDefault="00BD7B4A" w:rsidP="004B0BC5">
      <w:pPr>
        <w:spacing w:line="360" w:lineRule="auto"/>
        <w:jc w:val="both"/>
        <w:rPr>
          <w:rFonts w:ascii="Arial" w:hAnsi="Arial" w:cs="Arial"/>
        </w:rPr>
      </w:pPr>
      <w:r>
        <w:rPr>
          <w:rFonts w:ascii="Arial" w:hAnsi="Arial" w:cs="Arial"/>
        </w:rPr>
        <w:t>Chapter 5</w:t>
      </w:r>
      <w:r w:rsidR="003C07BD">
        <w:rPr>
          <w:rFonts w:ascii="Arial" w:hAnsi="Arial" w:cs="Arial"/>
        </w:rPr>
        <w:t xml:space="preserve"> was an experiment made to </w:t>
      </w:r>
      <w:r w:rsidR="00047F0C">
        <w:rPr>
          <w:rFonts w:ascii="Arial" w:hAnsi="Arial" w:cs="Arial"/>
        </w:rPr>
        <w:t>probe the dynamis</w:t>
      </w:r>
      <w:r w:rsidR="0074163D">
        <w:rPr>
          <w:rFonts w:ascii="Arial" w:hAnsi="Arial" w:cs="Arial"/>
        </w:rPr>
        <w:t>m of SEI formation as cells cycled in different environments.</w:t>
      </w:r>
      <w:r w:rsidR="0053358A">
        <w:rPr>
          <w:rFonts w:ascii="Arial" w:hAnsi="Arial" w:cs="Arial"/>
        </w:rPr>
        <w:t xml:space="preserve"> EIS </w:t>
      </w:r>
      <w:r w:rsidR="00B701D1">
        <w:rPr>
          <w:rFonts w:ascii="Arial" w:hAnsi="Arial" w:cs="Arial"/>
        </w:rPr>
        <w:t xml:space="preserve">was used </w:t>
      </w:r>
      <w:r w:rsidR="0053358A">
        <w:rPr>
          <w:rFonts w:ascii="Arial" w:hAnsi="Arial" w:cs="Arial"/>
        </w:rPr>
        <w:t xml:space="preserve">to probe the </w:t>
      </w:r>
      <w:r w:rsidR="00BE5F5C">
        <w:rPr>
          <w:rFonts w:ascii="Arial" w:hAnsi="Arial" w:cs="Arial"/>
        </w:rPr>
        <w:t xml:space="preserve">transformation of the </w:t>
      </w:r>
      <w:r w:rsidR="00FC3C3D">
        <w:rPr>
          <w:rFonts w:ascii="Arial" w:hAnsi="Arial" w:cs="Arial"/>
        </w:rPr>
        <w:t>SEI during cycling.</w:t>
      </w:r>
      <w:r w:rsidR="00D15C0C">
        <w:rPr>
          <w:rFonts w:ascii="Arial" w:hAnsi="Arial" w:cs="Arial"/>
        </w:rPr>
        <w:t xml:space="preserve"> </w:t>
      </w:r>
      <w:r w:rsidR="00F33FA3">
        <w:rPr>
          <w:rFonts w:ascii="Arial" w:hAnsi="Arial" w:cs="Arial"/>
        </w:rPr>
        <w:t xml:space="preserve">In the </w:t>
      </w:r>
    </w:p>
    <w:p w14:paraId="420D7E3A" w14:textId="1F68CAA7" w:rsidR="007A0114" w:rsidRPr="008327E6" w:rsidRDefault="0010073B" w:rsidP="004B0BC5">
      <w:pPr>
        <w:spacing w:line="360" w:lineRule="auto"/>
        <w:jc w:val="both"/>
        <w:rPr>
          <w:rFonts w:ascii="Arial" w:hAnsi="Arial" w:cs="Arial"/>
        </w:rPr>
      </w:pPr>
      <w:r>
        <w:rPr>
          <w:rFonts w:ascii="Arial" w:hAnsi="Arial" w:cs="Arial"/>
        </w:rPr>
        <w:t xml:space="preserve">Chapter </w:t>
      </w:r>
      <w:r w:rsidR="00BD7B4A">
        <w:rPr>
          <w:rFonts w:ascii="Arial" w:hAnsi="Arial" w:cs="Arial"/>
        </w:rPr>
        <w:t>6 demonstrated</w:t>
      </w:r>
      <w:r w:rsidR="00D67EFC">
        <w:rPr>
          <w:rFonts w:ascii="Arial" w:hAnsi="Arial" w:cs="Arial"/>
        </w:rPr>
        <w:t xml:space="preserve"> that </w:t>
      </w:r>
      <w:r w:rsidR="00ED2F86">
        <w:rPr>
          <w:rFonts w:ascii="Arial" w:hAnsi="Arial" w:cs="Arial"/>
        </w:rPr>
        <w:t xml:space="preserve">a Li-ion </w:t>
      </w:r>
      <w:r w:rsidR="00AF69AA">
        <w:rPr>
          <w:rFonts w:ascii="Arial" w:hAnsi="Arial" w:cs="Arial"/>
        </w:rPr>
        <w:t xml:space="preserve">based SEI could be used to improve the </w:t>
      </w:r>
      <w:r w:rsidR="00BD7B4A">
        <w:rPr>
          <w:rFonts w:ascii="Arial" w:hAnsi="Arial" w:cs="Arial"/>
        </w:rPr>
        <w:t>capacity retention of a ha</w:t>
      </w:r>
      <w:r w:rsidR="00CE52AB">
        <w:rPr>
          <w:rFonts w:ascii="Arial" w:hAnsi="Arial" w:cs="Arial"/>
        </w:rPr>
        <w:t xml:space="preserve">rd </w:t>
      </w:r>
      <w:r w:rsidR="009217C8">
        <w:rPr>
          <w:rFonts w:ascii="Arial" w:hAnsi="Arial" w:cs="Arial"/>
        </w:rPr>
        <w:t xml:space="preserve">carbon anode </w:t>
      </w:r>
      <w:r w:rsidR="002633D4">
        <w:rPr>
          <w:rFonts w:ascii="Arial" w:hAnsi="Arial" w:cs="Arial"/>
        </w:rPr>
        <w:t>for Na-ion electrochemistry</w:t>
      </w:r>
      <w:r w:rsidR="004E143A">
        <w:rPr>
          <w:rFonts w:ascii="Arial" w:hAnsi="Arial" w:cs="Arial"/>
        </w:rPr>
        <w:t xml:space="preserve"> (</w:t>
      </w:r>
      <w:r w:rsidR="002633D4">
        <w:rPr>
          <w:rFonts w:ascii="Arial" w:hAnsi="Arial" w:cs="Arial"/>
        </w:rPr>
        <w:t>.</w:t>
      </w:r>
      <w:r w:rsidR="004E143A">
        <w:rPr>
          <w:rFonts w:ascii="Arial" w:hAnsi="Arial" w:cs="Arial"/>
        </w:rPr>
        <w:t xml:space="preserve"> </w:t>
      </w:r>
      <w:r w:rsidR="002633D4">
        <w:rPr>
          <w:rFonts w:ascii="Arial" w:hAnsi="Arial" w:cs="Arial"/>
        </w:rPr>
        <w:t xml:space="preserve"> This </w:t>
      </w:r>
      <w:r w:rsidR="001177CB">
        <w:rPr>
          <w:rFonts w:ascii="Arial" w:hAnsi="Arial" w:cs="Arial"/>
        </w:rPr>
        <w:t xml:space="preserve">makes the </w:t>
      </w:r>
      <w:r w:rsidR="00C8516D">
        <w:rPr>
          <w:rFonts w:ascii="Arial" w:hAnsi="Arial" w:cs="Arial"/>
        </w:rPr>
        <w:t xml:space="preserve">capacity retention comparable </w:t>
      </w:r>
      <w:r w:rsidR="00E6475E">
        <w:rPr>
          <w:rFonts w:ascii="Arial" w:hAnsi="Arial" w:cs="Arial"/>
        </w:rPr>
        <w:t xml:space="preserve">between </w:t>
      </w:r>
      <w:r w:rsidR="001E792B">
        <w:rPr>
          <w:rFonts w:ascii="Arial" w:hAnsi="Arial" w:cs="Arial"/>
        </w:rPr>
        <w:t>pre-sodiated hard carbon and pre-lithia</w:t>
      </w:r>
      <w:r w:rsidR="004E143A">
        <w:rPr>
          <w:rFonts w:ascii="Arial" w:hAnsi="Arial" w:cs="Arial"/>
        </w:rPr>
        <w:t>t</w:t>
      </w:r>
      <w:r w:rsidR="001E792B">
        <w:rPr>
          <w:rFonts w:ascii="Arial" w:hAnsi="Arial" w:cs="Arial"/>
        </w:rPr>
        <w:t>ed graphite</w:t>
      </w:r>
      <w:r w:rsidR="002446EF">
        <w:rPr>
          <w:rFonts w:ascii="Arial" w:hAnsi="Arial" w:cs="Arial"/>
        </w:rPr>
        <w:t>.</w:t>
      </w:r>
      <w:r w:rsidR="004E143A">
        <w:rPr>
          <w:rFonts w:ascii="Arial" w:hAnsi="Arial" w:cs="Arial"/>
        </w:rPr>
        <w:t xml:space="preserve"> </w:t>
      </w:r>
      <w:r w:rsidR="001C2D4A">
        <w:rPr>
          <w:rFonts w:ascii="Arial" w:hAnsi="Arial" w:cs="Arial"/>
        </w:rPr>
        <w:t xml:space="preserve">This increase came at the cost of lower initial </w:t>
      </w:r>
      <w:r w:rsidR="008371B3">
        <w:rPr>
          <w:rFonts w:ascii="Arial" w:hAnsi="Arial" w:cs="Arial"/>
        </w:rPr>
        <w:t>capacity</w:t>
      </w:r>
      <w:r w:rsidR="002446EF">
        <w:rPr>
          <w:rFonts w:ascii="Arial" w:hAnsi="Arial" w:cs="Arial"/>
        </w:rPr>
        <w:t xml:space="preserve"> More work should be done to understand these degradation products and the impact they have on Na</w:t>
      </w:r>
      <w:r w:rsidR="008327E6">
        <w:rPr>
          <w:rFonts w:ascii="Arial" w:hAnsi="Arial" w:cs="Arial"/>
          <w:vertAlign w:val="superscript"/>
        </w:rPr>
        <w:t>+</w:t>
      </w:r>
      <w:r w:rsidR="008327E6">
        <w:rPr>
          <w:rFonts w:ascii="Arial" w:hAnsi="Arial" w:cs="Arial"/>
        </w:rPr>
        <w:t xml:space="preserve"> transport to the hard carbon.</w:t>
      </w:r>
    </w:p>
    <w:p w14:paraId="37BFB5D0" w14:textId="2C8FBE51" w:rsidR="00560C78" w:rsidRDefault="00560C78" w:rsidP="00560C78">
      <w:pPr>
        <w:pStyle w:val="Heading2"/>
        <w:rPr>
          <w:rFonts w:ascii="Arial" w:hAnsi="Arial" w:cs="Arial"/>
        </w:rPr>
      </w:pPr>
      <w:bookmarkStart w:id="329" w:name="_Toc82538823"/>
      <w:r>
        <w:rPr>
          <w:rFonts w:ascii="Arial" w:hAnsi="Arial" w:cs="Arial"/>
        </w:rPr>
        <w:t>Future work</w:t>
      </w:r>
      <w:bookmarkEnd w:id="329"/>
    </w:p>
    <w:p w14:paraId="21850477" w14:textId="77777777" w:rsidR="002B4992" w:rsidRPr="002B4992" w:rsidRDefault="002B4992" w:rsidP="002B4992"/>
    <w:p w14:paraId="6AA54C1E" w14:textId="69DF28DC" w:rsidR="00E72421" w:rsidRDefault="00E72421" w:rsidP="00E72421">
      <w:pPr>
        <w:pStyle w:val="Heading2"/>
        <w:rPr>
          <w:rFonts w:ascii="Arial" w:hAnsi="Arial" w:cs="Arial"/>
        </w:rPr>
      </w:pPr>
      <w:bookmarkStart w:id="330" w:name="_Toc82538824"/>
      <w:r>
        <w:rPr>
          <w:rFonts w:ascii="Arial" w:hAnsi="Arial" w:cs="Arial"/>
        </w:rPr>
        <w:t>Elucidating SEI exchange mechanisms</w:t>
      </w:r>
      <w:bookmarkEnd w:id="330"/>
    </w:p>
    <w:p w14:paraId="67B6296E" w14:textId="50D3826B" w:rsidR="008D11DD" w:rsidRPr="001904FA" w:rsidRDefault="008D11DD" w:rsidP="00C16CEB">
      <w:pPr>
        <w:spacing w:line="360" w:lineRule="auto"/>
        <w:jc w:val="both"/>
        <w:rPr>
          <w:rFonts w:ascii="Arial" w:hAnsi="Arial" w:cs="Arial"/>
        </w:rPr>
      </w:pPr>
      <w:r w:rsidRPr="00BE43E7">
        <w:rPr>
          <w:rFonts w:ascii="Arial" w:hAnsi="Arial" w:cs="Arial"/>
        </w:rPr>
        <w:t>To</w:t>
      </w:r>
      <w:r w:rsidR="004C3583">
        <w:rPr>
          <w:rFonts w:ascii="Arial" w:hAnsi="Arial" w:cs="Arial"/>
        </w:rPr>
        <w:t xml:space="preserve"> make further </w:t>
      </w:r>
      <w:r w:rsidR="00232C64">
        <w:rPr>
          <w:rFonts w:ascii="Arial" w:hAnsi="Arial" w:cs="Arial"/>
        </w:rPr>
        <w:t>improvements</w:t>
      </w:r>
      <w:r w:rsidR="004C3583">
        <w:rPr>
          <w:rFonts w:ascii="Arial" w:hAnsi="Arial" w:cs="Arial"/>
        </w:rPr>
        <w:t xml:space="preserve"> to the SEI </w:t>
      </w:r>
      <w:r w:rsidR="00232C64">
        <w:rPr>
          <w:rFonts w:ascii="Arial" w:hAnsi="Arial" w:cs="Arial"/>
        </w:rPr>
        <w:t>more understanding is required of the SEI itself</w:t>
      </w:r>
      <w:r w:rsidR="005C3804">
        <w:rPr>
          <w:rFonts w:ascii="Arial" w:hAnsi="Arial" w:cs="Arial"/>
        </w:rPr>
        <w:t xml:space="preserve">. Outlined here are some proposed experiments that could be conducted to </w:t>
      </w:r>
      <w:r w:rsidR="006C1ACB">
        <w:rPr>
          <w:rFonts w:ascii="Arial" w:hAnsi="Arial" w:cs="Arial"/>
        </w:rPr>
        <w:t xml:space="preserve">discover more </w:t>
      </w:r>
      <w:r w:rsidR="001904FA">
        <w:rPr>
          <w:rFonts w:ascii="Arial" w:hAnsi="Arial" w:cs="Arial"/>
        </w:rPr>
        <w:t>about the degradation methods of the SEI and how t</w:t>
      </w:r>
      <w:r w:rsidR="00C16CEB">
        <w:rPr>
          <w:rFonts w:ascii="Arial" w:hAnsi="Arial" w:cs="Arial"/>
        </w:rPr>
        <w:t>he process occurs.</w:t>
      </w:r>
    </w:p>
    <w:p w14:paraId="6265FE2D" w14:textId="77777777" w:rsidR="00E72421" w:rsidRPr="0092670C" w:rsidRDefault="00E72421" w:rsidP="00E72421">
      <w:pPr>
        <w:pStyle w:val="Heading3"/>
        <w:rPr>
          <w:rFonts w:ascii="Arial" w:hAnsi="Arial" w:cs="Arial"/>
        </w:rPr>
      </w:pPr>
      <w:bookmarkStart w:id="331" w:name="_Toc82538825"/>
      <w:r w:rsidRPr="0092670C">
        <w:rPr>
          <w:rFonts w:ascii="Arial" w:hAnsi="Arial" w:cs="Arial"/>
        </w:rPr>
        <w:t>Understanding the interface of pre-lithiated Na-ion batteries</w:t>
      </w:r>
      <w:bookmarkEnd w:id="331"/>
    </w:p>
    <w:p w14:paraId="7DD4F809" w14:textId="30D5AB3D" w:rsidR="00E72421" w:rsidRPr="0092670C" w:rsidRDefault="00E72421" w:rsidP="00E72421">
      <w:pPr>
        <w:spacing w:line="360" w:lineRule="auto"/>
        <w:jc w:val="both"/>
        <w:rPr>
          <w:rFonts w:ascii="Arial" w:hAnsi="Arial" w:cs="Arial"/>
        </w:rPr>
      </w:pPr>
      <w:r w:rsidRPr="0092670C">
        <w:rPr>
          <w:rFonts w:ascii="Arial" w:hAnsi="Arial" w:cs="Arial"/>
        </w:rPr>
        <w:t xml:space="preserve">During my work on Na-ion cells I found that the composite of the Na and Li SEIs resulted in unusual behaviour that isn’t seen in either traditional Li or Na cells. The main suggestion for this is due to the interface between these two materials give rise to these irregularities. Whilst EIS gave us some understanding about this interface it is an area ripe for more research. Muon spectroscopy is a useful technique used for determining ion conduction pathways in solids </w:t>
      </w:r>
      <w:r w:rsidRPr="0092670C">
        <w:rPr>
          <w:rFonts w:ascii="Arial" w:hAnsi="Arial" w:cs="Arial"/>
        </w:rPr>
        <w:fldChar w:fldCharType="begin"/>
      </w:r>
      <w:r w:rsidR="0034337D">
        <w:rPr>
          <w:rFonts w:ascii="Arial" w:hAnsi="Arial" w:cs="Arial"/>
        </w:rPr>
        <w:instrText xml:space="preserve"> ADDIN EN.CITE &lt;EndNote&gt;&lt;Cite&gt;&lt;Author&gt;Amores&lt;/Author&gt;&lt;Year&gt;2016&lt;/Year&gt;&lt;RecNum&gt;333&lt;/RecNum&gt;&lt;DisplayText&gt;[250]&lt;/DisplayText&gt;&lt;record&gt;&lt;rec-number&gt;333&lt;/rec-number&gt;&lt;foreign-keys&gt;&lt;key app="EN" db-id="5sa9s0e0r0d9fnexra7pr5xdwd5ztevx95s2" timestamp="1562679545"&gt;333&lt;/key&gt;&lt;/foreign-keys&gt;&lt;ref-type name="Journal Article"&gt;17&lt;/ref-type&gt;&lt;contributors&gt;&lt;authors&gt;&lt;author&gt;Amores, Marco&lt;/author&gt;&lt;author&gt;Ashton, Thomas E.&lt;/author&gt;&lt;author&gt;Baker, Peter J.&lt;/author&gt;&lt;author&gt;Cussen, Edmund J.&lt;/author&gt;&lt;author&gt;Corr, Serena A.&lt;/author&gt;&lt;/authors&gt;&lt;/contributors&gt;&lt;titles&gt;&lt;title&gt;Fast microwave-assisted synthesis of Li-stuffed garnets and insights into Li diffusion from muon spin spectroscopy&lt;/title&gt;&lt;/titles&gt;&lt;pages&gt;1729-1736&lt;/pages&gt;&lt;volume&gt;4&lt;/volume&gt;&lt;number&gt;5&lt;/number&gt;&lt;dates&gt;&lt;year&gt;2016&lt;/year&gt;&lt;/dates&gt;&lt;publisher&gt;Royal Society of Chemistry (RSC)&lt;/publisher&gt;&lt;isbn&gt;2050-7488&lt;/isbn&gt;&lt;urls&gt;&lt;related-urls&gt;&lt;url&gt;https://dx.doi.org/10.1039/C5TA08107F&lt;/url&gt;&lt;/related-urls&gt;&lt;pdf-urls&gt;&lt;url&gt;file://C:\Users\danie\Downloads\kopernio\Amores-2016-Fast-microwave-assisted-synthesis-o.pdf&lt;/url&gt;&lt;/pdf-urls&gt;&lt;/urls&gt;&lt;electronic-resource-num&gt;10.1039/c5ta08107f&lt;/electronic-resource-num&gt;&lt;/record&gt;&lt;/Cite&gt;&lt;/EndNote&gt;</w:instrText>
      </w:r>
      <w:r w:rsidRPr="0092670C">
        <w:rPr>
          <w:rFonts w:ascii="Arial" w:hAnsi="Arial" w:cs="Arial"/>
        </w:rPr>
        <w:fldChar w:fldCharType="separate"/>
      </w:r>
      <w:r w:rsidR="0034337D">
        <w:rPr>
          <w:rFonts w:ascii="Arial" w:hAnsi="Arial" w:cs="Arial"/>
          <w:noProof/>
        </w:rPr>
        <w:t>[250]</w:t>
      </w:r>
      <w:r w:rsidRPr="0092670C">
        <w:rPr>
          <w:rFonts w:ascii="Arial" w:hAnsi="Arial" w:cs="Arial"/>
        </w:rPr>
        <w:fldChar w:fldCharType="end"/>
      </w:r>
      <w:r w:rsidRPr="0092670C">
        <w:rPr>
          <w:rFonts w:ascii="Arial" w:hAnsi="Arial" w:cs="Arial"/>
        </w:rPr>
        <w:t xml:space="preserve">. It could help by revealing the Na conduction pathway through this composite. If the Na-Li boundary is disrupting ion conduction, then this could be observed using muon spectroscopy with the ions coalescing at the interface. </w:t>
      </w:r>
    </w:p>
    <w:p w14:paraId="6E3C5C7D" w14:textId="77777777" w:rsidR="00E72421" w:rsidRPr="0092670C" w:rsidRDefault="00E72421" w:rsidP="00E72421">
      <w:pPr>
        <w:spacing w:line="360" w:lineRule="auto"/>
        <w:jc w:val="both"/>
        <w:rPr>
          <w:rFonts w:ascii="Arial" w:hAnsi="Arial" w:cs="Arial"/>
        </w:rPr>
      </w:pPr>
      <w:r w:rsidRPr="0092670C">
        <w:rPr>
          <w:rFonts w:ascii="Arial" w:hAnsi="Arial" w:cs="Arial"/>
        </w:rPr>
        <w:t xml:space="preserve">Computational studies would also compliment this work with and could give further insights into the differences between both types of the SEI and how interface with each other in the composite. It could also help to understand the ion conduction pathway. This is an incredibly complex system though and this may only paint a limited picture of what is occurring.  </w:t>
      </w:r>
    </w:p>
    <w:p w14:paraId="1CB524EB" w14:textId="77777777" w:rsidR="00E72421" w:rsidRPr="0092670C" w:rsidRDefault="00E72421" w:rsidP="00E72421">
      <w:pPr>
        <w:pStyle w:val="Heading3"/>
        <w:rPr>
          <w:rFonts w:ascii="Arial" w:hAnsi="Arial" w:cs="Arial"/>
        </w:rPr>
      </w:pPr>
      <w:bookmarkStart w:id="332" w:name="_Toc82538826"/>
      <w:r w:rsidRPr="0092670C">
        <w:rPr>
          <w:rFonts w:ascii="Arial" w:hAnsi="Arial" w:cs="Arial"/>
        </w:rPr>
        <w:t>Further understanding the exchange process</w:t>
      </w:r>
      <w:bookmarkEnd w:id="332"/>
    </w:p>
    <w:p w14:paraId="6C56086F" w14:textId="5B381D17" w:rsidR="00E72421" w:rsidRDefault="00E72421" w:rsidP="00E72421">
      <w:pPr>
        <w:spacing w:line="360" w:lineRule="auto"/>
        <w:jc w:val="both"/>
        <w:rPr>
          <w:rFonts w:ascii="Arial" w:hAnsi="Arial" w:cs="Arial"/>
        </w:rPr>
      </w:pPr>
      <w:r w:rsidRPr="0092670C">
        <w:rPr>
          <w:rFonts w:ascii="Arial" w:hAnsi="Arial" w:cs="Arial"/>
        </w:rPr>
        <w:t>Whilst I have already said that NR could reveal more insight into the exchange process there are other techniques that could help us gain more insight into the process. XPS would help by giving an elemental analysis of the SEI layer</w:t>
      </w:r>
      <w:r w:rsidR="00784440">
        <w:rPr>
          <w:rFonts w:ascii="Arial" w:hAnsi="Arial" w:cs="Arial"/>
        </w:rPr>
        <w:t xml:space="preserve"> as this couldn’t be done during the </w:t>
      </w:r>
      <w:r w:rsidR="000B21A2">
        <w:rPr>
          <w:rFonts w:ascii="Arial" w:hAnsi="Arial" w:cs="Arial"/>
        </w:rPr>
        <w:t xml:space="preserve">PhD due to limited availability </w:t>
      </w:r>
      <w:r w:rsidR="007A20CB">
        <w:rPr>
          <w:rFonts w:ascii="Arial" w:hAnsi="Arial" w:cs="Arial"/>
        </w:rPr>
        <w:t>at the Harwell XPS service</w:t>
      </w:r>
      <w:r w:rsidRPr="0092670C">
        <w:rPr>
          <w:rFonts w:ascii="Arial" w:hAnsi="Arial" w:cs="Arial"/>
        </w:rPr>
        <w:t>. Cells could be cycled and then disassembled after different cycle numbers to build up snapshots of the changes taking place in the SEI. Whilst this process would be ex-situ it would still give us more information about the composition about the SEI. The Fluorine content would give a key indication as to the substitution taking place with the SEI. This contrast using this technique could be enhanced by using a fluorine free salt in the electrolyte such as LiClO</w:t>
      </w:r>
      <w:r w:rsidRPr="0092670C">
        <w:rPr>
          <w:rFonts w:ascii="Arial" w:hAnsi="Arial" w:cs="Arial"/>
          <w:vertAlign w:val="subscript"/>
        </w:rPr>
        <w:t>4</w:t>
      </w:r>
      <w:r w:rsidRPr="0092670C">
        <w:rPr>
          <w:rFonts w:ascii="Arial" w:hAnsi="Arial" w:cs="Arial"/>
        </w:rPr>
        <w:t xml:space="preserve">. </w:t>
      </w:r>
    </w:p>
    <w:p w14:paraId="3B8E8BF3" w14:textId="77777777" w:rsidR="00E72421" w:rsidRPr="0092670C" w:rsidRDefault="00E72421" w:rsidP="00E72421">
      <w:pPr>
        <w:pStyle w:val="Heading3"/>
        <w:rPr>
          <w:rFonts w:ascii="Arial" w:hAnsi="Arial" w:cs="Arial"/>
        </w:rPr>
      </w:pPr>
      <w:bookmarkStart w:id="333" w:name="_Toc82538827"/>
      <w:r w:rsidRPr="0092670C">
        <w:rPr>
          <w:rFonts w:ascii="Arial" w:hAnsi="Arial" w:cs="Arial"/>
        </w:rPr>
        <w:t>Neutron reflectometry</w:t>
      </w:r>
      <w:bookmarkEnd w:id="333"/>
    </w:p>
    <w:p w14:paraId="20392037" w14:textId="34A3A35B" w:rsidR="00560C78" w:rsidRPr="003A1410" w:rsidRDefault="00E72421" w:rsidP="003A1410">
      <w:pPr>
        <w:spacing w:line="360" w:lineRule="auto"/>
        <w:jc w:val="both"/>
        <w:rPr>
          <w:rFonts w:ascii="Arial" w:hAnsi="Arial" w:cs="Arial"/>
        </w:rPr>
      </w:pPr>
      <w:r w:rsidRPr="0092670C">
        <w:rPr>
          <w:rFonts w:ascii="Arial" w:hAnsi="Arial" w:cs="Arial"/>
        </w:rPr>
        <w:t xml:space="preserve">We saw earlier how dynamic the SEI process was using EIS. Whilst this helped to shed light on the process our knowledge of the exchange process. A useful experiment for furthering our understanding would be to observe the SEI exchange process using neutron reflectometry (NR). Neutron reflectometry is an analogous and complimentary technique to ellipsometry that is used for observing thin film growth. It has been used previously by other researchers to observe the initial formation of the SEI on both Si and carbon </w:t>
      </w:r>
      <w:r w:rsidRPr="0092670C">
        <w:rPr>
          <w:rFonts w:ascii="Arial" w:hAnsi="Arial" w:cs="Arial"/>
        </w:rPr>
        <w:fldChar w:fldCharType="begin">
          <w:fldData xml:space="preserve">PEVuZE5vdGU+PENpdGU+PEF1dGhvcj5GZWFyczwvQXV0aG9yPjxZZWFyPjIwMTY8L1llYXI+PFJl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</w:fldData>
        </w:fldChar>
      </w:r>
      <w:r w:rsidR="0034337D">
        <w:rPr>
          <w:rFonts w:ascii="Arial" w:hAnsi="Arial" w:cs="Arial"/>
        </w:rPr>
        <w:instrText xml:space="preserve"> ADDIN EN.CITE </w:instrText>
      </w:r>
      <w:r w:rsidR="0034337D">
        <w:rPr>
          <w:rFonts w:ascii="Arial" w:hAnsi="Arial" w:cs="Arial"/>
        </w:rPr>
        <w:fldChar w:fldCharType="begin">
          <w:fldData xml:space="preserve">PEVuZE5vdGU+PENpdGU+PEF1dGhvcj5GZWFyczwvQXV0aG9yPjxZZWFyPjIwMTY8L1llYXI+PFJl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</w:fldData>
        </w:fldChar>
      </w:r>
      <w:r w:rsidR="0034337D">
        <w:rPr>
          <w:rFonts w:ascii="Arial" w:hAnsi="Arial" w:cs="Arial"/>
        </w:rPr>
        <w:instrText xml:space="preserve"> ADDIN EN.CITE.DATA </w:instrText>
      </w:r>
      <w:r w:rsidR="0034337D">
        <w:rPr>
          <w:rFonts w:ascii="Arial" w:hAnsi="Arial" w:cs="Arial"/>
        </w:rPr>
      </w:r>
      <w:r w:rsidR="0034337D">
        <w:rPr>
          <w:rFonts w:ascii="Arial" w:hAnsi="Arial" w:cs="Arial"/>
        </w:rPr>
        <w:fldChar w:fldCharType="end"/>
      </w:r>
      <w:r w:rsidRPr="0092670C">
        <w:rPr>
          <w:rFonts w:ascii="Arial" w:hAnsi="Arial" w:cs="Arial"/>
        </w:rPr>
      </w:r>
      <w:r w:rsidRPr="0092670C">
        <w:rPr>
          <w:rFonts w:ascii="Arial" w:hAnsi="Arial" w:cs="Arial"/>
        </w:rPr>
        <w:fldChar w:fldCharType="separate"/>
      </w:r>
      <w:r w:rsidR="0034337D">
        <w:rPr>
          <w:rFonts w:ascii="Arial" w:hAnsi="Arial" w:cs="Arial"/>
          <w:noProof/>
        </w:rPr>
        <w:t>[251-253]</w:t>
      </w:r>
      <w:r w:rsidRPr="0092670C">
        <w:rPr>
          <w:rFonts w:ascii="Arial" w:hAnsi="Arial" w:cs="Arial"/>
        </w:rPr>
        <w:fldChar w:fldCharType="end"/>
      </w:r>
      <w:r w:rsidRPr="0092670C">
        <w:rPr>
          <w:rFonts w:ascii="Arial" w:hAnsi="Arial" w:cs="Arial"/>
        </w:rPr>
        <w:t xml:space="preserve">. NR is useful for this process as it is sensitive to both the element and isotope present. Of importance for the planned experiment is the hydrogen deuterium isotope sensitivity differential. The experiment would involve a Pre-formed SEI on the anode with an electrolyte based on a contrasting hydrogen isotope to the SEI. As the SEI exchanges with the electrolyte the Scattering length density of the SEI will change. This change can be tracked using NR and plotted as a function of cycle number, helping us to understand the speed of the exchange process and where in the cycling process it occurs. </w:t>
      </w:r>
    </w:p>
    <w:p w14:paraId="30A5A1B8" w14:textId="5B8B07AC" w:rsidR="00AC3DBA" w:rsidRPr="00560C78" w:rsidRDefault="00087E1C" w:rsidP="00312E11">
      <w:pPr>
        <w:pStyle w:val="Heading2"/>
      </w:pPr>
      <w:bookmarkStart w:id="334" w:name="_Toc82538828"/>
      <w:r>
        <w:t>Further improvements fo</w:t>
      </w:r>
      <w:r w:rsidR="00312E11">
        <w:t>r pre-lithiated SEIs</w:t>
      </w:r>
      <w:bookmarkEnd w:id="334"/>
    </w:p>
    <w:p w14:paraId="46BFD461" w14:textId="77777777" w:rsidR="004B0BC5" w:rsidRPr="0092670C" w:rsidRDefault="004B0BC5" w:rsidP="00560C78">
      <w:pPr>
        <w:pStyle w:val="Heading3"/>
        <w:rPr>
          <w:rFonts w:ascii="Arial" w:hAnsi="Arial" w:cs="Arial"/>
        </w:rPr>
      </w:pPr>
      <w:bookmarkStart w:id="335" w:name="_Toc82538829"/>
      <w:r w:rsidRPr="0092670C">
        <w:rPr>
          <w:rFonts w:ascii="Arial" w:hAnsi="Arial" w:cs="Arial"/>
        </w:rPr>
        <w:t>New additive avenues</w:t>
      </w:r>
      <w:bookmarkEnd w:id="335"/>
    </w:p>
    <w:p w14:paraId="25F15F07" w14:textId="76C96063" w:rsidR="004B0BC5" w:rsidRDefault="004B0BC5" w:rsidP="004B0BC5">
      <w:pPr>
        <w:spacing w:line="360" w:lineRule="auto"/>
        <w:jc w:val="both"/>
        <w:rPr>
          <w:rFonts w:ascii="Arial" w:hAnsi="Arial" w:cs="Arial"/>
        </w:rPr>
      </w:pPr>
      <w:r w:rsidRPr="0092670C">
        <w:rPr>
          <w:rFonts w:ascii="Arial" w:hAnsi="Arial" w:cs="Arial"/>
        </w:rPr>
        <w:t>As we showed the SEI doesn’t have to be based on the electrolyte the possibilities for the SEI composition are endless. The SEI still needs to fulfil the properties of a traditional SEI and this means that even if the choice of material doesn’t rely on electrolyte and or additives it still needs to provide the same function. A possible candidate for a new solid electrolyte interphase additive could be cysteine. Amino acids aren’t traditional monomers, but they are still polymerizable. Cysteine</w:t>
      </w:r>
      <w:r w:rsidR="00386B47" w:rsidRPr="0092670C">
        <w:rPr>
          <w:rFonts w:ascii="Arial" w:hAnsi="Arial" w:cs="Arial"/>
        </w:rPr>
        <w:t xml:space="preserve">, seen in </w:t>
      </w:r>
      <w:r w:rsidR="00386B47" w:rsidRPr="0092670C">
        <w:rPr>
          <w:rFonts w:ascii="Arial" w:hAnsi="Arial" w:cs="Arial"/>
        </w:rPr>
        <w:fldChar w:fldCharType="begin"/>
      </w:r>
      <w:r w:rsidR="00386B47" w:rsidRPr="0092670C">
        <w:rPr>
          <w:rFonts w:ascii="Arial" w:hAnsi="Arial" w:cs="Arial"/>
        </w:rPr>
        <w:instrText xml:space="preserve"> REF _Ref30711147 \h </w:instrText>
      </w:r>
      <w:r w:rsidR="005C68F8" w:rsidRPr="0092670C">
        <w:rPr>
          <w:rFonts w:ascii="Arial" w:hAnsi="Arial" w:cs="Arial"/>
        </w:rPr>
        <w:instrText xml:space="preserve"> \* MERGEFORMAT </w:instrText>
      </w:r>
      <w:r w:rsidR="00386B47" w:rsidRPr="0092670C">
        <w:rPr>
          <w:rFonts w:ascii="Arial" w:hAnsi="Arial" w:cs="Arial"/>
        </w:rPr>
      </w:r>
      <w:r w:rsidR="00386B47"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7</w:t>
      </w:r>
      <w:r w:rsidR="007342C8" w:rsidRPr="007342C8">
        <w:rPr>
          <w:rFonts w:ascii="Arial" w:hAnsi="Arial" w:cs="Arial"/>
          <w:noProof/>
        </w:rPr>
        <w:noBreakHyphen/>
        <w:t>1</w:t>
      </w:r>
      <w:r w:rsidR="00386B47" w:rsidRPr="0092670C">
        <w:rPr>
          <w:rFonts w:ascii="Arial" w:hAnsi="Arial" w:cs="Arial"/>
        </w:rPr>
        <w:fldChar w:fldCharType="end"/>
      </w:r>
      <w:r w:rsidRPr="0092670C">
        <w:rPr>
          <w:rFonts w:ascii="Arial" w:hAnsi="Arial" w:cs="Arial"/>
        </w:rPr>
        <w:t xml:space="preserve"> contains a thiol group that would ensure that the breakdown voltage is higher than VC and could help like the polymer chains together through disulphide bonds. By using amino acids, the feedstock and manufacture can be conducted in a low energy and sustainable fashion. This is an important advantage over traditional polymers that require high temperatures and metal catalysts during the production process</w:t>
      </w:r>
      <w:r w:rsidR="005C68F8"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&lt;EndNote&gt;&lt;Cite&gt;&lt;Author&gt;Appleyard&lt;/Author&gt;&lt;Year&gt;1979&lt;/Year&gt;&lt;RecNum&gt;305&lt;/RecNum&gt;&lt;DisplayText&gt;[254]&lt;/DisplayText&gt;&lt;record&gt;&lt;rec-number&gt;305&lt;/rec-number&gt;&lt;foreign-keys&gt;&lt;key app="EN" db-id="5sa9s0e0r0d9fnexra7pr5xdwd5ztevx95s2" timestamp="1561991430"&gt;305&lt;/key&gt;&lt;/foreign-keys&gt;&lt;ref-type name="Generic"&gt;13&lt;/ref-type&gt;&lt;contributors&gt;&lt;authors&gt;&lt;author&gt;Appleyard, George D&lt;/author&gt;&lt;author&gt;Caunt, Anthony D&lt;/author&gt;&lt;author&gt;Fortuin, Michael S&lt;/author&gt;&lt;author&gt;Heggs, Thomas G&lt;/author&gt;&lt;/authors&gt;&lt;/contributors&gt;&lt;titles&gt;&lt;title&gt;Olefine polymerisation process and catalyst&lt;/title&gt;&lt;/titles&gt;&lt;dates&gt;&lt;year&gt;1979&lt;/year&gt;&lt;/dates&gt;&lt;publisher&gt;Google Patents&lt;/publisher&gt;&lt;urls&gt;&lt;/urls&gt;&lt;/record&gt;&lt;/Cite&gt;&lt;/EndNote&gt;</w:instrText>
      </w:r>
      <w:r w:rsidRPr="0092670C">
        <w:rPr>
          <w:rFonts w:ascii="Arial" w:hAnsi="Arial" w:cs="Arial"/>
        </w:rPr>
        <w:fldChar w:fldCharType="separate"/>
      </w:r>
      <w:r w:rsidR="0034337D">
        <w:rPr>
          <w:rFonts w:ascii="Arial" w:hAnsi="Arial" w:cs="Arial"/>
          <w:noProof/>
        </w:rPr>
        <w:t>[254]</w:t>
      </w:r>
      <w:r w:rsidRPr="0092670C">
        <w:rPr>
          <w:rFonts w:ascii="Arial" w:hAnsi="Arial" w:cs="Arial"/>
        </w:rPr>
        <w:fldChar w:fldCharType="end"/>
      </w:r>
      <w:r w:rsidRPr="0092670C">
        <w:rPr>
          <w:rFonts w:ascii="Arial" w:hAnsi="Arial" w:cs="Arial"/>
        </w:rPr>
        <w:t xml:space="preserve">. </w:t>
      </w:r>
    </w:p>
    <w:p w14:paraId="26D1946F" w14:textId="77777777" w:rsidR="008150F5" w:rsidRPr="0092670C" w:rsidRDefault="0067644A" w:rsidP="008150F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2391" w:dyaOrig="2040" w14:anchorId="5334ACAF">
          <v:shape id="_x0000_i1152" type="#_x0000_t75" style="width:119.9pt;height:101.9pt" o:ole="">
            <v:imagedata r:id="rId313" o:title=""/>
          </v:shape>
          <o:OLEObject Type="Embed" ProgID="ChemDraw.Document.6.0" ShapeID="_x0000_i1152" DrawAspect="Content" ObjectID="_1700734041" r:id="rId314"/>
        </w:object>
      </w:r>
    </w:p>
    <w:p w14:paraId="51E811DA" w14:textId="319F38AD" w:rsidR="008150F5" w:rsidRPr="008150F5" w:rsidRDefault="008150F5" w:rsidP="008150F5">
      <w:pPr>
        <w:pStyle w:val="Caption"/>
        <w:jc w:val="center"/>
        <w:rPr>
          <w:rFonts w:ascii="Arial" w:hAnsi="Arial" w:cs="Arial"/>
          <w:sz w:val="20"/>
          <w:szCs w:val="20"/>
        </w:rPr>
      </w:pPr>
      <w:bookmarkStart w:id="336" w:name="_Ref30711147"/>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7</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1</w:t>
      </w:r>
      <w:r w:rsidR="00356A26">
        <w:rPr>
          <w:rFonts w:ascii="Arial" w:hAnsi="Arial" w:cs="Arial"/>
          <w:sz w:val="20"/>
          <w:szCs w:val="20"/>
        </w:rPr>
        <w:fldChar w:fldCharType="end"/>
      </w:r>
      <w:bookmarkEnd w:id="336"/>
      <w:r w:rsidRPr="0092670C">
        <w:rPr>
          <w:rFonts w:ascii="Arial" w:hAnsi="Arial" w:cs="Arial"/>
          <w:sz w:val="20"/>
          <w:szCs w:val="20"/>
        </w:rPr>
        <w:t>: Cysteine molecule.</w:t>
      </w:r>
    </w:p>
    <w:p w14:paraId="37D7560D" w14:textId="77777777" w:rsidR="004B0BC5" w:rsidRPr="0092670C" w:rsidRDefault="004B0BC5" w:rsidP="00560C78">
      <w:pPr>
        <w:pStyle w:val="Heading3"/>
        <w:rPr>
          <w:rFonts w:ascii="Arial" w:hAnsi="Arial" w:cs="Arial"/>
        </w:rPr>
      </w:pPr>
      <w:bookmarkStart w:id="337" w:name="_Toc82538830"/>
      <w:r w:rsidRPr="0092670C">
        <w:rPr>
          <w:rFonts w:ascii="Arial" w:hAnsi="Arial" w:cs="Arial"/>
        </w:rPr>
        <w:t>Polymer SEIs</w:t>
      </w:r>
      <w:bookmarkEnd w:id="337"/>
    </w:p>
    <w:p w14:paraId="5B0D07A3" w14:textId="7D1AF153" w:rsidR="004B0BC5" w:rsidRPr="0092670C" w:rsidRDefault="004B0BC5" w:rsidP="004B0BC5">
      <w:pPr>
        <w:spacing w:line="360" w:lineRule="auto"/>
        <w:jc w:val="both"/>
        <w:rPr>
          <w:rFonts w:ascii="Arial" w:hAnsi="Arial" w:cs="Arial"/>
        </w:rPr>
      </w:pPr>
      <w:r w:rsidRPr="0092670C">
        <w:rPr>
          <w:rFonts w:ascii="Arial" w:hAnsi="Arial" w:cs="Arial"/>
        </w:rPr>
        <w:t>Another avenue for creating the SEI before full cell cycling is using polymer SEI’s. Polymer SEI already been shown to be successful at preventing electrolyte degradation and even besting traditional SEI’s capacity retention at high C-rates due to their high ionic conductivity</w:t>
      </w:r>
      <w:r w:rsidR="005C68F8"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&lt;EndNote&gt;&lt;Cite&gt;&lt;Author&gt;Wu&lt;/Author&gt;&lt;Year&gt;2015&lt;/Year&gt;&lt;RecNum&gt;203&lt;/RecNum&gt;&lt;DisplayText&gt;[163]&lt;/DisplayText&gt;&lt;record&gt;&lt;rec-number&gt;203&lt;/rec-number&gt;&lt;foreign-keys&gt;&lt;key app="EN" db-id="5sa9s0e0r0d9fnexra7pr5xdwd5ztevx95s2" timestamp="1553358496"&gt;203&lt;/key&gt;&lt;/foreign-keys&gt;&lt;ref-type name="Journal Article"&gt;17&lt;/ref-type&gt;&lt;contributors&gt;&lt;authors&gt;&lt;author&gt;Wu, Nae-Lih&lt;/author&gt;&lt;author&gt;Weng, Yu-Ting&lt;/author&gt;&lt;author&gt;Li, Fu-Sheng&lt;/author&gt;&lt;author&gt;Yang, Nai-Hsuan&lt;/author&gt;&lt;author&gt;Kuo, Chin-Lung&lt;/author&gt;&lt;author&gt;Li, Dong-Sheng&lt;/author&gt;&lt;/authors&gt;&lt;/contributors&gt;&lt;titles&gt;&lt;title&gt;Polymeric artificial solid/electrolyte interphases for Li-ion batteries&lt;/title&gt;&lt;secondary-title&gt;Progress in Natural Science: Materials International&lt;/secondary-title&gt;&lt;/titles&gt;&lt;periodical&gt;&lt;full-title&gt;Progress in Natural Science: Materials International&lt;/full-title&gt;&lt;/periodical&gt;&lt;pages&gt;563-571&lt;/pages&gt;&lt;volume&gt;25&lt;/volume&gt;&lt;number&gt;6&lt;/number&gt;&lt;keywords&gt;&lt;keyword&gt;Li ion battery&lt;/keyword&gt;&lt;keyword&gt;Solid electrolyte interphase&lt;/keyword&gt;&lt;keyword&gt;Surface modification&lt;/keyword&gt;&lt;keyword&gt;Polymer blend&lt;/keyword&gt;&lt;/keywords&gt;&lt;dates&gt;&lt;year&gt;2015&lt;/year&gt;&lt;pub-dates&gt;&lt;date&gt;2015/12/01/&lt;/date&gt;&lt;/pub-dates&gt;&lt;/dates&gt;&lt;isbn&gt;1002-0071&lt;/isbn&gt;&lt;urls&gt;&lt;related-urls&gt;&lt;url&gt;http://www.sciencedirect.com/science/article/pii/S1002007115001276&lt;/url&gt;&lt;/related-urls&gt;&lt;/urls&gt;&lt;electronic-resource-num&gt;https://doi.org/10.1016/j.pnsc.2015.11.009&lt;/electronic-resource-num&gt;&lt;/record&gt;&lt;/Cite&gt;&lt;/EndNote&gt;</w:instrText>
      </w:r>
      <w:r w:rsidRPr="0092670C">
        <w:rPr>
          <w:rFonts w:ascii="Arial" w:hAnsi="Arial" w:cs="Arial"/>
        </w:rPr>
        <w:fldChar w:fldCharType="separate"/>
      </w:r>
      <w:r w:rsidR="0034337D">
        <w:rPr>
          <w:rFonts w:ascii="Arial" w:hAnsi="Arial" w:cs="Arial"/>
          <w:noProof/>
        </w:rPr>
        <w:t>[163]</w:t>
      </w:r>
      <w:r w:rsidRPr="0092670C">
        <w:rPr>
          <w:rFonts w:ascii="Arial" w:hAnsi="Arial" w:cs="Arial"/>
        </w:rPr>
        <w:fldChar w:fldCharType="end"/>
      </w:r>
      <w:r w:rsidRPr="0092670C">
        <w:rPr>
          <w:rFonts w:ascii="Arial" w:hAnsi="Arial" w:cs="Arial"/>
        </w:rPr>
        <w:t>. Polymer based SEI’s have several properties that make them attractive for cell manufacturing including inertness in air and their low ionic impedance. Making an affordable polymer based SEI would help to reduce battery costs and improve cycle life. A potential route for producing polymer SEI’s is by using proteins. Amino acids can be both positive and negative polyelectrolytes</w:t>
      </w:r>
      <w:r w:rsidR="008C2DD4" w:rsidRPr="0092670C">
        <w:rPr>
          <w:rFonts w:ascii="Arial" w:hAnsi="Arial" w:cs="Arial"/>
        </w:rPr>
        <w:t xml:space="preserve"> and the</w:t>
      </w:r>
      <w:r w:rsidR="001E3911" w:rsidRPr="0092670C">
        <w:rPr>
          <w:rFonts w:ascii="Arial" w:hAnsi="Arial" w:cs="Arial"/>
        </w:rPr>
        <w:t xml:space="preserve"> neutral </w:t>
      </w:r>
      <w:r w:rsidR="00990836" w:rsidRPr="0092670C">
        <w:rPr>
          <w:rFonts w:ascii="Arial" w:hAnsi="Arial" w:cs="Arial"/>
        </w:rPr>
        <w:t>forms of two potential option</w:t>
      </w:r>
      <w:r w:rsidR="006D348F" w:rsidRPr="0092670C">
        <w:rPr>
          <w:rFonts w:ascii="Arial" w:hAnsi="Arial" w:cs="Arial"/>
        </w:rPr>
        <w:t xml:space="preserve">s are in </w:t>
      </w:r>
      <w:r w:rsidR="00DD51DA" w:rsidRPr="0092670C">
        <w:rPr>
          <w:rFonts w:ascii="Arial" w:hAnsi="Arial" w:cs="Arial"/>
        </w:rPr>
        <w:fldChar w:fldCharType="begin"/>
      </w:r>
      <w:r w:rsidR="00DD51DA" w:rsidRPr="0092670C">
        <w:rPr>
          <w:rFonts w:ascii="Arial" w:hAnsi="Arial" w:cs="Arial"/>
        </w:rPr>
        <w:instrText xml:space="preserve"> REF _Ref30711045 \h  \* MERGEFORMAT </w:instrText>
      </w:r>
      <w:r w:rsidR="00DD51DA" w:rsidRPr="0092670C">
        <w:rPr>
          <w:rFonts w:ascii="Arial" w:hAnsi="Arial" w:cs="Arial"/>
        </w:rPr>
      </w:r>
      <w:r w:rsidR="00DD51DA" w:rsidRPr="0092670C">
        <w:rPr>
          <w:rFonts w:ascii="Arial" w:hAnsi="Arial" w:cs="Arial"/>
        </w:rPr>
        <w:fldChar w:fldCharType="separate"/>
      </w:r>
      <w:r w:rsidR="007342C8" w:rsidRPr="007342C8">
        <w:rPr>
          <w:rFonts w:ascii="Arial" w:hAnsi="Arial" w:cs="Arial"/>
        </w:rPr>
        <w:t xml:space="preserve">Figure </w:t>
      </w:r>
      <w:r w:rsidR="007342C8" w:rsidRPr="007342C8">
        <w:rPr>
          <w:rFonts w:ascii="Arial" w:hAnsi="Arial" w:cs="Arial"/>
          <w:noProof/>
        </w:rPr>
        <w:t>7</w:t>
      </w:r>
      <w:r w:rsidR="007342C8" w:rsidRPr="007342C8">
        <w:rPr>
          <w:rFonts w:ascii="Arial" w:hAnsi="Arial" w:cs="Arial"/>
          <w:noProof/>
        </w:rPr>
        <w:noBreakHyphen/>
        <w:t>2</w:t>
      </w:r>
      <w:r w:rsidR="00DD51DA" w:rsidRPr="0092670C">
        <w:rPr>
          <w:rFonts w:ascii="Arial" w:hAnsi="Arial" w:cs="Arial"/>
        </w:rPr>
        <w:fldChar w:fldCharType="end"/>
      </w:r>
      <w:r w:rsidRPr="0092670C">
        <w:rPr>
          <w:rFonts w:ascii="Arial" w:hAnsi="Arial" w:cs="Arial"/>
        </w:rPr>
        <w:t xml:space="preserve">. They can also contain aromatic groups that are useful for adhering to graphite through π-stacking. Based on the criteria outlined by Wu </w:t>
      </w:r>
      <w:r w:rsidRPr="0092670C">
        <w:rPr>
          <w:rFonts w:ascii="Arial" w:hAnsi="Arial" w:cs="Arial"/>
          <w:i/>
          <w:iCs/>
        </w:rPr>
        <w:t>et al.</w:t>
      </w:r>
      <w:r w:rsidRPr="0092670C">
        <w:rPr>
          <w:rFonts w:ascii="Arial" w:hAnsi="Arial" w:cs="Arial"/>
        </w:rPr>
        <w:t xml:space="preserve"> poly-tyrosine could be used as the negative polyelectrolyte. This also serves a dual role with the phenyl group helping the SEI to anchor to the graphite. For the positive polyelectrolyte Histidine could be used as it can accept a proton easily with a pK</w:t>
      </w:r>
      <w:r w:rsidRPr="0092670C">
        <w:rPr>
          <w:rFonts w:ascii="Arial" w:hAnsi="Arial" w:cs="Arial"/>
          <w:vertAlign w:val="subscript"/>
        </w:rPr>
        <w:t>a</w:t>
      </w:r>
      <w:r w:rsidRPr="0092670C">
        <w:rPr>
          <w:rFonts w:ascii="Arial" w:hAnsi="Arial" w:cs="Arial"/>
        </w:rPr>
        <w:t xml:space="preserve"> of 6.04. Methylation of this side chain could also be performed to negate the risk of deprotonation, and this can be done enzymatically</w:t>
      </w:r>
      <w:r w:rsidR="005C68F8"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&lt;EndNote&gt;&lt;Cite&gt;&lt;Author&gt;Cao&lt;/Author&gt;&lt;Year&gt;2018&lt;/Year&gt;&lt;RecNum&gt;304&lt;/RecNum&gt;&lt;DisplayText&gt;[255]&lt;/DisplayText&gt;&lt;record&gt;&lt;rec-number&gt;304&lt;/rec-number&gt;&lt;foreign-keys&gt;&lt;key app="EN" db-id="5sa9s0e0r0d9fnexra7pr5xdwd5ztevx95s2" timestamp="1561991210"&gt;304&lt;/key&gt;&lt;/foreign-keys&gt;&lt;ref-type name="Journal Article"&gt;17&lt;/ref-type&gt;&lt;contributors&gt;&lt;authors&gt;&lt;author&gt;Cao, Ruili&lt;/author&gt;&lt;author&gt;Zhang, Xingrun&lt;/author&gt;&lt;author&gt;Liu, Xiaohui&lt;/author&gt;&lt;author&gt;Li, Yuanyuan&lt;/author&gt;&lt;author&gt;Li, Haitao&lt;/author&gt;&lt;/authors&gt;&lt;/contributors&gt;&lt;titles&gt;&lt;title&gt;Molecular basis for histidine N1 position-specific methylation by CARNMT1&lt;/title&gt;&lt;secondary-title&gt;Cell Research&lt;/secondary-title&gt;&lt;/titles&gt;&lt;periodical&gt;&lt;full-title&gt;Cell Research&lt;/full-title&gt;&lt;/periodical&gt;&lt;pages&gt;494-496&lt;/pages&gt;&lt;volume&gt;28&lt;/volume&gt;&lt;number&gt;4&lt;/number&gt;&lt;dates&gt;&lt;year&gt;2018&lt;/year&gt;&lt;pub-dates&gt;&lt;date&gt;2018/04/01&lt;/date&gt;&lt;/pub-dates&gt;&lt;/dates&gt;&lt;isbn&gt;1748-7838&lt;/isbn&gt;&lt;urls&gt;&lt;related-urls&gt;&lt;url&gt;https://doi.org/10.1038/s41422-018-0003-0&lt;/url&gt;&lt;/related-urls&gt;&lt;/urls&gt;&lt;electronic-resource-num&gt;10.1038/s41422-018-0003-0&lt;/electronic-resource-num&gt;&lt;/record&gt;&lt;/Cite&gt;&lt;/EndNote&gt;</w:instrText>
      </w:r>
      <w:r w:rsidRPr="0092670C">
        <w:rPr>
          <w:rFonts w:ascii="Arial" w:hAnsi="Arial" w:cs="Arial"/>
        </w:rPr>
        <w:fldChar w:fldCharType="separate"/>
      </w:r>
      <w:r w:rsidR="0034337D">
        <w:rPr>
          <w:rFonts w:ascii="Arial" w:hAnsi="Arial" w:cs="Arial"/>
          <w:noProof/>
        </w:rPr>
        <w:t>[255]</w:t>
      </w:r>
      <w:r w:rsidRPr="0092670C">
        <w:rPr>
          <w:rFonts w:ascii="Arial" w:hAnsi="Arial" w:cs="Arial"/>
        </w:rPr>
        <w:fldChar w:fldCharType="end"/>
      </w:r>
      <w:r w:rsidRPr="0092670C">
        <w:rPr>
          <w:rFonts w:ascii="Arial" w:hAnsi="Arial" w:cs="Arial"/>
        </w:rPr>
        <w:t xml:space="preserve">. In a similar manner to cysteine the amino acids can be manufactured and polymerised cheaply and easily. </w:t>
      </w:r>
    </w:p>
    <w:p w14:paraId="1DEAED08" w14:textId="21E2BC29" w:rsidR="004B0BC5" w:rsidRPr="0092670C" w:rsidRDefault="0067644A" w:rsidP="004B0BC5">
      <w:pPr>
        <w:keepNext/>
        <w:spacing w:line="360" w:lineRule="auto"/>
        <w:jc w:val="center"/>
        <w:rPr>
          <w:rFonts w:ascii="Arial" w:hAnsi="Arial" w:cs="Arial"/>
        </w:rPr>
      </w:pPr>
      <w:r w:rsidRPr="0092670C">
        <w:rPr>
          <w:rFonts w:ascii="Arial" w:hAnsi="Arial" w:cs="Arial"/>
          <w:noProof/>
        </w:rPr>
      </w:r>
      <w:r w:rsidR="0067644A" w:rsidRPr="0092670C">
        <w:rPr>
          <w:rFonts w:ascii="Arial" w:hAnsi="Arial" w:cs="Arial"/>
          <w:noProof/>
        </w:rPr>
        <w:object w:dxaOrig="5194" w:dyaOrig="3852" w14:anchorId="2418C9FF">
          <v:shape id="_x0000_i1153" type="#_x0000_t75" style="width:227.9pt;height:173.9pt" o:ole="">
            <v:imagedata r:id="rId315" o:title=""/>
          </v:shape>
          <o:OLEObject Type="Embed" ProgID="ChemDraw.Document.6.0" ShapeID="_x0000_i1153" DrawAspect="Content" ObjectID="_1700734042" r:id="rId316"/>
        </w:object>
      </w:r>
    </w:p>
    <w:p w14:paraId="58940633" w14:textId="4E98EAAC" w:rsidR="004B0BC5" w:rsidRPr="0092670C" w:rsidRDefault="004B0BC5" w:rsidP="004B0BC5">
      <w:pPr>
        <w:pStyle w:val="Caption"/>
        <w:jc w:val="center"/>
        <w:rPr>
          <w:rFonts w:ascii="Arial" w:hAnsi="Arial" w:cs="Arial"/>
          <w:sz w:val="20"/>
          <w:szCs w:val="20"/>
        </w:rPr>
      </w:pPr>
      <w:bookmarkStart w:id="338" w:name="_Ref30711045"/>
      <w:bookmarkStart w:id="339" w:name="_Ref30711037"/>
      <w:r w:rsidRPr="0092670C">
        <w:rPr>
          <w:rFonts w:ascii="Arial" w:hAnsi="Arial" w:cs="Arial"/>
          <w:sz w:val="20"/>
          <w:szCs w:val="20"/>
        </w:rPr>
        <w:t xml:space="preserve">Figure </w:t>
      </w:r>
      <w:r w:rsidR="00356A26">
        <w:rPr>
          <w:rFonts w:ascii="Arial" w:hAnsi="Arial" w:cs="Arial"/>
          <w:sz w:val="20"/>
          <w:szCs w:val="20"/>
        </w:rPr>
        <w:fldChar w:fldCharType="begin"/>
      </w:r>
      <w:r w:rsidR="00356A26">
        <w:rPr>
          <w:rFonts w:ascii="Arial" w:hAnsi="Arial" w:cs="Arial"/>
          <w:sz w:val="20"/>
          <w:szCs w:val="20"/>
        </w:rPr>
        <w:instrText xml:space="preserve"> STYLEREF 1 \s </w:instrText>
      </w:r>
      <w:r w:rsidR="00356A26">
        <w:rPr>
          <w:rFonts w:ascii="Arial" w:hAnsi="Arial" w:cs="Arial"/>
          <w:sz w:val="20"/>
          <w:szCs w:val="20"/>
        </w:rPr>
        <w:fldChar w:fldCharType="separate"/>
      </w:r>
      <w:r w:rsidR="00356A26">
        <w:rPr>
          <w:rFonts w:ascii="Arial" w:hAnsi="Arial" w:cs="Arial"/>
          <w:noProof/>
          <w:sz w:val="20"/>
          <w:szCs w:val="20"/>
        </w:rPr>
        <w:t>7</w:t>
      </w:r>
      <w:r w:rsidR="00356A26">
        <w:rPr>
          <w:rFonts w:ascii="Arial" w:hAnsi="Arial" w:cs="Arial"/>
          <w:sz w:val="20"/>
          <w:szCs w:val="20"/>
        </w:rPr>
        <w:fldChar w:fldCharType="end"/>
      </w:r>
      <w:r w:rsidR="00356A26">
        <w:rPr>
          <w:rFonts w:ascii="Arial" w:hAnsi="Arial" w:cs="Arial"/>
          <w:sz w:val="20"/>
          <w:szCs w:val="20"/>
        </w:rPr>
        <w:noBreakHyphen/>
      </w:r>
      <w:r w:rsidR="00356A26">
        <w:rPr>
          <w:rFonts w:ascii="Arial" w:hAnsi="Arial" w:cs="Arial"/>
          <w:sz w:val="20"/>
          <w:szCs w:val="20"/>
        </w:rPr>
        <w:fldChar w:fldCharType="begin"/>
      </w:r>
      <w:r w:rsidR="00356A26">
        <w:rPr>
          <w:rFonts w:ascii="Arial" w:hAnsi="Arial" w:cs="Arial"/>
          <w:sz w:val="20"/>
          <w:szCs w:val="20"/>
        </w:rPr>
        <w:instrText xml:space="preserve"> SEQ Figure \* ARABIC \s 1 </w:instrText>
      </w:r>
      <w:r w:rsidR="00356A26">
        <w:rPr>
          <w:rFonts w:ascii="Arial" w:hAnsi="Arial" w:cs="Arial"/>
          <w:sz w:val="20"/>
          <w:szCs w:val="20"/>
        </w:rPr>
        <w:fldChar w:fldCharType="separate"/>
      </w:r>
      <w:r w:rsidR="00356A26">
        <w:rPr>
          <w:rFonts w:ascii="Arial" w:hAnsi="Arial" w:cs="Arial"/>
          <w:noProof/>
          <w:sz w:val="20"/>
          <w:szCs w:val="20"/>
        </w:rPr>
        <w:t>2</w:t>
      </w:r>
      <w:r w:rsidR="00356A26">
        <w:rPr>
          <w:rFonts w:ascii="Arial" w:hAnsi="Arial" w:cs="Arial"/>
          <w:sz w:val="20"/>
          <w:szCs w:val="20"/>
        </w:rPr>
        <w:fldChar w:fldCharType="end"/>
      </w:r>
      <w:bookmarkEnd w:id="338"/>
      <w:r w:rsidRPr="0092670C">
        <w:rPr>
          <w:rFonts w:ascii="Arial" w:hAnsi="Arial" w:cs="Arial"/>
          <w:sz w:val="20"/>
          <w:szCs w:val="20"/>
        </w:rPr>
        <w:t>: Tyrosine (left) and Histidine</w:t>
      </w:r>
      <w:r w:rsidR="009E350A" w:rsidRPr="0092670C">
        <w:rPr>
          <w:rFonts w:ascii="Arial" w:hAnsi="Arial" w:cs="Arial"/>
          <w:sz w:val="20"/>
          <w:szCs w:val="20"/>
        </w:rPr>
        <w:t xml:space="preserve"> (right)</w:t>
      </w:r>
      <w:r w:rsidRPr="0092670C">
        <w:rPr>
          <w:rFonts w:ascii="Arial" w:hAnsi="Arial" w:cs="Arial"/>
          <w:sz w:val="20"/>
          <w:szCs w:val="20"/>
        </w:rPr>
        <w:t xml:space="preserve"> neutral chemical structures</w:t>
      </w:r>
      <w:bookmarkEnd w:id="339"/>
      <w:r w:rsidR="00906BC9" w:rsidRPr="0092670C">
        <w:rPr>
          <w:rFonts w:ascii="Arial" w:hAnsi="Arial" w:cs="Arial"/>
          <w:sz w:val="20"/>
          <w:szCs w:val="20"/>
        </w:rPr>
        <w:t>.</w:t>
      </w:r>
    </w:p>
    <w:p w14:paraId="4CB90EDE" w14:textId="5FE1FB74" w:rsidR="004B0BC5" w:rsidRPr="0092670C" w:rsidRDefault="004B0BC5" w:rsidP="004B0BC5">
      <w:pPr>
        <w:spacing w:line="360" w:lineRule="auto"/>
        <w:jc w:val="both"/>
        <w:rPr>
          <w:rFonts w:ascii="Arial" w:hAnsi="Arial" w:cs="Arial"/>
        </w:rPr>
      </w:pPr>
      <w:r w:rsidRPr="0092670C">
        <w:rPr>
          <w:rFonts w:ascii="Arial" w:hAnsi="Arial" w:cs="Arial"/>
        </w:rPr>
        <w:t>The amino acids suggested aren’t the only options though and high throughput screening techniques typically employed for drug discovery could help in optimising the protein structure</w:t>
      </w:r>
      <w:r w:rsidR="005C68F8" w:rsidRPr="0092670C">
        <w:rPr>
          <w:rFonts w:ascii="Arial" w:hAnsi="Arial" w:cs="Arial"/>
        </w:rPr>
        <w:t xml:space="preserve"> </w:t>
      </w:r>
      <w:r w:rsidRPr="0092670C">
        <w:rPr>
          <w:rFonts w:ascii="Arial" w:hAnsi="Arial" w:cs="Arial"/>
        </w:rPr>
        <w:fldChar w:fldCharType="begin"/>
      </w:r>
      <w:r w:rsidR="0034337D">
        <w:rPr>
          <w:rFonts w:ascii="Arial" w:hAnsi="Arial" w:cs="Arial"/>
        </w:rPr>
        <w:instrText xml:space="preserve"> ADDIN EN.CITE &lt;EndNote&gt;&lt;Cite&gt;&lt;Author&gt;Macarron&lt;/Author&gt;&lt;Year&gt;2011&lt;/Year&gt;&lt;RecNum&gt;308&lt;/RecNum&gt;&lt;DisplayText&gt;[256]&lt;/DisplayText&gt;&lt;record&gt;&lt;rec-number&gt;308&lt;/rec-number&gt;&lt;foreign-keys&gt;&lt;key app="EN" db-id="5sa9s0e0r0d9fnexra7pr5xdwd5ztevx95s2" timestamp="1561995441"&gt;308&lt;/key&gt;&lt;/foreign-keys&gt;&lt;ref-type name="Journal Article"&gt;17&lt;/ref-type&gt;&lt;contributors&gt;&lt;authors&gt;&lt;author&gt;Macarron, Ricardo&lt;/author&gt;&lt;author&gt;Banks, Martyn N.&lt;/author&gt;&lt;author&gt;Bojanic, Dejan&lt;/author&gt;&lt;author&gt;Burns, David J.&lt;/author&gt;&lt;author&gt;Cirovic, Dragan A.&lt;/author&gt;&lt;author&gt;Garyantes, Tina&lt;/author&gt;&lt;author&gt;Green, Darren V. S.&lt;/author&gt;&lt;author&gt;Hertzberg, Robert P.&lt;/author&gt;&lt;author&gt;Janzen, William P.&lt;/author&gt;&lt;author&gt;Paslay, Jeff W.&lt;/author&gt;&lt;author&gt;Schopfer, Ulrich&lt;/author&gt;&lt;author&gt;Sittampalam, G. Sitta&lt;/author&gt;&lt;/authors&gt;&lt;/contributors&gt;&lt;titles&gt;&lt;title&gt;Impact of high-throughput screening in biomedical research&lt;/title&gt;&lt;secondary-title&gt;Nature Reviews Drug Discovery&lt;/secondary-title&gt;&lt;/titles&gt;&lt;periodical&gt;&lt;full-title&gt;Nature Reviews Drug Discovery&lt;/full-title&gt;&lt;/periodical&gt;&lt;pages&gt;188&lt;/pages&gt;&lt;volume&gt;10&lt;/volume&gt;&lt;dates&gt;&lt;year&gt;2011&lt;/year&gt;&lt;pub-dates&gt;&lt;date&gt;03/01/online&lt;/date&gt;&lt;/pub-dates&gt;&lt;/dates&gt;&lt;publisher&gt;Nature Publishing Group, a division of Macmillan Publishers Limited. All Rights Reserved.&lt;/publisher&gt;&lt;work-type&gt;Perspective&lt;/work-type&gt;&lt;urls&gt;&lt;related-urls&gt;&lt;url&gt;https://doi.org/10.1038/nrd3368&lt;/url&gt;&lt;/related-urls&gt;&lt;/urls&gt;&lt;electronic-resource-num&gt;10.1038/nrd3368&amp;#xD;https://www.nature.com/articles/nrd3368#supplementary-information&lt;/electronic-resource-num&gt;&lt;/record&gt;&lt;/Cite&gt;&lt;/EndNote&gt;</w:instrText>
      </w:r>
      <w:r w:rsidRPr="0092670C">
        <w:rPr>
          <w:rFonts w:ascii="Arial" w:hAnsi="Arial" w:cs="Arial"/>
        </w:rPr>
        <w:fldChar w:fldCharType="separate"/>
      </w:r>
      <w:r w:rsidR="0034337D">
        <w:rPr>
          <w:rFonts w:ascii="Arial" w:hAnsi="Arial" w:cs="Arial"/>
          <w:noProof/>
        </w:rPr>
        <w:t>[256]</w:t>
      </w:r>
      <w:r w:rsidRPr="0092670C">
        <w:rPr>
          <w:rFonts w:ascii="Arial" w:hAnsi="Arial" w:cs="Arial"/>
        </w:rPr>
        <w:fldChar w:fldCharType="end"/>
      </w:r>
      <w:r w:rsidRPr="0092670C">
        <w:rPr>
          <w:rFonts w:ascii="Arial" w:hAnsi="Arial" w:cs="Arial"/>
        </w:rPr>
        <w:t xml:space="preserve">. Using amino acids means that a range of combinations could be tested to optimise SEI properties such as graphite binding affinity and ionic conduction. </w:t>
      </w:r>
    </w:p>
    <w:p w14:paraId="0353457A" w14:textId="492DF420" w:rsidR="00971A91" w:rsidRPr="0092670C" w:rsidRDefault="00F735BF" w:rsidP="00560C78">
      <w:pPr>
        <w:pStyle w:val="Heading3"/>
        <w:rPr>
          <w:rFonts w:ascii="Arial" w:hAnsi="Arial" w:cs="Arial"/>
        </w:rPr>
      </w:pPr>
      <w:bookmarkStart w:id="340" w:name="_Toc82538831"/>
      <w:r w:rsidRPr="0092670C">
        <w:rPr>
          <w:rFonts w:ascii="Arial" w:hAnsi="Arial" w:cs="Arial"/>
        </w:rPr>
        <w:t>Creating insoluble Na-SEIs to exten</w:t>
      </w:r>
      <w:r w:rsidR="007B499C" w:rsidRPr="0092670C">
        <w:rPr>
          <w:rFonts w:ascii="Arial" w:hAnsi="Arial" w:cs="Arial"/>
        </w:rPr>
        <w:t>d battery life</w:t>
      </w:r>
      <w:bookmarkEnd w:id="340"/>
    </w:p>
    <w:p w14:paraId="02FB4798" w14:textId="6E056ED3" w:rsidR="007B499C" w:rsidRDefault="007B499C" w:rsidP="004B0BC5">
      <w:pPr>
        <w:spacing w:line="360" w:lineRule="auto"/>
        <w:jc w:val="both"/>
        <w:rPr>
          <w:rFonts w:ascii="Arial" w:hAnsi="Arial" w:cs="Arial"/>
        </w:rPr>
      </w:pPr>
      <w:r w:rsidRPr="0092670C">
        <w:rPr>
          <w:rFonts w:ascii="Arial" w:hAnsi="Arial" w:cs="Arial"/>
        </w:rPr>
        <w:t>One of the</w:t>
      </w:r>
      <w:r w:rsidR="007E0A44" w:rsidRPr="0092670C">
        <w:rPr>
          <w:rFonts w:ascii="Arial" w:hAnsi="Arial" w:cs="Arial"/>
        </w:rPr>
        <w:t xml:space="preserve"> </w:t>
      </w:r>
      <w:r w:rsidR="00730108" w:rsidRPr="0092670C">
        <w:rPr>
          <w:rFonts w:ascii="Arial" w:hAnsi="Arial" w:cs="Arial"/>
        </w:rPr>
        <w:t xml:space="preserve">main </w:t>
      </w:r>
      <w:r w:rsidR="0037333B" w:rsidRPr="0092670C">
        <w:rPr>
          <w:rFonts w:ascii="Arial" w:hAnsi="Arial" w:cs="Arial"/>
        </w:rPr>
        <w:t xml:space="preserve">reasons </w:t>
      </w:r>
      <w:r w:rsidR="007C1626" w:rsidRPr="0092670C">
        <w:rPr>
          <w:rFonts w:ascii="Arial" w:hAnsi="Arial" w:cs="Arial"/>
        </w:rPr>
        <w:t>for capacity fade in Na-ion anodes i</w:t>
      </w:r>
      <w:r w:rsidR="00027721" w:rsidRPr="0092670C">
        <w:rPr>
          <w:rFonts w:ascii="Arial" w:hAnsi="Arial" w:cs="Arial"/>
        </w:rPr>
        <w:t>s</w:t>
      </w:r>
      <w:r w:rsidR="007C1626" w:rsidRPr="0092670C">
        <w:rPr>
          <w:rFonts w:ascii="Arial" w:hAnsi="Arial" w:cs="Arial"/>
        </w:rPr>
        <w:t xml:space="preserve"> the </w:t>
      </w:r>
      <w:r w:rsidR="002C5A43" w:rsidRPr="0092670C">
        <w:rPr>
          <w:rFonts w:ascii="Arial" w:hAnsi="Arial" w:cs="Arial"/>
        </w:rPr>
        <w:t xml:space="preserve">high </w:t>
      </w:r>
      <w:r w:rsidR="004F0B3F" w:rsidRPr="0092670C">
        <w:rPr>
          <w:rFonts w:ascii="Arial" w:hAnsi="Arial" w:cs="Arial"/>
        </w:rPr>
        <w:t>solubility</w:t>
      </w:r>
      <w:r w:rsidR="002C5A43" w:rsidRPr="0092670C">
        <w:rPr>
          <w:rFonts w:ascii="Arial" w:hAnsi="Arial" w:cs="Arial"/>
        </w:rPr>
        <w:t xml:space="preserve"> of the </w:t>
      </w:r>
      <w:r w:rsidR="004F0B3F" w:rsidRPr="0092670C">
        <w:rPr>
          <w:rFonts w:ascii="Arial" w:hAnsi="Arial" w:cs="Arial"/>
        </w:rPr>
        <w:t>Na s</w:t>
      </w:r>
      <w:r w:rsidR="002C5A43" w:rsidRPr="0092670C">
        <w:rPr>
          <w:rFonts w:ascii="Arial" w:hAnsi="Arial" w:cs="Arial"/>
        </w:rPr>
        <w:t>alts</w:t>
      </w:r>
      <w:r w:rsidR="004F0B3F" w:rsidRPr="0092670C">
        <w:rPr>
          <w:rFonts w:ascii="Arial" w:hAnsi="Arial" w:cs="Arial"/>
        </w:rPr>
        <w:t xml:space="preserve"> </w:t>
      </w:r>
      <w:r w:rsidR="00027721" w:rsidRPr="0092670C">
        <w:rPr>
          <w:rFonts w:ascii="Arial" w:hAnsi="Arial" w:cs="Arial"/>
        </w:rPr>
        <w:t>that it contains. T</w:t>
      </w:r>
      <w:r w:rsidR="00395BA7" w:rsidRPr="0092670C">
        <w:rPr>
          <w:rFonts w:ascii="Arial" w:hAnsi="Arial" w:cs="Arial"/>
        </w:rPr>
        <w:t xml:space="preserve">his </w:t>
      </w:r>
      <w:r w:rsidR="0030504C" w:rsidRPr="0092670C">
        <w:rPr>
          <w:rFonts w:ascii="Arial" w:hAnsi="Arial" w:cs="Arial"/>
        </w:rPr>
        <w:t xml:space="preserve">issue will need to be rectified for the </w:t>
      </w:r>
      <w:r w:rsidR="00FC119A" w:rsidRPr="0092670C">
        <w:rPr>
          <w:rFonts w:ascii="Arial" w:hAnsi="Arial" w:cs="Arial"/>
        </w:rPr>
        <w:t>commercialisation of Na-ion batteries. T</w:t>
      </w:r>
      <w:r w:rsidR="0050634F" w:rsidRPr="0092670C">
        <w:rPr>
          <w:rFonts w:ascii="Arial" w:hAnsi="Arial" w:cs="Arial"/>
        </w:rPr>
        <w:t>o change this</w:t>
      </w:r>
      <w:r w:rsidR="00403E8E" w:rsidRPr="0092670C">
        <w:rPr>
          <w:rFonts w:ascii="Arial" w:hAnsi="Arial" w:cs="Arial"/>
        </w:rPr>
        <w:t xml:space="preserve"> the SEI must contain more polymeric species </w:t>
      </w:r>
      <w:r w:rsidR="00362078" w:rsidRPr="0092670C">
        <w:rPr>
          <w:rFonts w:ascii="Arial" w:hAnsi="Arial" w:cs="Arial"/>
        </w:rPr>
        <w:t xml:space="preserve">which are known to make a much smaller proportion </w:t>
      </w:r>
      <w:r w:rsidR="009F3F24" w:rsidRPr="0092670C">
        <w:rPr>
          <w:rFonts w:ascii="Arial" w:hAnsi="Arial" w:cs="Arial"/>
        </w:rPr>
        <w:t xml:space="preserve">of Na based SEIs when compared to Li ones. </w:t>
      </w:r>
      <w:r w:rsidR="00DD7D5F" w:rsidRPr="0092670C">
        <w:rPr>
          <w:rFonts w:ascii="Arial" w:hAnsi="Arial" w:cs="Arial"/>
        </w:rPr>
        <w:t xml:space="preserve">This could be achieved by additive </w:t>
      </w:r>
      <w:r w:rsidR="00371EF5" w:rsidRPr="0092670C">
        <w:rPr>
          <w:rFonts w:ascii="Arial" w:hAnsi="Arial" w:cs="Arial"/>
        </w:rPr>
        <w:t xml:space="preserve">choices with </w:t>
      </w:r>
      <w:r w:rsidR="002036F7" w:rsidRPr="0092670C">
        <w:rPr>
          <w:rFonts w:ascii="Arial" w:hAnsi="Arial" w:cs="Arial"/>
        </w:rPr>
        <w:t xml:space="preserve">species that result in less salt formation such </w:t>
      </w:r>
      <w:r w:rsidR="008C362B" w:rsidRPr="0092670C">
        <w:rPr>
          <w:rFonts w:ascii="Arial" w:hAnsi="Arial" w:cs="Arial"/>
        </w:rPr>
        <w:t>as</w:t>
      </w:r>
      <w:r w:rsidR="005F328C" w:rsidRPr="0092670C">
        <w:rPr>
          <w:rFonts w:ascii="Arial" w:hAnsi="Arial" w:cs="Arial"/>
        </w:rPr>
        <w:t xml:space="preserve"> glycolide and its derivatives which we encountered earlier as </w:t>
      </w:r>
      <w:r w:rsidR="00D64483" w:rsidRPr="0092670C">
        <w:rPr>
          <w:rFonts w:ascii="Arial" w:hAnsi="Arial" w:cs="Arial"/>
        </w:rPr>
        <w:t>an additive for Li-ion cells</w:t>
      </w:r>
      <w:r w:rsidR="008C362B" w:rsidRPr="0092670C">
        <w:rPr>
          <w:rFonts w:ascii="Arial" w:hAnsi="Arial" w:cs="Arial"/>
        </w:rPr>
        <w:t>.</w:t>
      </w:r>
      <w:r w:rsidR="006D5DB2" w:rsidRPr="0092670C">
        <w:rPr>
          <w:rFonts w:ascii="Arial" w:hAnsi="Arial" w:cs="Arial"/>
        </w:rPr>
        <w:t xml:space="preserve"> It could also be </w:t>
      </w:r>
      <w:r w:rsidR="00951610" w:rsidRPr="0092670C">
        <w:rPr>
          <w:rFonts w:ascii="Arial" w:hAnsi="Arial" w:cs="Arial"/>
        </w:rPr>
        <w:t>achieved through polymer SEIs</w:t>
      </w:r>
      <w:r w:rsidR="00A3734F" w:rsidRPr="0092670C">
        <w:rPr>
          <w:rFonts w:ascii="Arial" w:hAnsi="Arial" w:cs="Arial"/>
        </w:rPr>
        <w:t xml:space="preserve">. Considering that many of the polymer </w:t>
      </w:r>
      <w:r w:rsidR="00771933" w:rsidRPr="0092670C">
        <w:rPr>
          <w:rFonts w:ascii="Arial" w:hAnsi="Arial" w:cs="Arial"/>
        </w:rPr>
        <w:t xml:space="preserve">SEIs that have already been tested </w:t>
      </w:r>
      <w:r w:rsidR="001556E7" w:rsidRPr="0092670C">
        <w:rPr>
          <w:rFonts w:ascii="Arial" w:hAnsi="Arial" w:cs="Arial"/>
        </w:rPr>
        <w:t xml:space="preserve">are </w:t>
      </w:r>
      <w:r w:rsidR="00CD4E4D" w:rsidRPr="0092670C">
        <w:rPr>
          <w:rFonts w:ascii="Arial" w:hAnsi="Arial" w:cs="Arial"/>
        </w:rPr>
        <w:t xml:space="preserve">insoluble </w:t>
      </w:r>
      <w:r w:rsidR="001556E7" w:rsidRPr="0092670C">
        <w:rPr>
          <w:rFonts w:ascii="Arial" w:hAnsi="Arial" w:cs="Arial"/>
        </w:rPr>
        <w:t xml:space="preserve">sodium salts </w:t>
      </w:r>
      <w:r w:rsidR="00CD4E4D" w:rsidRPr="0092670C">
        <w:rPr>
          <w:rFonts w:ascii="Arial" w:hAnsi="Arial" w:cs="Arial"/>
        </w:rPr>
        <w:t xml:space="preserve">they could be </w:t>
      </w:r>
      <w:r w:rsidR="0091741E" w:rsidRPr="0092670C">
        <w:rPr>
          <w:rFonts w:ascii="Arial" w:hAnsi="Arial" w:cs="Arial"/>
        </w:rPr>
        <w:t xml:space="preserve">ideal for this situation </w:t>
      </w:r>
      <w:r w:rsidR="0030779C" w:rsidRPr="0092670C">
        <w:rPr>
          <w:rFonts w:ascii="Arial" w:hAnsi="Arial" w:cs="Arial"/>
        </w:rPr>
        <w:t>and reduce the Q</w:t>
      </w:r>
      <w:r w:rsidR="0030779C" w:rsidRPr="0092670C">
        <w:rPr>
          <w:rFonts w:ascii="Arial" w:hAnsi="Arial" w:cs="Arial"/>
          <w:vertAlign w:val="subscript"/>
        </w:rPr>
        <w:t>irr</w:t>
      </w:r>
      <w:r w:rsidR="0030779C" w:rsidRPr="0092670C">
        <w:rPr>
          <w:rFonts w:ascii="Arial" w:hAnsi="Arial" w:cs="Arial"/>
        </w:rPr>
        <w:t xml:space="preserve"> seen. </w:t>
      </w:r>
      <w:r w:rsidR="00F76658" w:rsidRPr="0092670C">
        <w:rPr>
          <w:rFonts w:ascii="Arial" w:hAnsi="Arial" w:cs="Arial"/>
        </w:rPr>
        <w:t xml:space="preserve"> </w:t>
      </w:r>
      <w:r w:rsidR="008C362B" w:rsidRPr="0092670C">
        <w:rPr>
          <w:rFonts w:ascii="Arial" w:hAnsi="Arial" w:cs="Arial"/>
        </w:rPr>
        <w:t xml:space="preserve"> </w:t>
      </w:r>
      <w:r w:rsidR="006D5DB2" w:rsidRPr="0092670C">
        <w:rPr>
          <w:rFonts w:ascii="Arial" w:hAnsi="Arial" w:cs="Arial"/>
        </w:rPr>
        <w:t xml:space="preserve"> </w:t>
      </w:r>
      <w:r w:rsidR="004F0B3F" w:rsidRPr="0092670C">
        <w:rPr>
          <w:rFonts w:ascii="Arial" w:hAnsi="Arial" w:cs="Arial"/>
        </w:rPr>
        <w:t xml:space="preserve"> </w:t>
      </w:r>
      <w:r w:rsidR="002C5A43" w:rsidRPr="0092670C">
        <w:rPr>
          <w:rFonts w:ascii="Arial" w:hAnsi="Arial" w:cs="Arial"/>
        </w:rPr>
        <w:t xml:space="preserve"> </w:t>
      </w:r>
    </w:p>
    <w:p w14:paraId="468F8731" w14:textId="77777777" w:rsidR="00AC3DBA" w:rsidRPr="0092670C" w:rsidRDefault="00AC3DBA" w:rsidP="00E93DC4">
      <w:pPr>
        <w:spacing w:line="360" w:lineRule="auto"/>
        <w:jc w:val="both"/>
        <w:rPr>
          <w:rFonts w:ascii="Arial" w:hAnsi="Arial" w:cs="Arial"/>
        </w:rPr>
      </w:pPr>
    </w:p>
    <w:p w14:paraId="528334DF" w14:textId="55D25D30" w:rsidR="004F0B3F" w:rsidRPr="0092670C" w:rsidRDefault="005B02C9" w:rsidP="005B02C9">
      <w:pPr>
        <w:rPr>
          <w:rFonts w:ascii="Arial" w:hAnsi="Arial" w:cs="Arial"/>
        </w:rPr>
      </w:pPr>
      <w:r w:rsidRPr="0092670C">
        <w:rPr>
          <w:rFonts w:ascii="Arial" w:hAnsi="Arial" w:cs="Arial"/>
        </w:rPr>
        <w:br w:type="page"/>
      </w:r>
    </w:p>
    <w:p w14:paraId="5E4F026B" w14:textId="6F2A2A3F" w:rsidR="004B0BC5" w:rsidRPr="0092670C" w:rsidRDefault="004B0BC5" w:rsidP="003902A0">
      <w:pPr>
        <w:pStyle w:val="Heading1"/>
        <w:numPr>
          <w:ilvl w:val="0"/>
          <w:numId w:val="0"/>
        </w:numPr>
        <w:rPr>
          <w:rFonts w:ascii="Arial" w:hAnsi="Arial" w:cs="Arial"/>
          <w:b/>
        </w:rPr>
      </w:pPr>
      <w:bookmarkStart w:id="341" w:name="_Toc82538832"/>
      <w:r w:rsidRPr="0092670C">
        <w:rPr>
          <w:rFonts w:ascii="Arial" w:hAnsi="Arial" w:cs="Arial"/>
          <w:b/>
        </w:rPr>
        <w:t>References</w:t>
      </w:r>
      <w:bookmarkEnd w:id="341"/>
    </w:p>
    <w:p w14:paraId="2B4F5F2F" w14:textId="77777777" w:rsidR="0088211A" w:rsidRPr="0092670C" w:rsidRDefault="0088211A">
      <w:pPr>
        <w:rPr>
          <w:rFonts w:ascii="Arial" w:hAnsi="Arial" w:cs="Arial"/>
        </w:rPr>
      </w:pPr>
    </w:p>
    <w:p w14:paraId="6A6EA339" w14:textId="77777777" w:rsidR="0034337D" w:rsidRPr="0034337D" w:rsidRDefault="0088211A" w:rsidP="0034337D">
      <w:pPr>
        <w:pStyle w:val="EndNoteBibliography"/>
        <w:spacing w:after="0"/>
        <w:ind w:left="720" w:hanging="720"/>
      </w:pPr>
      <w:r w:rsidRPr="0092670C">
        <w:rPr>
          <w:rFonts w:ascii="Arial" w:hAnsi="Arial" w:cs="Arial"/>
        </w:rPr>
        <w:fldChar w:fldCharType="begin"/>
      </w:r>
      <w:r w:rsidRPr="0092670C">
        <w:rPr>
          <w:rFonts w:ascii="Arial" w:hAnsi="Arial" w:cs="Arial"/>
        </w:rPr>
        <w:instrText xml:space="preserve"> ADDIN EN.REFLIST </w:instrText>
      </w:r>
      <w:r w:rsidRPr="0092670C">
        <w:rPr>
          <w:rFonts w:ascii="Arial" w:hAnsi="Arial" w:cs="Arial"/>
        </w:rPr>
        <w:fldChar w:fldCharType="separate"/>
      </w:r>
      <w:r w:rsidR="0034337D" w:rsidRPr="0034337D">
        <w:t>1.</w:t>
      </w:r>
      <w:r w:rsidR="0034337D" w:rsidRPr="0034337D">
        <w:tab/>
        <w:t xml:space="preserve">Peled, E., </w:t>
      </w:r>
      <w:r w:rsidR="0034337D" w:rsidRPr="0034337D">
        <w:rPr>
          <w:i/>
        </w:rPr>
        <w:t>The Electrochemical Behavior of Alkali and Alkaline Earth Metals in Nonaqueous Battery Systems—The Solid Electrolyte Interphase Model.</w:t>
      </w:r>
      <w:r w:rsidR="0034337D" w:rsidRPr="0034337D">
        <w:t xml:space="preserve"> Journal of The Electrochemical Society, 1979. </w:t>
      </w:r>
      <w:r w:rsidR="0034337D" w:rsidRPr="0034337D">
        <w:rPr>
          <w:b/>
        </w:rPr>
        <w:t>126</w:t>
      </w:r>
      <w:r w:rsidR="0034337D" w:rsidRPr="0034337D">
        <w:t>(12): p. 2047-2051.</w:t>
      </w:r>
    </w:p>
    <w:p w14:paraId="6F5CC50B" w14:textId="77777777" w:rsidR="0034337D" w:rsidRPr="0034337D" w:rsidRDefault="0034337D" w:rsidP="0034337D">
      <w:pPr>
        <w:pStyle w:val="EndNoteBibliography"/>
        <w:spacing w:after="0"/>
        <w:ind w:left="720" w:hanging="720"/>
      </w:pPr>
      <w:r w:rsidRPr="0034337D">
        <w:t>2.</w:t>
      </w:r>
      <w:r w:rsidRPr="0034337D">
        <w:tab/>
        <w:t xml:space="preserve">An, S.J., et al., </w:t>
      </w:r>
      <w:r w:rsidRPr="0034337D">
        <w:rPr>
          <w:i/>
        </w:rPr>
        <w:t>Fast formation cycling for lithium ion batteries.</w:t>
      </w:r>
      <w:r w:rsidRPr="0034337D">
        <w:t xml:space="preserve"> Journal of Power Sources, 2017. </w:t>
      </w:r>
      <w:r w:rsidRPr="0034337D">
        <w:rPr>
          <w:b/>
        </w:rPr>
        <w:t>342</w:t>
      </w:r>
      <w:r w:rsidRPr="0034337D">
        <w:t>: p. 846-852.</w:t>
      </w:r>
    </w:p>
    <w:p w14:paraId="0189915A" w14:textId="4591C856" w:rsidR="0034337D" w:rsidRPr="0034337D" w:rsidRDefault="0034337D" w:rsidP="0034337D">
      <w:pPr>
        <w:pStyle w:val="EndNoteBibliography"/>
        <w:spacing w:after="0"/>
        <w:ind w:left="720" w:hanging="720"/>
      </w:pPr>
      <w:r w:rsidRPr="0034337D">
        <w:t>3.</w:t>
      </w:r>
      <w:r w:rsidRPr="0034337D">
        <w:tab/>
      </w:r>
      <w:r w:rsidRPr="0034337D">
        <w:rPr>
          <w:i/>
        </w:rPr>
        <w:t>Press release: The Nobel Prize in Chemistry 2019</w:t>
      </w:r>
      <w:r w:rsidRPr="0034337D">
        <w:t xml:space="preserve">. 2019  [cited 2020 19/01/2020]; Available from: </w:t>
      </w:r>
      <w:hyperlink r:id="rId317" w:history="1">
        <w:r w:rsidRPr="0034337D">
          <w:rPr>
            <w:rStyle w:val="Hyperlink"/>
          </w:rPr>
          <w:t>https://www.nobelprize.org/prizes/chemistry/2019/press-release/</w:t>
        </w:r>
      </w:hyperlink>
      <w:r w:rsidRPr="0034337D">
        <w:t>.</w:t>
      </w:r>
    </w:p>
    <w:p w14:paraId="7B129C86" w14:textId="77777777" w:rsidR="0034337D" w:rsidRPr="0034337D" w:rsidRDefault="0034337D" w:rsidP="0034337D">
      <w:pPr>
        <w:pStyle w:val="EndNoteBibliography"/>
        <w:spacing w:after="0"/>
        <w:ind w:left="720" w:hanging="720"/>
      </w:pPr>
      <w:r w:rsidRPr="0034337D">
        <w:t>4.</w:t>
      </w:r>
      <w:r w:rsidRPr="0034337D">
        <w:tab/>
        <w:t xml:space="preserve">Blomgren, G.E., </w:t>
      </w:r>
      <w:r w:rsidRPr="0034337D">
        <w:rPr>
          <w:i/>
        </w:rPr>
        <w:t>The Development and Future of Lithium Ion Batteries.</w:t>
      </w:r>
      <w:r w:rsidRPr="0034337D">
        <w:t xml:space="preserve"> Journal of The Electrochemical Society, 2017. </w:t>
      </w:r>
      <w:r w:rsidRPr="0034337D">
        <w:rPr>
          <w:b/>
        </w:rPr>
        <w:t>164</w:t>
      </w:r>
      <w:r w:rsidRPr="0034337D">
        <w:t>(1): p. A5019-A5025.</w:t>
      </w:r>
    </w:p>
    <w:p w14:paraId="6F874EBB" w14:textId="77777777" w:rsidR="0034337D" w:rsidRPr="0034337D" w:rsidRDefault="0034337D" w:rsidP="0034337D">
      <w:pPr>
        <w:pStyle w:val="EndNoteBibliography"/>
        <w:spacing w:after="0"/>
        <w:ind w:left="720" w:hanging="720"/>
      </w:pPr>
      <w:r w:rsidRPr="0034337D">
        <w:t>5.</w:t>
      </w:r>
      <w:r w:rsidRPr="0034337D">
        <w:tab/>
        <w:t xml:space="preserve">Harlow, J.E., et al., </w:t>
      </w:r>
      <w:r w:rsidRPr="0034337D">
        <w:rPr>
          <w:i/>
        </w:rPr>
        <w:t>A Wide Range of Testing Results on an Excellent Lithium-Ion Cell Chemistry to be used as Benchmarks for New Battery Technologies.</w:t>
      </w:r>
      <w:r w:rsidRPr="0034337D">
        <w:t xml:space="preserve"> Journal of The Electrochemical Society, 2019. </w:t>
      </w:r>
      <w:r w:rsidRPr="0034337D">
        <w:rPr>
          <w:b/>
        </w:rPr>
        <w:t>166</w:t>
      </w:r>
      <w:r w:rsidRPr="0034337D">
        <w:t>(13): p. A3031-A3044.</w:t>
      </w:r>
    </w:p>
    <w:p w14:paraId="09878F93" w14:textId="77777777" w:rsidR="0034337D" w:rsidRPr="0034337D" w:rsidRDefault="0034337D" w:rsidP="0034337D">
      <w:pPr>
        <w:pStyle w:val="EndNoteBibliography"/>
        <w:spacing w:after="0"/>
        <w:ind w:left="720" w:hanging="720"/>
      </w:pPr>
      <w:r w:rsidRPr="0034337D">
        <w:t>6.</w:t>
      </w:r>
      <w:r w:rsidRPr="0034337D">
        <w:tab/>
        <w:t xml:space="preserve">Love, C.T., O.A. Baturina, and K.E. Swider-Lyons, </w:t>
      </w:r>
      <w:r w:rsidRPr="0034337D">
        <w:rPr>
          <w:i/>
        </w:rPr>
        <w:t>Observation of Lithium Dendrites at Ambient Temperature and Below.</w:t>
      </w:r>
      <w:r w:rsidRPr="0034337D">
        <w:t xml:space="preserve"> ECS Electrochemistry Letters, 2014. </w:t>
      </w:r>
      <w:r w:rsidRPr="0034337D">
        <w:rPr>
          <w:b/>
        </w:rPr>
        <w:t>4</w:t>
      </w:r>
      <w:r w:rsidRPr="0034337D">
        <w:t>(2): p. A24-A27.</w:t>
      </w:r>
    </w:p>
    <w:p w14:paraId="60FCD04E" w14:textId="77777777" w:rsidR="0034337D" w:rsidRPr="0034337D" w:rsidRDefault="0034337D" w:rsidP="0034337D">
      <w:pPr>
        <w:pStyle w:val="EndNoteBibliography"/>
        <w:spacing w:after="0"/>
        <w:ind w:left="720" w:hanging="720"/>
      </w:pPr>
      <w:r w:rsidRPr="0034337D">
        <w:t>7.</w:t>
      </w:r>
      <w:r w:rsidRPr="0034337D">
        <w:tab/>
        <w:t xml:space="preserve">Hausbrand, R., et al., </w:t>
      </w:r>
      <w:r w:rsidRPr="0034337D">
        <w:rPr>
          <w:i/>
        </w:rPr>
        <w:t>Fundamental degradation mechanisms of layered oxide Li-ion battery cathode materials: Methodology, insights and novel approaches.</w:t>
      </w:r>
      <w:r w:rsidRPr="0034337D">
        <w:t xml:space="preserve"> Materials Science and Engineering: B, 2015. </w:t>
      </w:r>
      <w:r w:rsidRPr="0034337D">
        <w:rPr>
          <w:b/>
        </w:rPr>
        <w:t>192</w:t>
      </w:r>
      <w:r w:rsidRPr="0034337D">
        <w:t>: p. 3-25.</w:t>
      </w:r>
    </w:p>
    <w:p w14:paraId="56F8920C" w14:textId="77777777" w:rsidR="0034337D" w:rsidRPr="0034337D" w:rsidRDefault="0034337D" w:rsidP="0034337D">
      <w:pPr>
        <w:pStyle w:val="EndNoteBibliography"/>
        <w:spacing w:after="0"/>
        <w:ind w:left="720" w:hanging="720"/>
      </w:pPr>
      <w:r w:rsidRPr="0034337D">
        <w:t>8.</w:t>
      </w:r>
      <w:r w:rsidRPr="0034337D">
        <w:tab/>
        <w:t xml:space="preserve">Vaughey, J.T., et al., </w:t>
      </w:r>
      <w:r w:rsidRPr="0034337D">
        <w:rPr>
          <w:i/>
        </w:rPr>
        <w:t>Alternative anode materials for lithium-ion batteries: a study of Ag3Sb.</w:t>
      </w:r>
      <w:r w:rsidRPr="0034337D">
        <w:t xml:space="preserve"> Journal of Power Sources, 2003. </w:t>
      </w:r>
      <w:r w:rsidRPr="0034337D">
        <w:rPr>
          <w:b/>
        </w:rPr>
        <w:t>119-121</w:t>
      </w:r>
      <w:r w:rsidRPr="0034337D">
        <w:t>: p. 64-68.</w:t>
      </w:r>
    </w:p>
    <w:p w14:paraId="67707118" w14:textId="77777777" w:rsidR="0034337D" w:rsidRPr="0034337D" w:rsidRDefault="0034337D" w:rsidP="0034337D">
      <w:pPr>
        <w:pStyle w:val="EndNoteBibliography"/>
        <w:spacing w:after="0"/>
        <w:ind w:left="720" w:hanging="720"/>
      </w:pPr>
      <w:r w:rsidRPr="0034337D">
        <w:t>9.</w:t>
      </w:r>
      <w:r w:rsidRPr="0034337D">
        <w:tab/>
        <w:t xml:space="preserve">Obrovac, M.N. and L.J. Krause, </w:t>
      </w:r>
      <w:r w:rsidRPr="0034337D">
        <w:rPr>
          <w:i/>
        </w:rPr>
        <w:t>Reversible Cycling of Crystalline Silicon Powder.</w:t>
      </w:r>
      <w:r w:rsidRPr="0034337D">
        <w:t xml:space="preserve"> Journal of The Electrochemical Society, 2007. </w:t>
      </w:r>
      <w:r w:rsidRPr="0034337D">
        <w:rPr>
          <w:b/>
        </w:rPr>
        <w:t>154</w:t>
      </w:r>
      <w:r w:rsidRPr="0034337D">
        <w:t>(2): p. A103.</w:t>
      </w:r>
    </w:p>
    <w:p w14:paraId="6FFEA618" w14:textId="7D962453" w:rsidR="0034337D" w:rsidRPr="0034337D" w:rsidRDefault="0034337D" w:rsidP="0034337D">
      <w:pPr>
        <w:pStyle w:val="EndNoteBibliography"/>
        <w:spacing w:after="0"/>
        <w:ind w:left="720" w:hanging="720"/>
      </w:pPr>
      <w:r w:rsidRPr="0034337D">
        <w:t>10.</w:t>
      </w:r>
      <w:r w:rsidRPr="0034337D">
        <w:tab/>
        <w:t xml:space="preserve">Wang, U. </w:t>
      </w:r>
      <w:r w:rsidRPr="0034337D">
        <w:rPr>
          <w:i/>
        </w:rPr>
        <w:t>Why Tesla Rolls Out Better EV Batteries</w:t>
      </w:r>
      <w:r w:rsidRPr="0034337D">
        <w:t xml:space="preserve">. 2015  [cited 2019 13/03/19]; Available from: </w:t>
      </w:r>
      <w:hyperlink r:id="rId318" w:anchor="65d09e981dca" w:history="1">
        <w:r w:rsidRPr="0034337D">
          <w:rPr>
            <w:rStyle w:val="Hyperlink"/>
          </w:rPr>
          <w:t>https://www.forbes.com/sites/uciliawang/2015/07/17/why-tesla-rolls-out-better-ev-batteries/#65d09e981dca</w:t>
        </w:r>
      </w:hyperlink>
      <w:r w:rsidRPr="0034337D">
        <w:t>.</w:t>
      </w:r>
    </w:p>
    <w:p w14:paraId="1A5A9402" w14:textId="77777777" w:rsidR="0034337D" w:rsidRPr="0034337D" w:rsidRDefault="0034337D" w:rsidP="0034337D">
      <w:pPr>
        <w:pStyle w:val="EndNoteBibliography"/>
        <w:spacing w:after="0"/>
        <w:ind w:left="720" w:hanging="720"/>
      </w:pPr>
      <w:r w:rsidRPr="0034337D">
        <w:t>11.</w:t>
      </w:r>
      <w:r w:rsidRPr="0034337D">
        <w:tab/>
        <w:t xml:space="preserve">Ko, M., S. Chae, and J. Cho, </w:t>
      </w:r>
      <w:r w:rsidRPr="0034337D">
        <w:rPr>
          <w:i/>
        </w:rPr>
        <w:t>Challenges in Accommodating Volume Change of Si Anodes for Li-Ion Batteries.</w:t>
      </w:r>
      <w:r w:rsidRPr="0034337D">
        <w:t xml:space="preserve"> ChemElectroChem, 2015. </w:t>
      </w:r>
      <w:r w:rsidRPr="0034337D">
        <w:rPr>
          <w:b/>
        </w:rPr>
        <w:t>2</w:t>
      </w:r>
      <w:r w:rsidRPr="0034337D">
        <w:t>(11): p. 1645-1651.</w:t>
      </w:r>
    </w:p>
    <w:p w14:paraId="497BBC84" w14:textId="77777777" w:rsidR="0034337D" w:rsidRPr="0034337D" w:rsidRDefault="0034337D" w:rsidP="0034337D">
      <w:pPr>
        <w:pStyle w:val="EndNoteBibliography"/>
        <w:spacing w:after="0"/>
        <w:ind w:left="720" w:hanging="720"/>
      </w:pPr>
      <w:r w:rsidRPr="0034337D">
        <w:t>12.</w:t>
      </w:r>
      <w:r w:rsidRPr="0034337D">
        <w:tab/>
        <w:t xml:space="preserve">Kim, H., E.-J. Lee, and Y.-K. Sun, </w:t>
      </w:r>
      <w:r w:rsidRPr="0034337D">
        <w:rPr>
          <w:i/>
        </w:rPr>
        <w:t>Recent advances in the Si-based nanocomposite materials as high capacity anode materials for lithium ion batteries.</w:t>
      </w:r>
      <w:r w:rsidRPr="0034337D">
        <w:t xml:space="preserve"> Materials Today, 2014. </w:t>
      </w:r>
      <w:r w:rsidRPr="0034337D">
        <w:rPr>
          <w:b/>
        </w:rPr>
        <w:t>17</w:t>
      </w:r>
      <w:r w:rsidRPr="0034337D">
        <w:t>(6): p. 285-297.</w:t>
      </w:r>
    </w:p>
    <w:p w14:paraId="20D81426" w14:textId="77777777" w:rsidR="0034337D" w:rsidRPr="0034337D" w:rsidRDefault="0034337D" w:rsidP="0034337D">
      <w:pPr>
        <w:pStyle w:val="EndNoteBibliography"/>
        <w:spacing w:after="0"/>
        <w:ind w:left="720" w:hanging="720"/>
      </w:pPr>
      <w:r w:rsidRPr="0034337D">
        <w:t>13.</w:t>
      </w:r>
      <w:r w:rsidRPr="0034337D">
        <w:tab/>
        <w:t xml:space="preserve">Ozawa, K., </w:t>
      </w:r>
      <w:r w:rsidRPr="0034337D">
        <w:rPr>
          <w:i/>
        </w:rPr>
        <w:t>Lithium-ion rechargeable batteries with LiCoO2 and carbon electrodes: the LiCoO2/C system.</w:t>
      </w:r>
      <w:r w:rsidRPr="0034337D">
        <w:t xml:space="preserve"> Solid State Ionics, 1994. </w:t>
      </w:r>
      <w:r w:rsidRPr="0034337D">
        <w:rPr>
          <w:b/>
        </w:rPr>
        <w:t>69</w:t>
      </w:r>
      <w:r w:rsidRPr="0034337D">
        <w:t>(3-4): p. 212-221.</w:t>
      </w:r>
    </w:p>
    <w:p w14:paraId="180D0F37" w14:textId="77777777" w:rsidR="0034337D" w:rsidRPr="0034337D" w:rsidRDefault="0034337D" w:rsidP="0034337D">
      <w:pPr>
        <w:pStyle w:val="EndNoteBibliography"/>
        <w:spacing w:after="0"/>
        <w:ind w:left="720" w:hanging="720"/>
      </w:pPr>
      <w:r w:rsidRPr="0034337D">
        <w:t>14.</w:t>
      </w:r>
      <w:r w:rsidRPr="0034337D">
        <w:tab/>
        <w:t xml:space="preserve">Xu, J., et al., </w:t>
      </w:r>
      <w:r w:rsidRPr="0034337D">
        <w:rPr>
          <w:i/>
        </w:rPr>
        <w:t>A review of Ni-based layered oxides for rechargeable Li-ion batteries.</w:t>
      </w:r>
      <w:r w:rsidRPr="0034337D">
        <w:t xml:space="preserve"> Journal of Materials Chemistry A, 2017. </w:t>
      </w:r>
      <w:r w:rsidRPr="0034337D">
        <w:rPr>
          <w:b/>
        </w:rPr>
        <w:t>5</w:t>
      </w:r>
      <w:r w:rsidRPr="0034337D">
        <w:t>(3): p. 874-901.</w:t>
      </w:r>
    </w:p>
    <w:p w14:paraId="3AB654AE" w14:textId="77777777" w:rsidR="0034337D" w:rsidRPr="0034337D" w:rsidRDefault="0034337D" w:rsidP="0034337D">
      <w:pPr>
        <w:pStyle w:val="EndNoteBibliography"/>
        <w:spacing w:after="0"/>
        <w:ind w:left="720" w:hanging="720"/>
      </w:pPr>
      <w:r w:rsidRPr="0034337D">
        <w:t>15.</w:t>
      </w:r>
      <w:r w:rsidRPr="0034337D">
        <w:tab/>
        <w:t xml:space="preserve">Banza, C.L.N., et al., </w:t>
      </w:r>
      <w:r w:rsidRPr="0034337D">
        <w:rPr>
          <w:i/>
        </w:rPr>
        <w:t>High human exposure to cobalt and other metals in Katanga, a mining area of the Democratic Republic of Congo.</w:t>
      </w:r>
      <w:r w:rsidRPr="0034337D">
        <w:t xml:space="preserve"> Environmental Research, 2009. </w:t>
      </w:r>
      <w:r w:rsidRPr="0034337D">
        <w:rPr>
          <w:b/>
        </w:rPr>
        <w:t>109</w:t>
      </w:r>
      <w:r w:rsidRPr="0034337D">
        <w:t>(6): p. 745-752.</w:t>
      </w:r>
    </w:p>
    <w:p w14:paraId="21D1A2C8" w14:textId="77777777" w:rsidR="0034337D" w:rsidRPr="0034337D" w:rsidRDefault="0034337D" w:rsidP="0034337D">
      <w:pPr>
        <w:pStyle w:val="EndNoteBibliography"/>
        <w:spacing w:after="0"/>
        <w:ind w:left="720" w:hanging="720"/>
      </w:pPr>
      <w:r w:rsidRPr="0034337D">
        <w:t>16.</w:t>
      </w:r>
      <w:r w:rsidRPr="0034337D">
        <w:tab/>
        <w:t xml:space="preserve">Li, X., et al., </w:t>
      </w:r>
      <w:r w:rsidRPr="0034337D">
        <w:rPr>
          <w:i/>
        </w:rPr>
        <w:t>Degradation mechanisms of high capacity 18650 cells containing Si-graphite anode and nickel-rich NMC cathode.</w:t>
      </w:r>
      <w:r w:rsidRPr="0034337D">
        <w:t xml:space="preserve"> Electrochimica Acta, 2019. </w:t>
      </w:r>
      <w:r w:rsidRPr="0034337D">
        <w:rPr>
          <w:b/>
        </w:rPr>
        <w:t>297</w:t>
      </w:r>
      <w:r w:rsidRPr="0034337D">
        <w:t>: p. 1109-1120.</w:t>
      </w:r>
    </w:p>
    <w:p w14:paraId="085D4FE8" w14:textId="77777777" w:rsidR="0034337D" w:rsidRPr="0034337D" w:rsidRDefault="0034337D" w:rsidP="0034337D">
      <w:pPr>
        <w:pStyle w:val="EndNoteBibliography"/>
        <w:spacing w:after="0"/>
        <w:ind w:left="720" w:hanging="720"/>
      </w:pPr>
      <w:r w:rsidRPr="0034337D">
        <w:t>17.</w:t>
      </w:r>
      <w:r w:rsidRPr="0034337D">
        <w:tab/>
        <w:t xml:space="preserve">Li, W., S. Lee, and A. Manthiram, </w:t>
      </w:r>
      <w:r w:rsidRPr="0034337D">
        <w:rPr>
          <w:i/>
        </w:rPr>
        <w:t>High-Nickel NMA: A Cobalt-Free Alternative to NMC and NCA Cathodes for Lithium-Ion Batteries.</w:t>
      </w:r>
      <w:r w:rsidRPr="0034337D">
        <w:t xml:space="preserve"> Advanced Materials, 2020. </w:t>
      </w:r>
      <w:r w:rsidRPr="0034337D">
        <w:rPr>
          <w:b/>
        </w:rPr>
        <w:t>32</w:t>
      </w:r>
      <w:r w:rsidRPr="0034337D">
        <w:t>(33): p. 2002718.</w:t>
      </w:r>
    </w:p>
    <w:p w14:paraId="454D3CF9" w14:textId="77777777" w:rsidR="0034337D" w:rsidRPr="0034337D" w:rsidRDefault="0034337D" w:rsidP="0034337D">
      <w:pPr>
        <w:pStyle w:val="EndNoteBibliography"/>
        <w:spacing w:after="0"/>
        <w:ind w:left="720" w:hanging="720"/>
      </w:pPr>
      <w:r w:rsidRPr="0034337D">
        <w:t>18.</w:t>
      </w:r>
      <w:r w:rsidRPr="0034337D">
        <w:tab/>
        <w:t xml:space="preserve">Ruffo, R., et al., </w:t>
      </w:r>
      <w:r w:rsidRPr="0034337D">
        <w:rPr>
          <w:i/>
        </w:rPr>
        <w:t>Electrochemical behavior of LiCoO2 as aqueous lithium-ion battery electrodes.</w:t>
      </w:r>
      <w:r w:rsidRPr="0034337D">
        <w:t xml:space="preserve"> Electrochemistry Communications, 2009. </w:t>
      </w:r>
      <w:r w:rsidRPr="0034337D">
        <w:rPr>
          <w:b/>
        </w:rPr>
        <w:t>11</w:t>
      </w:r>
      <w:r w:rsidRPr="0034337D">
        <w:t>(2): p. 247-249.</w:t>
      </w:r>
    </w:p>
    <w:p w14:paraId="1EE59128" w14:textId="77777777" w:rsidR="0034337D" w:rsidRPr="0034337D" w:rsidRDefault="0034337D" w:rsidP="0034337D">
      <w:pPr>
        <w:pStyle w:val="EndNoteBibliography"/>
        <w:spacing w:after="0"/>
        <w:ind w:left="720" w:hanging="720"/>
      </w:pPr>
      <w:r w:rsidRPr="0034337D">
        <w:t>19.</w:t>
      </w:r>
      <w:r w:rsidRPr="0034337D">
        <w:tab/>
        <w:t xml:space="preserve">Xu, K. and C. Wang, </w:t>
      </w:r>
      <w:r w:rsidRPr="0034337D">
        <w:rPr>
          <w:i/>
        </w:rPr>
        <w:t>Batteries: Widening voltage windows.</w:t>
      </w:r>
      <w:r w:rsidRPr="0034337D">
        <w:t xml:space="preserve"> Nature Energy, 2016. </w:t>
      </w:r>
      <w:r w:rsidRPr="0034337D">
        <w:rPr>
          <w:b/>
        </w:rPr>
        <w:t>1</w:t>
      </w:r>
      <w:r w:rsidRPr="0034337D">
        <w:t>(10): p. 16161.</w:t>
      </w:r>
    </w:p>
    <w:p w14:paraId="403BA082" w14:textId="77777777" w:rsidR="0034337D" w:rsidRPr="0034337D" w:rsidRDefault="0034337D" w:rsidP="0034337D">
      <w:pPr>
        <w:pStyle w:val="EndNoteBibliography"/>
        <w:spacing w:after="0"/>
        <w:ind w:left="720" w:hanging="720"/>
      </w:pPr>
      <w:r w:rsidRPr="0034337D">
        <w:t>20.</w:t>
      </w:r>
      <w:r w:rsidRPr="0034337D">
        <w:tab/>
        <w:t xml:space="preserve">Bayley, P.M., et al., </w:t>
      </w:r>
      <w:r w:rsidRPr="0034337D">
        <w:rPr>
          <w:i/>
        </w:rPr>
        <w:t>The effect of coordinating and non-coordinating additives on the transport properties in ionic liquid electrolytes for lithium batteries.</w:t>
      </w:r>
      <w:r w:rsidRPr="0034337D">
        <w:t xml:space="preserve"> Physical Chemistry Chemical Physics, 2011. </w:t>
      </w:r>
      <w:r w:rsidRPr="0034337D">
        <w:rPr>
          <w:b/>
        </w:rPr>
        <w:t>13</w:t>
      </w:r>
      <w:r w:rsidRPr="0034337D">
        <w:t>(10): p. 4632-4640.</w:t>
      </w:r>
    </w:p>
    <w:p w14:paraId="4328CC67" w14:textId="77777777" w:rsidR="0034337D" w:rsidRPr="0034337D" w:rsidRDefault="0034337D" w:rsidP="0034337D">
      <w:pPr>
        <w:pStyle w:val="EndNoteBibliography"/>
        <w:spacing w:after="0"/>
        <w:ind w:left="720" w:hanging="720"/>
      </w:pPr>
      <w:r w:rsidRPr="0034337D">
        <w:t>21.</w:t>
      </w:r>
      <w:r w:rsidRPr="0034337D">
        <w:tab/>
        <w:t xml:space="preserve">An, S.J., et al., </w:t>
      </w:r>
      <w:r w:rsidRPr="0034337D">
        <w:rPr>
          <w:i/>
        </w:rPr>
        <w:t>The state of understanding of the lithium-ion-battery graphite solid electrolyte interphase (SEI) and its relationship to formation cycling.</w:t>
      </w:r>
      <w:r w:rsidRPr="0034337D">
        <w:t xml:space="preserve"> Carbon, 2016. </w:t>
      </w:r>
      <w:r w:rsidRPr="0034337D">
        <w:rPr>
          <w:b/>
        </w:rPr>
        <w:t>105</w:t>
      </w:r>
      <w:r w:rsidRPr="0034337D">
        <w:t>: p. 52-76.</w:t>
      </w:r>
    </w:p>
    <w:p w14:paraId="364A35F7" w14:textId="77777777" w:rsidR="0034337D" w:rsidRPr="0034337D" w:rsidRDefault="0034337D" w:rsidP="0034337D">
      <w:pPr>
        <w:pStyle w:val="EndNoteBibliography"/>
        <w:spacing w:after="0"/>
        <w:ind w:left="720" w:hanging="720"/>
      </w:pPr>
      <w:r w:rsidRPr="0034337D">
        <w:t>22.</w:t>
      </w:r>
      <w:r w:rsidRPr="0034337D">
        <w:tab/>
        <w:t xml:space="preserve">Xu, K., </w:t>
      </w:r>
      <w:r w:rsidRPr="0034337D">
        <w:rPr>
          <w:i/>
        </w:rPr>
        <w:t>Nonaqueous Liquid Electrolytes for Lithium-Based Rechargeable Batteries.</w:t>
      </w:r>
      <w:r w:rsidRPr="0034337D">
        <w:t xml:space="preserve"> Chemical Reviews, 2004. </w:t>
      </w:r>
      <w:r w:rsidRPr="0034337D">
        <w:rPr>
          <w:b/>
        </w:rPr>
        <w:t>104</w:t>
      </w:r>
      <w:r w:rsidRPr="0034337D">
        <w:t>(10): p. 4303-4418.</w:t>
      </w:r>
    </w:p>
    <w:p w14:paraId="3EC70E2E" w14:textId="4207B21B" w:rsidR="0034337D" w:rsidRPr="0034337D" w:rsidRDefault="0034337D" w:rsidP="0034337D">
      <w:pPr>
        <w:pStyle w:val="EndNoteBibliography"/>
        <w:spacing w:after="0"/>
        <w:ind w:left="720" w:hanging="720"/>
      </w:pPr>
      <w:r w:rsidRPr="0034337D">
        <w:t>23.</w:t>
      </w:r>
      <w:r w:rsidRPr="0034337D">
        <w:tab/>
      </w:r>
      <w:r w:rsidRPr="0034337D">
        <w:rPr>
          <w:i/>
        </w:rPr>
        <w:t>Nippon Shokubai develops process for LiFSI electrolyte for Li-ion batteries</w:t>
      </w:r>
      <w:r w:rsidRPr="0034337D">
        <w:t xml:space="preserve">. 2012  [cited 2021 04/09/21]; Available from: </w:t>
      </w:r>
      <w:hyperlink r:id="rId319" w:history="1">
        <w:r w:rsidRPr="0034337D">
          <w:rPr>
            <w:rStyle w:val="Hyperlink"/>
          </w:rPr>
          <w:t>https://www.greencarcongress.com/2012/03/lifsi-20120321.html</w:t>
        </w:r>
      </w:hyperlink>
      <w:r w:rsidRPr="0034337D">
        <w:t>.</w:t>
      </w:r>
    </w:p>
    <w:p w14:paraId="688BFD0C" w14:textId="77777777" w:rsidR="0034337D" w:rsidRPr="0034337D" w:rsidRDefault="0034337D" w:rsidP="0034337D">
      <w:pPr>
        <w:pStyle w:val="EndNoteBibliography"/>
        <w:spacing w:after="0"/>
        <w:ind w:left="720" w:hanging="720"/>
      </w:pPr>
      <w:r w:rsidRPr="0034337D">
        <w:t>24.</w:t>
      </w:r>
      <w:r w:rsidRPr="0034337D">
        <w:tab/>
        <w:t xml:space="preserve">Shen, Y., et al., </w:t>
      </w:r>
      <w:r w:rsidRPr="0034337D">
        <w:rPr>
          <w:i/>
        </w:rPr>
        <w:t>Water-in-salt electrolyte for safe and high-energy aqueous battery.</w:t>
      </w:r>
      <w:r w:rsidRPr="0034337D">
        <w:t xml:space="preserve"> Energy Storage Materials, 2021. </w:t>
      </w:r>
      <w:r w:rsidRPr="0034337D">
        <w:rPr>
          <w:b/>
        </w:rPr>
        <w:t>34</w:t>
      </w:r>
      <w:r w:rsidRPr="0034337D">
        <w:t>: p. 461-474.</w:t>
      </w:r>
    </w:p>
    <w:p w14:paraId="5371D303" w14:textId="77777777" w:rsidR="0034337D" w:rsidRPr="0034337D" w:rsidRDefault="0034337D" w:rsidP="0034337D">
      <w:pPr>
        <w:pStyle w:val="EndNoteBibliography"/>
        <w:spacing w:after="0"/>
        <w:ind w:left="720" w:hanging="720"/>
      </w:pPr>
      <w:r w:rsidRPr="0034337D">
        <w:t>25.</w:t>
      </w:r>
      <w:r w:rsidRPr="0034337D">
        <w:tab/>
        <w:t xml:space="preserve">Zheng, F., et al., </w:t>
      </w:r>
      <w:r w:rsidRPr="0034337D">
        <w:rPr>
          <w:i/>
        </w:rPr>
        <w:t>Review on solid electrolytes for all-solid-state lithium-ion batteries.</w:t>
      </w:r>
      <w:r w:rsidRPr="0034337D">
        <w:t xml:space="preserve"> Journal of Power Sources, 2018. </w:t>
      </w:r>
      <w:r w:rsidRPr="0034337D">
        <w:rPr>
          <w:b/>
        </w:rPr>
        <w:t>389</w:t>
      </w:r>
      <w:r w:rsidRPr="0034337D">
        <w:t>: p. 198-213.</w:t>
      </w:r>
    </w:p>
    <w:p w14:paraId="2AAE3BF2" w14:textId="77777777" w:rsidR="0034337D" w:rsidRPr="0034337D" w:rsidRDefault="0034337D" w:rsidP="0034337D">
      <w:pPr>
        <w:pStyle w:val="EndNoteBibliography"/>
        <w:spacing w:after="0"/>
        <w:ind w:left="720" w:hanging="720"/>
      </w:pPr>
      <w:r w:rsidRPr="0034337D">
        <w:t>26.</w:t>
      </w:r>
      <w:r w:rsidRPr="0034337D">
        <w:tab/>
        <w:t xml:space="preserve">Yuqin, C., et al., </w:t>
      </w:r>
      <w:r w:rsidRPr="0034337D">
        <w:rPr>
          <w:i/>
        </w:rPr>
        <w:t>Irreversible capacity loss of graphite electrode in lithium-ion batteries.</w:t>
      </w:r>
      <w:r w:rsidRPr="0034337D">
        <w:t xml:space="preserve"> Journal of Power Sources, 1997. </w:t>
      </w:r>
      <w:r w:rsidRPr="0034337D">
        <w:rPr>
          <w:b/>
        </w:rPr>
        <w:t>68</w:t>
      </w:r>
      <w:r w:rsidRPr="0034337D">
        <w:t>(2): p. 187-190.</w:t>
      </w:r>
    </w:p>
    <w:p w14:paraId="6D4EF4F1" w14:textId="77777777" w:rsidR="0034337D" w:rsidRPr="0034337D" w:rsidRDefault="0034337D" w:rsidP="0034337D">
      <w:pPr>
        <w:pStyle w:val="EndNoteBibliography"/>
        <w:spacing w:after="0"/>
        <w:ind w:left="720" w:hanging="720"/>
      </w:pPr>
      <w:r w:rsidRPr="0034337D">
        <w:t>27.</w:t>
      </w:r>
      <w:r w:rsidRPr="0034337D">
        <w:tab/>
        <w:t xml:space="preserve">Ohta, N., et al., </w:t>
      </w:r>
      <w:r w:rsidRPr="0034337D">
        <w:rPr>
          <w:i/>
        </w:rPr>
        <w:t>Enhancement of the High-Rate Capability of Solid-State Lithium Batteries by Nanoscale Interfacial Modification.</w:t>
      </w:r>
      <w:r w:rsidRPr="0034337D">
        <w:t xml:space="preserve"> Advanced Materials, 2006. </w:t>
      </w:r>
      <w:r w:rsidRPr="0034337D">
        <w:rPr>
          <w:b/>
        </w:rPr>
        <w:t>18</w:t>
      </w:r>
      <w:r w:rsidRPr="0034337D">
        <w:t>(17): p. 2226-2229.</w:t>
      </w:r>
    </w:p>
    <w:p w14:paraId="67B913A5" w14:textId="77777777" w:rsidR="0034337D" w:rsidRPr="0034337D" w:rsidRDefault="0034337D" w:rsidP="0034337D">
      <w:pPr>
        <w:pStyle w:val="EndNoteBibliography"/>
        <w:spacing w:after="0"/>
        <w:ind w:left="720" w:hanging="720"/>
      </w:pPr>
      <w:r w:rsidRPr="0034337D">
        <w:t>28.</w:t>
      </w:r>
      <w:r w:rsidRPr="0034337D">
        <w:tab/>
        <w:t xml:space="preserve">Hatzell, K.B. and Y. Zheng, </w:t>
      </w:r>
      <w:r w:rsidRPr="0034337D">
        <w:rPr>
          <w:i/>
        </w:rPr>
        <w:t>Prospects on large-scale manufacturing of solid state batteries.</w:t>
      </w:r>
      <w:r w:rsidRPr="0034337D">
        <w:t xml:space="preserve"> MRS Energy &amp; Sustainability, 2021. </w:t>
      </w:r>
      <w:r w:rsidRPr="0034337D">
        <w:rPr>
          <w:b/>
        </w:rPr>
        <w:t>8</w:t>
      </w:r>
      <w:r w:rsidRPr="0034337D">
        <w:t>(1): p. 33-39.</w:t>
      </w:r>
    </w:p>
    <w:p w14:paraId="4DDD069A" w14:textId="77777777" w:rsidR="0034337D" w:rsidRPr="0034337D" w:rsidRDefault="0034337D" w:rsidP="0034337D">
      <w:pPr>
        <w:pStyle w:val="EndNoteBibliography"/>
        <w:spacing w:after="0"/>
        <w:ind w:left="720" w:hanging="720"/>
      </w:pPr>
      <w:r w:rsidRPr="0034337D">
        <w:t>29.</w:t>
      </w:r>
      <w:r w:rsidRPr="0034337D">
        <w:tab/>
        <w:t xml:space="preserve">Gao, J., et al., </w:t>
      </w:r>
      <w:r w:rsidRPr="0034337D">
        <w:rPr>
          <w:i/>
        </w:rPr>
        <w:t>Lithium-ion transport in inorganic solid state electrolyte.</w:t>
      </w:r>
      <w:r w:rsidRPr="0034337D">
        <w:t xml:space="preserve"> Chinese Physics B, 2016. </w:t>
      </w:r>
      <w:r w:rsidRPr="0034337D">
        <w:rPr>
          <w:b/>
        </w:rPr>
        <w:t>25</w:t>
      </w:r>
      <w:r w:rsidRPr="0034337D">
        <w:t>(1): p. 018211.</w:t>
      </w:r>
    </w:p>
    <w:p w14:paraId="394F59F9" w14:textId="77777777" w:rsidR="0034337D" w:rsidRPr="0034337D" w:rsidRDefault="0034337D" w:rsidP="0034337D">
      <w:pPr>
        <w:pStyle w:val="EndNoteBibliography"/>
        <w:spacing w:after="0"/>
        <w:ind w:left="720" w:hanging="720"/>
      </w:pPr>
      <w:r w:rsidRPr="0034337D">
        <w:t>30.</w:t>
      </w:r>
      <w:r w:rsidRPr="0034337D">
        <w:tab/>
        <w:t xml:space="preserve">Zhang, S.S., </w:t>
      </w:r>
      <w:r w:rsidRPr="0034337D">
        <w:rPr>
          <w:i/>
        </w:rPr>
        <w:t>A review on the separators of liquid electrolyte Li-ion batteries.</w:t>
      </w:r>
      <w:r w:rsidRPr="0034337D">
        <w:t xml:space="preserve"> Journal of Power Sources, 2007. </w:t>
      </w:r>
      <w:r w:rsidRPr="0034337D">
        <w:rPr>
          <w:b/>
        </w:rPr>
        <w:t>164</w:t>
      </w:r>
      <w:r w:rsidRPr="0034337D">
        <w:t>(1): p. 351-364.</w:t>
      </w:r>
    </w:p>
    <w:p w14:paraId="595672E4" w14:textId="681FBA59" w:rsidR="0034337D" w:rsidRPr="0034337D" w:rsidRDefault="0034337D" w:rsidP="0034337D">
      <w:pPr>
        <w:pStyle w:val="EndNoteBibliography"/>
        <w:spacing w:after="0"/>
        <w:ind w:left="720" w:hanging="720"/>
      </w:pPr>
      <w:r w:rsidRPr="0034337D">
        <w:t>31.</w:t>
      </w:r>
      <w:r w:rsidRPr="0034337D">
        <w:tab/>
        <w:t xml:space="preserve">Arcus, C. </w:t>
      </w:r>
      <w:r w:rsidRPr="0034337D">
        <w:rPr>
          <w:i/>
        </w:rPr>
        <w:t>Battery Lifetime: How Long Can Electric Vehicle Batteries Last?</w:t>
      </w:r>
      <w:r w:rsidRPr="0034337D">
        <w:t xml:space="preserve"> 2016  [cited 2020 21/01/20]; Available from: </w:t>
      </w:r>
      <w:hyperlink r:id="rId320" w:history="1">
        <w:r w:rsidRPr="0034337D">
          <w:rPr>
            <w:rStyle w:val="Hyperlink"/>
          </w:rPr>
          <w:t>https://cleantechnica.com/2016/05/31/battery-lifetime-long-can-electric-vehicle-batteries-last/</w:t>
        </w:r>
      </w:hyperlink>
      <w:r w:rsidRPr="0034337D">
        <w:t>.</w:t>
      </w:r>
    </w:p>
    <w:p w14:paraId="79BEE7E5" w14:textId="77777777" w:rsidR="0034337D" w:rsidRPr="0034337D" w:rsidRDefault="0034337D" w:rsidP="0034337D">
      <w:pPr>
        <w:pStyle w:val="EndNoteBibliography"/>
        <w:spacing w:after="0"/>
        <w:ind w:left="720" w:hanging="720"/>
      </w:pPr>
      <w:r w:rsidRPr="0034337D">
        <w:t>32.</w:t>
      </w:r>
      <w:r w:rsidRPr="0034337D">
        <w:tab/>
        <w:t xml:space="preserve">Wu, F., et al., </w:t>
      </w:r>
      <w:r w:rsidRPr="0034337D">
        <w:rPr>
          <w:i/>
        </w:rPr>
        <w:t>The positive role of (NH4)3AlF6 coating on Li[Li0.2Ni0.2Mn0.6]O2 oxide as the cathode material for lithium-ion batteries.</w:t>
      </w:r>
      <w:r w:rsidRPr="0034337D">
        <w:t xml:space="preserve"> RSC Advances, 2017. </w:t>
      </w:r>
      <w:r w:rsidRPr="0034337D">
        <w:rPr>
          <w:b/>
        </w:rPr>
        <w:t>7</w:t>
      </w:r>
      <w:r w:rsidRPr="0034337D">
        <w:t>(2): p. 1191-1199.</w:t>
      </w:r>
    </w:p>
    <w:p w14:paraId="636FED0A" w14:textId="77777777" w:rsidR="0034337D" w:rsidRPr="0034337D" w:rsidRDefault="0034337D" w:rsidP="0034337D">
      <w:pPr>
        <w:pStyle w:val="EndNoteBibliography"/>
        <w:spacing w:after="0"/>
        <w:ind w:left="720" w:hanging="720"/>
      </w:pPr>
      <w:r w:rsidRPr="0034337D">
        <w:t>33.</w:t>
      </w:r>
      <w:r w:rsidRPr="0034337D">
        <w:tab/>
        <w:t xml:space="preserve">Winter, M., </w:t>
      </w:r>
      <w:r w:rsidRPr="0034337D">
        <w:rPr>
          <w:i/>
        </w:rPr>
        <w:t>The Solid Electrolyte Interphase – The Most Important and the Least Understood Solid Electrolyte in Rechargeable Li Batteries</w:t>
      </w:r>
      <w:r w:rsidRPr="0034337D">
        <w:t xml:space="preserve">, in </w:t>
      </w:r>
      <w:r w:rsidRPr="0034337D">
        <w:rPr>
          <w:i/>
        </w:rPr>
        <w:t>Zeitschrift für Physikalische Chemie</w:t>
      </w:r>
      <w:r w:rsidRPr="0034337D">
        <w:t>. 2009. p. 1395.</w:t>
      </w:r>
    </w:p>
    <w:p w14:paraId="01BFC1B6" w14:textId="77777777" w:rsidR="0034337D" w:rsidRPr="0034337D" w:rsidRDefault="0034337D" w:rsidP="0034337D">
      <w:pPr>
        <w:pStyle w:val="EndNoteBibliography"/>
        <w:spacing w:after="0"/>
        <w:ind w:left="720" w:hanging="720"/>
      </w:pPr>
      <w:r w:rsidRPr="0034337D">
        <w:t>34.</w:t>
      </w:r>
      <w:r w:rsidRPr="0034337D">
        <w:tab/>
        <w:t xml:space="preserve">Verma, P., P. Maire, and P. Novak, </w:t>
      </w:r>
      <w:r w:rsidRPr="0034337D">
        <w:rPr>
          <w:i/>
        </w:rPr>
        <w:t>A review of the features and analyses of the solid electrolyte interphase in Li-ion batteries.</w:t>
      </w:r>
      <w:r w:rsidRPr="0034337D">
        <w:t xml:space="preserve"> Electrochimica Acta, 2010. </w:t>
      </w:r>
      <w:r w:rsidRPr="0034337D">
        <w:rPr>
          <w:b/>
        </w:rPr>
        <w:t>55</w:t>
      </w:r>
      <w:r w:rsidRPr="0034337D">
        <w:t>(22): p. 6332-6341.</w:t>
      </w:r>
    </w:p>
    <w:p w14:paraId="77AB7650" w14:textId="77777777" w:rsidR="0034337D" w:rsidRPr="0034337D" w:rsidRDefault="0034337D" w:rsidP="0034337D">
      <w:pPr>
        <w:pStyle w:val="EndNoteBibliography"/>
        <w:spacing w:after="0"/>
        <w:ind w:left="720" w:hanging="720"/>
      </w:pPr>
      <w:r w:rsidRPr="0034337D">
        <w:t>35.</w:t>
      </w:r>
      <w:r w:rsidRPr="0034337D">
        <w:tab/>
        <w:t xml:space="preserve">Yan, J., et al., </w:t>
      </w:r>
      <w:r w:rsidRPr="0034337D">
        <w:rPr>
          <w:i/>
        </w:rPr>
        <w:t>A novel perspective on the formation of the solid electrolyte interphase on the graphite electrode for lithium-ion batteries.</w:t>
      </w:r>
      <w:r w:rsidRPr="0034337D">
        <w:t xml:space="preserve"> 2010. </w:t>
      </w:r>
      <w:r w:rsidRPr="0034337D">
        <w:rPr>
          <w:b/>
        </w:rPr>
        <w:t>55</w:t>
      </w:r>
      <w:r w:rsidRPr="0034337D">
        <w:t>(5): p. 1785-1794.</w:t>
      </w:r>
    </w:p>
    <w:p w14:paraId="3ACD7B9C" w14:textId="77777777" w:rsidR="0034337D" w:rsidRPr="0034337D" w:rsidRDefault="0034337D" w:rsidP="0034337D">
      <w:pPr>
        <w:pStyle w:val="EndNoteBibliography"/>
        <w:spacing w:after="0"/>
        <w:ind w:left="720" w:hanging="720"/>
      </w:pPr>
      <w:r w:rsidRPr="0034337D">
        <w:t>36.</w:t>
      </w:r>
      <w:r w:rsidRPr="0034337D">
        <w:tab/>
        <w:t xml:space="preserve">Hammer, N.I., et al., </w:t>
      </w:r>
      <w:r w:rsidRPr="0034337D">
        <w:rPr>
          <w:i/>
        </w:rPr>
        <w:t>Dipole-bound anions of highly polar molecules: Ethylene carbonate and vinylene carbonate.</w:t>
      </w:r>
      <w:r w:rsidRPr="0034337D">
        <w:t xml:space="preserve"> The Journal of Chemical Physics, 2004. </w:t>
      </w:r>
      <w:r w:rsidRPr="0034337D">
        <w:rPr>
          <w:b/>
        </w:rPr>
        <w:t>120</w:t>
      </w:r>
      <w:r w:rsidRPr="0034337D">
        <w:t>(2): p. 685-690.</w:t>
      </w:r>
    </w:p>
    <w:p w14:paraId="72FFBB32" w14:textId="77777777" w:rsidR="0034337D" w:rsidRPr="0034337D" w:rsidRDefault="0034337D" w:rsidP="0034337D">
      <w:pPr>
        <w:pStyle w:val="EndNoteBibliography"/>
        <w:spacing w:after="0"/>
        <w:ind w:left="720" w:hanging="720"/>
      </w:pPr>
      <w:r w:rsidRPr="0034337D">
        <w:t>37.</w:t>
      </w:r>
      <w:r w:rsidRPr="0034337D">
        <w:tab/>
        <w:t xml:space="preserve">Camacho-Forero, L.E., T.W. Smith, and P.B. Balbuena, </w:t>
      </w:r>
      <w:r w:rsidRPr="0034337D">
        <w:rPr>
          <w:i/>
        </w:rPr>
        <w:t>Effects of High and Low Salt Concentration in Electrolytes at Lithium–Metal Anode Surfaces.</w:t>
      </w:r>
      <w:r w:rsidRPr="0034337D">
        <w:t xml:space="preserve"> The Journal of Physical Chemistry C, 2017. </w:t>
      </w:r>
      <w:r w:rsidRPr="0034337D">
        <w:rPr>
          <w:b/>
        </w:rPr>
        <w:t>121</w:t>
      </w:r>
      <w:r w:rsidRPr="0034337D">
        <w:t>(1): p. 182-194.</w:t>
      </w:r>
    </w:p>
    <w:p w14:paraId="1A3E4B2C" w14:textId="77777777" w:rsidR="0034337D" w:rsidRPr="0034337D" w:rsidRDefault="0034337D" w:rsidP="0034337D">
      <w:pPr>
        <w:pStyle w:val="EndNoteBibliography"/>
        <w:spacing w:after="0"/>
        <w:ind w:left="720" w:hanging="720"/>
      </w:pPr>
      <w:r w:rsidRPr="0034337D">
        <w:t>38.</w:t>
      </w:r>
      <w:r w:rsidRPr="0034337D">
        <w:tab/>
        <w:t xml:space="preserve">Martinez de la Hoz, J.M., F.A. Soto, and P.B. Balbuena, </w:t>
      </w:r>
      <w:r w:rsidRPr="0034337D">
        <w:rPr>
          <w:i/>
        </w:rPr>
        <w:t>Effect of the Electrolyte Composition on SEI Reactions at Si Anodes of Li-Ion Batteries.</w:t>
      </w:r>
      <w:r w:rsidRPr="0034337D">
        <w:t xml:space="preserve"> The Journal of Physical Chemistry C, 2015. </w:t>
      </w:r>
      <w:r w:rsidRPr="0034337D">
        <w:rPr>
          <w:b/>
        </w:rPr>
        <w:t>119</w:t>
      </w:r>
      <w:r w:rsidRPr="0034337D">
        <w:t>(13): p. 7060-7068.</w:t>
      </w:r>
    </w:p>
    <w:p w14:paraId="0B6914A2" w14:textId="77777777" w:rsidR="0034337D" w:rsidRPr="0034337D" w:rsidRDefault="0034337D" w:rsidP="0034337D">
      <w:pPr>
        <w:pStyle w:val="EndNoteBibliography"/>
        <w:spacing w:after="0"/>
        <w:ind w:left="720" w:hanging="720"/>
      </w:pPr>
      <w:r w:rsidRPr="0034337D">
        <w:t>39.</w:t>
      </w:r>
      <w:r w:rsidRPr="0034337D">
        <w:tab/>
        <w:t xml:space="preserve">Wang, A., et al., </w:t>
      </w:r>
      <w:r w:rsidRPr="0034337D">
        <w:rPr>
          <w:i/>
        </w:rPr>
        <w:t>Review on modeling of the anode solid electrolyte interphase (SEI) for lithium-ion batteries.</w:t>
      </w:r>
      <w:r w:rsidRPr="0034337D">
        <w:t xml:space="preserve"> npj Computational Materials, 2018. </w:t>
      </w:r>
      <w:r w:rsidRPr="0034337D">
        <w:rPr>
          <w:b/>
        </w:rPr>
        <w:t>4</w:t>
      </w:r>
      <w:r w:rsidRPr="0034337D">
        <w:t>(1): p. 15.</w:t>
      </w:r>
    </w:p>
    <w:p w14:paraId="6BEB7709" w14:textId="77777777" w:rsidR="0034337D" w:rsidRPr="0034337D" w:rsidRDefault="0034337D" w:rsidP="0034337D">
      <w:pPr>
        <w:pStyle w:val="EndNoteBibliography"/>
        <w:spacing w:after="0"/>
        <w:ind w:left="720" w:hanging="720"/>
      </w:pPr>
      <w:r w:rsidRPr="0034337D">
        <w:t>40.</w:t>
      </w:r>
      <w:r w:rsidRPr="0034337D">
        <w:tab/>
        <w:t xml:space="preserve">Soto, F.A. and P.B. Balbuena, </w:t>
      </w:r>
      <w:r w:rsidRPr="0034337D">
        <w:rPr>
          <w:i/>
        </w:rPr>
        <w:t>Elucidating Oligomer-Surface and Oligomer-Oligomer Interactions at a Lithiated Silicon Surface.</w:t>
      </w:r>
      <w:r w:rsidRPr="0034337D">
        <w:t xml:space="preserve"> Electrochimica Acta, 2016. </w:t>
      </w:r>
      <w:r w:rsidRPr="0034337D">
        <w:rPr>
          <w:b/>
        </w:rPr>
        <w:t>220</w:t>
      </w:r>
      <w:r w:rsidRPr="0034337D">
        <w:t>: p. 312-321.</w:t>
      </w:r>
    </w:p>
    <w:p w14:paraId="742A9453" w14:textId="77777777" w:rsidR="0034337D" w:rsidRPr="0034337D" w:rsidRDefault="0034337D" w:rsidP="0034337D">
      <w:pPr>
        <w:pStyle w:val="EndNoteBibliography"/>
        <w:spacing w:after="0"/>
        <w:ind w:left="720" w:hanging="720"/>
      </w:pPr>
      <w:r w:rsidRPr="0034337D">
        <w:t>41.</w:t>
      </w:r>
      <w:r w:rsidRPr="0034337D">
        <w:tab/>
        <w:t xml:space="preserve">Aurbach, D., et al., </w:t>
      </w:r>
      <w:r w:rsidRPr="0034337D">
        <w:rPr>
          <w:i/>
        </w:rPr>
        <w:t>Identification of Surface Films Formed on Lithium in Propylene Carbonate Solutions.</w:t>
      </w:r>
      <w:r w:rsidRPr="0034337D">
        <w:t xml:space="preserve"> Journal of The Electrochemical Society, 1987. </w:t>
      </w:r>
      <w:r w:rsidRPr="0034337D">
        <w:rPr>
          <w:b/>
        </w:rPr>
        <w:t>134</w:t>
      </w:r>
      <w:r w:rsidRPr="0034337D">
        <w:t>(7): p. 1611-1620.</w:t>
      </w:r>
    </w:p>
    <w:p w14:paraId="3DB3D32F" w14:textId="77777777" w:rsidR="0034337D" w:rsidRPr="0034337D" w:rsidRDefault="0034337D" w:rsidP="0034337D">
      <w:pPr>
        <w:pStyle w:val="EndNoteBibliography"/>
        <w:spacing w:after="0"/>
        <w:ind w:left="720" w:hanging="720"/>
      </w:pPr>
      <w:r w:rsidRPr="0034337D">
        <w:t>42.</w:t>
      </w:r>
      <w:r w:rsidRPr="0034337D">
        <w:tab/>
        <w:t xml:space="preserve">Li, T. and P.B. Balbuena, </w:t>
      </w:r>
      <w:r w:rsidRPr="0034337D">
        <w:rPr>
          <w:i/>
        </w:rPr>
        <w:t>Theoretical studies of the reduction of ethylene carbonate.</w:t>
      </w:r>
      <w:r w:rsidRPr="0034337D">
        <w:t xml:space="preserve"> Chemical Physics Letters, 2000. </w:t>
      </w:r>
      <w:r w:rsidRPr="0034337D">
        <w:rPr>
          <w:b/>
        </w:rPr>
        <w:t>317</w:t>
      </w:r>
      <w:r w:rsidRPr="0034337D">
        <w:t>(3): p. 421-429.</w:t>
      </w:r>
    </w:p>
    <w:p w14:paraId="100C3093" w14:textId="77777777" w:rsidR="0034337D" w:rsidRPr="0034337D" w:rsidRDefault="0034337D" w:rsidP="0034337D">
      <w:pPr>
        <w:pStyle w:val="EndNoteBibliography"/>
        <w:spacing w:after="0"/>
        <w:ind w:left="720" w:hanging="720"/>
      </w:pPr>
      <w:r w:rsidRPr="0034337D">
        <w:t>43.</w:t>
      </w:r>
      <w:r w:rsidRPr="0034337D">
        <w:tab/>
        <w:t xml:space="preserve">Wang, Y., et al., </w:t>
      </w:r>
      <w:r w:rsidRPr="0034337D">
        <w:rPr>
          <w:i/>
        </w:rPr>
        <w:t>Theoretical Studies To Understand Surface Chemistry on Carbon Anodes for Lithium-Ion Batteries:  Reduction Mechanisms of Ethylene Carbonate.</w:t>
      </w:r>
      <w:r w:rsidRPr="0034337D">
        <w:t xml:space="preserve"> Journal of the American Chemical Society, 2001. </w:t>
      </w:r>
      <w:r w:rsidRPr="0034337D">
        <w:rPr>
          <w:b/>
        </w:rPr>
        <w:t>123</w:t>
      </w:r>
      <w:r w:rsidRPr="0034337D">
        <w:t>(47): p. 11708-11718.</w:t>
      </w:r>
    </w:p>
    <w:p w14:paraId="4F4E5A55" w14:textId="77777777" w:rsidR="0034337D" w:rsidRPr="0034337D" w:rsidRDefault="0034337D" w:rsidP="0034337D">
      <w:pPr>
        <w:pStyle w:val="EndNoteBibliography"/>
        <w:spacing w:after="0"/>
        <w:ind w:left="720" w:hanging="720"/>
      </w:pPr>
      <w:r w:rsidRPr="0034337D">
        <w:t>44.</w:t>
      </w:r>
      <w:r w:rsidRPr="0034337D">
        <w:tab/>
        <w:t xml:space="preserve">Leung, K. and J.L. Budzien, </w:t>
      </w:r>
      <w:r w:rsidRPr="0034337D">
        <w:rPr>
          <w:i/>
        </w:rPr>
        <w:t>Ab initio molecular dynamics simulations of the initial stages of solid–electrolyte interphase formation on lithium ion battery graphitic anodes.</w:t>
      </w:r>
      <w:r w:rsidRPr="0034337D">
        <w:t xml:space="preserve"> Physical Chemistry Chemical Physics, 2010. </w:t>
      </w:r>
      <w:r w:rsidRPr="0034337D">
        <w:rPr>
          <w:b/>
        </w:rPr>
        <w:t>12</w:t>
      </w:r>
      <w:r w:rsidRPr="0034337D">
        <w:t>(25): p. 6583-6586.</w:t>
      </w:r>
    </w:p>
    <w:p w14:paraId="0526F011" w14:textId="77777777" w:rsidR="0034337D" w:rsidRPr="0034337D" w:rsidRDefault="0034337D" w:rsidP="0034337D">
      <w:pPr>
        <w:pStyle w:val="EndNoteBibliography"/>
        <w:spacing w:after="0"/>
        <w:ind w:left="720" w:hanging="720"/>
      </w:pPr>
      <w:r w:rsidRPr="0034337D">
        <w:t>45.</w:t>
      </w:r>
      <w:r w:rsidRPr="0034337D">
        <w:tab/>
        <w:t xml:space="preserve">Onuki, M., et al., </w:t>
      </w:r>
      <w:r w:rsidRPr="0034337D">
        <w:rPr>
          <w:i/>
        </w:rPr>
        <w:t>Identification of the Source of Evolved Gas in Li-Ion Batteries Using #2#1 -labeled Solvents.</w:t>
      </w:r>
      <w:r w:rsidRPr="0034337D">
        <w:t xml:space="preserve"> Journal of The Electrochemical Society, 2008. </w:t>
      </w:r>
      <w:r w:rsidRPr="0034337D">
        <w:rPr>
          <w:b/>
        </w:rPr>
        <w:t>155</w:t>
      </w:r>
      <w:r w:rsidRPr="0034337D">
        <w:t>(11): p. A794-A797.</w:t>
      </w:r>
    </w:p>
    <w:p w14:paraId="52B6CA18" w14:textId="77777777" w:rsidR="0034337D" w:rsidRPr="0034337D" w:rsidRDefault="0034337D" w:rsidP="0034337D">
      <w:pPr>
        <w:pStyle w:val="EndNoteBibliography"/>
        <w:spacing w:after="0"/>
        <w:ind w:left="720" w:hanging="720"/>
      </w:pPr>
      <w:r w:rsidRPr="0034337D">
        <w:t>46.</w:t>
      </w:r>
      <w:r w:rsidRPr="0034337D">
        <w:tab/>
        <w:t xml:space="preserve">Leung, K., </w:t>
      </w:r>
      <w:r w:rsidRPr="0034337D">
        <w:rPr>
          <w:i/>
        </w:rPr>
        <w:t>Two-electron reduction of ethylene carbonate: A quantum chemistry re-examination of mechanisms.</w:t>
      </w:r>
      <w:r w:rsidRPr="0034337D">
        <w:t xml:space="preserve"> Chemical Physics Letters, 2013. </w:t>
      </w:r>
      <w:r w:rsidRPr="0034337D">
        <w:rPr>
          <w:b/>
        </w:rPr>
        <w:t>568-569</w:t>
      </w:r>
      <w:r w:rsidRPr="0034337D">
        <w:t>: p. 1-8.</w:t>
      </w:r>
    </w:p>
    <w:p w14:paraId="143B8796" w14:textId="77777777" w:rsidR="0034337D" w:rsidRPr="0034337D" w:rsidRDefault="0034337D" w:rsidP="0034337D">
      <w:pPr>
        <w:pStyle w:val="EndNoteBibliography"/>
        <w:spacing w:after="0"/>
        <w:ind w:left="720" w:hanging="720"/>
      </w:pPr>
      <w:r w:rsidRPr="0034337D">
        <w:t>47.</w:t>
      </w:r>
      <w:r w:rsidRPr="0034337D">
        <w:tab/>
        <w:t xml:space="preserve">Leung, K. and C.M. Tenney, </w:t>
      </w:r>
      <w:r w:rsidRPr="0034337D">
        <w:rPr>
          <w:i/>
        </w:rPr>
        <w:t>Toward First Principles Prediction of Voltage Dependences of Electrolyte/Electrolyte Interfacial Processes in Lithium Ion Batteries.</w:t>
      </w:r>
      <w:r w:rsidRPr="0034337D">
        <w:t xml:space="preserve"> The Journal of Physical Chemistry C, 2013. </w:t>
      </w:r>
      <w:r w:rsidRPr="0034337D">
        <w:rPr>
          <w:b/>
        </w:rPr>
        <w:t>117</w:t>
      </w:r>
      <w:r w:rsidRPr="0034337D">
        <w:t>(46): p. 24224-24235.</w:t>
      </w:r>
    </w:p>
    <w:p w14:paraId="6EF443A7" w14:textId="77777777" w:rsidR="0034337D" w:rsidRPr="0034337D" w:rsidRDefault="0034337D" w:rsidP="0034337D">
      <w:pPr>
        <w:pStyle w:val="EndNoteBibliography"/>
        <w:spacing w:after="0"/>
        <w:ind w:left="720" w:hanging="720"/>
      </w:pPr>
      <w:r w:rsidRPr="0034337D">
        <w:t>48.</w:t>
      </w:r>
      <w:r w:rsidRPr="0034337D">
        <w:tab/>
        <w:t xml:space="preserve">Leung, K., </w:t>
      </w:r>
      <w:r w:rsidRPr="0034337D">
        <w:rPr>
          <w:i/>
        </w:rPr>
        <w:t>Predicting the voltage dependence of interfacial electrochemical processes at lithium-intercalated graphite edge planes.</w:t>
      </w:r>
      <w:r w:rsidRPr="0034337D">
        <w:t xml:space="preserve"> Physical Chemistry Chemical Physics, 2015. </w:t>
      </w:r>
      <w:r w:rsidRPr="0034337D">
        <w:rPr>
          <w:b/>
        </w:rPr>
        <w:t>17</w:t>
      </w:r>
      <w:r w:rsidRPr="0034337D">
        <w:t>(3): p. 1637-1643.</w:t>
      </w:r>
    </w:p>
    <w:p w14:paraId="0D69E274" w14:textId="77777777" w:rsidR="0034337D" w:rsidRPr="0034337D" w:rsidRDefault="0034337D" w:rsidP="0034337D">
      <w:pPr>
        <w:pStyle w:val="EndNoteBibliography"/>
        <w:spacing w:after="0"/>
        <w:ind w:left="720" w:hanging="720"/>
      </w:pPr>
      <w:r w:rsidRPr="0034337D">
        <w:t>49.</w:t>
      </w:r>
      <w:r w:rsidRPr="0034337D">
        <w:tab/>
        <w:t xml:space="preserve">Delp, S.A., et al., </w:t>
      </w:r>
      <w:r w:rsidRPr="0034337D">
        <w:rPr>
          <w:i/>
        </w:rPr>
        <w:t>Importance of reduction and oxidation stability of high voltage electrolytes and additives.</w:t>
      </w:r>
      <w:r w:rsidRPr="0034337D">
        <w:t xml:space="preserve"> Electrochimica Acta, 2016. </w:t>
      </w:r>
      <w:r w:rsidRPr="0034337D">
        <w:rPr>
          <w:b/>
        </w:rPr>
        <w:t>209</w:t>
      </w:r>
      <w:r w:rsidRPr="0034337D">
        <w:t>: p. 498-510.</w:t>
      </w:r>
    </w:p>
    <w:p w14:paraId="138EB2FC" w14:textId="77777777" w:rsidR="0034337D" w:rsidRPr="0034337D" w:rsidRDefault="0034337D" w:rsidP="0034337D">
      <w:pPr>
        <w:pStyle w:val="EndNoteBibliography"/>
        <w:spacing w:after="0"/>
        <w:ind w:left="720" w:hanging="720"/>
      </w:pPr>
      <w:r w:rsidRPr="0034337D">
        <w:t>50.</w:t>
      </w:r>
      <w:r w:rsidRPr="0034337D">
        <w:tab/>
        <w:t xml:space="preserve">Borodin, O., et al., </w:t>
      </w:r>
      <w:r w:rsidRPr="0034337D">
        <w:rPr>
          <w:i/>
        </w:rPr>
        <w:t>Towards high throughput screening of electrochemical stability of battery electrolytes.</w:t>
      </w:r>
      <w:r w:rsidRPr="0034337D">
        <w:t xml:space="preserve"> Nanotechnology, 2015. </w:t>
      </w:r>
      <w:r w:rsidRPr="0034337D">
        <w:rPr>
          <w:b/>
        </w:rPr>
        <w:t>26</w:t>
      </w:r>
      <w:r w:rsidRPr="0034337D">
        <w:t>(35): p. 354003.</w:t>
      </w:r>
    </w:p>
    <w:p w14:paraId="7DB726E2" w14:textId="77777777" w:rsidR="0034337D" w:rsidRPr="0034337D" w:rsidRDefault="0034337D" w:rsidP="0034337D">
      <w:pPr>
        <w:pStyle w:val="EndNoteBibliography"/>
        <w:spacing w:after="0"/>
        <w:ind w:left="720" w:hanging="720"/>
      </w:pPr>
      <w:r w:rsidRPr="0034337D">
        <w:t>51.</w:t>
      </w:r>
      <w:r w:rsidRPr="0034337D">
        <w:tab/>
        <w:t xml:space="preserve">Peled, E. and S. Menkin, </w:t>
      </w:r>
      <w:r w:rsidRPr="0034337D">
        <w:rPr>
          <w:i/>
        </w:rPr>
        <w:t>Review—SEI: Past, Present and Future.</w:t>
      </w:r>
      <w:r w:rsidRPr="0034337D">
        <w:t xml:space="preserve"> Journal of The Electrochemical Society, 2017. </w:t>
      </w:r>
      <w:r w:rsidRPr="0034337D">
        <w:rPr>
          <w:b/>
        </w:rPr>
        <w:t>164</w:t>
      </w:r>
      <w:r w:rsidRPr="0034337D">
        <w:t>(7): p. A1703-A1719.</w:t>
      </w:r>
    </w:p>
    <w:p w14:paraId="43DB6A65" w14:textId="77777777" w:rsidR="0034337D" w:rsidRPr="0034337D" w:rsidRDefault="0034337D" w:rsidP="0034337D">
      <w:pPr>
        <w:pStyle w:val="EndNoteBibliography"/>
        <w:spacing w:after="0"/>
        <w:ind w:left="720" w:hanging="720"/>
      </w:pPr>
      <w:r w:rsidRPr="0034337D">
        <w:t>52.</w:t>
      </w:r>
      <w:r w:rsidRPr="0034337D">
        <w:tab/>
        <w:t xml:space="preserve">Okamoto, Y., </w:t>
      </w:r>
      <w:r w:rsidRPr="0034337D">
        <w:rPr>
          <w:i/>
        </w:rPr>
        <w:t>Ab Initio Calculations of Thermal Decomposition Mechanism of LiPF6-Based Electrolytes for Lithium-Ion Batteries.</w:t>
      </w:r>
      <w:r w:rsidRPr="0034337D">
        <w:t xml:space="preserve"> Journal of The Electrochemical Society, 2013. </w:t>
      </w:r>
      <w:r w:rsidRPr="0034337D">
        <w:rPr>
          <w:b/>
        </w:rPr>
        <w:t>160</w:t>
      </w:r>
      <w:r w:rsidRPr="0034337D">
        <w:t>(2): p. A404-A409.</w:t>
      </w:r>
    </w:p>
    <w:p w14:paraId="6A46D82A" w14:textId="77777777" w:rsidR="0034337D" w:rsidRPr="0034337D" w:rsidRDefault="0034337D" w:rsidP="0034337D">
      <w:pPr>
        <w:pStyle w:val="EndNoteBibliography"/>
        <w:spacing w:after="0"/>
        <w:ind w:left="720" w:hanging="720"/>
      </w:pPr>
      <w:r w:rsidRPr="0034337D">
        <w:t>53.</w:t>
      </w:r>
      <w:r w:rsidRPr="0034337D">
        <w:tab/>
        <w:t xml:space="preserve">Peled, E., et al., </w:t>
      </w:r>
      <w:r w:rsidRPr="0034337D">
        <w:rPr>
          <w:i/>
        </w:rPr>
        <w:t>Effect of carbon substrate on SEI composition and morphology.</w:t>
      </w:r>
      <w:r w:rsidRPr="0034337D">
        <w:t xml:space="preserve"> Electrochimica Acta, 2004. </w:t>
      </w:r>
      <w:r w:rsidRPr="0034337D">
        <w:rPr>
          <w:b/>
        </w:rPr>
        <w:t>50</w:t>
      </w:r>
      <w:r w:rsidRPr="0034337D">
        <w:t>(2): p. 391-395.</w:t>
      </w:r>
    </w:p>
    <w:p w14:paraId="50F155D2" w14:textId="77777777" w:rsidR="0034337D" w:rsidRPr="0034337D" w:rsidRDefault="0034337D" w:rsidP="0034337D">
      <w:pPr>
        <w:pStyle w:val="EndNoteBibliography"/>
        <w:spacing w:after="0"/>
        <w:ind w:left="720" w:hanging="720"/>
      </w:pPr>
      <w:r w:rsidRPr="0034337D">
        <w:t>54.</w:t>
      </w:r>
      <w:r w:rsidRPr="0034337D">
        <w:tab/>
        <w:t xml:space="preserve">Leung, K. and A. Leenheer, </w:t>
      </w:r>
      <w:r w:rsidRPr="0034337D">
        <w:rPr>
          <w:i/>
        </w:rPr>
        <w:t>How Voltage Drops Are Manifested by Lithium Ion Configurations at Interfaces and in Thin Films on Battery Electrodes.</w:t>
      </w:r>
      <w:r w:rsidRPr="0034337D">
        <w:t xml:space="preserve"> The Journal of Physical Chemistry C, 2015. </w:t>
      </w:r>
      <w:r w:rsidRPr="0034337D">
        <w:rPr>
          <w:b/>
        </w:rPr>
        <w:t>119</w:t>
      </w:r>
      <w:r w:rsidRPr="0034337D">
        <w:t>(19): p. 10234-10246.</w:t>
      </w:r>
    </w:p>
    <w:p w14:paraId="319A35EA" w14:textId="77777777" w:rsidR="0034337D" w:rsidRPr="0034337D" w:rsidRDefault="0034337D" w:rsidP="0034337D">
      <w:pPr>
        <w:pStyle w:val="EndNoteBibliography"/>
        <w:spacing w:after="0"/>
        <w:ind w:left="720" w:hanging="720"/>
      </w:pPr>
      <w:r w:rsidRPr="0034337D">
        <w:t>55.</w:t>
      </w:r>
      <w:r w:rsidRPr="0034337D">
        <w:tab/>
        <w:t xml:space="preserve">Ma, Y. and P.B. Balbuena, </w:t>
      </w:r>
      <w:r w:rsidRPr="0034337D">
        <w:rPr>
          <w:i/>
        </w:rPr>
        <w:t>DFT Study of Reduction Mechanisms of Ethylene Carbonate and Fluoroethylene Carbonate on Li+-Adsorbed Si Clusters.</w:t>
      </w:r>
      <w:r w:rsidRPr="0034337D">
        <w:t xml:space="preserve"> Journal of The Electrochemical Society, 2014. </w:t>
      </w:r>
      <w:r w:rsidRPr="0034337D">
        <w:rPr>
          <w:b/>
        </w:rPr>
        <w:t>161</w:t>
      </w:r>
      <w:r w:rsidRPr="0034337D">
        <w:t>(8): p. E3097-E3109.</w:t>
      </w:r>
    </w:p>
    <w:p w14:paraId="405D2289" w14:textId="77777777" w:rsidR="0034337D" w:rsidRPr="0034337D" w:rsidRDefault="0034337D" w:rsidP="0034337D">
      <w:pPr>
        <w:pStyle w:val="EndNoteBibliography"/>
        <w:spacing w:after="0"/>
        <w:ind w:left="720" w:hanging="720"/>
      </w:pPr>
      <w:r w:rsidRPr="0034337D">
        <w:t>56.</w:t>
      </w:r>
      <w:r w:rsidRPr="0034337D">
        <w:tab/>
        <w:t xml:space="preserve">Aurbach, D., </w:t>
      </w:r>
      <w:r w:rsidRPr="0034337D">
        <w:rPr>
          <w:i/>
        </w:rPr>
        <w:t>Electrode–solution interactions in Li-ion batteries: a short summary and new insights.</w:t>
      </w:r>
      <w:r w:rsidRPr="0034337D">
        <w:t xml:space="preserve"> Journal of power sources, 2003. </w:t>
      </w:r>
      <w:r w:rsidRPr="0034337D">
        <w:rPr>
          <w:b/>
        </w:rPr>
        <w:t>119</w:t>
      </w:r>
      <w:r w:rsidRPr="0034337D">
        <w:t>: p. 497-503.</w:t>
      </w:r>
    </w:p>
    <w:p w14:paraId="2D95C9CE" w14:textId="77777777" w:rsidR="0034337D" w:rsidRPr="0034337D" w:rsidRDefault="0034337D" w:rsidP="0034337D">
      <w:pPr>
        <w:pStyle w:val="EndNoteBibliography"/>
        <w:spacing w:after="0"/>
        <w:ind w:left="720" w:hanging="720"/>
      </w:pPr>
      <w:r w:rsidRPr="0034337D">
        <w:t>57.</w:t>
      </w:r>
      <w:r w:rsidRPr="0034337D">
        <w:tab/>
        <w:t xml:space="preserve">Aurbach, D., et al., </w:t>
      </w:r>
      <w:r w:rsidRPr="0034337D">
        <w:rPr>
          <w:i/>
        </w:rPr>
        <w:t>The study of electrolyte solutions based on ethylene and diethyl carbonates for rechargeable Li batteries II. Graphite electrodes.</w:t>
      </w:r>
      <w:r w:rsidRPr="0034337D">
        <w:t xml:space="preserve"> Journal of The Electrochemical Society, 1995. </w:t>
      </w:r>
      <w:r w:rsidRPr="0034337D">
        <w:rPr>
          <w:b/>
        </w:rPr>
        <w:t>142</w:t>
      </w:r>
      <w:r w:rsidRPr="0034337D">
        <w:t>(9): p. 2882-2890.</w:t>
      </w:r>
    </w:p>
    <w:p w14:paraId="3CCB56D6" w14:textId="77777777" w:rsidR="0034337D" w:rsidRPr="0034337D" w:rsidRDefault="0034337D" w:rsidP="0034337D">
      <w:pPr>
        <w:pStyle w:val="EndNoteBibliography"/>
        <w:spacing w:after="0"/>
        <w:ind w:left="720" w:hanging="720"/>
      </w:pPr>
      <w:r w:rsidRPr="0034337D">
        <w:t>58.</w:t>
      </w:r>
      <w:r w:rsidRPr="0034337D">
        <w:tab/>
        <w:t xml:space="preserve">Ushirogata, K., et al., </w:t>
      </w:r>
      <w:r w:rsidRPr="0034337D">
        <w:rPr>
          <w:i/>
        </w:rPr>
        <w:t>Near-Shore Aggregation Mechanism of Electrolyte Decomposition Products to Explain Solid Electrolyte Interphase Formation.</w:t>
      </w:r>
      <w:r w:rsidRPr="0034337D">
        <w:t xml:space="preserve"> Journal of The Electrochemical Society, 2015. </w:t>
      </w:r>
      <w:r w:rsidRPr="0034337D">
        <w:rPr>
          <w:b/>
        </w:rPr>
        <w:t>162</w:t>
      </w:r>
      <w:r w:rsidRPr="0034337D">
        <w:t>(14): p. A2670-A2678.</w:t>
      </w:r>
    </w:p>
    <w:p w14:paraId="2B91B2BF" w14:textId="77777777" w:rsidR="0034337D" w:rsidRPr="0034337D" w:rsidRDefault="0034337D" w:rsidP="0034337D">
      <w:pPr>
        <w:pStyle w:val="EndNoteBibliography"/>
        <w:spacing w:after="0"/>
        <w:ind w:left="720" w:hanging="720"/>
      </w:pPr>
      <w:r w:rsidRPr="0034337D">
        <w:t>59.</w:t>
      </w:r>
      <w:r w:rsidRPr="0034337D">
        <w:tab/>
        <w:t xml:space="preserve">Ding, M.S., et al., </w:t>
      </w:r>
      <w:r w:rsidRPr="0034337D">
        <w:rPr>
          <w:i/>
        </w:rPr>
        <w:t>Liquid/Solid Phase Diagrams of Binary Carbonates for Lithium Batteries Part II.</w:t>
      </w:r>
      <w:r w:rsidRPr="0034337D">
        <w:t xml:space="preserve"> Journal of The Electrochemical Society, 2001. </w:t>
      </w:r>
      <w:r w:rsidRPr="0034337D">
        <w:rPr>
          <w:b/>
        </w:rPr>
        <w:t>148</w:t>
      </w:r>
      <w:r w:rsidRPr="0034337D">
        <w:t>(4): p. A299-A304.</w:t>
      </w:r>
    </w:p>
    <w:p w14:paraId="782CAEF9" w14:textId="77777777" w:rsidR="0034337D" w:rsidRPr="0034337D" w:rsidRDefault="0034337D" w:rsidP="0034337D">
      <w:pPr>
        <w:pStyle w:val="EndNoteBibliography"/>
        <w:spacing w:after="0"/>
        <w:ind w:left="720" w:hanging="720"/>
      </w:pPr>
      <w:r w:rsidRPr="0034337D">
        <w:t>60.</w:t>
      </w:r>
      <w:r w:rsidRPr="0034337D">
        <w:tab/>
        <w:t xml:space="preserve">Zhang, X., et al., </w:t>
      </w:r>
      <w:r w:rsidRPr="0034337D">
        <w:rPr>
          <w:i/>
        </w:rPr>
        <w:t>Electrochemical and Infrared Studies of the Reduction of Organic Carbonates.</w:t>
      </w:r>
      <w:r w:rsidRPr="0034337D">
        <w:t xml:space="preserve"> Journal of The Electrochemical Society, 2001. </w:t>
      </w:r>
      <w:r w:rsidRPr="0034337D">
        <w:rPr>
          <w:b/>
        </w:rPr>
        <w:t>148</w:t>
      </w:r>
      <w:r w:rsidRPr="0034337D">
        <w:t>(12): p. A1341-A1345.</w:t>
      </w:r>
    </w:p>
    <w:p w14:paraId="54A73553" w14:textId="77777777" w:rsidR="0034337D" w:rsidRPr="0034337D" w:rsidRDefault="0034337D" w:rsidP="0034337D">
      <w:pPr>
        <w:pStyle w:val="EndNoteBibliography"/>
        <w:spacing w:after="0"/>
        <w:ind w:left="720" w:hanging="720"/>
      </w:pPr>
      <w:r w:rsidRPr="0034337D">
        <w:t>61.</w:t>
      </w:r>
      <w:r w:rsidRPr="0034337D">
        <w:tab/>
        <w:t xml:space="preserve">Kim, H., et al., </w:t>
      </w:r>
      <w:r w:rsidRPr="0034337D">
        <w:rPr>
          <w:i/>
        </w:rPr>
        <w:t>In Situ Formation of Protective Coatings on Sulfur Cathodes in Lithium Batteries with LiFSI‐Based Organic Electrolytes.</w:t>
      </w:r>
      <w:r w:rsidRPr="0034337D">
        <w:t xml:space="preserve"> Advanced Energy Materials, 2015. </w:t>
      </w:r>
      <w:r w:rsidRPr="0034337D">
        <w:rPr>
          <w:b/>
        </w:rPr>
        <w:t>5</w:t>
      </w:r>
      <w:r w:rsidRPr="0034337D">
        <w:t>(6): p. 1401792.</w:t>
      </w:r>
    </w:p>
    <w:p w14:paraId="2ACFAADC" w14:textId="77777777" w:rsidR="0034337D" w:rsidRPr="0034337D" w:rsidRDefault="0034337D" w:rsidP="0034337D">
      <w:pPr>
        <w:pStyle w:val="EndNoteBibliography"/>
        <w:spacing w:after="0"/>
        <w:ind w:left="720" w:hanging="720"/>
      </w:pPr>
      <w:r w:rsidRPr="0034337D">
        <w:t>62.</w:t>
      </w:r>
      <w:r w:rsidRPr="0034337D">
        <w:tab/>
        <w:t xml:space="preserve">Peled, E., </w:t>
      </w:r>
      <w:r w:rsidRPr="0034337D">
        <w:rPr>
          <w:i/>
        </w:rPr>
        <w:t>Film forming reaction at the lithium/electrolyte interface.</w:t>
      </w:r>
      <w:r w:rsidRPr="0034337D">
        <w:t xml:space="preserve"> Journal of Power Sources, 1983. </w:t>
      </w:r>
      <w:r w:rsidRPr="0034337D">
        <w:rPr>
          <w:b/>
        </w:rPr>
        <w:t>9</w:t>
      </w:r>
      <w:r w:rsidRPr="0034337D">
        <w:t>(3): p. 253-266.</w:t>
      </w:r>
    </w:p>
    <w:p w14:paraId="311A2FCD" w14:textId="77777777" w:rsidR="0034337D" w:rsidRPr="0034337D" w:rsidRDefault="0034337D" w:rsidP="0034337D">
      <w:pPr>
        <w:pStyle w:val="EndNoteBibliography"/>
        <w:spacing w:after="0"/>
        <w:ind w:left="720" w:hanging="720"/>
      </w:pPr>
      <w:r w:rsidRPr="0034337D">
        <w:t>63.</w:t>
      </w:r>
      <w:r w:rsidRPr="0034337D">
        <w:tab/>
        <w:t xml:space="preserve">Edstrom, K., M. Herstedt, and D.P. Abraham, </w:t>
      </w:r>
      <w:r w:rsidRPr="0034337D">
        <w:rPr>
          <w:i/>
        </w:rPr>
        <w:t>A new look at the solid electrolyte interphase on graphite anodes in Li-ion batteries.</w:t>
      </w:r>
      <w:r w:rsidRPr="0034337D">
        <w:t xml:space="preserve"> Journal of Power Sources, 2006. </w:t>
      </w:r>
      <w:r w:rsidRPr="0034337D">
        <w:rPr>
          <w:b/>
        </w:rPr>
        <w:t>153</w:t>
      </w:r>
      <w:r w:rsidRPr="0034337D">
        <w:t>(2): p. 380-384.</w:t>
      </w:r>
    </w:p>
    <w:p w14:paraId="3532A1BB" w14:textId="77777777" w:rsidR="0034337D" w:rsidRPr="0034337D" w:rsidRDefault="0034337D" w:rsidP="0034337D">
      <w:pPr>
        <w:pStyle w:val="EndNoteBibliography"/>
        <w:spacing w:after="0"/>
        <w:ind w:left="720" w:hanging="720"/>
      </w:pPr>
      <w:r w:rsidRPr="0034337D">
        <w:t>64.</w:t>
      </w:r>
      <w:r w:rsidRPr="0034337D">
        <w:tab/>
        <w:t xml:space="preserve">Peled, E., et al., </w:t>
      </w:r>
      <w:r w:rsidRPr="0034337D">
        <w:rPr>
          <w:i/>
        </w:rPr>
        <w:t>Composition, depth profiles and lateral distribution of materials in the SEI built on HOPG-TOF SIMS and XPS studies.</w:t>
      </w:r>
      <w:r w:rsidRPr="0034337D">
        <w:t xml:space="preserve"> Journal of power sources, 2001. </w:t>
      </w:r>
      <w:r w:rsidRPr="0034337D">
        <w:rPr>
          <w:b/>
        </w:rPr>
        <w:t>97</w:t>
      </w:r>
      <w:r w:rsidRPr="0034337D">
        <w:t>: p. 52-57.</w:t>
      </w:r>
    </w:p>
    <w:p w14:paraId="32EB5AAB" w14:textId="77777777" w:rsidR="0034337D" w:rsidRPr="0034337D" w:rsidRDefault="0034337D" w:rsidP="0034337D">
      <w:pPr>
        <w:pStyle w:val="EndNoteBibliography"/>
        <w:spacing w:after="0"/>
        <w:ind w:left="720" w:hanging="720"/>
      </w:pPr>
      <w:r w:rsidRPr="0034337D">
        <w:t>65.</w:t>
      </w:r>
      <w:r w:rsidRPr="0034337D">
        <w:tab/>
        <w:t xml:space="preserve">Zheng, J., et al., </w:t>
      </w:r>
      <w:r w:rsidRPr="0034337D">
        <w:rPr>
          <w:i/>
        </w:rPr>
        <w:t>3D visualization of inhomogeneous multi-layered structure and Young's modulus of the solid electrolyte interphase (SEI) on silicon anodes for lithium ion batteries.</w:t>
      </w:r>
      <w:r w:rsidRPr="0034337D">
        <w:t xml:space="preserve"> Physical Chemistry Chemical Physics, 2014. </w:t>
      </w:r>
      <w:r w:rsidRPr="0034337D">
        <w:rPr>
          <w:b/>
        </w:rPr>
        <w:t>16</w:t>
      </w:r>
      <w:r w:rsidRPr="0034337D">
        <w:t>(26): p. 13229-13238.</w:t>
      </w:r>
    </w:p>
    <w:p w14:paraId="0A583291" w14:textId="77777777" w:rsidR="0034337D" w:rsidRPr="0034337D" w:rsidRDefault="0034337D" w:rsidP="0034337D">
      <w:pPr>
        <w:pStyle w:val="EndNoteBibliography"/>
        <w:spacing w:after="0"/>
        <w:ind w:left="720" w:hanging="720"/>
      </w:pPr>
      <w:r w:rsidRPr="0034337D">
        <w:t>66.</w:t>
      </w:r>
      <w:r w:rsidRPr="0034337D">
        <w:tab/>
        <w:t xml:space="preserve">Andersson, A.M. and K. Edström, </w:t>
      </w:r>
      <w:r w:rsidRPr="0034337D">
        <w:rPr>
          <w:i/>
        </w:rPr>
        <w:t>Chemical Composition and Morphology of the Elevated Temperature SEI on Graphite.</w:t>
      </w:r>
      <w:r w:rsidRPr="0034337D">
        <w:t xml:space="preserve"> Journal of The Electrochemical Society, 2001. </w:t>
      </w:r>
      <w:r w:rsidRPr="0034337D">
        <w:rPr>
          <w:b/>
        </w:rPr>
        <w:t>148</w:t>
      </w:r>
      <w:r w:rsidRPr="0034337D">
        <w:t>(10): p. A1100-A1109.</w:t>
      </w:r>
    </w:p>
    <w:p w14:paraId="5A29D354" w14:textId="77777777" w:rsidR="0034337D" w:rsidRPr="0034337D" w:rsidRDefault="0034337D" w:rsidP="0034337D">
      <w:pPr>
        <w:pStyle w:val="EndNoteBibliography"/>
        <w:spacing w:after="0"/>
        <w:ind w:left="720" w:hanging="720"/>
      </w:pPr>
      <w:r w:rsidRPr="0034337D">
        <w:t>67.</w:t>
      </w:r>
      <w:r w:rsidRPr="0034337D">
        <w:tab/>
        <w:t xml:space="preserve">Aurbach, D., et al., </w:t>
      </w:r>
      <w:r w:rsidRPr="0034337D">
        <w:rPr>
          <w:i/>
        </w:rPr>
        <w:t>X-ray Photoelectron Spectroscopy Studies of Lithium Surfaces Prepared in Several Important Electrolyte Solutions. A Comparison with Previous Studies by Fourier Transform Infrared Spectroscopy.</w:t>
      </w:r>
      <w:r w:rsidRPr="0034337D">
        <w:t xml:space="preserve"> Langmuir, 1996. </w:t>
      </w:r>
      <w:r w:rsidRPr="0034337D">
        <w:rPr>
          <w:b/>
        </w:rPr>
        <w:t>12</w:t>
      </w:r>
      <w:r w:rsidRPr="0034337D">
        <w:t>(16): p. 3991-4007.</w:t>
      </w:r>
    </w:p>
    <w:p w14:paraId="522B7484" w14:textId="77777777" w:rsidR="0034337D" w:rsidRPr="0034337D" w:rsidRDefault="0034337D" w:rsidP="0034337D">
      <w:pPr>
        <w:pStyle w:val="EndNoteBibliography"/>
        <w:spacing w:after="0"/>
        <w:ind w:left="720" w:hanging="720"/>
      </w:pPr>
      <w:r w:rsidRPr="0034337D">
        <w:t>68.</w:t>
      </w:r>
      <w:r w:rsidRPr="0034337D">
        <w:tab/>
        <w:t xml:space="preserve">Shi, S., et al., </w:t>
      </w:r>
      <w:r w:rsidRPr="0034337D">
        <w:rPr>
          <w:i/>
        </w:rPr>
        <w:t>Direct Calculation of Li-Ion Transport in the Solid Electrolyte Interphase.</w:t>
      </w:r>
      <w:r w:rsidRPr="0034337D">
        <w:t xml:space="preserve"> Journal of the American Chemical Society, 2012. </w:t>
      </w:r>
      <w:r w:rsidRPr="0034337D">
        <w:rPr>
          <w:b/>
        </w:rPr>
        <w:t>134</w:t>
      </w:r>
      <w:r w:rsidRPr="0034337D">
        <w:t>(37): p. 15476-15487.</w:t>
      </w:r>
    </w:p>
    <w:p w14:paraId="619ADC56" w14:textId="77777777" w:rsidR="0034337D" w:rsidRPr="0034337D" w:rsidRDefault="0034337D" w:rsidP="0034337D">
      <w:pPr>
        <w:pStyle w:val="EndNoteBibliography"/>
        <w:spacing w:after="0"/>
        <w:ind w:left="720" w:hanging="720"/>
      </w:pPr>
      <w:r w:rsidRPr="0034337D">
        <w:t>69.</w:t>
      </w:r>
      <w:r w:rsidRPr="0034337D">
        <w:tab/>
        <w:t xml:space="preserve">Ramasubramanian, A., et al., </w:t>
      </w:r>
      <w:r w:rsidRPr="0034337D">
        <w:rPr>
          <w:i/>
        </w:rPr>
        <w:t>Lithium Diffusion Mechanism through Solid–Electrolyte Interphase in Rechargeable Lithium Batteries.</w:t>
      </w:r>
      <w:r w:rsidRPr="0034337D">
        <w:t xml:space="preserve"> The Journal of Physical Chemistry C, 2019. </w:t>
      </w:r>
      <w:r w:rsidRPr="0034337D">
        <w:rPr>
          <w:b/>
        </w:rPr>
        <w:t>123</w:t>
      </w:r>
      <w:r w:rsidRPr="0034337D">
        <w:t>(16): p. 10237-10245.</w:t>
      </w:r>
    </w:p>
    <w:p w14:paraId="09D10280" w14:textId="77777777" w:rsidR="0034337D" w:rsidRPr="0034337D" w:rsidRDefault="0034337D" w:rsidP="0034337D">
      <w:pPr>
        <w:pStyle w:val="EndNoteBibliography"/>
        <w:spacing w:after="0"/>
        <w:ind w:left="720" w:hanging="720"/>
      </w:pPr>
      <w:r w:rsidRPr="0034337D">
        <w:t>70.</w:t>
      </w:r>
      <w:r w:rsidRPr="0034337D">
        <w:tab/>
        <w:t xml:space="preserve">Dwivedi, D., K. Lepková, and T. Becker, </w:t>
      </w:r>
      <w:r w:rsidRPr="0034337D">
        <w:rPr>
          <w:i/>
        </w:rPr>
        <w:t>Carbon steel corrosion: a review of key surface properties and characterization methods.</w:t>
      </w:r>
      <w:r w:rsidRPr="0034337D">
        <w:t xml:space="preserve"> RSC Advances, 2017. </w:t>
      </w:r>
      <w:r w:rsidRPr="0034337D">
        <w:rPr>
          <w:b/>
        </w:rPr>
        <w:t>7</w:t>
      </w:r>
      <w:r w:rsidRPr="0034337D">
        <w:t>(8): p. 4580-4610.</w:t>
      </w:r>
    </w:p>
    <w:p w14:paraId="3456E542" w14:textId="77777777" w:rsidR="0034337D" w:rsidRPr="0034337D" w:rsidRDefault="0034337D" w:rsidP="0034337D">
      <w:pPr>
        <w:pStyle w:val="EndNoteBibliography"/>
        <w:spacing w:after="0"/>
        <w:ind w:left="720" w:hanging="720"/>
      </w:pPr>
      <w:r w:rsidRPr="0034337D">
        <w:t>71.</w:t>
      </w:r>
      <w:r w:rsidRPr="0034337D">
        <w:tab/>
        <w:t xml:space="preserve">Matsumura, Y., S. Wang, and J. Mondori, </w:t>
      </w:r>
      <w:r w:rsidRPr="0034337D">
        <w:rPr>
          <w:i/>
        </w:rPr>
        <w:t>Interactions between disordered carbon and lithium in lithium ion rechargeable batteries.</w:t>
      </w:r>
      <w:r w:rsidRPr="0034337D">
        <w:t xml:space="preserve"> Carbon, 1995. </w:t>
      </w:r>
      <w:r w:rsidRPr="0034337D">
        <w:rPr>
          <w:b/>
        </w:rPr>
        <w:t>33</w:t>
      </w:r>
      <w:r w:rsidRPr="0034337D">
        <w:t>(10): p. 1457-1462.</w:t>
      </w:r>
    </w:p>
    <w:p w14:paraId="5C14DAD4" w14:textId="77777777" w:rsidR="0034337D" w:rsidRPr="0034337D" w:rsidRDefault="0034337D" w:rsidP="0034337D">
      <w:pPr>
        <w:pStyle w:val="EndNoteBibliography"/>
        <w:spacing w:after="0"/>
        <w:ind w:left="720" w:hanging="720"/>
      </w:pPr>
      <w:r w:rsidRPr="0034337D">
        <w:t>72.</w:t>
      </w:r>
      <w:r w:rsidRPr="0034337D">
        <w:tab/>
        <w:t xml:space="preserve">Goodenough, J.B. and Y. Kim, </w:t>
      </w:r>
      <w:r w:rsidRPr="0034337D">
        <w:rPr>
          <w:i/>
        </w:rPr>
        <w:t>Challenges for Rechargeable Li Batteries.</w:t>
      </w:r>
      <w:r w:rsidRPr="0034337D">
        <w:t xml:space="preserve"> Chemistry of Materials, 2010. </w:t>
      </w:r>
      <w:r w:rsidRPr="0034337D">
        <w:rPr>
          <w:b/>
        </w:rPr>
        <w:t>22</w:t>
      </w:r>
      <w:r w:rsidRPr="0034337D">
        <w:t>(3): p. 587-603.</w:t>
      </w:r>
    </w:p>
    <w:p w14:paraId="709E396F" w14:textId="77777777" w:rsidR="0034337D" w:rsidRPr="0034337D" w:rsidRDefault="0034337D" w:rsidP="0034337D">
      <w:pPr>
        <w:pStyle w:val="EndNoteBibliography"/>
        <w:spacing w:after="0"/>
        <w:ind w:left="720" w:hanging="720"/>
      </w:pPr>
      <w:r w:rsidRPr="0034337D">
        <w:t>73.</w:t>
      </w:r>
      <w:r w:rsidRPr="0034337D">
        <w:tab/>
        <w:t xml:space="preserve">Zhang, S.S., </w:t>
      </w:r>
      <w:r w:rsidRPr="0034337D">
        <w:rPr>
          <w:i/>
        </w:rPr>
        <w:t>A review on electrolyte additives for lithium-ion batteries.</w:t>
      </w:r>
      <w:r w:rsidRPr="0034337D">
        <w:t xml:space="preserve"> Journal of Power Sources, 2006. </w:t>
      </w:r>
      <w:r w:rsidRPr="0034337D">
        <w:rPr>
          <w:b/>
        </w:rPr>
        <w:t>162</w:t>
      </w:r>
      <w:r w:rsidRPr="0034337D">
        <w:t>(2): p. 1379-1394.</w:t>
      </w:r>
    </w:p>
    <w:p w14:paraId="11CC6CA7" w14:textId="77777777" w:rsidR="0034337D" w:rsidRPr="0034337D" w:rsidRDefault="0034337D" w:rsidP="0034337D">
      <w:pPr>
        <w:pStyle w:val="EndNoteBibliography"/>
        <w:spacing w:after="0"/>
        <w:ind w:left="720" w:hanging="720"/>
      </w:pPr>
      <w:r w:rsidRPr="0034337D">
        <w:t>74.</w:t>
      </w:r>
      <w:r w:rsidRPr="0034337D">
        <w:tab/>
        <w:t xml:space="preserve">Jenkins, A.D., R.G. Jones, and G. Moad, </w:t>
      </w:r>
      <w:r w:rsidRPr="0034337D">
        <w:rPr>
          <w:i/>
        </w:rPr>
        <w:t>Terminology for reversible-deactivation radical polymerization previously called "controlled" radical or "living" radical polymerization (IUPAC Recommendations 2010).</w:t>
      </w:r>
      <w:r w:rsidRPr="0034337D">
        <w:t xml:space="preserve"> Pure and Applied Chemistry, 2009. </w:t>
      </w:r>
      <w:r w:rsidRPr="0034337D">
        <w:rPr>
          <w:b/>
        </w:rPr>
        <w:t>82</w:t>
      </w:r>
      <w:r w:rsidRPr="0034337D">
        <w:t>(2): p. 483-491.</w:t>
      </w:r>
    </w:p>
    <w:p w14:paraId="3814CD9C" w14:textId="77777777" w:rsidR="0034337D" w:rsidRPr="0034337D" w:rsidRDefault="0034337D" w:rsidP="0034337D">
      <w:pPr>
        <w:pStyle w:val="EndNoteBibliography"/>
        <w:spacing w:after="0"/>
        <w:ind w:left="720" w:hanging="720"/>
      </w:pPr>
      <w:r w:rsidRPr="0034337D">
        <w:t>75.</w:t>
      </w:r>
      <w:r w:rsidRPr="0034337D">
        <w:tab/>
        <w:t xml:space="preserve">Holmes, C.F., et al., </w:t>
      </w:r>
      <w:r w:rsidRPr="0034337D">
        <w:rPr>
          <w:i/>
        </w:rPr>
        <w:t>Proceedings of the Symposium on Batteries for Portable Applications and Electric Vehicles</w:t>
      </w:r>
      <w:r w:rsidRPr="0034337D">
        <w:t>. 1997: Electrochemical Society, Incorporated.</w:t>
      </w:r>
    </w:p>
    <w:p w14:paraId="766DC853" w14:textId="77777777" w:rsidR="0034337D" w:rsidRPr="0034337D" w:rsidRDefault="0034337D" w:rsidP="0034337D">
      <w:pPr>
        <w:pStyle w:val="EndNoteBibliography"/>
        <w:spacing w:after="0"/>
        <w:ind w:left="720" w:hanging="720"/>
      </w:pPr>
      <w:r w:rsidRPr="0034337D">
        <w:t>76.</w:t>
      </w:r>
      <w:r w:rsidRPr="0034337D">
        <w:tab/>
        <w:t xml:space="preserve">Fujimoto, M., et al., </w:t>
      </w:r>
      <w:r w:rsidRPr="0034337D">
        <w:rPr>
          <w:i/>
        </w:rPr>
        <w:t>Charge-Discharge Characteristics of Natural Graphite Electrode in Some Cyclic Carbonates.</w:t>
      </w:r>
      <w:r w:rsidRPr="0034337D">
        <w:t xml:space="preserve"> Denki Kagaku, 1997. </w:t>
      </w:r>
      <w:r w:rsidRPr="0034337D">
        <w:rPr>
          <w:b/>
        </w:rPr>
        <w:t>65</w:t>
      </w:r>
      <w:r w:rsidRPr="0034337D">
        <w:t>: p. 949-953.</w:t>
      </w:r>
    </w:p>
    <w:p w14:paraId="7828EB87" w14:textId="77777777" w:rsidR="0034337D" w:rsidRPr="0034337D" w:rsidRDefault="0034337D" w:rsidP="0034337D">
      <w:pPr>
        <w:pStyle w:val="EndNoteBibliography"/>
        <w:spacing w:after="0"/>
        <w:ind w:left="720" w:hanging="720"/>
      </w:pPr>
      <w:r w:rsidRPr="0034337D">
        <w:t>77.</w:t>
      </w:r>
      <w:r w:rsidRPr="0034337D">
        <w:tab/>
        <w:t xml:space="preserve">Aurbach, D., et al., </w:t>
      </w:r>
      <w:r w:rsidRPr="0034337D">
        <w:rPr>
          <w:i/>
        </w:rPr>
        <w:t>On the use of vinylene carbonate (VC) as an additive to electrolyte solutions for Li-ion batteries.</w:t>
      </w:r>
      <w:r w:rsidRPr="0034337D">
        <w:t xml:space="preserve"> Electrochimica Acta, 2002. </w:t>
      </w:r>
      <w:r w:rsidRPr="0034337D">
        <w:rPr>
          <w:b/>
        </w:rPr>
        <w:t>47</w:t>
      </w:r>
      <w:r w:rsidRPr="0034337D">
        <w:t>(9): p. 1423-1439.</w:t>
      </w:r>
    </w:p>
    <w:p w14:paraId="41AA55B5" w14:textId="77777777" w:rsidR="0034337D" w:rsidRPr="0034337D" w:rsidRDefault="0034337D" w:rsidP="0034337D">
      <w:pPr>
        <w:pStyle w:val="EndNoteBibliography"/>
        <w:spacing w:after="0"/>
        <w:ind w:left="720" w:hanging="720"/>
      </w:pPr>
      <w:r w:rsidRPr="0034337D">
        <w:t>78.</w:t>
      </w:r>
      <w:r w:rsidRPr="0034337D">
        <w:tab/>
        <w:t xml:space="preserve">McMillan, R., et al., </w:t>
      </w:r>
      <w:r w:rsidRPr="0034337D">
        <w:rPr>
          <w:i/>
        </w:rPr>
        <w:t>Fluoroethylene carbonate electrolyte and its use in lithium ion batteries with graphite anodes.</w:t>
      </w:r>
      <w:r w:rsidRPr="0034337D">
        <w:t xml:space="preserve"> Journal of Power Sources, 1999. </w:t>
      </w:r>
      <w:r w:rsidRPr="0034337D">
        <w:rPr>
          <w:b/>
        </w:rPr>
        <w:t>81-82</w:t>
      </w:r>
      <w:r w:rsidRPr="0034337D">
        <w:t>: p. 20-26.</w:t>
      </w:r>
    </w:p>
    <w:p w14:paraId="18AAC5AF" w14:textId="77777777" w:rsidR="0034337D" w:rsidRPr="0034337D" w:rsidRDefault="0034337D" w:rsidP="0034337D">
      <w:pPr>
        <w:pStyle w:val="EndNoteBibliography"/>
        <w:spacing w:after="0"/>
        <w:ind w:left="720" w:hanging="720"/>
      </w:pPr>
      <w:r w:rsidRPr="0034337D">
        <w:t>79.</w:t>
      </w:r>
      <w:r w:rsidRPr="0034337D">
        <w:tab/>
        <w:t xml:space="preserve">Shu, Z.X., et al., </w:t>
      </w:r>
      <w:r w:rsidRPr="0034337D">
        <w:rPr>
          <w:i/>
        </w:rPr>
        <w:t>Use of Chloroethylene Carbonate as an Electrolyte Solvent for a Lithium Ion Battery Containing a Graphitic Anode.</w:t>
      </w:r>
      <w:r w:rsidRPr="0034337D">
        <w:t xml:space="preserve"> Journal of The Electrochemical Society, 1995. </w:t>
      </w:r>
      <w:r w:rsidRPr="0034337D">
        <w:rPr>
          <w:b/>
        </w:rPr>
        <w:t>142</w:t>
      </w:r>
      <w:r w:rsidRPr="0034337D">
        <w:t>(9): p. L161-L162.</w:t>
      </w:r>
    </w:p>
    <w:p w14:paraId="3A916E61" w14:textId="77777777" w:rsidR="0034337D" w:rsidRPr="0034337D" w:rsidRDefault="0034337D" w:rsidP="0034337D">
      <w:pPr>
        <w:pStyle w:val="EndNoteBibliography"/>
        <w:spacing w:after="0"/>
        <w:ind w:left="720" w:hanging="720"/>
      </w:pPr>
      <w:r w:rsidRPr="0034337D">
        <w:t>80.</w:t>
      </w:r>
      <w:r w:rsidRPr="0034337D">
        <w:tab/>
        <w:t xml:space="preserve">Markevich, E., G. Salitra, and D. Aurbach, </w:t>
      </w:r>
      <w:r w:rsidRPr="0034337D">
        <w:rPr>
          <w:i/>
        </w:rPr>
        <w:t>Fluoroethylene Carbonate as an Important Component for the Formation of an Effective Solid Electrolyte Interphase on Anodes and Cathodes for Advanced Li-Ion Batteries.</w:t>
      </w:r>
      <w:r w:rsidRPr="0034337D">
        <w:t xml:space="preserve"> Acs Energy Letters, 2017. </w:t>
      </w:r>
      <w:r w:rsidRPr="0034337D">
        <w:rPr>
          <w:b/>
        </w:rPr>
        <w:t>2</w:t>
      </w:r>
      <w:r w:rsidRPr="0034337D">
        <w:t>(6): p. 1337-1345.</w:t>
      </w:r>
    </w:p>
    <w:p w14:paraId="13AAB628" w14:textId="77777777" w:rsidR="0034337D" w:rsidRPr="0034337D" w:rsidRDefault="0034337D" w:rsidP="0034337D">
      <w:pPr>
        <w:pStyle w:val="EndNoteBibliography"/>
        <w:spacing w:after="0"/>
        <w:ind w:left="720" w:hanging="720"/>
      </w:pPr>
      <w:r w:rsidRPr="0034337D">
        <w:t>81.</w:t>
      </w:r>
      <w:r w:rsidRPr="0034337D">
        <w:tab/>
        <w:t xml:space="preserve">Nakai, H., et al., </w:t>
      </w:r>
      <w:r w:rsidRPr="0034337D">
        <w:rPr>
          <w:i/>
        </w:rPr>
        <w:t>Investigation of the Solid Electrolyte Interphase Formed by Fluoroethylene Carbonate on Si Electrodes.</w:t>
      </w:r>
      <w:r w:rsidRPr="0034337D">
        <w:t xml:space="preserve"> Journal of The Electrochemical Society, 2011. </w:t>
      </w:r>
      <w:r w:rsidRPr="0034337D">
        <w:rPr>
          <w:b/>
        </w:rPr>
        <w:t>158</w:t>
      </w:r>
      <w:r w:rsidRPr="0034337D">
        <w:t>(7): p. A798-A801.</w:t>
      </w:r>
    </w:p>
    <w:p w14:paraId="7DAD0BBC" w14:textId="77777777" w:rsidR="0034337D" w:rsidRPr="0034337D" w:rsidRDefault="0034337D" w:rsidP="0034337D">
      <w:pPr>
        <w:pStyle w:val="EndNoteBibliography"/>
        <w:spacing w:after="0"/>
        <w:ind w:left="720" w:hanging="720"/>
      </w:pPr>
      <w:r w:rsidRPr="0034337D">
        <w:t>82.</w:t>
      </w:r>
      <w:r w:rsidRPr="0034337D">
        <w:tab/>
        <w:t xml:space="preserve">Jaumann, T., et al., </w:t>
      </w:r>
      <w:r w:rsidRPr="0034337D">
        <w:rPr>
          <w:i/>
        </w:rPr>
        <w:t>Lifetime vs. rate capability: Understanding the role of FEC and VC in high-energy Li-ion batteries with nano-silicon anodes.</w:t>
      </w:r>
      <w:r w:rsidRPr="0034337D">
        <w:t xml:space="preserve"> Energy Storage Materials, 2017. </w:t>
      </w:r>
      <w:r w:rsidRPr="0034337D">
        <w:rPr>
          <w:b/>
        </w:rPr>
        <w:t>6</w:t>
      </w:r>
      <w:r w:rsidRPr="0034337D">
        <w:t>: p. 26-35.</w:t>
      </w:r>
    </w:p>
    <w:p w14:paraId="688D452A" w14:textId="77777777" w:rsidR="0034337D" w:rsidRPr="0034337D" w:rsidRDefault="0034337D" w:rsidP="0034337D">
      <w:pPr>
        <w:pStyle w:val="EndNoteBibliography"/>
        <w:spacing w:after="0"/>
        <w:ind w:left="720" w:hanging="720"/>
      </w:pPr>
      <w:r w:rsidRPr="0034337D">
        <w:t>83.</w:t>
      </w:r>
      <w:r w:rsidRPr="0034337D">
        <w:tab/>
        <w:t xml:space="preserve">Wrodnigg, G.H., J.O. Besenhard, and M. Winter, </w:t>
      </w:r>
      <w:r w:rsidRPr="0034337D">
        <w:rPr>
          <w:i/>
        </w:rPr>
        <w:t>Ethylene Sulfite as Electrolyte Additive for Lithium‐Ion Cells with Graphitic Anodes.</w:t>
      </w:r>
      <w:r w:rsidRPr="0034337D">
        <w:t xml:space="preserve"> Journal of The Electrochemical Society, 1999. </w:t>
      </w:r>
      <w:r w:rsidRPr="0034337D">
        <w:rPr>
          <w:b/>
        </w:rPr>
        <w:t>146</w:t>
      </w:r>
      <w:r w:rsidRPr="0034337D">
        <w:t>(2): p. 470-472.</w:t>
      </w:r>
    </w:p>
    <w:p w14:paraId="76AA0A88" w14:textId="77777777" w:rsidR="0034337D" w:rsidRPr="0034337D" w:rsidRDefault="0034337D" w:rsidP="0034337D">
      <w:pPr>
        <w:pStyle w:val="EndNoteBibliography"/>
        <w:spacing w:after="0"/>
        <w:ind w:left="720" w:hanging="720"/>
      </w:pPr>
      <w:r w:rsidRPr="0034337D">
        <w:t>84.</w:t>
      </w:r>
      <w:r w:rsidRPr="0034337D">
        <w:tab/>
        <w:t xml:space="preserve">Yu, B.T., et al., </w:t>
      </w:r>
      <w:r w:rsidRPr="0034337D">
        <w:rPr>
          <w:i/>
        </w:rPr>
        <w:t>A study on sulfites for lithium-ion battery electrolytes.</w:t>
      </w:r>
      <w:r w:rsidRPr="0034337D">
        <w:t xml:space="preserve"> Journal of Power Sources, 2006. </w:t>
      </w:r>
      <w:r w:rsidRPr="0034337D">
        <w:rPr>
          <w:b/>
        </w:rPr>
        <w:t>158</w:t>
      </w:r>
      <w:r w:rsidRPr="0034337D">
        <w:t>(2): p. 1373-1378.</w:t>
      </w:r>
    </w:p>
    <w:p w14:paraId="092CFC54" w14:textId="5ED257C1" w:rsidR="0034337D" w:rsidRPr="0034337D" w:rsidRDefault="0034337D" w:rsidP="0034337D">
      <w:pPr>
        <w:pStyle w:val="EndNoteBibliography"/>
        <w:spacing w:after="0"/>
        <w:ind w:left="720" w:hanging="720"/>
      </w:pPr>
      <w:r w:rsidRPr="0034337D">
        <w:t>85.</w:t>
      </w:r>
      <w:r w:rsidRPr="0034337D">
        <w:tab/>
        <w:t xml:space="preserve">David Stringer , J.M., and Jinshan Hong. </w:t>
      </w:r>
      <w:r w:rsidRPr="0034337D">
        <w:rPr>
          <w:i/>
        </w:rPr>
        <w:t>Tesla Fires Sound Alarms About Electric-Car Battery Safety</w:t>
      </w:r>
      <w:r w:rsidRPr="0034337D">
        <w:t xml:space="preserve">. 2019  [cited 2019 24/05/19]; Available from: </w:t>
      </w:r>
      <w:hyperlink r:id="rId321" w:history="1">
        <w:r w:rsidRPr="0034337D">
          <w:rPr>
            <w:rStyle w:val="Hyperlink"/>
          </w:rPr>
          <w:t>https://www.bloomberg.com/news/articles/2019-05-16/tesla-fires-sound-alarms-about-safety-of-electric-car-batteries</w:t>
        </w:r>
      </w:hyperlink>
      <w:r w:rsidRPr="0034337D">
        <w:t>.</w:t>
      </w:r>
    </w:p>
    <w:p w14:paraId="25288555" w14:textId="77777777" w:rsidR="0034337D" w:rsidRPr="0034337D" w:rsidRDefault="0034337D" w:rsidP="0034337D">
      <w:pPr>
        <w:pStyle w:val="EndNoteBibliography"/>
        <w:spacing w:after="0"/>
        <w:ind w:left="720" w:hanging="720"/>
      </w:pPr>
      <w:r w:rsidRPr="0034337D">
        <w:t>86.</w:t>
      </w:r>
      <w:r w:rsidRPr="0034337D">
        <w:tab/>
        <w:t xml:space="preserve">Haregewoin, A.M., A.S. Wotango, and B.-J. Hwang, </w:t>
      </w:r>
      <w:r w:rsidRPr="0034337D">
        <w:rPr>
          <w:i/>
        </w:rPr>
        <w:t>Electrolyte additives for lithium ion battery electrodes: progress and perspectives.</w:t>
      </w:r>
      <w:r w:rsidRPr="0034337D">
        <w:t xml:space="preserve"> Energy Environ. Sci., 2016. </w:t>
      </w:r>
      <w:r w:rsidRPr="0034337D">
        <w:rPr>
          <w:b/>
        </w:rPr>
        <w:t>9</w:t>
      </w:r>
      <w:r w:rsidRPr="0034337D">
        <w:t>(6): p. 1955-1988.</w:t>
      </w:r>
    </w:p>
    <w:p w14:paraId="3914DC91" w14:textId="77777777" w:rsidR="0034337D" w:rsidRPr="0034337D" w:rsidRDefault="0034337D" w:rsidP="0034337D">
      <w:pPr>
        <w:pStyle w:val="EndNoteBibliography"/>
        <w:spacing w:after="0"/>
        <w:ind w:left="720" w:hanging="720"/>
      </w:pPr>
      <w:r w:rsidRPr="0034337D">
        <w:t>87.</w:t>
      </w:r>
      <w:r w:rsidRPr="0034337D">
        <w:tab/>
        <w:t xml:space="preserve">Zhang, B., et al., </w:t>
      </w:r>
      <w:r w:rsidRPr="0034337D">
        <w:rPr>
          <w:i/>
        </w:rPr>
        <w:t>Role of 1,3-Propane Sultone and Vinylene Carbonate in Solid Electrolyte Interface Formation and Gas Generation.</w:t>
      </w:r>
      <w:r w:rsidRPr="0034337D">
        <w:t xml:space="preserve"> The Journal of Physical Chemistry C, 2015. </w:t>
      </w:r>
      <w:r w:rsidRPr="0034337D">
        <w:rPr>
          <w:b/>
        </w:rPr>
        <w:t>119</w:t>
      </w:r>
      <w:r w:rsidRPr="0034337D">
        <w:t>(21): p. 11337-11348.</w:t>
      </w:r>
    </w:p>
    <w:p w14:paraId="08C8CCC9" w14:textId="77777777" w:rsidR="0034337D" w:rsidRPr="0034337D" w:rsidRDefault="0034337D" w:rsidP="0034337D">
      <w:pPr>
        <w:pStyle w:val="EndNoteBibliography"/>
        <w:spacing w:after="0"/>
        <w:ind w:left="720" w:hanging="720"/>
      </w:pPr>
      <w:r w:rsidRPr="0034337D">
        <w:t>88.</w:t>
      </w:r>
      <w:r w:rsidRPr="0034337D">
        <w:tab/>
        <w:t xml:space="preserve">Mao, H. and J.N. Reimers, </w:t>
      </w:r>
      <w:r w:rsidRPr="0034337D">
        <w:rPr>
          <w:i/>
        </w:rPr>
        <w:t>Use of B2 O3 additive in non-aqueous rechargeable lithium batteries</w:t>
      </w:r>
      <w:r w:rsidRPr="0034337D">
        <w:t>. 1999, Google Patents.</w:t>
      </w:r>
    </w:p>
    <w:p w14:paraId="1450D2B9" w14:textId="77777777" w:rsidR="0034337D" w:rsidRPr="0034337D" w:rsidRDefault="0034337D" w:rsidP="0034337D">
      <w:pPr>
        <w:pStyle w:val="EndNoteBibliography"/>
        <w:spacing w:after="0"/>
        <w:ind w:left="720" w:hanging="720"/>
      </w:pPr>
      <w:r w:rsidRPr="0034337D">
        <w:t>89.</w:t>
      </w:r>
      <w:r w:rsidRPr="0034337D">
        <w:tab/>
        <w:t xml:space="preserve">Aurbach, D., et al., </w:t>
      </w:r>
      <w:r w:rsidRPr="0034337D">
        <w:rPr>
          <w:i/>
        </w:rPr>
        <w:t>Vinylene Carbonate and Li Salicylatoborate as Additives in LiPF3 (  CF 2 CF 3 ) 3 Solutions for Rechargeable Li-Ion Batteries.</w:t>
      </w:r>
      <w:r w:rsidRPr="0034337D">
        <w:t xml:space="preserve"> Journal of The Electrochemical Society, 2004. </w:t>
      </w:r>
      <w:r w:rsidRPr="0034337D">
        <w:rPr>
          <w:b/>
        </w:rPr>
        <w:t>151</w:t>
      </w:r>
      <w:r w:rsidRPr="0034337D">
        <w:t>(1): p. A23-A30.</w:t>
      </w:r>
    </w:p>
    <w:p w14:paraId="45828791" w14:textId="77777777" w:rsidR="0034337D" w:rsidRPr="0034337D" w:rsidRDefault="0034337D" w:rsidP="0034337D">
      <w:pPr>
        <w:pStyle w:val="EndNoteBibliography"/>
        <w:spacing w:after="0"/>
        <w:ind w:left="720" w:hanging="720"/>
      </w:pPr>
      <w:r w:rsidRPr="0034337D">
        <w:t>90.</w:t>
      </w:r>
      <w:r w:rsidRPr="0034337D">
        <w:tab/>
        <w:t xml:space="preserve">Contestabile, M., et al., </w:t>
      </w:r>
      <w:r w:rsidRPr="0034337D">
        <w:rPr>
          <w:i/>
        </w:rPr>
        <w:t>A comparative study on the effect of electrolyte/additives on the performance of ICP383562 Li-ion polymer (soft-pack) cells.</w:t>
      </w:r>
      <w:r w:rsidRPr="0034337D">
        <w:t xml:space="preserve"> Journal of Power Sources, 2003. </w:t>
      </w:r>
      <w:r w:rsidRPr="0034337D">
        <w:rPr>
          <w:b/>
        </w:rPr>
        <w:t>119-121</w:t>
      </w:r>
      <w:r w:rsidRPr="0034337D">
        <w:t>: p. 943-947.</w:t>
      </w:r>
    </w:p>
    <w:p w14:paraId="0EEB3643" w14:textId="77777777" w:rsidR="0034337D" w:rsidRPr="0034337D" w:rsidRDefault="0034337D" w:rsidP="0034337D">
      <w:pPr>
        <w:pStyle w:val="EndNoteBibliography"/>
        <w:spacing w:after="0"/>
        <w:ind w:left="720" w:hanging="720"/>
      </w:pPr>
      <w:r w:rsidRPr="0034337D">
        <w:t>91.</w:t>
      </w:r>
      <w:r w:rsidRPr="0034337D">
        <w:tab/>
        <w:t xml:space="preserve">Xu, K., et al., </w:t>
      </w:r>
      <w:r w:rsidRPr="0034337D">
        <w:rPr>
          <w:i/>
        </w:rPr>
        <w:t>Chemical Analysis of Graphite/Electrolyte Interface Formed in LiBOB-Based Electrolytes.</w:t>
      </w:r>
      <w:r w:rsidRPr="0034337D">
        <w:t xml:space="preserve"> Electrochemical and Solid-State Letters, 2003. </w:t>
      </w:r>
      <w:r w:rsidRPr="0034337D">
        <w:rPr>
          <w:b/>
        </w:rPr>
        <w:t>6</w:t>
      </w:r>
      <w:r w:rsidRPr="0034337D">
        <w:t>(7): p. A144-A148.</w:t>
      </w:r>
    </w:p>
    <w:p w14:paraId="7E8135BD" w14:textId="77777777" w:rsidR="0034337D" w:rsidRPr="0034337D" w:rsidRDefault="0034337D" w:rsidP="0034337D">
      <w:pPr>
        <w:pStyle w:val="EndNoteBibliography"/>
        <w:spacing w:after="0"/>
        <w:ind w:left="720" w:hanging="720"/>
      </w:pPr>
      <w:r w:rsidRPr="0034337D">
        <w:t>92.</w:t>
      </w:r>
      <w:r w:rsidRPr="0034337D">
        <w:tab/>
        <w:t xml:space="preserve">Abeywardana, M.Y., et al., </w:t>
      </w:r>
      <w:r w:rsidRPr="0034337D">
        <w:rPr>
          <w:i/>
        </w:rPr>
        <w:t>Increased Cycling Performance of Li-Ion Batteries by Phosphoric Acid Modified LiNi&lt;sub&gt;0.5&lt;/sub&gt;Mn&lt;sub&gt;1.5&lt;/sub&gt;O&lt;sub&gt;4&lt;/sub&gt; Cathodes in the Presence of LiBOB.</w:t>
      </w:r>
      <w:r w:rsidRPr="0034337D">
        <w:t xml:space="preserve"> International Journal of Electrochemistry, 2019. </w:t>
      </w:r>
      <w:r w:rsidRPr="0034337D">
        <w:rPr>
          <w:b/>
        </w:rPr>
        <w:t>2019</w:t>
      </w:r>
      <w:r w:rsidRPr="0034337D">
        <w:t>: p. 8636540.</w:t>
      </w:r>
    </w:p>
    <w:p w14:paraId="6DFC5A74" w14:textId="77777777" w:rsidR="0034337D" w:rsidRPr="0034337D" w:rsidRDefault="0034337D" w:rsidP="0034337D">
      <w:pPr>
        <w:pStyle w:val="EndNoteBibliography"/>
        <w:spacing w:after="0"/>
        <w:ind w:left="720" w:hanging="720"/>
      </w:pPr>
      <w:r w:rsidRPr="0034337D">
        <w:t>93.</w:t>
      </w:r>
      <w:r w:rsidRPr="0034337D">
        <w:tab/>
        <w:t xml:space="preserve">Wang, F.-M., et al., </w:t>
      </w:r>
      <w:r w:rsidRPr="0034337D">
        <w:rPr>
          <w:i/>
        </w:rPr>
        <w:t>Phenylenedimaleimide positional isomers used as lithium ion battery electrolyte additives: Relating physical and electrochemical characterization to battery performance.</w:t>
      </w:r>
      <w:r w:rsidRPr="0034337D">
        <w:t xml:space="preserve"> Journal of Power Sources, 2013. </w:t>
      </w:r>
      <w:r w:rsidRPr="0034337D">
        <w:rPr>
          <w:b/>
        </w:rPr>
        <w:t>231</w:t>
      </w:r>
      <w:r w:rsidRPr="0034337D">
        <w:t>: p. 18-22.</w:t>
      </w:r>
    </w:p>
    <w:p w14:paraId="3B2415BD" w14:textId="77777777" w:rsidR="0034337D" w:rsidRPr="0034337D" w:rsidRDefault="0034337D" w:rsidP="0034337D">
      <w:pPr>
        <w:pStyle w:val="EndNoteBibliography"/>
        <w:spacing w:after="0"/>
        <w:ind w:left="720" w:hanging="720"/>
      </w:pPr>
      <w:r w:rsidRPr="0034337D">
        <w:t>94.</w:t>
      </w:r>
      <w:r w:rsidRPr="0034337D">
        <w:tab/>
        <w:t xml:space="preserve">Wang, F.-M., et al., </w:t>
      </w:r>
      <w:r w:rsidRPr="0034337D">
        <w:rPr>
          <w:i/>
        </w:rPr>
        <w:t>Novel SEI formation of maleimide-based additives and its improvement of capability and cyclicability in lithium ion batteries.</w:t>
      </w:r>
      <w:r w:rsidRPr="0034337D">
        <w:t xml:space="preserve"> Electrochimica Acta, 2009. </w:t>
      </w:r>
      <w:r w:rsidRPr="0034337D">
        <w:rPr>
          <w:b/>
        </w:rPr>
        <w:t>54</w:t>
      </w:r>
      <w:r w:rsidRPr="0034337D">
        <w:t>(12): p. 3344-3351.</w:t>
      </w:r>
    </w:p>
    <w:p w14:paraId="525E8596" w14:textId="77777777" w:rsidR="0034337D" w:rsidRPr="0034337D" w:rsidRDefault="0034337D" w:rsidP="0034337D">
      <w:pPr>
        <w:pStyle w:val="EndNoteBibliography"/>
        <w:spacing w:after="0"/>
        <w:ind w:left="720" w:hanging="720"/>
      </w:pPr>
      <w:r w:rsidRPr="0034337D">
        <w:t>95.</w:t>
      </w:r>
      <w:r w:rsidRPr="0034337D">
        <w:tab/>
        <w:t xml:space="preserve">Pavot, V., et al., </w:t>
      </w:r>
      <w:r w:rsidRPr="0034337D">
        <w:rPr>
          <w:i/>
        </w:rPr>
        <w:t>Poly(lactic acid) and poly(lactic-co-glycolic acid) particles as versatile carrier platforms for vaccine delivery.</w:t>
      </w:r>
      <w:r w:rsidRPr="0034337D">
        <w:t xml:space="preserve"> Nanomedicine, 2014. </w:t>
      </w:r>
      <w:r w:rsidRPr="0034337D">
        <w:rPr>
          <w:b/>
        </w:rPr>
        <w:t>9</w:t>
      </w:r>
      <w:r w:rsidRPr="0034337D">
        <w:t>(17): p. 2703-2718.</w:t>
      </w:r>
    </w:p>
    <w:p w14:paraId="13E8A48F" w14:textId="77777777" w:rsidR="0034337D" w:rsidRPr="0034337D" w:rsidRDefault="0034337D" w:rsidP="0034337D">
      <w:pPr>
        <w:pStyle w:val="EndNoteBibliography"/>
        <w:spacing w:after="0"/>
        <w:ind w:left="720" w:hanging="720"/>
      </w:pPr>
      <w:r w:rsidRPr="0034337D">
        <w:t>96.</w:t>
      </w:r>
      <w:r w:rsidRPr="0034337D">
        <w:tab/>
        <w:t xml:space="preserve">Jeon, J., et al., </w:t>
      </w:r>
      <w:r w:rsidRPr="0034337D">
        <w:rPr>
          <w:i/>
        </w:rPr>
        <w:t>Tuning glycolide as an SEI-forming additive for thermally robust Li-ion batteries.</w:t>
      </w:r>
      <w:r w:rsidRPr="0034337D">
        <w:t xml:space="preserve"> 2012. </w:t>
      </w:r>
      <w:r w:rsidRPr="0034337D">
        <w:rPr>
          <w:b/>
        </w:rPr>
        <w:t>22</w:t>
      </w:r>
      <w:r w:rsidRPr="0034337D">
        <w:t>(39): p. 21003.</w:t>
      </w:r>
    </w:p>
    <w:p w14:paraId="64613619" w14:textId="77777777" w:rsidR="0034337D" w:rsidRPr="0034337D" w:rsidRDefault="0034337D" w:rsidP="0034337D">
      <w:pPr>
        <w:pStyle w:val="EndNoteBibliography"/>
        <w:spacing w:after="0"/>
        <w:ind w:left="720" w:hanging="720"/>
      </w:pPr>
      <w:r w:rsidRPr="0034337D">
        <w:t>97.</w:t>
      </w:r>
      <w:r w:rsidRPr="0034337D">
        <w:tab/>
        <w:t xml:space="preserve">Nie, M., J. Xia, and J.R. Dahn, </w:t>
      </w:r>
      <w:r w:rsidRPr="0034337D">
        <w:rPr>
          <w:i/>
        </w:rPr>
        <w:t>Development of Pyridine-Boron Trifluoride Electrolyte Additives for Lithium-Ion Batteries.</w:t>
      </w:r>
      <w:r w:rsidRPr="0034337D">
        <w:t xml:space="preserve"> Journal of The Electrochemical Society, 2015. </w:t>
      </w:r>
      <w:r w:rsidRPr="0034337D">
        <w:rPr>
          <w:b/>
        </w:rPr>
        <w:t>162</w:t>
      </w:r>
      <w:r w:rsidRPr="0034337D">
        <w:t>(7): p. A1186-A1195.</w:t>
      </w:r>
    </w:p>
    <w:p w14:paraId="4A935862" w14:textId="77777777" w:rsidR="0034337D" w:rsidRPr="0034337D" w:rsidRDefault="0034337D" w:rsidP="0034337D">
      <w:pPr>
        <w:pStyle w:val="EndNoteBibliography"/>
        <w:spacing w:after="0"/>
        <w:ind w:left="720" w:hanging="720"/>
      </w:pPr>
      <w:r w:rsidRPr="0034337D">
        <w:t>98.</w:t>
      </w:r>
      <w:r w:rsidRPr="0034337D">
        <w:tab/>
        <w:t xml:space="preserve">Amine, K., H. Yasuda, and M. Yamachi, </w:t>
      </w:r>
      <w:r w:rsidRPr="0034337D">
        <w:rPr>
          <w:i/>
        </w:rPr>
        <w:t>Olivine LiCoPO4 as 4.8 V  Electrode Material for Lithium Batteries.</w:t>
      </w:r>
      <w:r w:rsidRPr="0034337D">
        <w:t xml:space="preserve"> Electrochemical and Solid-State Letters, 2000. </w:t>
      </w:r>
      <w:r w:rsidRPr="0034337D">
        <w:rPr>
          <w:b/>
        </w:rPr>
        <w:t>3</w:t>
      </w:r>
      <w:r w:rsidRPr="0034337D">
        <w:t>(4): p. 178-179.</w:t>
      </w:r>
    </w:p>
    <w:p w14:paraId="3F4FEDD4" w14:textId="77777777" w:rsidR="0034337D" w:rsidRPr="0034337D" w:rsidRDefault="0034337D" w:rsidP="0034337D">
      <w:pPr>
        <w:pStyle w:val="EndNoteBibliography"/>
        <w:spacing w:after="0"/>
        <w:ind w:left="720" w:hanging="720"/>
      </w:pPr>
      <w:r w:rsidRPr="0034337D">
        <w:t>99.</w:t>
      </w:r>
      <w:r w:rsidRPr="0034337D">
        <w:tab/>
        <w:t xml:space="preserve">Zhang, M., N. Garcia-Araez, and A.L. Hector, </w:t>
      </w:r>
      <w:r w:rsidRPr="0034337D">
        <w:rPr>
          <w:i/>
        </w:rPr>
        <w:t>Understanding and development of olivine LiCoPO4 cathode materials for lithium-ion batteries.</w:t>
      </w:r>
      <w:r w:rsidRPr="0034337D">
        <w:t xml:space="preserve"> Journal of Materials Chemistry A, 2018. </w:t>
      </w:r>
      <w:r w:rsidRPr="0034337D">
        <w:rPr>
          <w:b/>
        </w:rPr>
        <w:t>6</w:t>
      </w:r>
      <w:r w:rsidRPr="0034337D">
        <w:t>(30): p. 14483-14517.</w:t>
      </w:r>
    </w:p>
    <w:p w14:paraId="0FECFC2A" w14:textId="77777777" w:rsidR="0034337D" w:rsidRPr="0034337D" w:rsidRDefault="0034337D" w:rsidP="0034337D">
      <w:pPr>
        <w:pStyle w:val="EndNoteBibliography"/>
        <w:spacing w:after="0"/>
        <w:ind w:left="720" w:hanging="720"/>
      </w:pPr>
      <w:r w:rsidRPr="0034337D">
        <w:t>100.</w:t>
      </w:r>
      <w:r w:rsidRPr="0034337D">
        <w:tab/>
        <w:t xml:space="preserve">Hall, D.S., et al., </w:t>
      </w:r>
      <w:r w:rsidRPr="0034337D">
        <w:rPr>
          <w:i/>
        </w:rPr>
        <w:t>Surface-Electrolyte Interphase Formation in Lithium-Ion Cells Containing Pyridine Adduct Additives.</w:t>
      </w:r>
      <w:r w:rsidRPr="0034337D">
        <w:t xml:space="preserve"> Journal of The Electrochemical Society, 2016. </w:t>
      </w:r>
      <w:r w:rsidRPr="0034337D">
        <w:rPr>
          <w:b/>
        </w:rPr>
        <w:t>163</w:t>
      </w:r>
      <w:r w:rsidRPr="0034337D">
        <w:t>(5): p. A773-A780.</w:t>
      </w:r>
    </w:p>
    <w:p w14:paraId="00B36398" w14:textId="77777777" w:rsidR="0034337D" w:rsidRPr="0034337D" w:rsidRDefault="0034337D" w:rsidP="0034337D">
      <w:pPr>
        <w:pStyle w:val="EndNoteBibliography"/>
        <w:spacing w:after="0"/>
        <w:ind w:left="720" w:hanging="720"/>
      </w:pPr>
      <w:r w:rsidRPr="0034337D">
        <w:t>101.</w:t>
      </w:r>
      <w:r w:rsidRPr="0034337D">
        <w:tab/>
        <w:t xml:space="preserve">Wood, D.L., J. Li, and C. Daniel, </w:t>
      </w:r>
      <w:r w:rsidRPr="0034337D">
        <w:rPr>
          <w:i/>
        </w:rPr>
        <w:t>Prospects for reducing the processing cost of lithium ion batteries.</w:t>
      </w:r>
      <w:r w:rsidRPr="0034337D">
        <w:t xml:space="preserve"> Journal of Power Sources, 2015. </w:t>
      </w:r>
      <w:r w:rsidRPr="0034337D">
        <w:rPr>
          <w:b/>
        </w:rPr>
        <w:t>275</w:t>
      </w:r>
      <w:r w:rsidRPr="0034337D">
        <w:t>: p. 234-242.</w:t>
      </w:r>
    </w:p>
    <w:p w14:paraId="15728734" w14:textId="77777777" w:rsidR="0034337D" w:rsidRPr="0034337D" w:rsidRDefault="0034337D" w:rsidP="0034337D">
      <w:pPr>
        <w:pStyle w:val="EndNoteBibliography"/>
        <w:spacing w:after="0"/>
        <w:ind w:left="720" w:hanging="720"/>
      </w:pPr>
      <w:r w:rsidRPr="0034337D">
        <w:t>102.</w:t>
      </w:r>
      <w:r w:rsidRPr="0034337D">
        <w:tab/>
        <w:t xml:space="preserve">Ohtake, M., et al. </w:t>
      </w:r>
      <w:r w:rsidRPr="0034337D">
        <w:rPr>
          <w:i/>
        </w:rPr>
        <w:t>Physical properties of fluorinated cyclic carbonates for secondary lithium batteries</w:t>
      </w:r>
      <w:r w:rsidRPr="0034337D">
        <w:t xml:space="preserve">. in </w:t>
      </w:r>
      <w:r w:rsidRPr="0034337D">
        <w:rPr>
          <w:i/>
        </w:rPr>
        <w:t>214th ECS Meeting</w:t>
      </w:r>
      <w:r w:rsidRPr="0034337D">
        <w:t>. 2008. Citeseer.</w:t>
      </w:r>
    </w:p>
    <w:p w14:paraId="45265DFD" w14:textId="77777777" w:rsidR="0034337D" w:rsidRPr="0034337D" w:rsidRDefault="0034337D" w:rsidP="0034337D">
      <w:pPr>
        <w:pStyle w:val="EndNoteBibliography"/>
        <w:spacing w:after="0"/>
        <w:ind w:left="720" w:hanging="720"/>
      </w:pPr>
      <w:r w:rsidRPr="0034337D">
        <w:t>103.</w:t>
      </w:r>
      <w:r w:rsidRPr="0034337D">
        <w:tab/>
        <w:t xml:space="preserve">Väli, R., A. Jänes, and E. Lust, </w:t>
      </w:r>
      <w:r w:rsidRPr="0034337D">
        <w:rPr>
          <w:i/>
        </w:rPr>
        <w:t>Vinylene Carbonate as Co-Solvent for Low-Temperature Mixed Electrolyte Based Supercapacitors.</w:t>
      </w:r>
      <w:r w:rsidRPr="0034337D">
        <w:t xml:space="preserve"> Journal of The Electrochemical Society, 2016. </w:t>
      </w:r>
      <w:r w:rsidRPr="0034337D">
        <w:rPr>
          <w:b/>
        </w:rPr>
        <w:t>163</w:t>
      </w:r>
      <w:r w:rsidRPr="0034337D">
        <w:t>(6): p. A851-A857.</w:t>
      </w:r>
    </w:p>
    <w:p w14:paraId="08894C38" w14:textId="77777777" w:rsidR="0034337D" w:rsidRPr="0034337D" w:rsidRDefault="0034337D" w:rsidP="0034337D">
      <w:pPr>
        <w:pStyle w:val="EndNoteBibliography"/>
        <w:spacing w:after="0"/>
        <w:ind w:left="720" w:hanging="720"/>
      </w:pPr>
      <w:r w:rsidRPr="0034337D">
        <w:t>104.</w:t>
      </w:r>
      <w:r w:rsidRPr="0034337D">
        <w:tab/>
        <w:t xml:space="preserve">Vollmer, J.M., et al., </w:t>
      </w:r>
      <w:r w:rsidRPr="0034337D">
        <w:rPr>
          <w:i/>
        </w:rPr>
        <w:t>Reduction mechanisms of ethylene, propylene, and vinylethylene carbonates a quantum chemical study.</w:t>
      </w:r>
      <w:r w:rsidRPr="0034337D">
        <w:t xml:space="preserve"> Journal of The Electrochemical Society, 2004. </w:t>
      </w:r>
      <w:r w:rsidRPr="0034337D">
        <w:rPr>
          <w:b/>
        </w:rPr>
        <w:t>151</w:t>
      </w:r>
      <w:r w:rsidRPr="0034337D">
        <w:t>(1): p. A178-A183.</w:t>
      </w:r>
    </w:p>
    <w:p w14:paraId="5F07901C" w14:textId="77777777" w:rsidR="0034337D" w:rsidRPr="0034337D" w:rsidRDefault="0034337D" w:rsidP="0034337D">
      <w:pPr>
        <w:pStyle w:val="EndNoteBibliography"/>
        <w:spacing w:after="0"/>
        <w:ind w:left="720" w:hanging="720"/>
      </w:pPr>
      <w:r w:rsidRPr="0034337D">
        <w:t>105.</w:t>
      </w:r>
      <w:r w:rsidRPr="0034337D">
        <w:tab/>
        <w:t xml:space="preserve">Shim, E.-G., et al., </w:t>
      </w:r>
      <w:r w:rsidRPr="0034337D">
        <w:rPr>
          <w:i/>
        </w:rPr>
        <w:t>Effect of vinyl acetate plus vinylene carbonate and vinyl ethylene carbonate plus biphenyl as electrolyte additives on the electrochemical performance of Li-ion batteries.</w:t>
      </w:r>
      <w:r w:rsidRPr="0034337D">
        <w:t xml:space="preserve"> Electrochimica Acta, 2007. </w:t>
      </w:r>
      <w:r w:rsidRPr="0034337D">
        <w:rPr>
          <w:b/>
        </w:rPr>
        <w:t>53</w:t>
      </w:r>
      <w:r w:rsidRPr="0034337D">
        <w:t>(2): p. 650-656.</w:t>
      </w:r>
    </w:p>
    <w:p w14:paraId="409163FB" w14:textId="77777777" w:rsidR="0034337D" w:rsidRPr="0034337D" w:rsidRDefault="0034337D" w:rsidP="0034337D">
      <w:pPr>
        <w:pStyle w:val="EndNoteBibliography"/>
        <w:spacing w:after="0"/>
        <w:ind w:left="720" w:hanging="720"/>
      </w:pPr>
      <w:r w:rsidRPr="0034337D">
        <w:t>106.</w:t>
      </w:r>
      <w:r w:rsidRPr="0034337D">
        <w:tab/>
        <w:t xml:space="preserve">Xing, L., et al., </w:t>
      </w:r>
      <w:r w:rsidRPr="0034337D">
        <w:rPr>
          <w:i/>
        </w:rPr>
        <w:t>Theoretical study on reduction mechanism of 1, 3-benzodioxol-2-one for the formation of solid electrolyte interface on anode of lithium ion battery.</w:t>
      </w:r>
      <w:r w:rsidRPr="0034337D">
        <w:t xml:space="preserve"> Journal of Power Sources, 2009. </w:t>
      </w:r>
      <w:r w:rsidRPr="0034337D">
        <w:rPr>
          <w:b/>
        </w:rPr>
        <w:t>189</w:t>
      </w:r>
      <w:r w:rsidRPr="0034337D">
        <w:t>(1): p. 689-692.</w:t>
      </w:r>
    </w:p>
    <w:p w14:paraId="5CA72C3E" w14:textId="77777777" w:rsidR="0034337D" w:rsidRPr="0034337D" w:rsidRDefault="0034337D" w:rsidP="0034337D">
      <w:pPr>
        <w:pStyle w:val="EndNoteBibliography"/>
        <w:spacing w:after="0"/>
        <w:ind w:left="720" w:hanging="720"/>
      </w:pPr>
      <w:r w:rsidRPr="0034337D">
        <w:t>107.</w:t>
      </w:r>
      <w:r w:rsidRPr="0034337D">
        <w:tab/>
        <w:t xml:space="preserve">Wang, C., et al., </w:t>
      </w:r>
      <w:r w:rsidRPr="0034337D">
        <w:rPr>
          <w:i/>
        </w:rPr>
        <w:t>Electrochemical behaviour of a graphite electrode in propylene carbonate and 1,3-benzodioxol-2-one based electrolyte system.</w:t>
      </w:r>
      <w:r w:rsidRPr="0034337D">
        <w:t xml:space="preserve"> Journal of Power Sources, 1998. </w:t>
      </w:r>
      <w:r w:rsidRPr="0034337D">
        <w:rPr>
          <w:b/>
        </w:rPr>
        <w:t>74</w:t>
      </w:r>
      <w:r w:rsidRPr="0034337D">
        <w:t>(1): p. 142-145.</w:t>
      </w:r>
    </w:p>
    <w:p w14:paraId="55D1D7E2" w14:textId="77777777" w:rsidR="0034337D" w:rsidRPr="0034337D" w:rsidRDefault="0034337D" w:rsidP="0034337D">
      <w:pPr>
        <w:pStyle w:val="EndNoteBibliography"/>
        <w:spacing w:after="0"/>
        <w:ind w:left="720" w:hanging="720"/>
      </w:pPr>
      <w:r w:rsidRPr="0034337D">
        <w:t>108.</w:t>
      </w:r>
      <w:r w:rsidRPr="0034337D">
        <w:tab/>
        <w:t xml:space="preserve">Ping, P., et al., </w:t>
      </w:r>
      <w:r w:rsidRPr="0034337D">
        <w:rPr>
          <w:i/>
        </w:rPr>
        <w:t>Effect of sulfites on the performance of LiBOB/γ-butyrolactone electrolytes.</w:t>
      </w:r>
      <w:r w:rsidRPr="0034337D">
        <w:t xml:space="preserve"> Journal of Power Sources, 2011. </w:t>
      </w:r>
      <w:r w:rsidRPr="0034337D">
        <w:rPr>
          <w:b/>
        </w:rPr>
        <w:t>196</w:t>
      </w:r>
      <w:r w:rsidRPr="0034337D">
        <w:t>(2): p. 776-783.</w:t>
      </w:r>
    </w:p>
    <w:p w14:paraId="6B62511E" w14:textId="77777777" w:rsidR="0034337D" w:rsidRPr="0034337D" w:rsidRDefault="0034337D" w:rsidP="0034337D">
      <w:pPr>
        <w:pStyle w:val="EndNoteBibliography"/>
        <w:spacing w:after="0"/>
        <w:ind w:left="720" w:hanging="720"/>
      </w:pPr>
      <w:r w:rsidRPr="0034337D">
        <w:t>109.</w:t>
      </w:r>
      <w:r w:rsidRPr="0034337D">
        <w:tab/>
        <w:t xml:space="preserve">Bhatt, M.D. and C. O’Dwyer, </w:t>
      </w:r>
      <w:r w:rsidRPr="0034337D">
        <w:rPr>
          <w:i/>
        </w:rPr>
        <w:t>The Role of Carbonate and Sulfite Additives in Propylene Carbonate-Based Electrolytes on the Formation of SEI Layers at Graphitic Li-Ion Battery Anodes.</w:t>
      </w:r>
      <w:r w:rsidRPr="0034337D">
        <w:t xml:space="preserve"> Journal of The Electrochemical Society, 2014. </w:t>
      </w:r>
      <w:r w:rsidRPr="0034337D">
        <w:rPr>
          <w:b/>
        </w:rPr>
        <w:t>161</w:t>
      </w:r>
      <w:r w:rsidRPr="0034337D">
        <w:t>(9): p. A1415-A1421.</w:t>
      </w:r>
    </w:p>
    <w:p w14:paraId="4A88C900" w14:textId="77777777" w:rsidR="0034337D" w:rsidRPr="0034337D" w:rsidRDefault="0034337D" w:rsidP="0034337D">
      <w:pPr>
        <w:pStyle w:val="EndNoteBibliography"/>
        <w:spacing w:after="0"/>
        <w:ind w:left="720" w:hanging="720"/>
      </w:pPr>
      <w:r w:rsidRPr="0034337D">
        <w:t>110.</w:t>
      </w:r>
      <w:r w:rsidRPr="0034337D">
        <w:tab/>
        <w:t xml:space="preserve">Yao, W., et al., </w:t>
      </w:r>
      <w:r w:rsidRPr="0034337D">
        <w:rPr>
          <w:i/>
        </w:rPr>
        <w:t>Vinyl ethylene sulfite as a new additive in propylene carbonate-based electrolyte for lithium ion batteries.</w:t>
      </w:r>
      <w:r w:rsidRPr="0034337D">
        <w:t xml:space="preserve"> Energy &amp; Environmental Science, 2009. </w:t>
      </w:r>
      <w:r w:rsidRPr="0034337D">
        <w:rPr>
          <w:b/>
        </w:rPr>
        <w:t>2</w:t>
      </w:r>
      <w:r w:rsidRPr="0034337D">
        <w:t>(10): p. 1102-1108.</w:t>
      </w:r>
    </w:p>
    <w:p w14:paraId="51655DEE" w14:textId="77777777" w:rsidR="0034337D" w:rsidRPr="0034337D" w:rsidRDefault="0034337D" w:rsidP="0034337D">
      <w:pPr>
        <w:pStyle w:val="EndNoteBibliography"/>
        <w:spacing w:after="0"/>
        <w:ind w:left="720" w:hanging="720"/>
      </w:pPr>
      <w:r w:rsidRPr="0034337D">
        <w:t>111.</w:t>
      </w:r>
      <w:r w:rsidRPr="0034337D">
        <w:tab/>
        <w:t xml:space="preserve">Xu, M., et al., </w:t>
      </w:r>
      <w:r w:rsidRPr="0034337D">
        <w:rPr>
          <w:i/>
        </w:rPr>
        <w:t>Effect of Butyl Sultone on the Li-ion Battery Performance and Interface of Graphite Electrode.</w:t>
      </w:r>
      <w:r w:rsidRPr="0034337D">
        <w:t xml:space="preserve"> Acta Physico-Chimica Sinica, 2006. </w:t>
      </w:r>
      <w:r w:rsidRPr="0034337D">
        <w:rPr>
          <w:b/>
        </w:rPr>
        <w:t>22</w:t>
      </w:r>
      <w:r w:rsidRPr="0034337D">
        <w:t>(3): p. 335-340.</w:t>
      </w:r>
    </w:p>
    <w:p w14:paraId="54C9D625" w14:textId="77777777" w:rsidR="0034337D" w:rsidRPr="0034337D" w:rsidRDefault="0034337D" w:rsidP="0034337D">
      <w:pPr>
        <w:pStyle w:val="EndNoteBibliography"/>
        <w:spacing w:after="0"/>
        <w:ind w:left="720" w:hanging="720"/>
      </w:pPr>
      <w:r w:rsidRPr="0034337D">
        <w:t>112.</w:t>
      </w:r>
      <w:r w:rsidRPr="0034337D">
        <w:tab/>
        <w:t xml:space="preserve">Nie, M., et al., </w:t>
      </w:r>
      <w:r w:rsidRPr="0034337D">
        <w:rPr>
          <w:i/>
        </w:rPr>
        <w:t>A Comparative Study of Pyridine Containing Lewis Acid-Base Adducts as Additives for Li[Ni0.5Mn0.3Co0.2]O2/graphite Pouch Cells.</w:t>
      </w:r>
      <w:r w:rsidRPr="0034337D">
        <w:t xml:space="preserve"> Journal of The Electrochemical Society, 2016. </w:t>
      </w:r>
      <w:r w:rsidRPr="0034337D">
        <w:rPr>
          <w:b/>
        </w:rPr>
        <w:t>163</w:t>
      </w:r>
      <w:r w:rsidRPr="0034337D">
        <w:t>(9): p. A2124-A2130.</w:t>
      </w:r>
    </w:p>
    <w:p w14:paraId="04C9056F" w14:textId="77777777" w:rsidR="0034337D" w:rsidRPr="0034337D" w:rsidRDefault="0034337D" w:rsidP="0034337D">
      <w:pPr>
        <w:pStyle w:val="EndNoteBibliography"/>
        <w:spacing w:after="0"/>
        <w:ind w:left="720" w:hanging="720"/>
      </w:pPr>
      <w:r w:rsidRPr="0034337D">
        <w:t>113.</w:t>
      </w:r>
      <w:r w:rsidRPr="0034337D">
        <w:tab/>
        <w:t xml:space="preserve">Xu, M., et al., </w:t>
      </w:r>
      <w:r w:rsidRPr="0034337D">
        <w:rPr>
          <w:i/>
        </w:rPr>
        <w:t>Investigation and application of lithium difluoro(oxalate)borate (LiDFOB) as additive to improve the thermal stability of electrolyte for lithium-ion batteries.</w:t>
      </w:r>
      <w:r w:rsidRPr="0034337D">
        <w:t xml:space="preserve"> Journal of Power Sources, 2011. </w:t>
      </w:r>
      <w:r w:rsidRPr="0034337D">
        <w:rPr>
          <w:b/>
        </w:rPr>
        <w:t>196</w:t>
      </w:r>
      <w:r w:rsidRPr="0034337D">
        <w:t>(16): p. 6794-6801.</w:t>
      </w:r>
    </w:p>
    <w:p w14:paraId="50B294A6" w14:textId="77777777" w:rsidR="0034337D" w:rsidRPr="0034337D" w:rsidRDefault="0034337D" w:rsidP="0034337D">
      <w:pPr>
        <w:pStyle w:val="EndNoteBibliography"/>
        <w:spacing w:after="0"/>
        <w:ind w:left="720" w:hanging="720"/>
      </w:pPr>
      <w:r w:rsidRPr="0034337D">
        <w:t>114.</w:t>
      </w:r>
      <w:r w:rsidRPr="0034337D">
        <w:tab/>
        <w:t xml:space="preserve">Kaymaksiz, S., et al., </w:t>
      </w:r>
      <w:r w:rsidRPr="0034337D">
        <w:rPr>
          <w:i/>
        </w:rPr>
        <w:t>Electrochemical stability of lithium salicylato-borates as electrolyte additives in Li-ion batteries.</w:t>
      </w:r>
      <w:r w:rsidRPr="0034337D">
        <w:t xml:space="preserve"> Journal of Power Sources, 2013. </w:t>
      </w:r>
      <w:r w:rsidRPr="0034337D">
        <w:rPr>
          <w:b/>
        </w:rPr>
        <w:t>239</w:t>
      </w:r>
      <w:r w:rsidRPr="0034337D">
        <w:t>: p. 659-669.</w:t>
      </w:r>
    </w:p>
    <w:p w14:paraId="20AD1B05" w14:textId="77777777" w:rsidR="0034337D" w:rsidRPr="0034337D" w:rsidRDefault="0034337D" w:rsidP="0034337D">
      <w:pPr>
        <w:pStyle w:val="EndNoteBibliography"/>
        <w:spacing w:after="0"/>
        <w:ind w:left="720" w:hanging="720"/>
      </w:pPr>
      <w:r w:rsidRPr="0034337D">
        <w:t>115.</w:t>
      </w:r>
      <w:r w:rsidRPr="0034337D">
        <w:tab/>
        <w:t xml:space="preserve">Shah, F.U., et al., </w:t>
      </w:r>
      <w:r w:rsidRPr="0034337D">
        <w:rPr>
          <w:i/>
        </w:rPr>
        <w:t>Transport and Association of Ions in Lithium Battery Electrolytes Based on Glycol Ether Mixed with Halogen-Free Orthoborate Ionic Liquid.</w:t>
      </w:r>
      <w:r w:rsidRPr="0034337D">
        <w:t xml:space="preserve"> Scientific Reports, 2017. </w:t>
      </w:r>
      <w:r w:rsidRPr="0034337D">
        <w:rPr>
          <w:b/>
        </w:rPr>
        <w:t>7</w:t>
      </w:r>
      <w:r w:rsidRPr="0034337D">
        <w:t>(1): p. 16340.</w:t>
      </w:r>
    </w:p>
    <w:p w14:paraId="24484DA2" w14:textId="77777777" w:rsidR="0034337D" w:rsidRPr="0034337D" w:rsidRDefault="0034337D" w:rsidP="0034337D">
      <w:pPr>
        <w:pStyle w:val="EndNoteBibliography"/>
        <w:spacing w:after="0"/>
        <w:ind w:left="720" w:hanging="720"/>
      </w:pPr>
      <w:r w:rsidRPr="0034337D">
        <w:t>116.</w:t>
      </w:r>
      <w:r w:rsidRPr="0034337D">
        <w:tab/>
        <w:t xml:space="preserve">Zhong, Z., et al., </w:t>
      </w:r>
      <w:r w:rsidRPr="0034337D">
        <w:rPr>
          <w:i/>
        </w:rPr>
        <w:t>Synthesis and aqueous phase behavior of thermoresponsive biodegradable poly(D,L-3-methylglycolide)-block-poly(ethylene glycol)-block-poly(D,L-3-methylglycolide) triblock copolymers.</w:t>
      </w:r>
      <w:r w:rsidRPr="0034337D">
        <w:t xml:space="preserve"> 2002. </w:t>
      </w:r>
      <w:r w:rsidRPr="0034337D">
        <w:rPr>
          <w:b/>
        </w:rPr>
        <w:t>203</w:t>
      </w:r>
      <w:r w:rsidRPr="0034337D">
        <w:t>(12): p. 1797-1803.</w:t>
      </w:r>
    </w:p>
    <w:p w14:paraId="490783BC" w14:textId="77777777" w:rsidR="0034337D" w:rsidRPr="0034337D" w:rsidRDefault="0034337D" w:rsidP="0034337D">
      <w:pPr>
        <w:pStyle w:val="EndNoteBibliography"/>
        <w:spacing w:after="0"/>
        <w:ind w:left="720" w:hanging="720"/>
      </w:pPr>
      <w:r w:rsidRPr="0034337D">
        <w:t>117.</w:t>
      </w:r>
      <w:r w:rsidRPr="0034337D">
        <w:tab/>
        <w:t xml:space="preserve">Lee, J.H., et al., </w:t>
      </w:r>
      <w:r w:rsidRPr="0034337D">
        <w:rPr>
          <w:i/>
        </w:rPr>
        <w:t>Toward Ultrahigh-Capacity V2O5 Lithium-Ion Battery Cathodes via One-Pot Synthetic Route from Precursors to Electrode Sheets.</w:t>
      </w:r>
      <w:r w:rsidRPr="0034337D">
        <w:t xml:space="preserve"> Advanced Materials Interfaces, 2016. </w:t>
      </w:r>
      <w:r w:rsidRPr="0034337D">
        <w:rPr>
          <w:b/>
        </w:rPr>
        <w:t>3</w:t>
      </w:r>
      <w:r w:rsidRPr="0034337D">
        <w:t>(14): p. 1600173.</w:t>
      </w:r>
    </w:p>
    <w:p w14:paraId="37526E42" w14:textId="77777777" w:rsidR="0034337D" w:rsidRPr="0034337D" w:rsidRDefault="0034337D" w:rsidP="0034337D">
      <w:pPr>
        <w:pStyle w:val="EndNoteBibliography"/>
        <w:spacing w:after="0"/>
        <w:ind w:left="720" w:hanging="720"/>
      </w:pPr>
      <w:r w:rsidRPr="0034337D">
        <w:t>118.</w:t>
      </w:r>
      <w:r w:rsidRPr="0034337D">
        <w:tab/>
        <w:t xml:space="preserve">Holtstiege, F., et al., </w:t>
      </w:r>
      <w:r w:rsidRPr="0034337D">
        <w:rPr>
          <w:i/>
        </w:rPr>
        <w:t>Pre-Lithiation Strategies for Rechargeable Energy Storage Technologies: Concepts, Promises and Challenges.</w:t>
      </w:r>
      <w:r w:rsidRPr="0034337D">
        <w:t xml:space="preserve"> Batteries, 2018. </w:t>
      </w:r>
      <w:r w:rsidRPr="0034337D">
        <w:rPr>
          <w:b/>
        </w:rPr>
        <w:t>4</w:t>
      </w:r>
      <w:r w:rsidRPr="0034337D">
        <w:t>(1): p. 4.</w:t>
      </w:r>
    </w:p>
    <w:p w14:paraId="373C0589" w14:textId="77777777" w:rsidR="0034337D" w:rsidRPr="0034337D" w:rsidRDefault="0034337D" w:rsidP="0034337D">
      <w:pPr>
        <w:pStyle w:val="EndNoteBibliography"/>
        <w:spacing w:after="0"/>
        <w:ind w:left="720" w:hanging="720"/>
      </w:pPr>
      <w:r w:rsidRPr="0034337D">
        <w:t>119.</w:t>
      </w:r>
      <w:r w:rsidRPr="0034337D">
        <w:tab/>
        <w:t xml:space="preserve">Sun, Y., et al., </w:t>
      </w:r>
      <w:r w:rsidRPr="0034337D">
        <w:rPr>
          <w:i/>
        </w:rPr>
        <w:t>Lithium Sulfide/Metal Nanocomposite as a High-Capacity Cathode Prelithiation Material.</w:t>
      </w:r>
      <w:r w:rsidRPr="0034337D">
        <w:t xml:space="preserve"> Advanced Energy Materials, 2016. </w:t>
      </w:r>
      <w:r w:rsidRPr="0034337D">
        <w:rPr>
          <w:b/>
        </w:rPr>
        <w:t>6</w:t>
      </w:r>
      <w:r w:rsidRPr="0034337D">
        <w:t>(12): p. 1600154.</w:t>
      </w:r>
    </w:p>
    <w:p w14:paraId="51EBCE52" w14:textId="77777777" w:rsidR="0034337D" w:rsidRPr="0034337D" w:rsidRDefault="0034337D" w:rsidP="0034337D">
      <w:pPr>
        <w:pStyle w:val="EndNoteBibliography"/>
        <w:spacing w:after="0"/>
        <w:ind w:left="720" w:hanging="720"/>
      </w:pPr>
      <w:r w:rsidRPr="0034337D">
        <w:t>120.</w:t>
      </w:r>
      <w:r w:rsidRPr="0034337D">
        <w:tab/>
        <w:t xml:space="preserve">Park, K., B.-C. Yu, and J.B. Goodenough, </w:t>
      </w:r>
      <w:r w:rsidRPr="0034337D">
        <w:rPr>
          <w:i/>
        </w:rPr>
        <w:t>Li3N as a Cathode Additive for High-Energy-Density Lithium-Ion Batteries.</w:t>
      </w:r>
      <w:r w:rsidRPr="0034337D">
        <w:t xml:space="preserve"> Advanced Energy Materials, 2016. </w:t>
      </w:r>
      <w:r w:rsidRPr="0034337D">
        <w:rPr>
          <w:b/>
        </w:rPr>
        <w:t>6</w:t>
      </w:r>
      <w:r w:rsidRPr="0034337D">
        <w:t>(10): p. 1502534.</w:t>
      </w:r>
    </w:p>
    <w:p w14:paraId="594273C4" w14:textId="77777777" w:rsidR="0034337D" w:rsidRPr="0034337D" w:rsidRDefault="0034337D" w:rsidP="0034337D">
      <w:pPr>
        <w:pStyle w:val="EndNoteBibliography"/>
        <w:spacing w:after="0"/>
        <w:ind w:left="720" w:hanging="720"/>
      </w:pPr>
      <w:r w:rsidRPr="0034337D">
        <w:t>121.</w:t>
      </w:r>
      <w:r w:rsidRPr="0034337D">
        <w:tab/>
        <w:t xml:space="preserve">Sun, Y., et al., </w:t>
      </w:r>
      <w:r w:rsidRPr="0034337D">
        <w:rPr>
          <w:i/>
        </w:rPr>
        <w:t>Stabilized Li3N for efficient battery cathode prelithiation.</w:t>
      </w:r>
      <w:r w:rsidRPr="0034337D">
        <w:t xml:space="preserve"> Energy Storage Materials, 2017. </w:t>
      </w:r>
      <w:r w:rsidRPr="0034337D">
        <w:rPr>
          <w:b/>
        </w:rPr>
        <w:t>6</w:t>
      </w:r>
      <w:r w:rsidRPr="0034337D">
        <w:t>: p. 119-124.</w:t>
      </w:r>
    </w:p>
    <w:p w14:paraId="30A36403" w14:textId="77777777" w:rsidR="0034337D" w:rsidRPr="0034337D" w:rsidRDefault="0034337D" w:rsidP="0034337D">
      <w:pPr>
        <w:pStyle w:val="EndNoteBibliography"/>
        <w:spacing w:after="0"/>
        <w:ind w:left="720" w:hanging="720"/>
      </w:pPr>
      <w:r w:rsidRPr="0034337D">
        <w:t>122.</w:t>
      </w:r>
      <w:r w:rsidRPr="0034337D">
        <w:tab/>
        <w:t xml:space="preserve">Park, H., et al., </w:t>
      </w:r>
      <w:r w:rsidRPr="0034337D">
        <w:rPr>
          <w:i/>
        </w:rPr>
        <w:t>Li2NiO2 as a sacrificing positive additive for lithium-ion batteries.</w:t>
      </w:r>
      <w:r w:rsidRPr="0034337D">
        <w:t xml:space="preserve"> Electrochimica Acta, 2013. </w:t>
      </w:r>
      <w:r w:rsidRPr="0034337D">
        <w:rPr>
          <w:b/>
        </w:rPr>
        <w:t>108</w:t>
      </w:r>
      <w:r w:rsidRPr="0034337D">
        <w:t>: p. 591-595.</w:t>
      </w:r>
    </w:p>
    <w:p w14:paraId="0218A4C5" w14:textId="77777777" w:rsidR="0034337D" w:rsidRPr="0034337D" w:rsidRDefault="0034337D" w:rsidP="0034337D">
      <w:pPr>
        <w:pStyle w:val="EndNoteBibliography"/>
        <w:spacing w:after="0"/>
        <w:ind w:left="720" w:hanging="720"/>
      </w:pPr>
      <w:r w:rsidRPr="0034337D">
        <w:t>123.</w:t>
      </w:r>
      <w:r w:rsidRPr="0034337D">
        <w:tab/>
        <w:t xml:space="preserve">Kim, M.G. and J. Cho, </w:t>
      </w:r>
      <w:r w:rsidRPr="0034337D">
        <w:rPr>
          <w:i/>
        </w:rPr>
        <w:t>Air stable Al2O3-coated Li2NiO2 cathode additive as a surplus current consumer in a Li-ion cell.</w:t>
      </w:r>
      <w:r w:rsidRPr="0034337D">
        <w:t xml:space="preserve"> Journal of Materials Chemistry, 2008. </w:t>
      </w:r>
      <w:r w:rsidRPr="0034337D">
        <w:rPr>
          <w:b/>
        </w:rPr>
        <w:t>18</w:t>
      </w:r>
      <w:r w:rsidRPr="0034337D">
        <w:t>(48): p. 5880-5887.</w:t>
      </w:r>
    </w:p>
    <w:p w14:paraId="24A2569E" w14:textId="77777777" w:rsidR="0034337D" w:rsidRPr="0034337D" w:rsidRDefault="0034337D" w:rsidP="0034337D">
      <w:pPr>
        <w:pStyle w:val="EndNoteBibliography"/>
        <w:spacing w:after="0"/>
        <w:ind w:left="720" w:hanging="720"/>
      </w:pPr>
      <w:r w:rsidRPr="0034337D">
        <w:t>124.</w:t>
      </w:r>
      <w:r w:rsidRPr="0034337D">
        <w:tab/>
        <w:t xml:space="preserve">Kasnatscheew, J., et al., </w:t>
      </w:r>
      <w:r w:rsidRPr="0034337D">
        <w:rPr>
          <w:i/>
        </w:rPr>
        <w:t>The truth about the 1st cycle Coulombic efficiency of LiNi1/3Co1/3Mn1/3O2 (NCM) cathodes.</w:t>
      </w:r>
      <w:r w:rsidRPr="0034337D">
        <w:t xml:space="preserve"> Physical Chemistry Chemical Physics, 2016. </w:t>
      </w:r>
      <w:r w:rsidRPr="0034337D">
        <w:rPr>
          <w:b/>
        </w:rPr>
        <w:t>18</w:t>
      </w:r>
      <w:r w:rsidRPr="0034337D">
        <w:t>(5): p. 3956-3965.</w:t>
      </w:r>
    </w:p>
    <w:p w14:paraId="24193FB1" w14:textId="77777777" w:rsidR="0034337D" w:rsidRPr="0034337D" w:rsidRDefault="0034337D" w:rsidP="0034337D">
      <w:pPr>
        <w:pStyle w:val="EndNoteBibliography"/>
        <w:spacing w:after="0"/>
        <w:ind w:left="720" w:hanging="720"/>
      </w:pPr>
      <w:r w:rsidRPr="0034337D">
        <w:t>125.</w:t>
      </w:r>
      <w:r w:rsidRPr="0034337D">
        <w:tab/>
        <w:t xml:space="preserve">Kasnatscheew, J., et al., </w:t>
      </w:r>
      <w:r w:rsidRPr="0034337D">
        <w:rPr>
          <w:i/>
        </w:rPr>
        <w:t>Improving cycle life of layered lithium transition metal oxide (LiMO2) based positive electrodes for Li ion batteries by smart selection of the electrochemical charge conditions.</w:t>
      </w:r>
      <w:r w:rsidRPr="0034337D">
        <w:t xml:space="preserve"> Journal of Power Sources, 2017. </w:t>
      </w:r>
      <w:r w:rsidRPr="0034337D">
        <w:rPr>
          <w:b/>
        </w:rPr>
        <w:t>359</w:t>
      </w:r>
      <w:r w:rsidRPr="0034337D">
        <w:t>: p. 458-467.</w:t>
      </w:r>
    </w:p>
    <w:p w14:paraId="3EC8D858" w14:textId="77777777" w:rsidR="0034337D" w:rsidRPr="0034337D" w:rsidRDefault="0034337D" w:rsidP="0034337D">
      <w:pPr>
        <w:pStyle w:val="EndNoteBibliography"/>
        <w:spacing w:after="0"/>
        <w:ind w:left="720" w:hanging="720"/>
      </w:pPr>
      <w:r w:rsidRPr="0034337D">
        <w:t>126.</w:t>
      </w:r>
      <w:r w:rsidRPr="0034337D">
        <w:tab/>
        <w:t xml:space="preserve">Aravindan, V., et al., </w:t>
      </w:r>
      <w:r w:rsidRPr="0034337D">
        <w:rPr>
          <w:i/>
        </w:rPr>
        <w:t>Pre-lithiated LixMn2O4: A new approach to mitigate the irreversible capacity loss in negative electrodes for Li-ion battery.</w:t>
      </w:r>
      <w:r w:rsidRPr="0034337D">
        <w:t xml:space="preserve"> Electrochimica Acta, 2016. </w:t>
      </w:r>
      <w:r w:rsidRPr="0034337D">
        <w:rPr>
          <w:b/>
        </w:rPr>
        <w:t>208</w:t>
      </w:r>
      <w:r w:rsidRPr="0034337D">
        <w:t>: p. 225-230.</w:t>
      </w:r>
    </w:p>
    <w:p w14:paraId="7B40AE51" w14:textId="77777777" w:rsidR="0034337D" w:rsidRPr="0034337D" w:rsidRDefault="0034337D" w:rsidP="0034337D">
      <w:pPr>
        <w:pStyle w:val="EndNoteBibliography"/>
        <w:spacing w:after="0"/>
        <w:ind w:left="720" w:hanging="720"/>
      </w:pPr>
      <w:r w:rsidRPr="0034337D">
        <w:t>127.</w:t>
      </w:r>
      <w:r w:rsidRPr="0034337D">
        <w:tab/>
        <w:t xml:space="preserve">Moorhead-Rosenberg, Z., E. Allcorn, and A. Manthiram, </w:t>
      </w:r>
      <w:r w:rsidRPr="0034337D">
        <w:rPr>
          <w:i/>
        </w:rPr>
        <w:t>In Situ Mitigation of First-Cycle Anode Irreversibility in a New Spinel/FeSb Lithium-Ion Cell Enabled via a Microwave-Assisted Chemical Lithiation Process.</w:t>
      </w:r>
      <w:r w:rsidRPr="0034337D">
        <w:t xml:space="preserve"> Chemistry of Materials, 2014. </w:t>
      </w:r>
      <w:r w:rsidRPr="0034337D">
        <w:rPr>
          <w:b/>
        </w:rPr>
        <w:t>26</w:t>
      </w:r>
      <w:r w:rsidRPr="0034337D">
        <w:t>(20): p. 5905-5913.</w:t>
      </w:r>
    </w:p>
    <w:p w14:paraId="0832B62B" w14:textId="77777777" w:rsidR="0034337D" w:rsidRPr="0034337D" w:rsidRDefault="0034337D" w:rsidP="0034337D">
      <w:pPr>
        <w:pStyle w:val="EndNoteBibliography"/>
        <w:spacing w:after="0"/>
        <w:ind w:left="720" w:hanging="720"/>
      </w:pPr>
      <w:r w:rsidRPr="0034337D">
        <w:t>128.</w:t>
      </w:r>
      <w:r w:rsidRPr="0034337D">
        <w:tab/>
        <w:t xml:space="preserve">Gourdin, G., et al., </w:t>
      </w:r>
      <w:r w:rsidRPr="0034337D">
        <w:rPr>
          <w:i/>
        </w:rPr>
        <w:t>Lithiation of amorphous carbon negative electrode for Li ion capacitor.</w:t>
      </w:r>
      <w:r w:rsidRPr="0034337D">
        <w:t xml:space="preserve"> Journal of Electroanalytical Chemistry, 2013. </w:t>
      </w:r>
      <w:r w:rsidRPr="0034337D">
        <w:rPr>
          <w:b/>
        </w:rPr>
        <w:t>688</w:t>
      </w:r>
      <w:r w:rsidRPr="0034337D">
        <w:t>: p. 103-112.</w:t>
      </w:r>
    </w:p>
    <w:p w14:paraId="74FB08F0" w14:textId="77777777" w:rsidR="0034337D" w:rsidRPr="0034337D" w:rsidRDefault="0034337D" w:rsidP="0034337D">
      <w:pPr>
        <w:pStyle w:val="EndNoteBibliography"/>
        <w:spacing w:after="0"/>
        <w:ind w:left="720" w:hanging="720"/>
      </w:pPr>
      <w:r w:rsidRPr="0034337D">
        <w:t>129.</w:t>
      </w:r>
      <w:r w:rsidRPr="0034337D">
        <w:tab/>
        <w:t xml:space="preserve">Aida, T., K. Yamada, and M. Morita, </w:t>
      </w:r>
      <w:r w:rsidRPr="0034337D">
        <w:rPr>
          <w:i/>
        </w:rPr>
        <w:t>An Advanced Hybrid Electrochemical Capacitor That Uses a Wide Potential Range at the Positive Electrode.</w:t>
      </w:r>
      <w:r w:rsidRPr="0034337D">
        <w:t xml:space="preserve"> Electrochemical and Solid-State Letters, 2006. </w:t>
      </w:r>
      <w:r w:rsidRPr="0034337D">
        <w:rPr>
          <w:b/>
        </w:rPr>
        <w:t>9</w:t>
      </w:r>
      <w:r w:rsidRPr="0034337D">
        <w:t>(12): p. A534-A536.</w:t>
      </w:r>
    </w:p>
    <w:p w14:paraId="68D5AD48" w14:textId="77777777" w:rsidR="0034337D" w:rsidRPr="0034337D" w:rsidRDefault="0034337D" w:rsidP="0034337D">
      <w:pPr>
        <w:pStyle w:val="EndNoteBibliography"/>
        <w:spacing w:after="0"/>
        <w:ind w:left="720" w:hanging="720"/>
      </w:pPr>
      <w:r w:rsidRPr="0034337D">
        <w:t>130.</w:t>
      </w:r>
      <w:r w:rsidRPr="0034337D">
        <w:tab/>
        <w:t xml:space="preserve">Zhang, J., Z. Shi, and C. Wang, </w:t>
      </w:r>
      <w:r w:rsidRPr="0034337D">
        <w:rPr>
          <w:i/>
        </w:rPr>
        <w:t>Effect of pre-lithiation degrees of mesocarbon microbeads anode on the electrochemical performance of lithium-ion capacitors.</w:t>
      </w:r>
      <w:r w:rsidRPr="0034337D">
        <w:t xml:space="preserve"> Electrochimica Acta, 2014. </w:t>
      </w:r>
      <w:r w:rsidRPr="0034337D">
        <w:rPr>
          <w:b/>
        </w:rPr>
        <w:t>125</w:t>
      </w:r>
      <w:r w:rsidRPr="0034337D">
        <w:t>: p. 22-28.</w:t>
      </w:r>
    </w:p>
    <w:p w14:paraId="6579923B" w14:textId="77777777" w:rsidR="0034337D" w:rsidRPr="0034337D" w:rsidRDefault="0034337D" w:rsidP="0034337D">
      <w:pPr>
        <w:pStyle w:val="EndNoteBibliography"/>
        <w:spacing w:after="0"/>
        <w:ind w:left="720" w:hanging="720"/>
      </w:pPr>
      <w:r w:rsidRPr="0034337D">
        <w:t>131.</w:t>
      </w:r>
      <w:r w:rsidRPr="0034337D">
        <w:tab/>
        <w:t xml:space="preserve">Scott, M.G., A.H. Whitehead, and J.R. Owen, </w:t>
      </w:r>
      <w:r w:rsidRPr="0034337D">
        <w:rPr>
          <w:i/>
        </w:rPr>
        <w:t>Chemical Formation of a Solid Electrolyte Interface on the Carbon Electrode of a Li‐Ion Cell.</w:t>
      </w:r>
      <w:r w:rsidRPr="0034337D">
        <w:t xml:space="preserve"> Journal of The Electrochemical Society, 1998. </w:t>
      </w:r>
      <w:r w:rsidRPr="0034337D">
        <w:rPr>
          <w:b/>
        </w:rPr>
        <w:t>145</w:t>
      </w:r>
      <w:r w:rsidRPr="0034337D">
        <w:t>(5): p. 1506-1510.</w:t>
      </w:r>
    </w:p>
    <w:p w14:paraId="35951E6B" w14:textId="77777777" w:rsidR="0034337D" w:rsidRPr="0034337D" w:rsidRDefault="0034337D" w:rsidP="0034337D">
      <w:pPr>
        <w:pStyle w:val="EndNoteBibliography"/>
        <w:spacing w:after="0"/>
        <w:ind w:left="720" w:hanging="720"/>
      </w:pPr>
      <w:r w:rsidRPr="0034337D">
        <w:t>132.</w:t>
      </w:r>
      <w:r w:rsidRPr="0034337D">
        <w:tab/>
        <w:t xml:space="preserve">Tsuda, T., et al., </w:t>
      </w:r>
      <w:r w:rsidRPr="0034337D">
        <w:rPr>
          <w:i/>
        </w:rPr>
        <w:t>Fabrication of Porous Graphite Anodes with Pico-Second Pulse Laser and Enhancement of Pre-Doping of Li+ Ions to Laminated Graphite Anodes with Micrometre-Sized Holes Formed on the Porous Graphite Anodes.</w:t>
      </w:r>
      <w:r w:rsidRPr="0034337D">
        <w:t xml:space="preserve"> ECS Transactions, 2017. </w:t>
      </w:r>
      <w:r w:rsidRPr="0034337D">
        <w:rPr>
          <w:b/>
        </w:rPr>
        <w:t>77</w:t>
      </w:r>
      <w:r w:rsidRPr="0034337D">
        <w:t>(11): p. 1897-1903.</w:t>
      </w:r>
    </w:p>
    <w:p w14:paraId="46422442" w14:textId="77777777" w:rsidR="0034337D" w:rsidRPr="0034337D" w:rsidRDefault="0034337D" w:rsidP="0034337D">
      <w:pPr>
        <w:pStyle w:val="EndNoteBibliography"/>
        <w:spacing w:after="0"/>
        <w:ind w:left="720" w:hanging="720"/>
      </w:pPr>
      <w:r w:rsidRPr="0034337D">
        <w:t>133.</w:t>
      </w:r>
      <w:r w:rsidRPr="0034337D">
        <w:tab/>
        <w:t xml:space="preserve">Ando, N., et al., </w:t>
      </w:r>
      <w:r w:rsidRPr="0034337D">
        <w:rPr>
          <w:i/>
        </w:rPr>
        <w:t>Organic electrolyte capacitor</w:t>
      </w:r>
      <w:r w:rsidRPr="0034337D">
        <w:t>. 2005, Google Patents.</w:t>
      </w:r>
    </w:p>
    <w:p w14:paraId="57C82760" w14:textId="77777777" w:rsidR="0034337D" w:rsidRPr="0034337D" w:rsidRDefault="0034337D" w:rsidP="0034337D">
      <w:pPr>
        <w:pStyle w:val="EndNoteBibliography"/>
        <w:spacing w:after="0"/>
        <w:ind w:left="720" w:hanging="720"/>
      </w:pPr>
      <w:r w:rsidRPr="0034337D">
        <w:t>134.</w:t>
      </w:r>
      <w:r w:rsidRPr="0034337D">
        <w:tab/>
        <w:t xml:space="preserve">de la Llave, E., et al., </w:t>
      </w:r>
      <w:r w:rsidRPr="0034337D">
        <w:rPr>
          <w:i/>
        </w:rPr>
        <w:t>Comparison between Na-Ion and Li-Ion Cells: Understanding the Critical Role of the Cathodes Stability and the Anodes Pretreatment on the Cells Behavior.</w:t>
      </w:r>
      <w:r w:rsidRPr="0034337D">
        <w:t xml:space="preserve"> ACS Applied Materials &amp; Interfaces, 2016. </w:t>
      </w:r>
      <w:r w:rsidRPr="0034337D">
        <w:rPr>
          <w:b/>
        </w:rPr>
        <w:t>8</w:t>
      </w:r>
      <w:r w:rsidRPr="0034337D">
        <w:t>(3): p. 1867-1875.</w:t>
      </w:r>
    </w:p>
    <w:p w14:paraId="47B0F26D" w14:textId="77777777" w:rsidR="0034337D" w:rsidRPr="0034337D" w:rsidRDefault="0034337D" w:rsidP="0034337D">
      <w:pPr>
        <w:pStyle w:val="EndNoteBibliography"/>
        <w:spacing w:after="0"/>
        <w:ind w:left="720" w:hanging="720"/>
      </w:pPr>
      <w:r w:rsidRPr="0034337D">
        <w:t>135.</w:t>
      </w:r>
      <w:r w:rsidRPr="0034337D">
        <w:tab/>
        <w:t xml:space="preserve">Nayak, P.K., et al., </w:t>
      </w:r>
      <w:r w:rsidRPr="0034337D">
        <w:rPr>
          <w:i/>
        </w:rPr>
        <w:t>Electrochemical Performance of Li- and Mn-Rich Cathodes in Full Cells with Prelithiated Graphite Negative Electrodes.</w:t>
      </w:r>
      <w:r w:rsidRPr="0034337D">
        <w:t xml:space="preserve"> ACS Energy Letters, 2017. </w:t>
      </w:r>
      <w:r w:rsidRPr="0034337D">
        <w:rPr>
          <w:b/>
        </w:rPr>
        <w:t>2</w:t>
      </w:r>
      <w:r w:rsidRPr="0034337D">
        <w:t>(3): p. 544-548.</w:t>
      </w:r>
    </w:p>
    <w:p w14:paraId="4477AD4A" w14:textId="77777777" w:rsidR="0034337D" w:rsidRPr="0034337D" w:rsidRDefault="0034337D" w:rsidP="0034337D">
      <w:pPr>
        <w:pStyle w:val="EndNoteBibliography"/>
        <w:spacing w:after="0"/>
        <w:ind w:left="720" w:hanging="720"/>
      </w:pPr>
      <w:r w:rsidRPr="0034337D">
        <w:t>136.</w:t>
      </w:r>
      <w:r w:rsidRPr="0034337D">
        <w:tab/>
        <w:t xml:space="preserve">Sun, Y., et al., </w:t>
      </w:r>
      <w:r w:rsidRPr="0034337D">
        <w:rPr>
          <w:i/>
        </w:rPr>
        <w:t>Hybrid lithium-ion capacitors with asymmetric graphene electrodes.</w:t>
      </w:r>
      <w:r w:rsidRPr="0034337D">
        <w:t xml:space="preserve"> Journal of Materials Chemistry A, 2017. </w:t>
      </w:r>
      <w:r w:rsidRPr="0034337D">
        <w:rPr>
          <w:b/>
        </w:rPr>
        <w:t>5</w:t>
      </w:r>
      <w:r w:rsidRPr="0034337D">
        <w:t>(26): p. 13601-13609.</w:t>
      </w:r>
    </w:p>
    <w:p w14:paraId="5DD3990A" w14:textId="77777777" w:rsidR="0034337D" w:rsidRPr="0034337D" w:rsidRDefault="0034337D" w:rsidP="0034337D">
      <w:pPr>
        <w:pStyle w:val="EndNoteBibliography"/>
        <w:spacing w:after="0"/>
        <w:ind w:left="720" w:hanging="720"/>
      </w:pPr>
      <w:r w:rsidRPr="0034337D">
        <w:t>137.</w:t>
      </w:r>
      <w:r w:rsidRPr="0034337D">
        <w:tab/>
        <w:t xml:space="preserve">Kim, H.J., et al., </w:t>
      </w:r>
      <w:r w:rsidRPr="0034337D">
        <w:rPr>
          <w:i/>
        </w:rPr>
        <w:t>Controlled Prelithiation of Silicon Monoxide for High Performance Lithium-Ion Rechargeable Full Cells.</w:t>
      </w:r>
      <w:r w:rsidRPr="0034337D">
        <w:t xml:space="preserve"> Nano Letters, 2016. </w:t>
      </w:r>
      <w:r w:rsidRPr="0034337D">
        <w:rPr>
          <w:b/>
        </w:rPr>
        <w:t>16</w:t>
      </w:r>
      <w:r w:rsidRPr="0034337D">
        <w:t>(1): p. 282-288.</w:t>
      </w:r>
    </w:p>
    <w:p w14:paraId="726BA25C" w14:textId="77777777" w:rsidR="0034337D" w:rsidRPr="0034337D" w:rsidRDefault="0034337D" w:rsidP="0034337D">
      <w:pPr>
        <w:pStyle w:val="EndNoteBibliography"/>
        <w:spacing w:after="0"/>
        <w:ind w:left="720" w:hanging="720"/>
      </w:pPr>
      <w:r w:rsidRPr="0034337D">
        <w:t>138.</w:t>
      </w:r>
      <w:r w:rsidRPr="0034337D">
        <w:tab/>
        <w:t xml:space="preserve">Zhou, H., X. Wang, and D. Chen, </w:t>
      </w:r>
      <w:r w:rsidRPr="0034337D">
        <w:rPr>
          <w:i/>
        </w:rPr>
        <w:t>Li-Metal-Free Prelithiation of Si-Based Negative Electrodes for Full Li-Ion Batteries.</w:t>
      </w:r>
      <w:r w:rsidRPr="0034337D">
        <w:t xml:space="preserve"> ChemSusChem, 2015. </w:t>
      </w:r>
      <w:r w:rsidRPr="0034337D">
        <w:rPr>
          <w:b/>
        </w:rPr>
        <w:t>8</w:t>
      </w:r>
      <w:r w:rsidRPr="0034337D">
        <w:t>(16): p. 2737-2744.</w:t>
      </w:r>
    </w:p>
    <w:p w14:paraId="185F080C" w14:textId="77777777" w:rsidR="0034337D" w:rsidRPr="0034337D" w:rsidRDefault="0034337D" w:rsidP="0034337D">
      <w:pPr>
        <w:pStyle w:val="EndNoteBibliography"/>
        <w:spacing w:after="0"/>
        <w:ind w:left="720" w:hanging="720"/>
      </w:pPr>
      <w:r w:rsidRPr="0034337D">
        <w:t>139.</w:t>
      </w:r>
      <w:r w:rsidRPr="0034337D">
        <w:tab/>
        <w:t xml:space="preserve">Bruce, P.G. and A.R. West, </w:t>
      </w:r>
      <w:r w:rsidRPr="0034337D">
        <w:rPr>
          <w:i/>
        </w:rPr>
        <w:t>Ionic conductivity of LISICON solid solutions, Li2+2xZn1−xGeO4.</w:t>
      </w:r>
      <w:r w:rsidRPr="0034337D">
        <w:t xml:space="preserve"> Journal of Solid State Chemistry, 1982. </w:t>
      </w:r>
      <w:r w:rsidRPr="0034337D">
        <w:rPr>
          <w:b/>
        </w:rPr>
        <w:t>44</w:t>
      </w:r>
      <w:r w:rsidRPr="0034337D">
        <w:t>(3): p. 354-365.</w:t>
      </w:r>
    </w:p>
    <w:p w14:paraId="1B19EDC5" w14:textId="77777777" w:rsidR="0034337D" w:rsidRPr="0034337D" w:rsidRDefault="0034337D" w:rsidP="0034337D">
      <w:pPr>
        <w:pStyle w:val="EndNoteBibliography"/>
        <w:spacing w:after="0"/>
        <w:ind w:left="720" w:hanging="720"/>
      </w:pPr>
      <w:r w:rsidRPr="0034337D">
        <w:t>140.</w:t>
      </w:r>
      <w:r w:rsidRPr="0034337D">
        <w:tab/>
        <w:t xml:space="preserve">Sun, H., et al., </w:t>
      </w:r>
      <w:r w:rsidRPr="0034337D">
        <w:rPr>
          <w:i/>
        </w:rPr>
        <w:t>Hard carbon/lithium composite anode materials for Li-ion batteries.</w:t>
      </w:r>
      <w:r w:rsidRPr="0034337D">
        <w:t xml:space="preserve"> Electrochimica Acta, 2007. </w:t>
      </w:r>
      <w:r w:rsidRPr="0034337D">
        <w:rPr>
          <w:b/>
        </w:rPr>
        <w:t>52</w:t>
      </w:r>
      <w:r w:rsidRPr="0034337D">
        <w:t>(13): p. 4312-4316.</w:t>
      </w:r>
    </w:p>
    <w:p w14:paraId="205DB4C3" w14:textId="77777777" w:rsidR="0034337D" w:rsidRPr="0034337D" w:rsidRDefault="0034337D" w:rsidP="0034337D">
      <w:pPr>
        <w:pStyle w:val="EndNoteBibliography"/>
        <w:spacing w:after="0"/>
        <w:ind w:left="720" w:hanging="720"/>
      </w:pPr>
      <w:r w:rsidRPr="0034337D">
        <w:t>141.</w:t>
      </w:r>
      <w:r w:rsidRPr="0034337D">
        <w:tab/>
        <w:t xml:space="preserve">Fei, L., et al., </w:t>
      </w:r>
      <w:r w:rsidRPr="0034337D">
        <w:rPr>
          <w:i/>
        </w:rPr>
        <w:t>Graphene Oxide Involved Air-Controlled Electrospray for Uniform, Fast, Instantly Dry, and Binder-Free Electrode Fabrication.</w:t>
      </w:r>
      <w:r w:rsidRPr="0034337D">
        <w:t xml:space="preserve"> ACS Applied Materials &amp; Interfaces, 2017. </w:t>
      </w:r>
      <w:r w:rsidRPr="0034337D">
        <w:rPr>
          <w:b/>
        </w:rPr>
        <w:t>9</w:t>
      </w:r>
      <w:r w:rsidRPr="0034337D">
        <w:t>(11): p. 9738-9746.</w:t>
      </w:r>
    </w:p>
    <w:p w14:paraId="1ABD0C75" w14:textId="77777777" w:rsidR="0034337D" w:rsidRPr="0034337D" w:rsidRDefault="0034337D" w:rsidP="0034337D">
      <w:pPr>
        <w:pStyle w:val="EndNoteBibliography"/>
        <w:spacing w:after="0"/>
        <w:ind w:left="720" w:hanging="720"/>
      </w:pPr>
      <w:r w:rsidRPr="0034337D">
        <w:t>142.</w:t>
      </w:r>
      <w:r w:rsidRPr="0034337D">
        <w:tab/>
        <w:t xml:space="preserve">Jarvis, C.R., et al., </w:t>
      </w:r>
      <w:r w:rsidRPr="0034337D">
        <w:rPr>
          <w:i/>
        </w:rPr>
        <w:t>A prelithiated carbon anode for lithium-ion battery applications.</w:t>
      </w:r>
      <w:r w:rsidRPr="0034337D">
        <w:t xml:space="preserve"> Journal of Power Sources, 2006. </w:t>
      </w:r>
      <w:r w:rsidRPr="0034337D">
        <w:rPr>
          <w:b/>
        </w:rPr>
        <w:t>162</w:t>
      </w:r>
      <w:r w:rsidRPr="0034337D">
        <w:t>(2): p. 800-802.</w:t>
      </w:r>
    </w:p>
    <w:p w14:paraId="6C62F372" w14:textId="77777777" w:rsidR="0034337D" w:rsidRPr="0034337D" w:rsidRDefault="0034337D" w:rsidP="0034337D">
      <w:pPr>
        <w:pStyle w:val="EndNoteBibliography"/>
        <w:spacing w:after="0"/>
        <w:ind w:left="720" w:hanging="720"/>
      </w:pPr>
      <w:r w:rsidRPr="0034337D">
        <w:t>143.</w:t>
      </w:r>
      <w:r w:rsidRPr="0034337D">
        <w:tab/>
        <w:t xml:space="preserve">Wang, L., et al., </w:t>
      </w:r>
      <w:r w:rsidRPr="0034337D">
        <w:rPr>
          <w:i/>
        </w:rPr>
        <w:t>SBR–PVDF based binder for the application of SLMP in graphite anodes.</w:t>
      </w:r>
      <w:r w:rsidRPr="0034337D">
        <w:t xml:space="preserve"> RSC Advances, 2013. </w:t>
      </w:r>
      <w:r w:rsidRPr="0034337D">
        <w:rPr>
          <w:b/>
        </w:rPr>
        <w:t>3</w:t>
      </w:r>
      <w:r w:rsidRPr="0034337D">
        <w:t>(35): p. 15022-15027.</w:t>
      </w:r>
    </w:p>
    <w:p w14:paraId="7FB6E921" w14:textId="77777777" w:rsidR="0034337D" w:rsidRPr="0034337D" w:rsidRDefault="0034337D" w:rsidP="0034337D">
      <w:pPr>
        <w:pStyle w:val="EndNoteBibliography"/>
        <w:spacing w:after="0"/>
        <w:ind w:left="720" w:hanging="720"/>
      </w:pPr>
      <w:r w:rsidRPr="0034337D">
        <w:t>144.</w:t>
      </w:r>
      <w:r w:rsidRPr="0034337D">
        <w:tab/>
        <w:t xml:space="preserve">Shellikeri, A., et al., </w:t>
      </w:r>
      <w:r w:rsidRPr="0034337D">
        <w:rPr>
          <w:i/>
        </w:rPr>
        <w:t>Investigation of Pre-lithiation in Graphite and Hard-Carbon Anodes Using Different Lithium Source Structures.</w:t>
      </w:r>
      <w:r w:rsidRPr="0034337D">
        <w:t xml:space="preserve"> Journal of The Electrochemical Society, 2017. </w:t>
      </w:r>
      <w:r w:rsidRPr="0034337D">
        <w:rPr>
          <w:b/>
        </w:rPr>
        <w:t>164</w:t>
      </w:r>
      <w:r w:rsidRPr="0034337D">
        <w:t>(14): p. A3914-A3924.</w:t>
      </w:r>
    </w:p>
    <w:p w14:paraId="3F69A41A" w14:textId="77777777" w:rsidR="0034337D" w:rsidRPr="0034337D" w:rsidRDefault="0034337D" w:rsidP="0034337D">
      <w:pPr>
        <w:pStyle w:val="EndNoteBibliography"/>
        <w:spacing w:after="0"/>
        <w:ind w:left="720" w:hanging="720"/>
      </w:pPr>
      <w:r w:rsidRPr="0034337D">
        <w:t>145.</w:t>
      </w:r>
      <w:r w:rsidRPr="0034337D">
        <w:tab/>
        <w:t xml:space="preserve">Shellikeri, A., et al., </w:t>
      </w:r>
      <w:r w:rsidRPr="0034337D">
        <w:rPr>
          <w:i/>
        </w:rPr>
        <w:t>Pre-Lithiation of Carbon Anodes Using Different Lithium - Sources.</w:t>
      </w:r>
      <w:r w:rsidRPr="0034337D">
        <w:t xml:space="preserve"> ECS Transactions, 2017. </w:t>
      </w:r>
      <w:r w:rsidRPr="0034337D">
        <w:rPr>
          <w:b/>
        </w:rPr>
        <w:t>77</w:t>
      </w:r>
      <w:r w:rsidRPr="0034337D">
        <w:t>(11): p. 293-303.</w:t>
      </w:r>
    </w:p>
    <w:p w14:paraId="087D7EE0" w14:textId="77777777" w:rsidR="0034337D" w:rsidRPr="0034337D" w:rsidRDefault="0034337D" w:rsidP="0034337D">
      <w:pPr>
        <w:pStyle w:val="EndNoteBibliography"/>
        <w:spacing w:after="0"/>
        <w:ind w:left="720" w:hanging="720"/>
      </w:pPr>
      <w:r w:rsidRPr="0034337D">
        <w:t>146.</w:t>
      </w:r>
      <w:r w:rsidRPr="0034337D">
        <w:tab/>
        <w:t xml:space="preserve">Zhao, J., et al., </w:t>
      </w:r>
      <w:r w:rsidRPr="0034337D">
        <w:rPr>
          <w:i/>
        </w:rPr>
        <w:t>Dry-air-stable lithium silicide–lithium oxide core–shell nanoparticles as high-capacity prelithiation reagents.</w:t>
      </w:r>
      <w:r w:rsidRPr="0034337D">
        <w:t xml:space="preserve"> Nature Communications, 2014. </w:t>
      </w:r>
      <w:r w:rsidRPr="0034337D">
        <w:rPr>
          <w:b/>
        </w:rPr>
        <w:t>5</w:t>
      </w:r>
      <w:r w:rsidRPr="0034337D">
        <w:t>: p. 5088.</w:t>
      </w:r>
    </w:p>
    <w:p w14:paraId="256AA258" w14:textId="77777777" w:rsidR="0034337D" w:rsidRPr="0034337D" w:rsidRDefault="0034337D" w:rsidP="0034337D">
      <w:pPr>
        <w:pStyle w:val="EndNoteBibliography"/>
        <w:spacing w:after="0"/>
        <w:ind w:left="720" w:hanging="720"/>
      </w:pPr>
      <w:r w:rsidRPr="0034337D">
        <w:t>147.</w:t>
      </w:r>
      <w:r w:rsidRPr="0034337D">
        <w:tab/>
        <w:t xml:space="preserve">Loveridge, M.J., et al., </w:t>
      </w:r>
      <w:r w:rsidRPr="0034337D">
        <w:rPr>
          <w:i/>
        </w:rPr>
        <w:t>Towards High Capacity Li-ion Batteries Based on Silicon-Graphene Composite Anodes and Sub-micron V-doped LiFePO4 Cathodes.</w:t>
      </w:r>
      <w:r w:rsidRPr="0034337D">
        <w:t xml:space="preserve"> Scientific Reports, 2016. </w:t>
      </w:r>
      <w:r w:rsidRPr="0034337D">
        <w:rPr>
          <w:b/>
        </w:rPr>
        <w:t>6</w:t>
      </w:r>
      <w:r w:rsidRPr="0034337D">
        <w:t>: p. 37787.</w:t>
      </w:r>
    </w:p>
    <w:p w14:paraId="3711C7E9" w14:textId="77777777" w:rsidR="0034337D" w:rsidRPr="0034337D" w:rsidRDefault="0034337D" w:rsidP="0034337D">
      <w:pPr>
        <w:pStyle w:val="EndNoteBibliography"/>
        <w:spacing w:after="0"/>
        <w:ind w:left="720" w:hanging="720"/>
      </w:pPr>
      <w:r w:rsidRPr="0034337D">
        <w:t>148.</w:t>
      </w:r>
      <w:r w:rsidRPr="0034337D">
        <w:tab/>
        <w:t xml:space="preserve">Zhao, J., et al., </w:t>
      </w:r>
      <w:r w:rsidRPr="0034337D">
        <w:rPr>
          <w:i/>
        </w:rPr>
        <w:t>Artificial Solid Electrolyte Interphase-Protected LixSi Nanoparticles: An Efficient and Stable Prelithiation Reagent for Lithium-Ion Batteries.</w:t>
      </w:r>
      <w:r w:rsidRPr="0034337D">
        <w:t xml:space="preserve"> Journal of the American Chemical Society, 2015. </w:t>
      </w:r>
      <w:r w:rsidRPr="0034337D">
        <w:rPr>
          <w:b/>
        </w:rPr>
        <w:t>137</w:t>
      </w:r>
      <w:r w:rsidRPr="0034337D">
        <w:t>(26): p. 8372-8375.</w:t>
      </w:r>
    </w:p>
    <w:p w14:paraId="69B98AF9" w14:textId="77777777" w:rsidR="0034337D" w:rsidRPr="0034337D" w:rsidRDefault="0034337D" w:rsidP="0034337D">
      <w:pPr>
        <w:pStyle w:val="EndNoteBibliography"/>
        <w:spacing w:after="0"/>
        <w:ind w:left="720" w:hanging="720"/>
      </w:pPr>
      <w:r w:rsidRPr="0034337D">
        <w:t>149.</w:t>
      </w:r>
      <w:r w:rsidRPr="0034337D">
        <w:tab/>
        <w:t xml:space="preserve">Zhao, J., et al., </w:t>
      </w:r>
      <w:r w:rsidRPr="0034337D">
        <w:rPr>
          <w:i/>
        </w:rPr>
        <w:t>Metallurgically lithiated SiO&lt;sub&gt;x&lt;/sub&gt; anode with high capacity and ambient air compatibility.</w:t>
      </w:r>
      <w:r w:rsidRPr="0034337D">
        <w:t xml:space="preserve"> Proceedings of the National Academy of Sciences, 2016. </w:t>
      </w:r>
      <w:r w:rsidRPr="0034337D">
        <w:rPr>
          <w:b/>
        </w:rPr>
        <w:t>113</w:t>
      </w:r>
      <w:r w:rsidRPr="0034337D">
        <w:t>(27): p. 7408-7413.</w:t>
      </w:r>
    </w:p>
    <w:p w14:paraId="371ABF00" w14:textId="77777777" w:rsidR="0034337D" w:rsidRPr="0034337D" w:rsidRDefault="0034337D" w:rsidP="0034337D">
      <w:pPr>
        <w:pStyle w:val="EndNoteBibliography"/>
        <w:spacing w:after="0"/>
        <w:ind w:left="720" w:hanging="720"/>
      </w:pPr>
      <w:r w:rsidRPr="0034337D">
        <w:t>150.</w:t>
      </w:r>
      <w:r w:rsidRPr="0034337D">
        <w:tab/>
        <w:t xml:space="preserve">Zhao, J., et al., </w:t>
      </w:r>
      <w:r w:rsidRPr="0034337D">
        <w:rPr>
          <w:i/>
        </w:rPr>
        <w:t>A general prelithiation approach for group IV elements and corresponding oxides.</w:t>
      </w:r>
      <w:r w:rsidRPr="0034337D">
        <w:t xml:space="preserve"> Energy Storage Materials, 2018. </w:t>
      </w:r>
      <w:r w:rsidRPr="0034337D">
        <w:rPr>
          <w:b/>
        </w:rPr>
        <w:t>10</w:t>
      </w:r>
      <w:r w:rsidRPr="0034337D">
        <w:t>: p. 275-281.</w:t>
      </w:r>
    </w:p>
    <w:p w14:paraId="2A8EB7D0" w14:textId="77777777" w:rsidR="0034337D" w:rsidRPr="0034337D" w:rsidRDefault="0034337D" w:rsidP="0034337D">
      <w:pPr>
        <w:pStyle w:val="EndNoteBibliography"/>
        <w:spacing w:after="0"/>
        <w:ind w:left="720" w:hanging="720"/>
      </w:pPr>
      <w:r w:rsidRPr="0034337D">
        <w:t>151.</w:t>
      </w:r>
      <w:r w:rsidRPr="0034337D">
        <w:tab/>
        <w:t xml:space="preserve">Liu, D., et al., </w:t>
      </w:r>
      <w:r w:rsidRPr="0034337D">
        <w:rPr>
          <w:i/>
        </w:rPr>
        <w:t>Electrochemical characterizations of Li2.6Co0.4N/Graphite anodes for lithium ion batteries.</w:t>
      </w:r>
      <w:r w:rsidRPr="0034337D">
        <w:t xml:space="preserve"> Materials Letters, 2009. </w:t>
      </w:r>
      <w:r w:rsidRPr="0034337D">
        <w:rPr>
          <w:b/>
        </w:rPr>
        <w:t>63</w:t>
      </w:r>
      <w:r w:rsidRPr="0034337D">
        <w:t>(3): p. 504-506.</w:t>
      </w:r>
    </w:p>
    <w:p w14:paraId="517F926B" w14:textId="77777777" w:rsidR="0034337D" w:rsidRPr="0034337D" w:rsidRDefault="0034337D" w:rsidP="0034337D">
      <w:pPr>
        <w:pStyle w:val="EndNoteBibliography"/>
        <w:spacing w:after="0"/>
        <w:ind w:left="720" w:hanging="720"/>
      </w:pPr>
      <w:r w:rsidRPr="0034337D">
        <w:t>152.</w:t>
      </w:r>
      <w:r w:rsidRPr="0034337D">
        <w:tab/>
        <w:t xml:space="preserve">Sun, H., et al., </w:t>
      </w:r>
      <w:r w:rsidRPr="0034337D">
        <w:rPr>
          <w:i/>
        </w:rPr>
        <w:t>Hard carbon/Li2.6Co0.4N composite anode materials for Li-ion batteries.</w:t>
      </w:r>
      <w:r w:rsidRPr="0034337D">
        <w:t xml:space="preserve"> Solid State Ionics, 2006. </w:t>
      </w:r>
      <w:r w:rsidRPr="0034337D">
        <w:rPr>
          <w:b/>
        </w:rPr>
        <w:t>177</w:t>
      </w:r>
      <w:r w:rsidRPr="0034337D">
        <w:t>(15): p. 1331-1334.</w:t>
      </w:r>
    </w:p>
    <w:p w14:paraId="2C23D858" w14:textId="77777777" w:rsidR="0034337D" w:rsidRPr="0034337D" w:rsidRDefault="0034337D" w:rsidP="0034337D">
      <w:pPr>
        <w:pStyle w:val="EndNoteBibliography"/>
        <w:spacing w:after="0"/>
        <w:ind w:left="720" w:hanging="720"/>
      </w:pPr>
      <w:r w:rsidRPr="0034337D">
        <w:t>153.</w:t>
      </w:r>
      <w:r w:rsidRPr="0034337D">
        <w:tab/>
        <w:t xml:space="preserve">Liu, Y., et al., </w:t>
      </w:r>
      <w:r w:rsidRPr="0034337D">
        <w:rPr>
          <w:i/>
        </w:rPr>
        <w:t>Electrochemical characterization of a novel Si–graphite–Li2.6Co0.4N composite as anode material for lithium secondary batteries.</w:t>
      </w:r>
      <w:r w:rsidRPr="0034337D">
        <w:t xml:space="preserve"> Materials Chemistry and Physics, 2005. </w:t>
      </w:r>
      <w:r w:rsidRPr="0034337D">
        <w:rPr>
          <w:b/>
        </w:rPr>
        <w:t>89</w:t>
      </w:r>
      <w:r w:rsidRPr="0034337D">
        <w:t>(1): p. 80-84.</w:t>
      </w:r>
    </w:p>
    <w:p w14:paraId="5FABFB3C" w14:textId="77777777" w:rsidR="0034337D" w:rsidRPr="0034337D" w:rsidRDefault="0034337D" w:rsidP="0034337D">
      <w:pPr>
        <w:pStyle w:val="EndNoteBibliography"/>
        <w:spacing w:after="0"/>
        <w:ind w:left="720" w:hanging="720"/>
      </w:pPr>
      <w:r w:rsidRPr="0034337D">
        <w:t>154.</w:t>
      </w:r>
      <w:r w:rsidRPr="0034337D">
        <w:tab/>
        <w:t xml:space="preserve">Liu, Y., et al., </w:t>
      </w:r>
      <w:r w:rsidRPr="0034337D">
        <w:rPr>
          <w:i/>
        </w:rPr>
        <w:t>Novel composite anodes based on layered lithium transition metal nitrides for lithium secondary batteries.</w:t>
      </w:r>
      <w:r w:rsidRPr="0034337D">
        <w:t xml:space="preserve"> Solid State Ionics, 2004. </w:t>
      </w:r>
      <w:r w:rsidRPr="0034337D">
        <w:rPr>
          <w:b/>
        </w:rPr>
        <w:t>172</w:t>
      </w:r>
      <w:r w:rsidRPr="0034337D">
        <w:t>(1): p. 69-72.</w:t>
      </w:r>
    </w:p>
    <w:p w14:paraId="0AF69128" w14:textId="77777777" w:rsidR="0034337D" w:rsidRPr="0034337D" w:rsidRDefault="0034337D" w:rsidP="0034337D">
      <w:pPr>
        <w:pStyle w:val="EndNoteBibliography"/>
        <w:spacing w:after="0"/>
        <w:ind w:left="720" w:hanging="720"/>
      </w:pPr>
      <w:r w:rsidRPr="0034337D">
        <w:t>155.</w:t>
      </w:r>
      <w:r w:rsidRPr="0034337D">
        <w:tab/>
        <w:t xml:space="preserve">Sun, Y., et al., </w:t>
      </w:r>
      <w:r w:rsidRPr="0034337D">
        <w:rPr>
          <w:i/>
        </w:rPr>
        <w:t>High-capacity battery cathode prelithiation to offset initial lithium loss.</w:t>
      </w:r>
      <w:r w:rsidRPr="0034337D">
        <w:t xml:space="preserve"> Nature Energy, 2016. </w:t>
      </w:r>
      <w:r w:rsidRPr="0034337D">
        <w:rPr>
          <w:b/>
        </w:rPr>
        <w:t>1</w:t>
      </w:r>
      <w:r w:rsidRPr="0034337D">
        <w:t>: p. 15008.</w:t>
      </w:r>
    </w:p>
    <w:p w14:paraId="329B8B99" w14:textId="77777777" w:rsidR="0034337D" w:rsidRPr="0034337D" w:rsidRDefault="0034337D" w:rsidP="0034337D">
      <w:pPr>
        <w:pStyle w:val="EndNoteBibliography"/>
        <w:spacing w:after="0"/>
        <w:ind w:left="720" w:hanging="720"/>
      </w:pPr>
      <w:r w:rsidRPr="0034337D">
        <w:t>156.</w:t>
      </w:r>
      <w:r w:rsidRPr="0034337D">
        <w:tab/>
        <w:t xml:space="preserve">Marinaro, M., M. Weinberger, and M. Wohlfahrt-Mehrens, </w:t>
      </w:r>
      <w:r w:rsidRPr="0034337D">
        <w:rPr>
          <w:i/>
        </w:rPr>
        <w:t>Toward pre-lithiatied high areal capacity silicon anodes for Lithium-ion batteries.</w:t>
      </w:r>
      <w:r w:rsidRPr="0034337D">
        <w:t xml:space="preserve"> Electrochimica Acta, 2016. </w:t>
      </w:r>
      <w:r w:rsidRPr="0034337D">
        <w:rPr>
          <w:b/>
        </w:rPr>
        <w:t>206</w:t>
      </w:r>
      <w:r w:rsidRPr="0034337D">
        <w:t>: p. 99-107.</w:t>
      </w:r>
    </w:p>
    <w:p w14:paraId="19B1BB51" w14:textId="77777777" w:rsidR="0034337D" w:rsidRPr="0034337D" w:rsidRDefault="0034337D" w:rsidP="0034337D">
      <w:pPr>
        <w:pStyle w:val="EndNoteBibliography"/>
        <w:spacing w:after="0"/>
        <w:ind w:left="720" w:hanging="720"/>
      </w:pPr>
      <w:r w:rsidRPr="0034337D">
        <w:t>157.</w:t>
      </w:r>
      <w:r w:rsidRPr="0034337D">
        <w:tab/>
        <w:t xml:space="preserve">Cai, M., et al., </w:t>
      </w:r>
      <w:r w:rsidRPr="0034337D">
        <w:rPr>
          <w:i/>
        </w:rPr>
        <w:t>Electrochemical Performance of Lithium-Ion Capacitors Using Pre-Lithiated Multiwalled Carbon Nanotubes as Anode.</w:t>
      </w:r>
      <w:r w:rsidRPr="0034337D">
        <w:t xml:space="preserve"> Nano, 2017. </w:t>
      </w:r>
      <w:r w:rsidRPr="0034337D">
        <w:rPr>
          <w:b/>
        </w:rPr>
        <w:t>12</w:t>
      </w:r>
      <w:r w:rsidRPr="0034337D">
        <w:t>(04): p. 1750051.</w:t>
      </w:r>
    </w:p>
    <w:p w14:paraId="0E87FE95" w14:textId="77777777" w:rsidR="0034337D" w:rsidRPr="0034337D" w:rsidRDefault="0034337D" w:rsidP="0034337D">
      <w:pPr>
        <w:pStyle w:val="EndNoteBibliography"/>
        <w:spacing w:after="0"/>
        <w:ind w:left="720" w:hanging="720"/>
      </w:pPr>
      <w:r w:rsidRPr="0034337D">
        <w:t>158.</w:t>
      </w:r>
      <w:r w:rsidRPr="0034337D">
        <w:tab/>
        <w:t xml:space="preserve">Domi, Y., et al., </w:t>
      </w:r>
      <w:r w:rsidRPr="0034337D">
        <w:rPr>
          <w:i/>
        </w:rPr>
        <w:t>Effect of Mechanical Pre-Lithiation on Electrochemical Performance of Silicon Negative Electrode for Lithium-Ion Batteries.</w:t>
      </w:r>
      <w:r w:rsidRPr="0034337D">
        <w:t xml:space="preserve"> Journal of The Electrochemical Society, 2017. </w:t>
      </w:r>
      <w:r w:rsidRPr="0034337D">
        <w:rPr>
          <w:b/>
        </w:rPr>
        <w:t>164</w:t>
      </w:r>
      <w:r w:rsidRPr="0034337D">
        <w:t>(7): p. A1651-A1654.</w:t>
      </w:r>
    </w:p>
    <w:p w14:paraId="6E8E1355" w14:textId="77777777" w:rsidR="0034337D" w:rsidRPr="0034337D" w:rsidRDefault="0034337D" w:rsidP="0034337D">
      <w:pPr>
        <w:pStyle w:val="EndNoteBibliography"/>
        <w:spacing w:after="0"/>
        <w:ind w:left="720" w:hanging="720"/>
      </w:pPr>
      <w:r w:rsidRPr="0034337D">
        <w:t>159.</w:t>
      </w:r>
      <w:r w:rsidRPr="0034337D">
        <w:tab/>
        <w:t xml:space="preserve">Menkin, S., D. Golodnitsky, and E. Peled, </w:t>
      </w:r>
      <w:r w:rsidRPr="0034337D">
        <w:rPr>
          <w:i/>
        </w:rPr>
        <w:t>Artificial solid-electrolyte interphase (SEI) for improved cycleability and safety of lithium–ion cells for EV applications.</w:t>
      </w:r>
      <w:r w:rsidRPr="0034337D">
        <w:t xml:space="preserve"> Electrochemistry Communications, 2009. </w:t>
      </w:r>
      <w:r w:rsidRPr="0034337D">
        <w:rPr>
          <w:b/>
        </w:rPr>
        <w:t>11</w:t>
      </w:r>
      <w:r w:rsidRPr="0034337D">
        <w:t>(9): p. 1789-1791.</w:t>
      </w:r>
    </w:p>
    <w:p w14:paraId="4B040CC8" w14:textId="77777777" w:rsidR="0034337D" w:rsidRPr="0034337D" w:rsidRDefault="0034337D" w:rsidP="0034337D">
      <w:pPr>
        <w:pStyle w:val="EndNoteBibliography"/>
        <w:spacing w:after="0"/>
        <w:ind w:left="720" w:hanging="720"/>
      </w:pPr>
      <w:r w:rsidRPr="0034337D">
        <w:t>160.</w:t>
      </w:r>
      <w:r w:rsidRPr="0034337D">
        <w:tab/>
        <w:t xml:space="preserve">Jung, Y.S., et al., </w:t>
      </w:r>
      <w:r w:rsidRPr="0034337D">
        <w:rPr>
          <w:i/>
        </w:rPr>
        <w:t>Ultrathin direct atomic layer deposition on composite electrodes for highly durable and safe Li‐ion batteries.</w:t>
      </w:r>
      <w:r w:rsidRPr="0034337D">
        <w:t xml:space="preserve"> Advanced Materials, 2010. </w:t>
      </w:r>
      <w:r w:rsidRPr="0034337D">
        <w:rPr>
          <w:b/>
        </w:rPr>
        <w:t>22</w:t>
      </w:r>
      <w:r w:rsidRPr="0034337D">
        <w:t>(19): p. 2172-2176.</w:t>
      </w:r>
    </w:p>
    <w:p w14:paraId="77078960" w14:textId="77777777" w:rsidR="0034337D" w:rsidRPr="0034337D" w:rsidRDefault="0034337D" w:rsidP="0034337D">
      <w:pPr>
        <w:pStyle w:val="EndNoteBibliography"/>
        <w:spacing w:after="0"/>
        <w:ind w:left="720" w:hanging="720"/>
      </w:pPr>
      <w:r w:rsidRPr="0034337D">
        <w:t>161.</w:t>
      </w:r>
      <w:r w:rsidRPr="0034337D">
        <w:tab/>
        <w:t xml:space="preserve">Kozen, A.C., et al., </w:t>
      </w:r>
      <w:r w:rsidRPr="0034337D">
        <w:rPr>
          <w:i/>
        </w:rPr>
        <w:t>Next-generation lithium metal anode engineering via atomic layer deposition.</w:t>
      </w:r>
      <w:r w:rsidRPr="0034337D">
        <w:t xml:space="preserve"> ACS nano, 2015. </w:t>
      </w:r>
      <w:r w:rsidRPr="0034337D">
        <w:rPr>
          <w:b/>
        </w:rPr>
        <w:t>9</w:t>
      </w:r>
      <w:r w:rsidRPr="0034337D">
        <w:t>(6): p. 5884-5892.</w:t>
      </w:r>
    </w:p>
    <w:p w14:paraId="42036ABB" w14:textId="77777777" w:rsidR="0034337D" w:rsidRPr="0034337D" w:rsidRDefault="0034337D" w:rsidP="0034337D">
      <w:pPr>
        <w:pStyle w:val="EndNoteBibliography"/>
        <w:spacing w:after="0"/>
        <w:ind w:left="720" w:hanging="720"/>
      </w:pPr>
      <w:r w:rsidRPr="0034337D">
        <w:t>162.</w:t>
      </w:r>
      <w:r w:rsidRPr="0034337D">
        <w:tab/>
        <w:t xml:space="preserve">Li, F.-S., et al., </w:t>
      </w:r>
      <w:r w:rsidRPr="0034337D">
        <w:rPr>
          <w:i/>
        </w:rPr>
        <w:t>A Mechanically Robust and Highly Ion-Conductive Polymer-Blend Coating for High-Power and Long-Life Lithium-Ion Battery Anodes.</w:t>
      </w:r>
      <w:r w:rsidRPr="0034337D">
        <w:t xml:space="preserve"> Advanced Materials, 2015. </w:t>
      </w:r>
      <w:r w:rsidRPr="0034337D">
        <w:rPr>
          <w:b/>
        </w:rPr>
        <w:t>27</w:t>
      </w:r>
      <w:r w:rsidRPr="0034337D">
        <w:t>(1): p. 130-137.</w:t>
      </w:r>
    </w:p>
    <w:p w14:paraId="403F7F48" w14:textId="77777777" w:rsidR="0034337D" w:rsidRPr="0034337D" w:rsidRDefault="0034337D" w:rsidP="0034337D">
      <w:pPr>
        <w:pStyle w:val="EndNoteBibliography"/>
        <w:spacing w:after="0"/>
        <w:ind w:left="720" w:hanging="720"/>
      </w:pPr>
      <w:r w:rsidRPr="0034337D">
        <w:t>163.</w:t>
      </w:r>
      <w:r w:rsidRPr="0034337D">
        <w:tab/>
        <w:t xml:space="preserve">Wu, N.-L., et al., </w:t>
      </w:r>
      <w:r w:rsidRPr="0034337D">
        <w:rPr>
          <w:i/>
        </w:rPr>
        <w:t>Polymeric artificial solid/electrolyte interphases for Li-ion batteries.</w:t>
      </w:r>
      <w:r w:rsidRPr="0034337D">
        <w:t xml:space="preserve"> Progress in Natural Science: Materials International, 2015. </w:t>
      </w:r>
      <w:r w:rsidRPr="0034337D">
        <w:rPr>
          <w:b/>
        </w:rPr>
        <w:t>25</w:t>
      </w:r>
      <w:r w:rsidRPr="0034337D">
        <w:t>(6): p. 563-571.</w:t>
      </w:r>
    </w:p>
    <w:p w14:paraId="55B9CA9E" w14:textId="77777777" w:rsidR="0034337D" w:rsidRPr="0034337D" w:rsidRDefault="0034337D" w:rsidP="0034337D">
      <w:pPr>
        <w:pStyle w:val="EndNoteBibliography"/>
        <w:spacing w:after="0"/>
        <w:ind w:left="720" w:hanging="720"/>
      </w:pPr>
      <w:r w:rsidRPr="0034337D">
        <w:t>164.</w:t>
      </w:r>
      <w:r w:rsidRPr="0034337D">
        <w:tab/>
        <w:t xml:space="preserve">Li, J., et al., </w:t>
      </w:r>
      <w:r w:rsidRPr="0034337D">
        <w:rPr>
          <w:i/>
        </w:rPr>
        <w:t>Artificial Solid Electrolyte Interphase To Address the Electrochemical Degradation of Silicon Electrodes.</w:t>
      </w:r>
      <w:r w:rsidRPr="0034337D">
        <w:t xml:space="preserve"> ACS Applied Materials &amp; Interfaces, 2014. </w:t>
      </w:r>
      <w:r w:rsidRPr="0034337D">
        <w:rPr>
          <w:b/>
        </w:rPr>
        <w:t>6</w:t>
      </w:r>
      <w:r w:rsidRPr="0034337D">
        <w:t>(13): p. 10083-10088.</w:t>
      </w:r>
    </w:p>
    <w:p w14:paraId="1207BF1A" w14:textId="77777777" w:rsidR="0034337D" w:rsidRPr="0034337D" w:rsidRDefault="0034337D" w:rsidP="0034337D">
      <w:pPr>
        <w:pStyle w:val="EndNoteBibliography"/>
        <w:spacing w:after="0"/>
        <w:ind w:left="720" w:hanging="720"/>
      </w:pPr>
      <w:r w:rsidRPr="0034337D">
        <w:t>165.</w:t>
      </w:r>
      <w:r w:rsidRPr="0034337D">
        <w:tab/>
        <w:t xml:space="preserve">Yu, X., et al., </w:t>
      </w:r>
      <w:r w:rsidRPr="0034337D">
        <w:rPr>
          <w:i/>
        </w:rPr>
        <w:t>A Stable Thin‐Film Lithium Electrolyte: Lithium Phosphorus Oxynitride.</w:t>
      </w:r>
      <w:r w:rsidRPr="0034337D">
        <w:t xml:space="preserve"> Journal of The Electrochemical Society, 1997. </w:t>
      </w:r>
      <w:r w:rsidRPr="0034337D">
        <w:rPr>
          <w:b/>
        </w:rPr>
        <w:t>144</w:t>
      </w:r>
      <w:r w:rsidRPr="0034337D">
        <w:t>(2): p. 524-532.</w:t>
      </w:r>
    </w:p>
    <w:p w14:paraId="784C8152" w14:textId="77777777" w:rsidR="0034337D" w:rsidRPr="0034337D" w:rsidRDefault="0034337D" w:rsidP="0034337D">
      <w:pPr>
        <w:pStyle w:val="EndNoteBibliography"/>
        <w:spacing w:after="0"/>
        <w:ind w:left="720" w:hanging="720"/>
      </w:pPr>
      <w:r w:rsidRPr="0034337D">
        <w:t>166.</w:t>
      </w:r>
      <w:r w:rsidRPr="0034337D">
        <w:tab/>
        <w:t xml:space="preserve">Sata, N., et al., </w:t>
      </w:r>
      <w:r w:rsidRPr="0034337D">
        <w:rPr>
          <w:i/>
        </w:rPr>
        <w:t>Mesoscopic fast ion conduction in nanometre-scale planar heterostructures.</w:t>
      </w:r>
      <w:r w:rsidRPr="0034337D">
        <w:t xml:space="preserve"> Nature, 2000. </w:t>
      </w:r>
      <w:r w:rsidRPr="0034337D">
        <w:rPr>
          <w:b/>
        </w:rPr>
        <w:t>408</w:t>
      </w:r>
      <w:r w:rsidRPr="0034337D">
        <w:t>(6815): p. 946-949.</w:t>
      </w:r>
    </w:p>
    <w:p w14:paraId="7670B7D1" w14:textId="77777777" w:rsidR="0034337D" w:rsidRPr="0034337D" w:rsidRDefault="0034337D" w:rsidP="0034337D">
      <w:pPr>
        <w:pStyle w:val="EndNoteBibliography"/>
        <w:spacing w:after="0"/>
        <w:ind w:left="720" w:hanging="720"/>
      </w:pPr>
      <w:r w:rsidRPr="0034337D">
        <w:t>167.</w:t>
      </w:r>
      <w:r w:rsidRPr="0034337D">
        <w:tab/>
        <w:t xml:space="preserve">Stevens, D.A. and J.R. Dahn, </w:t>
      </w:r>
      <w:r w:rsidRPr="0034337D">
        <w:rPr>
          <w:i/>
        </w:rPr>
        <w:t>High Capacity Anode Materials for Rechargeable Sodium‐Ion Batteries.</w:t>
      </w:r>
      <w:r w:rsidRPr="0034337D">
        <w:t xml:space="preserve"> Journal of The Electrochemical Society, 2000. </w:t>
      </w:r>
      <w:r w:rsidRPr="0034337D">
        <w:rPr>
          <w:b/>
        </w:rPr>
        <w:t>147</w:t>
      </w:r>
      <w:r w:rsidRPr="0034337D">
        <w:t>(4): p. 1271-1273.</w:t>
      </w:r>
    </w:p>
    <w:p w14:paraId="4988640D" w14:textId="77777777" w:rsidR="0034337D" w:rsidRPr="0034337D" w:rsidRDefault="0034337D" w:rsidP="0034337D">
      <w:pPr>
        <w:pStyle w:val="EndNoteBibliography"/>
        <w:spacing w:after="0"/>
        <w:ind w:left="720" w:hanging="720"/>
      </w:pPr>
      <w:r w:rsidRPr="0034337D">
        <w:t>168.</w:t>
      </w:r>
      <w:r w:rsidRPr="0034337D">
        <w:tab/>
        <w:t xml:space="preserve">Palanisamy, M., et al., </w:t>
      </w:r>
      <w:r w:rsidRPr="0034337D">
        <w:rPr>
          <w:i/>
        </w:rPr>
        <w:t>Insights into the Dual-Electrode Characteristics of Layered Na0.5Ni0.25Mn0.75O2 Materials for Sodium-Ion Batteries.</w:t>
      </w:r>
      <w:r w:rsidRPr="0034337D">
        <w:t xml:space="preserve"> ACS Applied Materials &amp; Interfaces, 2017. </w:t>
      </w:r>
      <w:r w:rsidRPr="0034337D">
        <w:rPr>
          <w:b/>
        </w:rPr>
        <w:t>9</w:t>
      </w:r>
      <w:r w:rsidRPr="0034337D">
        <w:t>(12): p. 10618-10625.</w:t>
      </w:r>
    </w:p>
    <w:p w14:paraId="04389DAC" w14:textId="77777777" w:rsidR="0034337D" w:rsidRPr="0034337D" w:rsidRDefault="0034337D" w:rsidP="0034337D">
      <w:pPr>
        <w:pStyle w:val="EndNoteBibliography"/>
        <w:spacing w:after="0"/>
        <w:ind w:left="720" w:hanging="720"/>
      </w:pPr>
      <w:r w:rsidRPr="0034337D">
        <w:t>169.</w:t>
      </w:r>
      <w:r w:rsidRPr="0034337D">
        <w:tab/>
        <w:t xml:space="preserve">Pistoia, G., A. Antonini, and D. Zane, </w:t>
      </w:r>
      <w:r w:rsidRPr="0034337D">
        <w:rPr>
          <w:i/>
        </w:rPr>
        <w:t>Synthesis of LiMnO2 and its characterization as a cathode for rechargeable Li cells.</w:t>
      </w:r>
      <w:r w:rsidRPr="0034337D">
        <w:t xml:space="preserve"> Solid State Ionics, 1995. </w:t>
      </w:r>
      <w:r w:rsidRPr="0034337D">
        <w:rPr>
          <w:b/>
        </w:rPr>
        <w:t>78</w:t>
      </w:r>
      <w:r w:rsidRPr="0034337D">
        <w:t>(1): p. 115-122.</w:t>
      </w:r>
    </w:p>
    <w:p w14:paraId="2A2D97A5" w14:textId="77777777" w:rsidR="0034337D" w:rsidRPr="0034337D" w:rsidRDefault="0034337D" w:rsidP="0034337D">
      <w:pPr>
        <w:pStyle w:val="EndNoteBibliography"/>
        <w:spacing w:after="0"/>
        <w:ind w:left="720" w:hanging="720"/>
      </w:pPr>
      <w:r w:rsidRPr="0034337D">
        <w:t>170.</w:t>
      </w:r>
      <w:r w:rsidRPr="0034337D">
        <w:tab/>
        <w:t xml:space="preserve">Ponrouch, A. and M.R. Palacín, </w:t>
      </w:r>
      <w:r w:rsidRPr="0034337D">
        <w:rPr>
          <w:i/>
        </w:rPr>
        <w:t>On the high and low temperature performances of Na-ion battery materials: Hard carbon as a case study.</w:t>
      </w:r>
      <w:r w:rsidRPr="0034337D">
        <w:t xml:space="preserve"> Electrochemistry Communications, 2015. </w:t>
      </w:r>
      <w:r w:rsidRPr="0034337D">
        <w:rPr>
          <w:b/>
        </w:rPr>
        <w:t>54</w:t>
      </w:r>
      <w:r w:rsidRPr="0034337D">
        <w:t>: p. 51-54.</w:t>
      </w:r>
    </w:p>
    <w:p w14:paraId="79FE0AEE" w14:textId="77777777" w:rsidR="0034337D" w:rsidRPr="0034337D" w:rsidRDefault="0034337D" w:rsidP="0034337D">
      <w:pPr>
        <w:pStyle w:val="EndNoteBibliography"/>
        <w:spacing w:after="0"/>
        <w:ind w:left="720" w:hanging="720"/>
      </w:pPr>
      <w:r w:rsidRPr="0034337D">
        <w:t>171.</w:t>
      </w:r>
      <w:r w:rsidRPr="0034337D">
        <w:tab/>
        <w:t>!!! INVALID CITATION !!! {}.</w:t>
      </w:r>
    </w:p>
    <w:p w14:paraId="0F0E1B98" w14:textId="77777777" w:rsidR="0034337D" w:rsidRPr="0034337D" w:rsidRDefault="0034337D" w:rsidP="0034337D">
      <w:pPr>
        <w:pStyle w:val="EndNoteBibliography"/>
        <w:spacing w:after="0"/>
        <w:ind w:left="720" w:hanging="720"/>
      </w:pPr>
      <w:r w:rsidRPr="0034337D">
        <w:t>172.</w:t>
      </w:r>
      <w:r w:rsidRPr="0034337D">
        <w:tab/>
        <w:t xml:space="preserve">Komaba, S., et al., </w:t>
      </w:r>
      <w:r w:rsidRPr="0034337D">
        <w:rPr>
          <w:i/>
        </w:rPr>
        <w:t>Electrochemical Na Insertion and Solid Electrolyte Interphase for Hard-Carbon Electrodes and Application to Na-Ion Batteries.</w:t>
      </w:r>
      <w:r w:rsidRPr="0034337D">
        <w:t xml:space="preserve"> Advanced Functional Materials, 2011. </w:t>
      </w:r>
      <w:r w:rsidRPr="0034337D">
        <w:rPr>
          <w:b/>
        </w:rPr>
        <w:t>21</w:t>
      </w:r>
      <w:r w:rsidRPr="0034337D">
        <w:t>(20): p. 3859-3867.</w:t>
      </w:r>
    </w:p>
    <w:p w14:paraId="6DDC4344" w14:textId="77777777" w:rsidR="0034337D" w:rsidRPr="0034337D" w:rsidRDefault="0034337D" w:rsidP="0034337D">
      <w:pPr>
        <w:pStyle w:val="EndNoteBibliography"/>
        <w:spacing w:after="0"/>
        <w:ind w:left="720" w:hanging="720"/>
      </w:pPr>
      <w:r w:rsidRPr="0034337D">
        <w:t>173.</w:t>
      </w:r>
      <w:r w:rsidRPr="0034337D">
        <w:tab/>
        <w:t xml:space="preserve">Philippe, B., et al., </w:t>
      </w:r>
      <w:r w:rsidRPr="0034337D">
        <w:rPr>
          <w:i/>
        </w:rPr>
        <w:t>Investigation of the Electrode/Electrolyte Interface of Fe2O3 Composite Electrodes: Li vs Na Batteries.</w:t>
      </w:r>
      <w:r w:rsidRPr="0034337D">
        <w:t xml:space="preserve"> Chemistry of Materials, 2014. </w:t>
      </w:r>
      <w:r w:rsidRPr="0034337D">
        <w:rPr>
          <w:b/>
        </w:rPr>
        <w:t>26</w:t>
      </w:r>
      <w:r w:rsidRPr="0034337D">
        <w:t>(17): p. 5028-5041.</w:t>
      </w:r>
    </w:p>
    <w:p w14:paraId="3DC51C3E" w14:textId="77777777" w:rsidR="0034337D" w:rsidRPr="0034337D" w:rsidRDefault="0034337D" w:rsidP="0034337D">
      <w:pPr>
        <w:pStyle w:val="EndNoteBibliography"/>
        <w:spacing w:after="0"/>
        <w:ind w:left="720" w:hanging="720"/>
      </w:pPr>
      <w:r w:rsidRPr="0034337D">
        <w:t>174.</w:t>
      </w:r>
      <w:r w:rsidRPr="0034337D">
        <w:tab/>
        <w:t xml:space="preserve">Pyykkö, P., </w:t>
      </w:r>
      <w:r w:rsidRPr="0034337D">
        <w:rPr>
          <w:i/>
        </w:rPr>
        <w:t>A note on nodal structures, partial screening, and periodic trends among alkali metals and alkaline earths.</w:t>
      </w:r>
      <w:r w:rsidRPr="0034337D">
        <w:t xml:space="preserve"> International Journal of Quantum Chemistry, 2001. </w:t>
      </w:r>
      <w:r w:rsidRPr="0034337D">
        <w:rPr>
          <w:b/>
        </w:rPr>
        <w:t>85</w:t>
      </w:r>
      <w:r w:rsidRPr="0034337D">
        <w:t>(1): p. 18-21.</w:t>
      </w:r>
    </w:p>
    <w:p w14:paraId="6D7D183E" w14:textId="77777777" w:rsidR="0034337D" w:rsidRPr="0034337D" w:rsidRDefault="0034337D" w:rsidP="0034337D">
      <w:pPr>
        <w:pStyle w:val="EndNoteBibliography"/>
        <w:spacing w:after="0"/>
        <w:ind w:left="720" w:hanging="720"/>
      </w:pPr>
      <w:r w:rsidRPr="0034337D">
        <w:t>175.</w:t>
      </w:r>
      <w:r w:rsidRPr="0034337D">
        <w:tab/>
        <w:t xml:space="preserve">Mogensen, R., D. Brandell, and R. Younesi, </w:t>
      </w:r>
      <w:r w:rsidRPr="0034337D">
        <w:rPr>
          <w:i/>
        </w:rPr>
        <w:t>Solubility of the Solid Electrolyte Interphase (SEI) in Sodium Ion Batteries.</w:t>
      </w:r>
      <w:r w:rsidRPr="0034337D">
        <w:t xml:space="preserve"> ACS Energy Letters, 2016. </w:t>
      </w:r>
      <w:r w:rsidRPr="0034337D">
        <w:rPr>
          <w:b/>
        </w:rPr>
        <w:t>1</w:t>
      </w:r>
      <w:r w:rsidRPr="0034337D">
        <w:t>(6): p. 1173-1178.</w:t>
      </w:r>
    </w:p>
    <w:p w14:paraId="3414449C" w14:textId="07E33703" w:rsidR="0034337D" w:rsidRPr="0034337D" w:rsidRDefault="0034337D" w:rsidP="0034337D">
      <w:pPr>
        <w:pStyle w:val="EndNoteBibliography"/>
        <w:spacing w:after="0"/>
        <w:ind w:left="720" w:hanging="720"/>
      </w:pPr>
      <w:r w:rsidRPr="0034337D">
        <w:t>176.</w:t>
      </w:r>
      <w:r w:rsidRPr="0034337D">
        <w:tab/>
        <w:t xml:space="preserve">Hampel, C. </w:t>
      </w:r>
      <w:r w:rsidRPr="0034337D">
        <w:rPr>
          <w:i/>
        </w:rPr>
        <w:t>Gotion High-Tech presents LFP new battery cell</w:t>
      </w:r>
      <w:r w:rsidRPr="0034337D">
        <w:t xml:space="preserve">. 2021  [cited 2021 14/09/21]; Available from: </w:t>
      </w:r>
      <w:hyperlink r:id="rId322" w:history="1">
        <w:r w:rsidRPr="0034337D">
          <w:rPr>
            <w:rStyle w:val="Hyperlink"/>
          </w:rPr>
          <w:t>https://www.electrive.com/2021/01/25/guoxuan-high-tech-presents-lfp-new-battery-cell/</w:t>
        </w:r>
      </w:hyperlink>
      <w:r w:rsidRPr="0034337D">
        <w:t>.</w:t>
      </w:r>
    </w:p>
    <w:p w14:paraId="6BCF829B" w14:textId="77777777" w:rsidR="0034337D" w:rsidRPr="0034337D" w:rsidRDefault="0034337D" w:rsidP="0034337D">
      <w:pPr>
        <w:pStyle w:val="EndNoteBibliography"/>
        <w:spacing w:after="0"/>
        <w:ind w:left="720" w:hanging="720"/>
      </w:pPr>
      <w:r w:rsidRPr="0034337D">
        <w:t>177.</w:t>
      </w:r>
      <w:r w:rsidRPr="0034337D">
        <w:tab/>
        <w:t xml:space="preserve">Chen, T., et al., </w:t>
      </w:r>
      <w:r w:rsidRPr="0034337D">
        <w:rPr>
          <w:i/>
        </w:rPr>
        <w:t>Recent advancement of SiOx based anodes for lithium-ion batteries.</w:t>
      </w:r>
      <w:r w:rsidRPr="0034337D">
        <w:t xml:space="preserve"> Journal of Power Sources, 2017. </w:t>
      </w:r>
      <w:r w:rsidRPr="0034337D">
        <w:rPr>
          <w:b/>
        </w:rPr>
        <w:t>363</w:t>
      </w:r>
      <w:r w:rsidRPr="0034337D">
        <w:t>: p. 126-144.</w:t>
      </w:r>
    </w:p>
    <w:p w14:paraId="73E3B831" w14:textId="77777777" w:rsidR="0034337D" w:rsidRPr="0034337D" w:rsidRDefault="0034337D" w:rsidP="0034337D">
      <w:pPr>
        <w:pStyle w:val="EndNoteBibliography"/>
        <w:spacing w:after="0"/>
        <w:ind w:left="720" w:hanging="720"/>
      </w:pPr>
      <w:r w:rsidRPr="0034337D">
        <w:t>178.</w:t>
      </w:r>
      <w:r w:rsidRPr="0034337D">
        <w:tab/>
        <w:t xml:space="preserve">Warburg, E., </w:t>
      </w:r>
      <w:r w:rsidRPr="0034337D">
        <w:rPr>
          <w:i/>
        </w:rPr>
        <w:t>Ueber das Verhalten sogenannter unpolarisirbarer Elektroden gegen Wechselstrom.</w:t>
      </w:r>
      <w:r w:rsidRPr="0034337D">
        <w:t xml:space="preserve"> Annalen der Physik, 1899. </w:t>
      </w:r>
      <w:r w:rsidRPr="0034337D">
        <w:rPr>
          <w:b/>
        </w:rPr>
        <w:t>303</w:t>
      </w:r>
      <w:r w:rsidRPr="0034337D">
        <w:t>(3): p. 493-499.</w:t>
      </w:r>
    </w:p>
    <w:p w14:paraId="5A04F50B" w14:textId="77777777" w:rsidR="0034337D" w:rsidRPr="0034337D" w:rsidRDefault="0034337D" w:rsidP="0034337D">
      <w:pPr>
        <w:pStyle w:val="EndNoteBibliography"/>
        <w:spacing w:after="0"/>
        <w:ind w:left="720" w:hanging="720"/>
      </w:pPr>
      <w:r w:rsidRPr="0034337D">
        <w:t>179.</w:t>
      </w:r>
      <w:r w:rsidRPr="0034337D">
        <w:tab/>
        <w:t xml:space="preserve">Randles, J.E.B., </w:t>
      </w:r>
      <w:r w:rsidRPr="0034337D">
        <w:rPr>
          <w:i/>
        </w:rPr>
        <w:t>Kinetics of rapid electrode reactions.</w:t>
      </w:r>
      <w:r w:rsidRPr="0034337D">
        <w:t xml:space="preserve"> Discussions of the Faraday Society, 1947. </w:t>
      </w:r>
      <w:r w:rsidRPr="0034337D">
        <w:rPr>
          <w:b/>
        </w:rPr>
        <w:t>1</w:t>
      </w:r>
      <w:r w:rsidRPr="0034337D">
        <w:t>(0): p. 11-19.</w:t>
      </w:r>
    </w:p>
    <w:p w14:paraId="08D48E1E" w14:textId="77777777" w:rsidR="0034337D" w:rsidRPr="0034337D" w:rsidRDefault="0034337D" w:rsidP="0034337D">
      <w:pPr>
        <w:pStyle w:val="EndNoteBibliography"/>
        <w:spacing w:after="0"/>
        <w:ind w:left="720" w:hanging="720"/>
      </w:pPr>
      <w:r w:rsidRPr="0034337D">
        <w:t>180.</w:t>
      </w:r>
      <w:r w:rsidRPr="0034337D">
        <w:tab/>
        <w:t xml:space="preserve">Levi, M.D. and D. Aurbach, </w:t>
      </w:r>
      <w:r w:rsidRPr="0034337D">
        <w:rPr>
          <w:i/>
        </w:rPr>
        <w:t>Simultaneous Measurements and Modeling of the Electrochemical Impedance and the Cyclic Voltammetric Characteristics of Graphite Electrodes Doped with Lithium.</w:t>
      </w:r>
      <w:r w:rsidRPr="0034337D">
        <w:t xml:space="preserve"> The Journal of Physical Chemistry B, 1997. </w:t>
      </w:r>
      <w:r w:rsidRPr="0034337D">
        <w:rPr>
          <w:b/>
        </w:rPr>
        <w:t>101</w:t>
      </w:r>
      <w:r w:rsidRPr="0034337D">
        <w:t>(23): p. 4630-4640.</w:t>
      </w:r>
    </w:p>
    <w:p w14:paraId="1C91E69E" w14:textId="77777777" w:rsidR="0034337D" w:rsidRPr="0034337D" w:rsidRDefault="0034337D" w:rsidP="0034337D">
      <w:pPr>
        <w:pStyle w:val="EndNoteBibliography"/>
        <w:spacing w:after="0"/>
        <w:ind w:left="720" w:hanging="720"/>
      </w:pPr>
      <w:r w:rsidRPr="0034337D">
        <w:t>181.</w:t>
      </w:r>
      <w:r w:rsidRPr="0034337D">
        <w:tab/>
        <w:t xml:space="preserve">Aurbach, D., et al., </w:t>
      </w:r>
      <w:r w:rsidRPr="0034337D">
        <w:rPr>
          <w:i/>
        </w:rPr>
        <w:t>Common Electroanalytical Behavior of Li Intercalation Processes into Graphite and Transition Metal Oxides.</w:t>
      </w:r>
      <w:r w:rsidRPr="0034337D">
        <w:t xml:space="preserve"> Journal of The Electrochemical Society, 1998. </w:t>
      </w:r>
      <w:r w:rsidRPr="0034337D">
        <w:rPr>
          <w:b/>
        </w:rPr>
        <w:t>145</w:t>
      </w:r>
      <w:r w:rsidRPr="0034337D">
        <w:t>(9): p. 3024-3034.</w:t>
      </w:r>
    </w:p>
    <w:p w14:paraId="71C7557F" w14:textId="77777777" w:rsidR="0034337D" w:rsidRPr="0034337D" w:rsidRDefault="0034337D" w:rsidP="0034337D">
      <w:pPr>
        <w:pStyle w:val="EndNoteBibliography"/>
        <w:spacing w:after="0"/>
        <w:ind w:left="720" w:hanging="720"/>
      </w:pPr>
      <w:r w:rsidRPr="0034337D">
        <w:t>182.</w:t>
      </w:r>
      <w:r w:rsidRPr="0034337D">
        <w:tab/>
        <w:t xml:space="preserve">Guo, J., et al., </w:t>
      </w:r>
      <w:r w:rsidRPr="0034337D">
        <w:rPr>
          <w:i/>
        </w:rPr>
        <w:t>Cyclability study of silicon–carbon composite anodes for lithium-ion batteries using electrochemical impedance spectroscopy.</w:t>
      </w:r>
      <w:r w:rsidRPr="0034337D">
        <w:t xml:space="preserve"> Electrochimica Acta, 2011. </w:t>
      </w:r>
      <w:r w:rsidRPr="0034337D">
        <w:rPr>
          <w:b/>
        </w:rPr>
        <w:t>56</w:t>
      </w:r>
      <w:r w:rsidRPr="0034337D">
        <w:t>(11): p. 3981-3987.</w:t>
      </w:r>
    </w:p>
    <w:p w14:paraId="53BA25E3" w14:textId="77777777" w:rsidR="0034337D" w:rsidRPr="0034337D" w:rsidRDefault="0034337D" w:rsidP="0034337D">
      <w:pPr>
        <w:pStyle w:val="EndNoteBibliography"/>
        <w:spacing w:after="0"/>
        <w:ind w:left="720" w:hanging="720"/>
      </w:pPr>
      <w:r w:rsidRPr="0034337D">
        <w:t>183.</w:t>
      </w:r>
      <w:r w:rsidRPr="0034337D">
        <w:tab/>
        <w:t xml:space="preserve">Ma, S., et al., </w:t>
      </w:r>
      <w:r w:rsidRPr="0034337D">
        <w:rPr>
          <w:i/>
        </w:rPr>
        <w:t>Temperature effect and thermal impact in lithium-ion batteries: A review.</w:t>
      </w:r>
      <w:r w:rsidRPr="0034337D">
        <w:t xml:space="preserve"> Progress in Natural Science: Materials International, 2018. </w:t>
      </w:r>
      <w:r w:rsidRPr="0034337D">
        <w:rPr>
          <w:b/>
        </w:rPr>
        <w:t>28</w:t>
      </w:r>
      <w:r w:rsidRPr="0034337D">
        <w:t>(6): p. 653-666.</w:t>
      </w:r>
    </w:p>
    <w:p w14:paraId="38935217" w14:textId="77777777" w:rsidR="0034337D" w:rsidRPr="0034337D" w:rsidRDefault="0034337D" w:rsidP="0034337D">
      <w:pPr>
        <w:pStyle w:val="EndNoteBibliography"/>
        <w:spacing w:after="0"/>
        <w:ind w:left="720" w:hanging="720"/>
      </w:pPr>
      <w:r w:rsidRPr="0034337D">
        <w:t>184.</w:t>
      </w:r>
      <w:r w:rsidRPr="0034337D">
        <w:tab/>
        <w:t xml:space="preserve">Bloom, I., et al., </w:t>
      </w:r>
      <w:r w:rsidRPr="0034337D">
        <w:rPr>
          <w:i/>
        </w:rPr>
        <w:t>Differential voltage analyses of high-power, lithium-ion cells.</w:t>
      </w:r>
      <w:r w:rsidRPr="0034337D">
        <w:t xml:space="preserve"> Journal of Power Sources, 2005. </w:t>
      </w:r>
      <w:r w:rsidRPr="0034337D">
        <w:rPr>
          <w:b/>
        </w:rPr>
        <w:t>139</w:t>
      </w:r>
      <w:r w:rsidRPr="0034337D">
        <w:t>(1-2): p. 295-303.</w:t>
      </w:r>
    </w:p>
    <w:p w14:paraId="47EC9502" w14:textId="77777777" w:rsidR="0034337D" w:rsidRPr="0034337D" w:rsidRDefault="0034337D" w:rsidP="0034337D">
      <w:pPr>
        <w:pStyle w:val="EndNoteBibliography"/>
        <w:spacing w:after="0"/>
        <w:ind w:left="720" w:hanging="720"/>
      </w:pPr>
      <w:r w:rsidRPr="0034337D">
        <w:t>185.</w:t>
      </w:r>
      <w:r w:rsidRPr="0034337D">
        <w:tab/>
        <w:t xml:space="preserve">Thaller, L.H., A.H. Zimmerman, and G.A. To. </w:t>
      </w:r>
      <w:r w:rsidRPr="0034337D">
        <w:rPr>
          <w:i/>
        </w:rPr>
        <w:t>Electrochemical voltage spectroscopy for analysis of nickel electrodes</w:t>
      </w:r>
      <w:r w:rsidRPr="0034337D">
        <w:t xml:space="preserve">. in </w:t>
      </w:r>
      <w:r w:rsidRPr="0034337D">
        <w:rPr>
          <w:i/>
        </w:rPr>
        <w:t>Fifteenth Annual Battery Conference on Applications and Advances (Cat. No.00TH8490)</w:t>
      </w:r>
      <w:r w:rsidRPr="0034337D">
        <w:t>. 2000.</w:t>
      </w:r>
    </w:p>
    <w:p w14:paraId="6F34220A" w14:textId="77777777" w:rsidR="0034337D" w:rsidRPr="0034337D" w:rsidRDefault="0034337D" w:rsidP="0034337D">
      <w:pPr>
        <w:pStyle w:val="EndNoteBibliography"/>
        <w:spacing w:after="0"/>
        <w:ind w:left="720" w:hanging="720"/>
      </w:pPr>
      <w:r w:rsidRPr="0034337D">
        <w:t>186.</w:t>
      </w:r>
      <w:r w:rsidRPr="0034337D">
        <w:tab/>
        <w:t xml:space="preserve">Yang, L., B. Ravdel, and B.L. Lucht, </w:t>
      </w:r>
      <w:r w:rsidRPr="0034337D">
        <w:rPr>
          <w:i/>
        </w:rPr>
        <w:t>Electrolyte Reactions with the Surface of High Voltage LiNi0.5Mn1.5O4 Cathodes for Lithium-Ion Batteries.</w:t>
      </w:r>
      <w:r w:rsidRPr="0034337D">
        <w:t xml:space="preserve"> Electrochemical and Solid-State Letters, 2010. </w:t>
      </w:r>
      <w:r w:rsidRPr="0034337D">
        <w:rPr>
          <w:b/>
        </w:rPr>
        <w:t>13</w:t>
      </w:r>
      <w:r w:rsidRPr="0034337D">
        <w:t>(8): p. A95-A97.</w:t>
      </w:r>
    </w:p>
    <w:p w14:paraId="40230633" w14:textId="77777777" w:rsidR="0034337D" w:rsidRPr="0034337D" w:rsidRDefault="0034337D" w:rsidP="0034337D">
      <w:pPr>
        <w:pStyle w:val="EndNoteBibliography"/>
        <w:spacing w:after="0"/>
        <w:ind w:left="720" w:hanging="720"/>
      </w:pPr>
      <w:r w:rsidRPr="0034337D">
        <w:t>187.</w:t>
      </w:r>
      <w:r w:rsidRPr="0034337D">
        <w:tab/>
        <w:t xml:space="preserve">Xu, M., et al., </w:t>
      </w:r>
      <w:r w:rsidRPr="0034337D">
        <w:rPr>
          <w:i/>
        </w:rPr>
        <w:t>Development of novel lithium borate additives for designed surface modification of high voltage LiNi 0.5 Mn 1.5 O 4 cathodes.</w:t>
      </w:r>
      <w:r w:rsidRPr="0034337D">
        <w:t xml:space="preserve"> 2016.</w:t>
      </w:r>
    </w:p>
    <w:p w14:paraId="1F486380" w14:textId="77777777" w:rsidR="0034337D" w:rsidRPr="0034337D" w:rsidRDefault="0034337D" w:rsidP="0034337D">
      <w:pPr>
        <w:pStyle w:val="EndNoteBibliography"/>
        <w:spacing w:after="0"/>
        <w:ind w:left="720" w:hanging="720"/>
      </w:pPr>
      <w:r w:rsidRPr="0034337D">
        <w:t>188.</w:t>
      </w:r>
      <w:r w:rsidRPr="0034337D">
        <w:tab/>
        <w:t xml:space="preserve">Parimalam, B.S. and B.L. Lucht, </w:t>
      </w:r>
      <w:r w:rsidRPr="0034337D">
        <w:rPr>
          <w:i/>
        </w:rPr>
        <w:t>Reduction Reactions of Electrolyte Salts for Lithium Ion Batteries: LiPF6, LiBF4, LiDFOB, LiBOB, and LiTFSI.</w:t>
      </w:r>
      <w:r w:rsidRPr="0034337D">
        <w:t xml:space="preserve"> Journal of The Electrochemical Society, 2018. </w:t>
      </w:r>
      <w:r w:rsidRPr="0034337D">
        <w:rPr>
          <w:b/>
        </w:rPr>
        <w:t>165</w:t>
      </w:r>
      <w:r w:rsidRPr="0034337D">
        <w:t>(2): p. A251-A255.</w:t>
      </w:r>
    </w:p>
    <w:p w14:paraId="61A43C44" w14:textId="77777777" w:rsidR="0034337D" w:rsidRPr="0034337D" w:rsidRDefault="0034337D" w:rsidP="0034337D">
      <w:pPr>
        <w:pStyle w:val="EndNoteBibliography"/>
        <w:spacing w:after="0"/>
        <w:ind w:left="720" w:hanging="720"/>
      </w:pPr>
      <w:r w:rsidRPr="0034337D">
        <w:t>189.</w:t>
      </w:r>
      <w:r w:rsidRPr="0034337D">
        <w:tab/>
        <w:t xml:space="preserve">Weppner, W. and R.A. Huggins, </w:t>
      </w:r>
      <w:r w:rsidRPr="0034337D">
        <w:rPr>
          <w:i/>
        </w:rPr>
        <w:t>Determination of the Kinetic Parameters of Mixed‐Conducting Electrodes and Application to the System Li3Sb.</w:t>
      </w:r>
      <w:r w:rsidRPr="0034337D">
        <w:t xml:space="preserve"> Journal of The Electrochemical Society, 1977. </w:t>
      </w:r>
      <w:r w:rsidRPr="0034337D">
        <w:rPr>
          <w:b/>
        </w:rPr>
        <w:t>124</w:t>
      </w:r>
      <w:r w:rsidRPr="0034337D">
        <w:t>(10): p. 1569-1578.</w:t>
      </w:r>
    </w:p>
    <w:p w14:paraId="0CCDFD93" w14:textId="77777777" w:rsidR="0034337D" w:rsidRPr="0034337D" w:rsidRDefault="0034337D" w:rsidP="0034337D">
      <w:pPr>
        <w:pStyle w:val="EndNoteBibliography"/>
        <w:spacing w:after="0"/>
        <w:ind w:left="720" w:hanging="720"/>
      </w:pPr>
      <w:r w:rsidRPr="0034337D">
        <w:t>190.</w:t>
      </w:r>
      <w:r w:rsidRPr="0034337D">
        <w:tab/>
        <w:t xml:space="preserve">Metrohm, </w:t>
      </w:r>
      <w:r w:rsidRPr="0034337D">
        <w:rPr>
          <w:i/>
        </w:rPr>
        <w:t>Galvanostatic Intermittent Titration Technique.</w:t>
      </w:r>
      <w:r w:rsidRPr="0034337D">
        <w:t xml:space="preserve"> Application note, 2018: p. 3.</w:t>
      </w:r>
    </w:p>
    <w:p w14:paraId="2BAEB4E4" w14:textId="77777777" w:rsidR="0034337D" w:rsidRPr="0034337D" w:rsidRDefault="0034337D" w:rsidP="0034337D">
      <w:pPr>
        <w:pStyle w:val="EndNoteBibliography"/>
        <w:spacing w:after="0"/>
        <w:ind w:left="720" w:hanging="720"/>
      </w:pPr>
      <w:r w:rsidRPr="0034337D">
        <w:t>191.</w:t>
      </w:r>
      <w:r w:rsidRPr="0034337D">
        <w:tab/>
        <w:t xml:space="preserve">Dees, D.W., et al., </w:t>
      </w:r>
      <w:r w:rsidRPr="0034337D">
        <w:rPr>
          <w:i/>
        </w:rPr>
        <w:t>Analysis of the Galvanostatic Intermittent Titration Technique (GITT) as applied to a lithium-ion porous electrode.</w:t>
      </w:r>
      <w:r w:rsidRPr="0034337D">
        <w:t xml:space="preserve"> Journal of Power Sources, 2009. </w:t>
      </w:r>
      <w:r w:rsidRPr="0034337D">
        <w:rPr>
          <w:b/>
        </w:rPr>
        <w:t>189</w:t>
      </w:r>
      <w:r w:rsidRPr="0034337D">
        <w:t>(1): p. 263-268.</w:t>
      </w:r>
    </w:p>
    <w:p w14:paraId="4B0461CB" w14:textId="77777777" w:rsidR="0034337D" w:rsidRPr="0034337D" w:rsidRDefault="0034337D" w:rsidP="0034337D">
      <w:pPr>
        <w:pStyle w:val="EndNoteBibliography"/>
        <w:spacing w:after="0"/>
        <w:ind w:left="720" w:hanging="720"/>
      </w:pPr>
      <w:r w:rsidRPr="0034337D">
        <w:t>192.</w:t>
      </w:r>
      <w:r w:rsidRPr="0034337D">
        <w:tab/>
        <w:t xml:space="preserve">Wen, C.J., et al., </w:t>
      </w:r>
      <w:r w:rsidRPr="0034337D">
        <w:rPr>
          <w:i/>
        </w:rPr>
        <w:t>Thermodynamic and Mass Transport Properties of  “ LiAl ” </w:t>
      </w:r>
      <w:r w:rsidRPr="0034337D">
        <w:t xml:space="preserve">Journal of The Electrochemical Society, 1979. </w:t>
      </w:r>
      <w:r w:rsidRPr="0034337D">
        <w:rPr>
          <w:b/>
        </w:rPr>
        <w:t>126</w:t>
      </w:r>
      <w:r w:rsidRPr="0034337D">
        <w:t>(12): p. 2258-2266.</w:t>
      </w:r>
    </w:p>
    <w:p w14:paraId="20A8DBF7" w14:textId="77777777" w:rsidR="0034337D" w:rsidRPr="0034337D" w:rsidRDefault="0034337D" w:rsidP="0034337D">
      <w:pPr>
        <w:pStyle w:val="EndNoteBibliography"/>
        <w:spacing w:after="0"/>
        <w:ind w:left="720" w:hanging="720"/>
      </w:pPr>
      <w:r w:rsidRPr="0034337D">
        <w:t>193.</w:t>
      </w:r>
      <w:r w:rsidRPr="0034337D">
        <w:tab/>
        <w:t xml:space="preserve">Levi, M.D., C. Wang, and D. Aurbach, </w:t>
      </w:r>
      <w:r w:rsidRPr="0034337D">
        <w:rPr>
          <w:i/>
        </w:rPr>
        <w:t>Two parallel diffusion paths model for interpretation of PITT and EIS responses from non-uniform intercalation electrodes.</w:t>
      </w:r>
      <w:r w:rsidRPr="0034337D">
        <w:t xml:space="preserve"> Journal of Electroanalytical Chemistry, 2004. </w:t>
      </w:r>
      <w:r w:rsidRPr="0034337D">
        <w:rPr>
          <w:b/>
        </w:rPr>
        <w:t>561</w:t>
      </w:r>
      <w:r w:rsidRPr="0034337D">
        <w:t>: p. 1-11.</w:t>
      </w:r>
    </w:p>
    <w:p w14:paraId="1199A508" w14:textId="77777777" w:rsidR="0034337D" w:rsidRPr="0034337D" w:rsidRDefault="0034337D" w:rsidP="0034337D">
      <w:pPr>
        <w:pStyle w:val="EndNoteBibliography"/>
        <w:spacing w:after="0"/>
        <w:ind w:left="720" w:hanging="720"/>
      </w:pPr>
      <w:r w:rsidRPr="0034337D">
        <w:t>194.</w:t>
      </w:r>
      <w:r w:rsidRPr="0034337D">
        <w:tab/>
        <w:t xml:space="preserve">Li, J., et al., </w:t>
      </w:r>
      <w:r w:rsidRPr="0034337D">
        <w:rPr>
          <w:i/>
        </w:rPr>
        <w:t>Potentiostatic Intermittent Titration Technique for Electrodes Governed by Diffusion and Interfacial Reaction.</w:t>
      </w:r>
      <w:r w:rsidRPr="0034337D">
        <w:t xml:space="preserve"> The Journal of Physical Chemistry C, 2012. </w:t>
      </w:r>
      <w:r w:rsidRPr="0034337D">
        <w:rPr>
          <w:b/>
        </w:rPr>
        <w:t>116</w:t>
      </w:r>
      <w:r w:rsidRPr="0034337D">
        <w:t>(1): p. 1472-1478.</w:t>
      </w:r>
    </w:p>
    <w:p w14:paraId="3620EB77" w14:textId="77777777" w:rsidR="0034337D" w:rsidRPr="0034337D" w:rsidRDefault="0034337D" w:rsidP="0034337D">
      <w:pPr>
        <w:pStyle w:val="EndNoteBibliography"/>
        <w:spacing w:after="0"/>
        <w:ind w:left="720" w:hanging="720"/>
      </w:pPr>
      <w:r w:rsidRPr="0034337D">
        <w:t>195.</w:t>
      </w:r>
      <w:r w:rsidRPr="0034337D">
        <w:tab/>
        <w:t xml:space="preserve">Montella, C., </w:t>
      </w:r>
      <w:r w:rsidRPr="0034337D">
        <w:rPr>
          <w:i/>
        </w:rPr>
        <w:t>Discussion of the potential step method for the determination of the diffusion coefficients of guest species in host materials: Part I. Influence of charge transfer kinetics and ohmic potential drop.</w:t>
      </w:r>
      <w:r w:rsidRPr="0034337D">
        <w:t xml:space="preserve"> Journal of Electroanalytical Chemistry, 2002. </w:t>
      </w:r>
      <w:r w:rsidRPr="0034337D">
        <w:rPr>
          <w:b/>
        </w:rPr>
        <w:t>518</w:t>
      </w:r>
      <w:r w:rsidRPr="0034337D">
        <w:t>(2): p. 61-83.</w:t>
      </w:r>
    </w:p>
    <w:p w14:paraId="23A96FAE" w14:textId="77777777" w:rsidR="0034337D" w:rsidRPr="0034337D" w:rsidRDefault="0034337D" w:rsidP="0034337D">
      <w:pPr>
        <w:pStyle w:val="EndNoteBibliography"/>
        <w:spacing w:after="0"/>
        <w:ind w:left="720" w:hanging="720"/>
      </w:pPr>
      <w:r w:rsidRPr="0034337D">
        <w:t>196.</w:t>
      </w:r>
      <w:r w:rsidRPr="0034337D">
        <w:tab/>
        <w:t xml:space="preserve">Levi, M.D., et al., </w:t>
      </w:r>
      <w:r w:rsidRPr="0034337D">
        <w:rPr>
          <w:i/>
        </w:rPr>
        <w:t>Application of a Novel Refinement Method for Accurate Determination of Chemical Diffusion Coefficients in Electroactive Materials by Potential Step Technique.</w:t>
      </w:r>
      <w:r w:rsidRPr="0034337D">
        <w:t xml:space="preserve"> Journal of The Electrochemical Society, 2005. </w:t>
      </w:r>
      <w:r w:rsidRPr="0034337D">
        <w:rPr>
          <w:b/>
        </w:rPr>
        <w:t>152</w:t>
      </w:r>
      <w:r w:rsidRPr="0034337D">
        <w:t>(2): p. E61-E67.</w:t>
      </w:r>
    </w:p>
    <w:p w14:paraId="3E68D133" w14:textId="77777777" w:rsidR="0034337D" w:rsidRPr="0034337D" w:rsidRDefault="0034337D" w:rsidP="0034337D">
      <w:pPr>
        <w:pStyle w:val="EndNoteBibliography"/>
        <w:spacing w:after="0"/>
        <w:ind w:left="720" w:hanging="720"/>
      </w:pPr>
      <w:r w:rsidRPr="0034337D">
        <w:t>197.</w:t>
      </w:r>
      <w:r w:rsidRPr="0034337D">
        <w:tab/>
        <w:t xml:space="preserve">Markevich, E., M.D. Levi, and D. Aurbach, </w:t>
      </w:r>
      <w:r w:rsidRPr="0034337D">
        <w:rPr>
          <w:i/>
        </w:rPr>
        <w:t>Comparison between potentiostatic and galvanostatic intermittent titration techniques for determination of chemical diffusion coefficients in ion-insertion electrodes.</w:t>
      </w:r>
      <w:r w:rsidRPr="0034337D">
        <w:t xml:space="preserve"> Journal of Electroanalytical Chemistry, 2005. </w:t>
      </w:r>
      <w:r w:rsidRPr="0034337D">
        <w:rPr>
          <w:b/>
        </w:rPr>
        <w:t>580</w:t>
      </w:r>
      <w:r w:rsidRPr="0034337D">
        <w:t>(2): p. 231-237.</w:t>
      </w:r>
    </w:p>
    <w:p w14:paraId="4E4CC1A6" w14:textId="5D0256CA" w:rsidR="0034337D" w:rsidRPr="0034337D" w:rsidRDefault="0034337D" w:rsidP="0034337D">
      <w:pPr>
        <w:pStyle w:val="EndNoteBibliography"/>
        <w:spacing w:after="0"/>
        <w:ind w:left="720" w:hanging="720"/>
      </w:pPr>
      <w:r w:rsidRPr="0034337D">
        <w:t>198.</w:t>
      </w:r>
      <w:r w:rsidRPr="0034337D">
        <w:tab/>
      </w:r>
      <w:hyperlink r:id="rId323" w:history="1">
        <w:r w:rsidRPr="0034337D">
          <w:rPr>
            <w:rStyle w:val="Hyperlink"/>
            <w:i/>
          </w:rPr>
          <w:t>https://www.brukerafmprobes.com/p-3365-nchv.aspx</w:t>
        </w:r>
      </w:hyperlink>
      <w:r w:rsidRPr="0034337D">
        <w:t>.  [cited 2019 13/02/19].</w:t>
      </w:r>
    </w:p>
    <w:p w14:paraId="1D4E6F34" w14:textId="77777777" w:rsidR="0034337D" w:rsidRPr="0034337D" w:rsidRDefault="0034337D" w:rsidP="0034337D">
      <w:pPr>
        <w:pStyle w:val="EndNoteBibliography"/>
        <w:spacing w:after="0"/>
        <w:ind w:left="720" w:hanging="720"/>
      </w:pPr>
      <w:r w:rsidRPr="0034337D">
        <w:t>199.</w:t>
      </w:r>
      <w:r w:rsidRPr="0034337D">
        <w:tab/>
        <w:t xml:space="preserve">Shan, Y. and H. Wang, </w:t>
      </w:r>
      <w:r w:rsidRPr="0034337D">
        <w:rPr>
          <w:i/>
        </w:rPr>
        <w:t>The structure and function of cell membranes examined by atomic force microscopy and single-molecule force spectroscopy.</w:t>
      </w:r>
      <w:r w:rsidRPr="0034337D">
        <w:t xml:space="preserve"> Chemical Society Reviews, 2015. </w:t>
      </w:r>
      <w:r w:rsidRPr="0034337D">
        <w:rPr>
          <w:b/>
        </w:rPr>
        <w:t>44</w:t>
      </w:r>
      <w:r w:rsidRPr="0034337D">
        <w:t>(11): p. 3617-3638.</w:t>
      </w:r>
    </w:p>
    <w:p w14:paraId="38ABEA9B" w14:textId="77777777" w:rsidR="0034337D" w:rsidRPr="0034337D" w:rsidRDefault="0034337D" w:rsidP="0034337D">
      <w:pPr>
        <w:pStyle w:val="EndNoteBibliography"/>
        <w:spacing w:after="0"/>
        <w:ind w:left="720" w:hanging="720"/>
      </w:pPr>
      <w:r w:rsidRPr="0034337D">
        <w:t>200.</w:t>
      </w:r>
      <w:r w:rsidRPr="0034337D">
        <w:tab/>
        <w:t xml:space="preserve">Stefan B. Kaemmer, P.D., </w:t>
      </w:r>
      <w:r w:rsidRPr="0034337D">
        <w:rPr>
          <w:i/>
        </w:rPr>
        <w:t>Introduction to Bruker’s ScanAsyst and PeakForce Tapping AFM Technology.</w:t>
      </w:r>
      <w:r w:rsidRPr="0034337D">
        <w:t xml:space="preserve"> 2011(Application Note #133).</w:t>
      </w:r>
    </w:p>
    <w:p w14:paraId="7E6A8496" w14:textId="77777777" w:rsidR="0034337D" w:rsidRPr="0034337D" w:rsidRDefault="0034337D" w:rsidP="0034337D">
      <w:pPr>
        <w:pStyle w:val="EndNoteBibliography"/>
        <w:spacing w:after="0"/>
        <w:ind w:left="720" w:hanging="720"/>
      </w:pPr>
      <w:r w:rsidRPr="0034337D">
        <w:t>201.</w:t>
      </w:r>
      <w:r w:rsidRPr="0034337D">
        <w:tab/>
        <w:t xml:space="preserve">Breitung, B., et al., </w:t>
      </w:r>
      <w:r w:rsidRPr="0034337D">
        <w:rPr>
          <w:i/>
        </w:rPr>
        <w:t>In situ and operando atomic force microscopy of high-capacity nano-silicon based electrodes for lithium-ion batteries.</w:t>
      </w:r>
      <w:r w:rsidRPr="0034337D">
        <w:t xml:space="preserve"> Nanoscale, 2016. </w:t>
      </w:r>
      <w:r w:rsidRPr="0034337D">
        <w:rPr>
          <w:b/>
        </w:rPr>
        <w:t>8</w:t>
      </w:r>
      <w:r w:rsidRPr="0034337D">
        <w:t>(29): p. 14048-14056.</w:t>
      </w:r>
    </w:p>
    <w:p w14:paraId="7F7298E9" w14:textId="77777777" w:rsidR="0034337D" w:rsidRPr="0034337D" w:rsidRDefault="0034337D" w:rsidP="0034337D">
      <w:pPr>
        <w:pStyle w:val="EndNoteBibliography"/>
        <w:spacing w:after="0"/>
        <w:ind w:left="720" w:hanging="720"/>
      </w:pPr>
      <w:r w:rsidRPr="0034337D">
        <w:t>202.</w:t>
      </w:r>
      <w:r w:rsidRPr="0034337D">
        <w:tab/>
        <w:t xml:space="preserve">Deng, X., et al., </w:t>
      </w:r>
      <w:r w:rsidRPr="0034337D">
        <w:rPr>
          <w:i/>
        </w:rPr>
        <w:t>Morphology and modulus evolution of graphite anode in lithium ion battery: An in situ AFM investigation.</w:t>
      </w:r>
      <w:r w:rsidRPr="0034337D">
        <w:t xml:space="preserve"> Science China Chemistry, 2014. </w:t>
      </w:r>
      <w:r w:rsidRPr="0034337D">
        <w:rPr>
          <w:b/>
        </w:rPr>
        <w:t>57</w:t>
      </w:r>
      <w:r w:rsidRPr="0034337D">
        <w:t>(1): p. 178-183.</w:t>
      </w:r>
    </w:p>
    <w:p w14:paraId="295AC969" w14:textId="77777777" w:rsidR="0034337D" w:rsidRPr="0034337D" w:rsidRDefault="0034337D" w:rsidP="0034337D">
      <w:pPr>
        <w:pStyle w:val="EndNoteBibliography"/>
        <w:spacing w:after="0"/>
        <w:ind w:left="720" w:hanging="720"/>
      </w:pPr>
      <w:r w:rsidRPr="0034337D">
        <w:t>203.</w:t>
      </w:r>
      <w:r w:rsidRPr="0034337D">
        <w:tab/>
        <w:t xml:space="preserve">Leroy, S., et al., </w:t>
      </w:r>
      <w:r w:rsidRPr="0034337D">
        <w:rPr>
          <w:i/>
        </w:rPr>
        <w:t>Surface film formation on a graphite electrode in Li-ion batteries: AFM and XPS study.</w:t>
      </w:r>
      <w:r w:rsidRPr="0034337D">
        <w:t xml:space="preserve"> Surface and Interface Analysis, 2005. </w:t>
      </w:r>
      <w:r w:rsidRPr="0034337D">
        <w:rPr>
          <w:b/>
        </w:rPr>
        <w:t>37</w:t>
      </w:r>
      <w:r w:rsidRPr="0034337D">
        <w:t>(10): p. 773-781.</w:t>
      </w:r>
    </w:p>
    <w:p w14:paraId="38F1DA37" w14:textId="77777777" w:rsidR="0034337D" w:rsidRPr="0034337D" w:rsidRDefault="0034337D" w:rsidP="0034337D">
      <w:pPr>
        <w:pStyle w:val="EndNoteBibliography"/>
        <w:spacing w:after="0"/>
        <w:ind w:left="720" w:hanging="720"/>
      </w:pPr>
      <w:r w:rsidRPr="0034337D">
        <w:t>204.</w:t>
      </w:r>
      <w:r w:rsidRPr="0034337D">
        <w:tab/>
        <w:t xml:space="preserve">Voigtländer, B., </w:t>
      </w:r>
      <w:r w:rsidRPr="0034337D">
        <w:rPr>
          <w:i/>
        </w:rPr>
        <w:t>Scanning Probe Microscopy: Atomic Force Microscopy and Scanning Tunneling Microscopy</w:t>
      </w:r>
      <w:r w:rsidRPr="0034337D">
        <w:t>. 2015: Springer Berlin Heidelberg.</w:t>
      </w:r>
    </w:p>
    <w:p w14:paraId="7B32E4AF" w14:textId="77777777" w:rsidR="0034337D" w:rsidRPr="0034337D" w:rsidRDefault="0034337D" w:rsidP="0034337D">
      <w:pPr>
        <w:pStyle w:val="EndNoteBibliography"/>
        <w:spacing w:after="0"/>
        <w:ind w:left="720" w:hanging="720"/>
      </w:pPr>
      <w:r w:rsidRPr="0034337D">
        <w:t>205.</w:t>
      </w:r>
      <w:r w:rsidRPr="0034337D">
        <w:tab/>
        <w:t xml:space="preserve">Watson, E.S. and M.J. O'neill, </w:t>
      </w:r>
      <w:r w:rsidRPr="0034337D">
        <w:rPr>
          <w:i/>
        </w:rPr>
        <w:t>Differential microcalorimeter</w:t>
      </w:r>
      <w:r w:rsidRPr="0034337D">
        <w:t>. 1966, Google Patents.</w:t>
      </w:r>
    </w:p>
    <w:p w14:paraId="72D69B05" w14:textId="77777777" w:rsidR="0034337D" w:rsidRPr="0034337D" w:rsidRDefault="0034337D" w:rsidP="0034337D">
      <w:pPr>
        <w:pStyle w:val="EndNoteBibliography"/>
        <w:spacing w:after="0"/>
        <w:ind w:left="720" w:hanging="720"/>
      </w:pPr>
      <w:r w:rsidRPr="0034337D">
        <w:t>206.</w:t>
      </w:r>
      <w:r w:rsidRPr="0034337D">
        <w:tab/>
        <w:t xml:space="preserve">Ebnesajjad, S., </w:t>
      </w:r>
      <w:r w:rsidRPr="0034337D">
        <w:rPr>
          <w:i/>
        </w:rPr>
        <w:t>Introduction to Plastics</w:t>
      </w:r>
      <w:r w:rsidRPr="0034337D">
        <w:t xml:space="preserve">, in </w:t>
      </w:r>
      <w:r w:rsidRPr="0034337D">
        <w:rPr>
          <w:i/>
        </w:rPr>
        <w:t>Chemical Resistance of Commodity Thermoplastics</w:t>
      </w:r>
      <w:r w:rsidRPr="0034337D">
        <w:t>, E. Baur, K. Ruhrberg, and W. Woishnis, Editors. 2016, William Andrew Publishing. p. xiii-xxv.</w:t>
      </w:r>
    </w:p>
    <w:p w14:paraId="0E6945CB" w14:textId="77777777" w:rsidR="0034337D" w:rsidRPr="0034337D" w:rsidRDefault="0034337D" w:rsidP="0034337D">
      <w:pPr>
        <w:pStyle w:val="EndNoteBibliography"/>
        <w:spacing w:after="0"/>
        <w:ind w:left="720" w:hanging="720"/>
      </w:pPr>
      <w:r w:rsidRPr="0034337D">
        <w:t>207.</w:t>
      </w:r>
      <w:r w:rsidRPr="0034337D">
        <w:tab/>
        <w:t xml:space="preserve">El-Sayed, S., et al., </w:t>
      </w:r>
      <w:r w:rsidRPr="0034337D">
        <w:rPr>
          <w:i/>
        </w:rPr>
        <w:t>DSC, TGA and dielectric properties of carboxymethyl cellulose/polyvinyl alcohol blends.</w:t>
      </w:r>
      <w:r w:rsidRPr="0034337D">
        <w:t xml:space="preserve"> Physica B: Condensed Matter, 2011. </w:t>
      </w:r>
      <w:r w:rsidRPr="0034337D">
        <w:rPr>
          <w:b/>
        </w:rPr>
        <w:t>406</w:t>
      </w:r>
      <w:r w:rsidRPr="0034337D">
        <w:t>(21): p. 4068-4076.</w:t>
      </w:r>
    </w:p>
    <w:p w14:paraId="6658F0B3" w14:textId="77777777" w:rsidR="0034337D" w:rsidRPr="0034337D" w:rsidRDefault="0034337D" w:rsidP="0034337D">
      <w:pPr>
        <w:pStyle w:val="EndNoteBibliography"/>
        <w:spacing w:after="0"/>
        <w:ind w:left="720" w:hanging="720"/>
      </w:pPr>
      <w:r w:rsidRPr="0034337D">
        <w:t>208.</w:t>
      </w:r>
      <w:r w:rsidRPr="0034337D">
        <w:tab/>
        <w:t xml:space="preserve">de Britto, D. and O.B.G. Assis, </w:t>
      </w:r>
      <w:r w:rsidRPr="0034337D">
        <w:rPr>
          <w:i/>
        </w:rPr>
        <w:t>Thermal degradation of carboxymethylcellulose in different salty forms.</w:t>
      </w:r>
      <w:r w:rsidRPr="0034337D">
        <w:t xml:space="preserve"> Thermochimica Acta, 2009. </w:t>
      </w:r>
      <w:r w:rsidRPr="0034337D">
        <w:rPr>
          <w:b/>
        </w:rPr>
        <w:t>494</w:t>
      </w:r>
      <w:r w:rsidRPr="0034337D">
        <w:t>(1): p. 115-122.</w:t>
      </w:r>
    </w:p>
    <w:p w14:paraId="1A4DA55A" w14:textId="77777777" w:rsidR="0034337D" w:rsidRPr="0034337D" w:rsidRDefault="0034337D" w:rsidP="0034337D">
      <w:pPr>
        <w:pStyle w:val="EndNoteBibliography"/>
        <w:spacing w:after="0"/>
        <w:ind w:left="720" w:hanging="720"/>
      </w:pPr>
      <w:r w:rsidRPr="0034337D">
        <w:t>209.</w:t>
      </w:r>
      <w:r w:rsidRPr="0034337D">
        <w:tab/>
        <w:t xml:space="preserve">Zhang, Z., D. Fouchard, and J.R. Rea, </w:t>
      </w:r>
      <w:r w:rsidRPr="0034337D">
        <w:rPr>
          <w:i/>
        </w:rPr>
        <w:t>Differential scanning calorimetry material studies: implications for the safety of lithium-ion cells.</w:t>
      </w:r>
      <w:r w:rsidRPr="0034337D">
        <w:t xml:space="preserve"> Journal of Power Sources, 1998. </w:t>
      </w:r>
      <w:r w:rsidRPr="0034337D">
        <w:rPr>
          <w:b/>
        </w:rPr>
        <w:t>70</w:t>
      </w:r>
      <w:r w:rsidRPr="0034337D">
        <w:t>(1): p. 16-20.</w:t>
      </w:r>
    </w:p>
    <w:p w14:paraId="340250EC" w14:textId="77777777" w:rsidR="0034337D" w:rsidRPr="0034337D" w:rsidRDefault="0034337D" w:rsidP="0034337D">
      <w:pPr>
        <w:pStyle w:val="EndNoteBibliography"/>
        <w:spacing w:after="0"/>
        <w:ind w:left="720" w:hanging="720"/>
      </w:pPr>
      <w:r w:rsidRPr="0034337D">
        <w:t>210.</w:t>
      </w:r>
      <w:r w:rsidRPr="0034337D">
        <w:tab/>
        <w:t xml:space="preserve">Pasquier, A.D., et al., </w:t>
      </w:r>
      <w:r w:rsidRPr="0034337D">
        <w:rPr>
          <w:i/>
        </w:rPr>
        <w:t>Differential Scanning Calorimetry Study of the Reactivity of Carbon Anodes in Plastic Li‐Ion Batteries.</w:t>
      </w:r>
      <w:r w:rsidRPr="0034337D">
        <w:t xml:space="preserve"> Journal of The Electrochemical Society, 1998. </w:t>
      </w:r>
      <w:r w:rsidRPr="0034337D">
        <w:rPr>
          <w:b/>
        </w:rPr>
        <w:t>145</w:t>
      </w:r>
      <w:r w:rsidRPr="0034337D">
        <w:t>(2): p. 472-477.</w:t>
      </w:r>
    </w:p>
    <w:p w14:paraId="7596C1A2" w14:textId="77777777" w:rsidR="0034337D" w:rsidRPr="0034337D" w:rsidRDefault="0034337D" w:rsidP="0034337D">
      <w:pPr>
        <w:pStyle w:val="EndNoteBibliography"/>
        <w:spacing w:after="0"/>
        <w:ind w:left="720" w:hanging="720"/>
      </w:pPr>
      <w:r w:rsidRPr="0034337D">
        <w:t>211.</w:t>
      </w:r>
      <w:r w:rsidRPr="0034337D">
        <w:tab/>
        <w:t xml:space="preserve">Son, K., et al., </w:t>
      </w:r>
      <w:r w:rsidRPr="0034337D">
        <w:rPr>
          <w:i/>
        </w:rPr>
        <w:t>Thermal and chemical characterization of the solid-electrolyte interphase in Li-ion batteries using a novel separator sampling method.</w:t>
      </w:r>
      <w:r w:rsidRPr="0034337D">
        <w:t xml:space="preserve"> Journal of Power Sources, 2019. </w:t>
      </w:r>
      <w:r w:rsidRPr="0034337D">
        <w:rPr>
          <w:b/>
        </w:rPr>
        <w:t>440</w:t>
      </w:r>
      <w:r w:rsidRPr="0034337D">
        <w:t>: p. 227083.</w:t>
      </w:r>
    </w:p>
    <w:p w14:paraId="1D96EF13" w14:textId="77777777" w:rsidR="0034337D" w:rsidRPr="0034337D" w:rsidRDefault="0034337D" w:rsidP="0034337D">
      <w:pPr>
        <w:pStyle w:val="EndNoteBibliography"/>
        <w:spacing w:after="0"/>
        <w:ind w:left="720" w:hanging="720"/>
      </w:pPr>
      <w:r w:rsidRPr="0034337D">
        <w:t>212.</w:t>
      </w:r>
      <w:r w:rsidRPr="0034337D">
        <w:tab/>
        <w:t xml:space="preserve">Hertz, H., </w:t>
      </w:r>
      <w:r w:rsidRPr="0034337D">
        <w:rPr>
          <w:i/>
        </w:rPr>
        <w:t>Ueber einen Einfluss des ultravioletten Lichtes auf die electrische Entladung.</w:t>
      </w:r>
      <w:r w:rsidRPr="0034337D">
        <w:t xml:space="preserve"> Annalen der Physik, 1887. </w:t>
      </w:r>
      <w:r w:rsidRPr="0034337D">
        <w:rPr>
          <w:b/>
        </w:rPr>
        <w:t>267</w:t>
      </w:r>
      <w:r w:rsidRPr="0034337D">
        <w:t>(8): p. 983-1000.</w:t>
      </w:r>
    </w:p>
    <w:p w14:paraId="0C761769" w14:textId="77777777" w:rsidR="0034337D" w:rsidRPr="0034337D" w:rsidRDefault="0034337D" w:rsidP="0034337D">
      <w:pPr>
        <w:pStyle w:val="EndNoteBibliography"/>
        <w:spacing w:after="0"/>
        <w:ind w:left="720" w:hanging="720"/>
      </w:pPr>
      <w:r w:rsidRPr="0034337D">
        <w:t>213.</w:t>
      </w:r>
      <w:r w:rsidRPr="0034337D">
        <w:tab/>
        <w:t xml:space="preserve">Einstein, A., </w:t>
      </w:r>
      <w:r w:rsidRPr="0034337D">
        <w:rPr>
          <w:i/>
        </w:rPr>
        <w:t>Über einen die Erzeugung und Verwandlung des Lichtes betreffenden heuristischen Gesichtspunkt.</w:t>
      </w:r>
      <w:r w:rsidRPr="0034337D">
        <w:t xml:space="preserve"> Annalen der Physik, 1905. </w:t>
      </w:r>
      <w:r w:rsidRPr="0034337D">
        <w:rPr>
          <w:b/>
        </w:rPr>
        <w:t>322</w:t>
      </w:r>
      <w:r w:rsidRPr="0034337D">
        <w:t>(6): p. 132-148.</w:t>
      </w:r>
    </w:p>
    <w:p w14:paraId="510FE01E" w14:textId="77777777" w:rsidR="0034337D" w:rsidRPr="0034337D" w:rsidRDefault="0034337D" w:rsidP="0034337D">
      <w:pPr>
        <w:pStyle w:val="EndNoteBibliography"/>
        <w:spacing w:after="0"/>
        <w:ind w:left="720" w:hanging="720"/>
      </w:pPr>
      <w:r w:rsidRPr="0034337D">
        <w:t>214.</w:t>
      </w:r>
      <w:r w:rsidRPr="0034337D">
        <w:tab/>
        <w:t xml:space="preserve">Stachel, J.J., </w:t>
      </w:r>
      <w:r w:rsidRPr="0034337D">
        <w:rPr>
          <w:i/>
        </w:rPr>
        <w:t>Einstein's miraculous year: five papers that changed the face of physics.</w:t>
      </w:r>
      <w:r w:rsidRPr="0034337D">
        <w:t xml:space="preserve"> 2005.</w:t>
      </w:r>
    </w:p>
    <w:p w14:paraId="220B73AF" w14:textId="77777777" w:rsidR="0034337D" w:rsidRPr="0034337D" w:rsidRDefault="0034337D" w:rsidP="0034337D">
      <w:pPr>
        <w:pStyle w:val="EndNoteBibliography"/>
        <w:spacing w:after="0"/>
        <w:ind w:left="720" w:hanging="720"/>
      </w:pPr>
      <w:r w:rsidRPr="0034337D">
        <w:t>215.</w:t>
      </w:r>
      <w:r w:rsidRPr="0034337D">
        <w:tab/>
        <w:t xml:space="preserve">Bryngelsson, H., et al., </w:t>
      </w:r>
      <w:r w:rsidRPr="0034337D">
        <w:rPr>
          <w:i/>
        </w:rPr>
        <w:t>How dynamic is the SEI?</w:t>
      </w:r>
      <w:r w:rsidRPr="0034337D">
        <w:t xml:space="preserve"> Journal of Power Sources, 2007. </w:t>
      </w:r>
      <w:r w:rsidRPr="0034337D">
        <w:rPr>
          <w:b/>
        </w:rPr>
        <w:t>174</w:t>
      </w:r>
      <w:r w:rsidRPr="0034337D">
        <w:t>(2): p. 970-975.</w:t>
      </w:r>
    </w:p>
    <w:p w14:paraId="3D5347BB" w14:textId="77777777" w:rsidR="0034337D" w:rsidRPr="0034337D" w:rsidRDefault="0034337D" w:rsidP="0034337D">
      <w:pPr>
        <w:pStyle w:val="EndNoteBibliography"/>
        <w:spacing w:after="0"/>
        <w:ind w:left="720" w:hanging="720"/>
      </w:pPr>
      <w:r w:rsidRPr="0034337D">
        <w:t>216.</w:t>
      </w:r>
      <w:r w:rsidRPr="0034337D">
        <w:tab/>
        <w:t xml:space="preserve">Xu, W., et al., </w:t>
      </w:r>
      <w:r w:rsidRPr="0034337D">
        <w:rPr>
          <w:i/>
        </w:rPr>
        <w:t>Lithium metal anodes for rechargeable batteries.</w:t>
      </w:r>
      <w:r w:rsidRPr="0034337D">
        <w:t xml:space="preserve"> Energy Environ. Sci., 2014. </w:t>
      </w:r>
      <w:r w:rsidRPr="0034337D">
        <w:rPr>
          <w:b/>
        </w:rPr>
        <w:t>7</w:t>
      </w:r>
      <w:r w:rsidRPr="0034337D">
        <w:t>(2): p. 513-537.</w:t>
      </w:r>
    </w:p>
    <w:p w14:paraId="1D27AB17" w14:textId="77777777" w:rsidR="0034337D" w:rsidRPr="0034337D" w:rsidRDefault="0034337D" w:rsidP="0034337D">
      <w:pPr>
        <w:pStyle w:val="EndNoteBibliography"/>
        <w:spacing w:after="0"/>
        <w:ind w:left="720" w:hanging="720"/>
      </w:pPr>
      <w:r w:rsidRPr="0034337D">
        <w:t>217.</w:t>
      </w:r>
      <w:r w:rsidRPr="0034337D">
        <w:tab/>
        <w:t xml:space="preserve">Aurbach, D., et al., </w:t>
      </w:r>
      <w:r w:rsidRPr="0034337D">
        <w:rPr>
          <w:i/>
        </w:rPr>
        <w:t>A Comparative Study of Synthetic Graphite and Li Electrodes in Electrolyte Solutions Based on Ethylene Carbonate‐Dimethyl Carbonate Mixtures.</w:t>
      </w:r>
      <w:r w:rsidRPr="0034337D">
        <w:t xml:space="preserve"> Journal of The Electrochemical Society, 1996. </w:t>
      </w:r>
      <w:r w:rsidRPr="0034337D">
        <w:rPr>
          <w:b/>
        </w:rPr>
        <w:t>143</w:t>
      </w:r>
      <w:r w:rsidRPr="0034337D">
        <w:t>(12): p. 3809-3820.</w:t>
      </w:r>
    </w:p>
    <w:p w14:paraId="021B01D3" w14:textId="77777777" w:rsidR="0034337D" w:rsidRPr="0034337D" w:rsidRDefault="0034337D" w:rsidP="0034337D">
      <w:pPr>
        <w:pStyle w:val="EndNoteBibliography"/>
        <w:spacing w:after="0"/>
        <w:ind w:left="720" w:hanging="720"/>
      </w:pPr>
      <w:r w:rsidRPr="0034337D">
        <w:t>218.</w:t>
      </w:r>
      <w:r w:rsidRPr="0034337D">
        <w:tab/>
        <w:t xml:space="preserve">Markevich, E., et al., </w:t>
      </w:r>
      <w:r w:rsidRPr="0034337D">
        <w:rPr>
          <w:i/>
        </w:rPr>
        <w:t>Amorphous Columnar Silicon Anodes for Advanced High Voltage Lithium Ion Full Cells: Dominant Factors Governing Cycling Performance.</w:t>
      </w:r>
      <w:r w:rsidRPr="0034337D">
        <w:t xml:space="preserve"> Journal of The Electrochemical Society, 2013. </w:t>
      </w:r>
      <w:r w:rsidRPr="0034337D">
        <w:rPr>
          <w:b/>
        </w:rPr>
        <w:t>160</w:t>
      </w:r>
      <w:r w:rsidRPr="0034337D">
        <w:t>(10): p. A1824-A1833.</w:t>
      </w:r>
    </w:p>
    <w:p w14:paraId="07A16840" w14:textId="77777777" w:rsidR="0034337D" w:rsidRPr="0034337D" w:rsidRDefault="0034337D" w:rsidP="0034337D">
      <w:pPr>
        <w:pStyle w:val="EndNoteBibliography"/>
        <w:spacing w:after="0"/>
        <w:ind w:left="720" w:hanging="720"/>
      </w:pPr>
      <w:r w:rsidRPr="0034337D">
        <w:t>219.</w:t>
      </w:r>
      <w:r w:rsidRPr="0034337D">
        <w:tab/>
        <w:t xml:space="preserve">Jaumann, T., et al., </w:t>
      </w:r>
      <w:r w:rsidRPr="0034337D">
        <w:rPr>
          <w:i/>
        </w:rPr>
        <w:t>Lifetime vs. rate capability: understanding the role of FEC and VC in high-energy Li-ion batteries with nano-silicon anodes.</w:t>
      </w:r>
      <w:r w:rsidRPr="0034337D">
        <w:t xml:space="preserve"> Energy Storage Materials, 2017. </w:t>
      </w:r>
      <w:r w:rsidRPr="0034337D">
        <w:rPr>
          <w:b/>
        </w:rPr>
        <w:t>6</w:t>
      </w:r>
      <w:r w:rsidRPr="0034337D">
        <w:t>: p. 26-35.</w:t>
      </w:r>
    </w:p>
    <w:p w14:paraId="736E4171" w14:textId="77777777" w:rsidR="0034337D" w:rsidRPr="0034337D" w:rsidRDefault="0034337D" w:rsidP="0034337D">
      <w:pPr>
        <w:pStyle w:val="EndNoteBibliography"/>
        <w:spacing w:after="0"/>
        <w:ind w:left="720" w:hanging="720"/>
      </w:pPr>
      <w:r w:rsidRPr="0034337D">
        <w:t>220.</w:t>
      </w:r>
      <w:r w:rsidRPr="0034337D">
        <w:tab/>
        <w:t xml:space="preserve">Levi, M.D., et al., </w:t>
      </w:r>
      <w:r w:rsidRPr="0034337D">
        <w:rPr>
          <w:i/>
        </w:rPr>
        <w:t>Solid‐State Electrochemical Kinetics of Li‐Ion Intercalation into Li1 − x CoO2: Simultaneous Application of Electroanalytical Techniques SSCV, PITT, and EIS.</w:t>
      </w:r>
      <w:r w:rsidRPr="0034337D">
        <w:t xml:space="preserve"> Journal of The Electrochemical Society, 1999. </w:t>
      </w:r>
      <w:r w:rsidRPr="0034337D">
        <w:rPr>
          <w:b/>
        </w:rPr>
        <w:t>146</w:t>
      </w:r>
      <w:r w:rsidRPr="0034337D">
        <w:t>(4): p. 1279-1289.</w:t>
      </w:r>
    </w:p>
    <w:p w14:paraId="6E0F8A89" w14:textId="77777777" w:rsidR="0034337D" w:rsidRPr="0034337D" w:rsidRDefault="0034337D" w:rsidP="0034337D">
      <w:pPr>
        <w:pStyle w:val="EndNoteBibliography"/>
        <w:spacing w:after="0"/>
        <w:ind w:left="720" w:hanging="720"/>
      </w:pPr>
      <w:r w:rsidRPr="0034337D">
        <w:t>221.</w:t>
      </w:r>
      <w:r w:rsidRPr="0034337D">
        <w:tab/>
        <w:t xml:space="preserve">Lee, H., et al., </w:t>
      </w:r>
      <w:r w:rsidRPr="0034337D">
        <w:rPr>
          <w:i/>
        </w:rPr>
        <w:t>Internal and External Atomic Steps in Graphite Exhibit Dramatically Different Physical and Chemical Properties.</w:t>
      </w:r>
      <w:r w:rsidRPr="0034337D">
        <w:t xml:space="preserve"> ACS Nano, 2015. </w:t>
      </w:r>
      <w:r w:rsidRPr="0034337D">
        <w:rPr>
          <w:b/>
        </w:rPr>
        <w:t>9</w:t>
      </w:r>
      <w:r w:rsidRPr="0034337D">
        <w:t>(4): p. 3814-3819.</w:t>
      </w:r>
    </w:p>
    <w:p w14:paraId="6413E1C9" w14:textId="77777777" w:rsidR="0034337D" w:rsidRPr="0034337D" w:rsidRDefault="0034337D" w:rsidP="0034337D">
      <w:pPr>
        <w:pStyle w:val="EndNoteBibliography"/>
        <w:spacing w:after="0"/>
        <w:ind w:left="720" w:hanging="720"/>
      </w:pPr>
      <w:r w:rsidRPr="0034337D">
        <w:t>222.</w:t>
      </w:r>
      <w:r w:rsidRPr="0034337D">
        <w:tab/>
        <w:t xml:space="preserve">Tran, T. and K. Kinoshita, </w:t>
      </w:r>
      <w:r w:rsidRPr="0034337D">
        <w:rPr>
          <w:i/>
        </w:rPr>
        <w:t>Lithium intercalation/deintercalation behavior of basal and edge planes of highly oriented pyrolytic graphite and graphite powder.</w:t>
      </w:r>
      <w:r w:rsidRPr="0034337D">
        <w:t xml:space="preserve"> Journal of Electroanalytical Chemistry, 1995. </w:t>
      </w:r>
      <w:r w:rsidRPr="0034337D">
        <w:rPr>
          <w:b/>
        </w:rPr>
        <w:t>386</w:t>
      </w:r>
      <w:r w:rsidRPr="0034337D">
        <w:t>(1): p. 221-224.</w:t>
      </w:r>
    </w:p>
    <w:p w14:paraId="04772FF6" w14:textId="77777777" w:rsidR="0034337D" w:rsidRPr="0034337D" w:rsidRDefault="0034337D" w:rsidP="0034337D">
      <w:pPr>
        <w:pStyle w:val="EndNoteBibliography"/>
        <w:spacing w:after="0"/>
        <w:ind w:left="720" w:hanging="720"/>
      </w:pPr>
      <w:r w:rsidRPr="0034337D">
        <w:t>223.</w:t>
      </w:r>
      <w:r w:rsidRPr="0034337D">
        <w:tab/>
        <w:t xml:space="preserve">Zhu, Z., et al., </w:t>
      </w:r>
      <w:r w:rsidRPr="0034337D">
        <w:rPr>
          <w:i/>
        </w:rPr>
        <w:t>Fluoroethylene Carbonate Enabling a Robust LiF-rich Solid Electrolyte Interphase to Enhance the Stability of the MoS2 Anode for Lithium-Ion Storage.</w:t>
      </w:r>
      <w:r w:rsidRPr="0034337D">
        <w:t xml:space="preserve"> Angewandte Chemie International Edition, 2018. </w:t>
      </w:r>
      <w:r w:rsidRPr="0034337D">
        <w:rPr>
          <w:b/>
        </w:rPr>
        <w:t>57</w:t>
      </w:r>
      <w:r w:rsidRPr="0034337D">
        <w:t>(14): p. 3656-3660.</w:t>
      </w:r>
    </w:p>
    <w:p w14:paraId="39FC512E" w14:textId="77777777" w:rsidR="0034337D" w:rsidRPr="0034337D" w:rsidRDefault="0034337D" w:rsidP="0034337D">
      <w:pPr>
        <w:pStyle w:val="EndNoteBibliography"/>
        <w:spacing w:after="0"/>
        <w:ind w:left="720" w:hanging="720"/>
      </w:pPr>
      <w:r w:rsidRPr="0034337D">
        <w:t>224.</w:t>
      </w:r>
      <w:r w:rsidRPr="0034337D">
        <w:tab/>
        <w:t xml:space="preserve">Okuno, Y., et al., </w:t>
      </w:r>
      <w:r w:rsidRPr="0034337D">
        <w:rPr>
          <w:i/>
        </w:rPr>
        <w:t>Decomposition of the fluoroethylene carbonate additive and the glue effect of lithium fluoride products for the solid electrolyte interphase: an ab initio study.</w:t>
      </w:r>
      <w:r w:rsidRPr="0034337D">
        <w:t xml:space="preserve"> Physical Chemistry Chemical Physics, 2016. </w:t>
      </w:r>
      <w:r w:rsidRPr="0034337D">
        <w:rPr>
          <w:b/>
        </w:rPr>
        <w:t>18</w:t>
      </w:r>
      <w:r w:rsidRPr="0034337D">
        <w:t>(12): p. 8643-8653.</w:t>
      </w:r>
    </w:p>
    <w:p w14:paraId="1472F002" w14:textId="77777777" w:rsidR="0034337D" w:rsidRPr="0034337D" w:rsidRDefault="0034337D" w:rsidP="0034337D">
      <w:pPr>
        <w:pStyle w:val="EndNoteBibliography"/>
        <w:spacing w:after="0"/>
        <w:ind w:left="720" w:hanging="720"/>
      </w:pPr>
      <w:r w:rsidRPr="0034337D">
        <w:t>225.</w:t>
      </w:r>
      <w:r w:rsidRPr="0034337D">
        <w:tab/>
        <w:t xml:space="preserve">Lu, P. and S.J. Harris, </w:t>
      </w:r>
      <w:r w:rsidRPr="0034337D">
        <w:rPr>
          <w:i/>
        </w:rPr>
        <w:t>Lithium transport within the solid electrolyte interphase.</w:t>
      </w:r>
      <w:r w:rsidRPr="0034337D">
        <w:t xml:space="preserve"> Electrochemistry Communications, 2011. </w:t>
      </w:r>
      <w:r w:rsidRPr="0034337D">
        <w:rPr>
          <w:b/>
        </w:rPr>
        <w:t>13</w:t>
      </w:r>
      <w:r w:rsidRPr="0034337D">
        <w:t>(10): p. 1035-1037.</w:t>
      </w:r>
    </w:p>
    <w:p w14:paraId="6C3C26C4" w14:textId="77777777" w:rsidR="0034337D" w:rsidRPr="0034337D" w:rsidRDefault="0034337D" w:rsidP="0034337D">
      <w:pPr>
        <w:pStyle w:val="EndNoteBibliography"/>
        <w:spacing w:after="0"/>
        <w:ind w:left="720" w:hanging="720"/>
      </w:pPr>
      <w:r w:rsidRPr="0034337D">
        <w:t>226.</w:t>
      </w:r>
      <w:r w:rsidRPr="0034337D">
        <w:tab/>
        <w:t xml:space="preserve">Kanamura, K., et al., </w:t>
      </w:r>
      <w:r w:rsidRPr="0034337D">
        <w:rPr>
          <w:i/>
        </w:rPr>
        <w:t>Morphology and chemical compositions of surface films of lithium deposited on a Ni substrate in nonaqueous electrolytes.</w:t>
      </w:r>
      <w:r w:rsidRPr="0034337D">
        <w:t xml:space="preserve"> Journal of Electroanalytical Chemistry, 1995. </w:t>
      </w:r>
      <w:r w:rsidRPr="0034337D">
        <w:rPr>
          <w:b/>
        </w:rPr>
        <w:t>394</w:t>
      </w:r>
      <w:r w:rsidRPr="0034337D">
        <w:t>(1): p. 49-62.</w:t>
      </w:r>
    </w:p>
    <w:p w14:paraId="7F02B60C" w14:textId="77777777" w:rsidR="0034337D" w:rsidRPr="0034337D" w:rsidRDefault="0034337D" w:rsidP="0034337D">
      <w:pPr>
        <w:pStyle w:val="EndNoteBibliography"/>
        <w:spacing w:after="0"/>
        <w:ind w:left="720" w:hanging="720"/>
      </w:pPr>
      <w:r w:rsidRPr="0034337D">
        <w:t>227.</w:t>
      </w:r>
      <w:r w:rsidRPr="0034337D">
        <w:tab/>
        <w:t xml:space="preserve">Zhang, S.S., K. Xu, and T.R. Jow, </w:t>
      </w:r>
      <w:r w:rsidRPr="0034337D">
        <w:rPr>
          <w:i/>
        </w:rPr>
        <w:t>EIS study on the formation of solid electrolyte interface in Li-ion battery.</w:t>
      </w:r>
      <w:r w:rsidRPr="0034337D">
        <w:t xml:space="preserve"> Electrochimica Acta, 2006. </w:t>
      </w:r>
      <w:r w:rsidRPr="0034337D">
        <w:rPr>
          <w:b/>
        </w:rPr>
        <w:t>51</w:t>
      </w:r>
      <w:r w:rsidRPr="0034337D">
        <w:t>(8): p. 1636-1640.</w:t>
      </w:r>
    </w:p>
    <w:p w14:paraId="1BFF79BA" w14:textId="77777777" w:rsidR="0034337D" w:rsidRPr="0034337D" w:rsidRDefault="0034337D" w:rsidP="0034337D">
      <w:pPr>
        <w:pStyle w:val="EndNoteBibliography"/>
        <w:spacing w:after="0"/>
        <w:ind w:left="720" w:hanging="720"/>
      </w:pPr>
      <w:r w:rsidRPr="0034337D">
        <w:t>228.</w:t>
      </w:r>
      <w:r w:rsidRPr="0034337D">
        <w:tab/>
        <w:t xml:space="preserve">Kleiner, K., et al., </w:t>
      </w:r>
      <w:r w:rsidRPr="0034337D">
        <w:rPr>
          <w:i/>
        </w:rPr>
        <w:t>Changes of the balancing between anode and cathode due to fatigue in commercial lithium-ion cells.</w:t>
      </w:r>
      <w:r w:rsidRPr="0034337D">
        <w:t xml:space="preserve"> Journal of Power Sources, 2016. </w:t>
      </w:r>
      <w:r w:rsidRPr="0034337D">
        <w:rPr>
          <w:b/>
        </w:rPr>
        <w:t>317</w:t>
      </w:r>
      <w:r w:rsidRPr="0034337D">
        <w:t>: p. 25-34.</w:t>
      </w:r>
    </w:p>
    <w:p w14:paraId="21C6DF85" w14:textId="77777777" w:rsidR="0034337D" w:rsidRPr="0034337D" w:rsidRDefault="0034337D" w:rsidP="0034337D">
      <w:pPr>
        <w:pStyle w:val="EndNoteBibliography"/>
        <w:spacing w:after="0"/>
        <w:ind w:left="720" w:hanging="720"/>
      </w:pPr>
      <w:r w:rsidRPr="0034337D">
        <w:t>229.</w:t>
      </w:r>
      <w:r w:rsidRPr="0034337D">
        <w:tab/>
        <w:t xml:space="preserve">Veith, G.M., et al., </w:t>
      </w:r>
      <w:r w:rsidRPr="0034337D">
        <w:rPr>
          <w:i/>
        </w:rPr>
        <w:t>Determination of the Solid Electrolyte Interphase Structure Grown on a Silicon Electrode Using a Fluoroethylene Carbonate Additive.</w:t>
      </w:r>
      <w:r w:rsidRPr="0034337D">
        <w:t xml:space="preserve"> Scientific Reports, 2017. </w:t>
      </w:r>
      <w:r w:rsidRPr="0034337D">
        <w:rPr>
          <w:b/>
        </w:rPr>
        <w:t>7</w:t>
      </w:r>
      <w:r w:rsidRPr="0034337D">
        <w:t>(1): p. 6326.</w:t>
      </w:r>
    </w:p>
    <w:p w14:paraId="08715D60" w14:textId="77777777" w:rsidR="0034337D" w:rsidRPr="0034337D" w:rsidRDefault="0034337D" w:rsidP="0034337D">
      <w:pPr>
        <w:pStyle w:val="EndNoteBibliography"/>
        <w:spacing w:after="0"/>
        <w:ind w:left="720" w:hanging="720"/>
      </w:pPr>
      <w:r w:rsidRPr="0034337D">
        <w:t>230.</w:t>
      </w:r>
      <w:r w:rsidRPr="0034337D">
        <w:tab/>
        <w:t xml:space="preserve">Wood, K.N. and G. Teeter, </w:t>
      </w:r>
      <w:r w:rsidRPr="0034337D">
        <w:rPr>
          <w:i/>
        </w:rPr>
        <w:t>XPS on Li-Battery-Related Compounds: Analysis of Inorganic SEI Phases and a Methodology for Charge Correction.</w:t>
      </w:r>
      <w:r w:rsidRPr="0034337D">
        <w:t xml:space="preserve"> ACS Applied Energy Materials, 2018. </w:t>
      </w:r>
      <w:r w:rsidRPr="0034337D">
        <w:rPr>
          <w:b/>
        </w:rPr>
        <w:t>1</w:t>
      </w:r>
      <w:r w:rsidRPr="0034337D">
        <w:t>(9): p. 4493-4504.</w:t>
      </w:r>
    </w:p>
    <w:p w14:paraId="7433EB9F" w14:textId="77777777" w:rsidR="0034337D" w:rsidRPr="0034337D" w:rsidRDefault="0034337D" w:rsidP="0034337D">
      <w:pPr>
        <w:pStyle w:val="EndNoteBibliography"/>
        <w:spacing w:after="0"/>
        <w:ind w:left="720" w:hanging="720"/>
      </w:pPr>
      <w:r w:rsidRPr="0034337D">
        <w:t>231.</w:t>
      </w:r>
      <w:r w:rsidRPr="0034337D">
        <w:tab/>
        <w:t xml:space="preserve">Zhang, W.-J., </w:t>
      </w:r>
      <w:r w:rsidRPr="0034337D">
        <w:rPr>
          <w:i/>
        </w:rPr>
        <w:t>A review of the electrochemical performance of alloy anodes for lithium-ion batteries.</w:t>
      </w:r>
      <w:r w:rsidRPr="0034337D">
        <w:t xml:space="preserve"> Journal of Power Sources, 2011. </w:t>
      </w:r>
      <w:r w:rsidRPr="0034337D">
        <w:rPr>
          <w:b/>
        </w:rPr>
        <w:t>196</w:t>
      </w:r>
      <w:r w:rsidRPr="0034337D">
        <w:t>(1): p. 13-24.</w:t>
      </w:r>
    </w:p>
    <w:p w14:paraId="77D5321C" w14:textId="77777777" w:rsidR="0034337D" w:rsidRPr="0034337D" w:rsidRDefault="0034337D" w:rsidP="0034337D">
      <w:pPr>
        <w:pStyle w:val="EndNoteBibliography"/>
        <w:spacing w:after="0"/>
        <w:ind w:left="720" w:hanging="720"/>
      </w:pPr>
      <w:r w:rsidRPr="0034337D">
        <w:t>232.</w:t>
      </w:r>
      <w:r w:rsidRPr="0034337D">
        <w:tab/>
        <w:t xml:space="preserve">Wu, H. and Y. Cui, </w:t>
      </w:r>
      <w:r w:rsidRPr="0034337D">
        <w:rPr>
          <w:i/>
        </w:rPr>
        <w:t>Designing nanostructured Si anodes for high energy lithium ion batteries.</w:t>
      </w:r>
      <w:r w:rsidRPr="0034337D">
        <w:t xml:space="preserve"> Nano Today, 2012. </w:t>
      </w:r>
      <w:r w:rsidRPr="0034337D">
        <w:rPr>
          <w:b/>
        </w:rPr>
        <w:t>7</w:t>
      </w:r>
      <w:r w:rsidRPr="0034337D">
        <w:t>(5): p. 414-429.</w:t>
      </w:r>
    </w:p>
    <w:p w14:paraId="440F8EEC" w14:textId="77777777" w:rsidR="0034337D" w:rsidRPr="0034337D" w:rsidRDefault="0034337D" w:rsidP="0034337D">
      <w:pPr>
        <w:pStyle w:val="EndNoteBibliography"/>
        <w:spacing w:after="0"/>
        <w:ind w:left="720" w:hanging="720"/>
      </w:pPr>
      <w:r w:rsidRPr="0034337D">
        <w:t>233.</w:t>
      </w:r>
      <w:r w:rsidRPr="0034337D">
        <w:tab/>
        <w:t xml:space="preserve">Curry, C., </w:t>
      </w:r>
      <w:r w:rsidRPr="0034337D">
        <w:rPr>
          <w:i/>
        </w:rPr>
        <w:t>Lithium-ion battery costs and market.</w:t>
      </w:r>
      <w:r w:rsidRPr="0034337D">
        <w:t xml:space="preserve"> Bloomberg New Energy Finance, June, 2017.</w:t>
      </w:r>
    </w:p>
    <w:p w14:paraId="5C197B2C" w14:textId="77777777" w:rsidR="0034337D" w:rsidRPr="0034337D" w:rsidRDefault="0034337D" w:rsidP="0034337D">
      <w:pPr>
        <w:pStyle w:val="EndNoteBibliography"/>
        <w:spacing w:after="0"/>
        <w:ind w:left="720" w:hanging="720"/>
      </w:pPr>
      <w:r w:rsidRPr="0034337D">
        <w:t>234.</w:t>
      </w:r>
      <w:r w:rsidRPr="0034337D">
        <w:tab/>
        <w:t xml:space="preserve">Armand, M., et al., </w:t>
      </w:r>
      <w:r w:rsidRPr="0034337D">
        <w:rPr>
          <w:i/>
        </w:rPr>
        <w:t>Lithium-ion batteries – Current state of the art and anticipated developments.</w:t>
      </w:r>
      <w:r w:rsidRPr="0034337D">
        <w:t xml:space="preserve"> Journal of Power Sources, 2020. </w:t>
      </w:r>
      <w:r w:rsidRPr="0034337D">
        <w:rPr>
          <w:b/>
        </w:rPr>
        <w:t>479</w:t>
      </w:r>
      <w:r w:rsidRPr="0034337D">
        <w:t>: p. 228708.</w:t>
      </w:r>
    </w:p>
    <w:p w14:paraId="3DA158F9" w14:textId="77777777" w:rsidR="0034337D" w:rsidRPr="0034337D" w:rsidRDefault="0034337D" w:rsidP="0034337D">
      <w:pPr>
        <w:pStyle w:val="EndNoteBibliography"/>
        <w:spacing w:after="0"/>
        <w:ind w:left="720" w:hanging="720"/>
      </w:pPr>
      <w:r w:rsidRPr="0034337D">
        <w:t>235.</w:t>
      </w:r>
      <w:r w:rsidRPr="0034337D">
        <w:tab/>
        <w:t xml:space="preserve">Kim, T., et al., </w:t>
      </w:r>
      <w:r w:rsidRPr="0034337D">
        <w:rPr>
          <w:i/>
        </w:rPr>
        <w:t>Carbon nanotubes (CNTs) as a buffer layer in silicon/CNTs composite electrodes for lithium secondary batteries.</w:t>
      </w:r>
      <w:r w:rsidRPr="0034337D">
        <w:t xml:space="preserve"> Journal of Power Sources, 2006. </w:t>
      </w:r>
      <w:r w:rsidRPr="0034337D">
        <w:rPr>
          <w:b/>
        </w:rPr>
        <w:t>162</w:t>
      </w:r>
      <w:r w:rsidRPr="0034337D">
        <w:t>(2): p. 1275-1281.</w:t>
      </w:r>
    </w:p>
    <w:p w14:paraId="22B311E4" w14:textId="77777777" w:rsidR="0034337D" w:rsidRPr="0034337D" w:rsidRDefault="0034337D" w:rsidP="0034337D">
      <w:pPr>
        <w:pStyle w:val="EndNoteBibliography"/>
        <w:spacing w:after="0"/>
        <w:ind w:left="720" w:hanging="720"/>
      </w:pPr>
      <w:r w:rsidRPr="0034337D">
        <w:t>236.</w:t>
      </w:r>
      <w:r w:rsidRPr="0034337D">
        <w:tab/>
        <w:t xml:space="preserve">Choi, S., et al., </w:t>
      </w:r>
      <w:r w:rsidRPr="0034337D">
        <w:rPr>
          <w:i/>
        </w:rPr>
        <w:t>Highly elastic binders integrating polyrotaxanes for silicon microparticle anodes in lithium ion batteries.</w:t>
      </w:r>
      <w:r w:rsidRPr="0034337D">
        <w:t xml:space="preserve"> Science, 2017. </w:t>
      </w:r>
      <w:r w:rsidRPr="0034337D">
        <w:rPr>
          <w:b/>
        </w:rPr>
        <w:t>357</w:t>
      </w:r>
      <w:r w:rsidRPr="0034337D">
        <w:t>(6348): p. 279-283.</w:t>
      </w:r>
    </w:p>
    <w:p w14:paraId="742C16CD" w14:textId="77777777" w:rsidR="0034337D" w:rsidRPr="0034337D" w:rsidRDefault="0034337D" w:rsidP="0034337D">
      <w:pPr>
        <w:pStyle w:val="EndNoteBibliography"/>
        <w:spacing w:after="0"/>
        <w:ind w:left="720" w:hanging="720"/>
      </w:pPr>
      <w:r w:rsidRPr="0034337D">
        <w:t>237.</w:t>
      </w:r>
      <w:r w:rsidRPr="0034337D">
        <w:tab/>
        <w:t xml:space="preserve">Sakaguchi, H., et al., </w:t>
      </w:r>
      <w:r w:rsidRPr="0034337D">
        <w:rPr>
          <w:i/>
        </w:rPr>
        <w:t>Anode properties of LaSi2/Si composite thick-film electrodes for lithium secondary batteries.</w:t>
      </w:r>
      <w:r w:rsidRPr="0034337D">
        <w:t xml:space="preserve"> IOP Conference Series: Materials Science and Engineering, 2009. </w:t>
      </w:r>
      <w:r w:rsidRPr="0034337D">
        <w:rPr>
          <w:b/>
        </w:rPr>
        <w:t>1</w:t>
      </w:r>
      <w:r w:rsidRPr="0034337D">
        <w:t>: p. 012030.</w:t>
      </w:r>
    </w:p>
    <w:p w14:paraId="21317F42" w14:textId="77777777" w:rsidR="0034337D" w:rsidRPr="0034337D" w:rsidRDefault="0034337D" w:rsidP="0034337D">
      <w:pPr>
        <w:pStyle w:val="EndNoteBibliography"/>
        <w:spacing w:after="0"/>
        <w:ind w:left="720" w:hanging="720"/>
      </w:pPr>
      <w:r w:rsidRPr="0034337D">
        <w:t>238.</w:t>
      </w:r>
      <w:r w:rsidRPr="0034337D">
        <w:tab/>
        <w:t xml:space="preserve">Baranchugov, V., et al., </w:t>
      </w:r>
      <w:r w:rsidRPr="0034337D">
        <w:rPr>
          <w:i/>
        </w:rPr>
        <w:t>Amorphous silicon thin films as a high capacity anodes for Li-ion batteries in ionic liquid electrolytes.</w:t>
      </w:r>
      <w:r w:rsidRPr="0034337D">
        <w:t xml:space="preserve"> Electrochemistry Communications, 2007. </w:t>
      </w:r>
      <w:r w:rsidRPr="0034337D">
        <w:rPr>
          <w:b/>
        </w:rPr>
        <w:t>9</w:t>
      </w:r>
      <w:r w:rsidRPr="0034337D">
        <w:t>(4): p. 796-800.</w:t>
      </w:r>
    </w:p>
    <w:p w14:paraId="7E56E63F" w14:textId="77777777" w:rsidR="0034337D" w:rsidRPr="0034337D" w:rsidRDefault="0034337D" w:rsidP="0034337D">
      <w:pPr>
        <w:pStyle w:val="EndNoteBibliography"/>
        <w:spacing w:after="0"/>
        <w:ind w:left="720" w:hanging="720"/>
      </w:pPr>
      <w:r w:rsidRPr="0034337D">
        <w:t>239.</w:t>
      </w:r>
      <w:r w:rsidRPr="0034337D">
        <w:tab/>
        <w:t xml:space="preserve">Entwistle, J., A. Rennie, and S. Patwardhan, </w:t>
      </w:r>
      <w:r w:rsidRPr="0034337D">
        <w:rPr>
          <w:i/>
        </w:rPr>
        <w:t>A review of magnesiothermic reduction of silica to porous silicon for lithium-ion battery applications and beyond.</w:t>
      </w:r>
      <w:r w:rsidRPr="0034337D">
        <w:t xml:space="preserve"> Journal of Materials Chemistry A, 2018. </w:t>
      </w:r>
      <w:r w:rsidRPr="0034337D">
        <w:rPr>
          <w:b/>
        </w:rPr>
        <w:t>6</w:t>
      </w:r>
      <w:r w:rsidRPr="0034337D">
        <w:t>(38): p. 18344-18356.</w:t>
      </w:r>
    </w:p>
    <w:p w14:paraId="2B700189" w14:textId="77777777" w:rsidR="0034337D" w:rsidRPr="0034337D" w:rsidRDefault="0034337D" w:rsidP="0034337D">
      <w:pPr>
        <w:pStyle w:val="EndNoteBibliography"/>
        <w:spacing w:after="0"/>
        <w:ind w:left="720" w:hanging="720"/>
      </w:pPr>
      <w:r w:rsidRPr="0034337D">
        <w:t>240.</w:t>
      </w:r>
      <w:r w:rsidRPr="0034337D">
        <w:tab/>
        <w:t xml:space="preserve">Lv, Q., et al., </w:t>
      </w:r>
      <w:r w:rsidRPr="0034337D">
        <w:rPr>
          <w:i/>
        </w:rPr>
        <w:t>Hollow Structured Silicon Anodes with Stabilized Solid Electrolyte Interphase Film for Lithium-Ion Batteries.</w:t>
      </w:r>
      <w:r w:rsidRPr="0034337D">
        <w:t xml:space="preserve"> ACS Applied Materials &amp; Interfaces, 2015. </w:t>
      </w:r>
      <w:r w:rsidRPr="0034337D">
        <w:rPr>
          <w:b/>
        </w:rPr>
        <w:t>7</w:t>
      </w:r>
      <w:r w:rsidRPr="0034337D">
        <w:t>(42): p. 23501-23506.</w:t>
      </w:r>
    </w:p>
    <w:p w14:paraId="6835F8A3" w14:textId="77777777" w:rsidR="0034337D" w:rsidRPr="0034337D" w:rsidRDefault="0034337D" w:rsidP="0034337D">
      <w:pPr>
        <w:pStyle w:val="EndNoteBibliography"/>
        <w:spacing w:after="0"/>
        <w:ind w:left="720" w:hanging="720"/>
      </w:pPr>
      <w:r w:rsidRPr="0034337D">
        <w:t>241.</w:t>
      </w:r>
      <w:r w:rsidRPr="0034337D">
        <w:tab/>
        <w:t xml:space="preserve">An, F., et al., </w:t>
      </w:r>
      <w:r w:rsidRPr="0034337D">
        <w:rPr>
          <w:i/>
        </w:rPr>
        <w:t>S-containing and Si-containing compounds as highly effective electrolyte additives for SiOx -based anodes/NCM 811 cathodes in lithium ion cells.</w:t>
      </w:r>
      <w:r w:rsidRPr="0034337D">
        <w:t xml:space="preserve"> Scientific Reports, 2019. </w:t>
      </w:r>
      <w:r w:rsidRPr="0034337D">
        <w:rPr>
          <w:b/>
        </w:rPr>
        <w:t>9</w:t>
      </w:r>
      <w:r w:rsidRPr="0034337D">
        <w:t>(1).</w:t>
      </w:r>
    </w:p>
    <w:p w14:paraId="792F20AA" w14:textId="77777777" w:rsidR="0034337D" w:rsidRPr="0034337D" w:rsidRDefault="0034337D" w:rsidP="0034337D">
      <w:pPr>
        <w:pStyle w:val="EndNoteBibliography"/>
        <w:spacing w:after="0"/>
        <w:ind w:left="720" w:hanging="720"/>
      </w:pPr>
      <w:r w:rsidRPr="0034337D">
        <w:t>242.</w:t>
      </w:r>
      <w:r w:rsidRPr="0034337D">
        <w:tab/>
        <w:t xml:space="preserve">Myung, S.-T., Y. Hitoshi, and Y.-K. Sun, </w:t>
      </w:r>
      <w:r w:rsidRPr="0034337D">
        <w:rPr>
          <w:i/>
        </w:rPr>
        <w:t>Electrochemical behavior and passivation of current collectors in lithium-ion batteries.</w:t>
      </w:r>
      <w:r w:rsidRPr="0034337D">
        <w:t xml:space="preserve"> Journal of Materials Chemistry, 2011. </w:t>
      </w:r>
      <w:r w:rsidRPr="0034337D">
        <w:rPr>
          <w:b/>
        </w:rPr>
        <w:t>21</w:t>
      </w:r>
      <w:r w:rsidRPr="0034337D">
        <w:t>(27): p. 9891-9911.</w:t>
      </w:r>
    </w:p>
    <w:p w14:paraId="7D20F6F0" w14:textId="77777777" w:rsidR="0034337D" w:rsidRPr="0034337D" w:rsidRDefault="0034337D" w:rsidP="0034337D">
      <w:pPr>
        <w:pStyle w:val="EndNoteBibliography"/>
        <w:spacing w:after="0"/>
        <w:ind w:left="720" w:hanging="720"/>
      </w:pPr>
      <w:r w:rsidRPr="0034337D">
        <w:t>243.</w:t>
      </w:r>
      <w:r w:rsidRPr="0034337D">
        <w:tab/>
        <w:t xml:space="preserve">Kubota, K. and S. Komaba, </w:t>
      </w:r>
      <w:r w:rsidRPr="0034337D">
        <w:rPr>
          <w:i/>
        </w:rPr>
        <w:t>Review—Practical Issues and Future Perspective for Na-Ion Batteries.</w:t>
      </w:r>
      <w:r w:rsidRPr="0034337D">
        <w:t xml:space="preserve"> Journal of The Electrochemical Society, 2015. </w:t>
      </w:r>
      <w:r w:rsidRPr="0034337D">
        <w:rPr>
          <w:b/>
        </w:rPr>
        <w:t>162</w:t>
      </w:r>
      <w:r w:rsidRPr="0034337D">
        <w:t>(14): p. A2538-A2550.</w:t>
      </w:r>
    </w:p>
    <w:p w14:paraId="6134DE40" w14:textId="77777777" w:rsidR="0034337D" w:rsidRPr="0034337D" w:rsidRDefault="0034337D" w:rsidP="0034337D">
      <w:pPr>
        <w:pStyle w:val="EndNoteBibliography"/>
        <w:spacing w:after="0"/>
        <w:ind w:left="720" w:hanging="720"/>
      </w:pPr>
      <w:r w:rsidRPr="0034337D">
        <w:t>244.</w:t>
      </w:r>
      <w:r w:rsidRPr="0034337D">
        <w:tab/>
        <w:t xml:space="preserve">Ding, J., et al., </w:t>
      </w:r>
      <w:r w:rsidRPr="0034337D">
        <w:rPr>
          <w:i/>
        </w:rPr>
        <w:t>Carbon Nanosheet Frameworks Derived from Peat Moss as High Performance Sodium Ion Battery Anodes.</w:t>
      </w:r>
      <w:r w:rsidRPr="0034337D">
        <w:t xml:space="preserve"> ACS Nano, 2013. </w:t>
      </w:r>
      <w:r w:rsidRPr="0034337D">
        <w:rPr>
          <w:b/>
        </w:rPr>
        <w:t>7</w:t>
      </w:r>
      <w:r w:rsidRPr="0034337D">
        <w:t>(12): p. 11004-11015.</w:t>
      </w:r>
    </w:p>
    <w:p w14:paraId="7134C5FC" w14:textId="77777777" w:rsidR="0034337D" w:rsidRPr="0034337D" w:rsidRDefault="0034337D" w:rsidP="0034337D">
      <w:pPr>
        <w:pStyle w:val="EndNoteBibliography"/>
        <w:spacing w:after="0"/>
        <w:ind w:left="720" w:hanging="720"/>
      </w:pPr>
      <w:r w:rsidRPr="0034337D">
        <w:t>245.</w:t>
      </w:r>
      <w:r w:rsidRPr="0034337D">
        <w:tab/>
        <w:t xml:space="preserve">Devos, O., C. Gabrielli, and B. Tribollet, </w:t>
      </w:r>
      <w:r w:rsidRPr="0034337D">
        <w:rPr>
          <w:i/>
        </w:rPr>
        <w:t>Simultaneous EIS and in situ microscope observation on a partially blocked electrode application to scale electrodeposition.</w:t>
      </w:r>
      <w:r w:rsidRPr="0034337D">
        <w:t xml:space="preserve"> Electrochimica Acta, 2006. </w:t>
      </w:r>
      <w:r w:rsidRPr="0034337D">
        <w:rPr>
          <w:b/>
        </w:rPr>
        <w:t>51</w:t>
      </w:r>
      <w:r w:rsidRPr="0034337D">
        <w:t>(8): p. 1413-1422.</w:t>
      </w:r>
    </w:p>
    <w:p w14:paraId="3F489BAB" w14:textId="77777777" w:rsidR="0034337D" w:rsidRPr="0034337D" w:rsidRDefault="0034337D" w:rsidP="0034337D">
      <w:pPr>
        <w:pStyle w:val="EndNoteBibliography"/>
        <w:spacing w:after="0"/>
        <w:ind w:left="720" w:hanging="720"/>
      </w:pPr>
      <w:r w:rsidRPr="0034337D">
        <w:t>246.</w:t>
      </w:r>
      <w:r w:rsidRPr="0034337D">
        <w:tab/>
        <w:t xml:space="preserve">Ma, R., et al., </w:t>
      </w:r>
      <w:r w:rsidRPr="0034337D">
        <w:rPr>
          <w:i/>
        </w:rPr>
        <w:t>Offset Initial Sodium Loss To Improve Coulombic Efficiency and Stability of Sodium Dual-Ion Batteries.</w:t>
      </w:r>
      <w:r w:rsidRPr="0034337D">
        <w:t xml:space="preserve"> ACS Applied Materials &amp; Interfaces, 2018. </w:t>
      </w:r>
      <w:r w:rsidRPr="0034337D">
        <w:rPr>
          <w:b/>
        </w:rPr>
        <w:t>10</w:t>
      </w:r>
      <w:r w:rsidRPr="0034337D">
        <w:t>(18): p. 15751-15759.</w:t>
      </w:r>
    </w:p>
    <w:p w14:paraId="1B872E94" w14:textId="77777777" w:rsidR="0034337D" w:rsidRPr="0034337D" w:rsidRDefault="0034337D" w:rsidP="0034337D">
      <w:pPr>
        <w:pStyle w:val="EndNoteBibliography"/>
        <w:spacing w:after="0"/>
        <w:ind w:left="720" w:hanging="720"/>
      </w:pPr>
      <w:r w:rsidRPr="0034337D">
        <w:t>247.</w:t>
      </w:r>
      <w:r w:rsidRPr="0034337D">
        <w:tab/>
        <w:t xml:space="preserve">Bommier, C., et al., </w:t>
      </w:r>
      <w:r w:rsidRPr="0034337D">
        <w:rPr>
          <w:i/>
        </w:rPr>
        <w:t>New Paradigms on the Nature of Solid Electrolyte Interphase Formation and Capacity Fading of Hard Carbon Anodes in Na‐Ion Batteries.</w:t>
      </w:r>
      <w:r w:rsidRPr="0034337D">
        <w:t xml:space="preserve"> Advanced Materials Interfaces, 2016. </w:t>
      </w:r>
      <w:r w:rsidRPr="0034337D">
        <w:rPr>
          <w:b/>
        </w:rPr>
        <w:t>3</w:t>
      </w:r>
      <w:r w:rsidRPr="0034337D">
        <w:t>(19): p. 1600449.</w:t>
      </w:r>
    </w:p>
    <w:p w14:paraId="1B423C61" w14:textId="77777777" w:rsidR="0034337D" w:rsidRPr="0034337D" w:rsidRDefault="0034337D" w:rsidP="0034337D">
      <w:pPr>
        <w:pStyle w:val="EndNoteBibliography"/>
        <w:spacing w:after="0"/>
        <w:ind w:left="720" w:hanging="720"/>
      </w:pPr>
      <w:r w:rsidRPr="0034337D">
        <w:t>248.</w:t>
      </w:r>
      <w:r w:rsidRPr="0034337D">
        <w:tab/>
        <w:t xml:space="preserve">Tang, J., D.K. Kye, and V.G. Pol, </w:t>
      </w:r>
      <w:r w:rsidRPr="0034337D">
        <w:rPr>
          <w:i/>
        </w:rPr>
        <w:t>Ultrasound-assisted synthesis of sodium powder as electrode additive to improve cycling performance of sodium-ion batteries.</w:t>
      </w:r>
      <w:r w:rsidRPr="0034337D">
        <w:t xml:space="preserve"> Journal of Power Sources, 2018. </w:t>
      </w:r>
      <w:r w:rsidRPr="0034337D">
        <w:rPr>
          <w:b/>
        </w:rPr>
        <w:t>396</w:t>
      </w:r>
      <w:r w:rsidRPr="0034337D">
        <w:t>: p. 476-482.</w:t>
      </w:r>
    </w:p>
    <w:p w14:paraId="6A07A394" w14:textId="77777777" w:rsidR="0034337D" w:rsidRPr="0034337D" w:rsidRDefault="0034337D" w:rsidP="0034337D">
      <w:pPr>
        <w:pStyle w:val="EndNoteBibliography"/>
        <w:spacing w:after="0"/>
        <w:ind w:left="720" w:hanging="720"/>
      </w:pPr>
      <w:r w:rsidRPr="0034337D">
        <w:t>249.</w:t>
      </w:r>
      <w:r w:rsidRPr="0034337D">
        <w:tab/>
        <w:t xml:space="preserve">Ponrouch, A., A.R. Goñi, and M.R. Palacín, </w:t>
      </w:r>
      <w:r w:rsidRPr="0034337D">
        <w:rPr>
          <w:i/>
        </w:rPr>
        <w:t>High capacity hard carbon anodes for sodium ion batteries in additive free electrolyte.</w:t>
      </w:r>
      <w:r w:rsidRPr="0034337D">
        <w:t xml:space="preserve"> Electrochemistry Communications, 2013. </w:t>
      </w:r>
      <w:r w:rsidRPr="0034337D">
        <w:rPr>
          <w:b/>
        </w:rPr>
        <w:t>27</w:t>
      </w:r>
      <w:r w:rsidRPr="0034337D">
        <w:t>: p. 85-88.</w:t>
      </w:r>
    </w:p>
    <w:p w14:paraId="300DF29E" w14:textId="77777777" w:rsidR="0034337D" w:rsidRPr="0034337D" w:rsidRDefault="0034337D" w:rsidP="0034337D">
      <w:pPr>
        <w:pStyle w:val="EndNoteBibliography"/>
        <w:spacing w:after="0"/>
        <w:ind w:left="720" w:hanging="720"/>
      </w:pPr>
      <w:r w:rsidRPr="0034337D">
        <w:t>250.</w:t>
      </w:r>
      <w:r w:rsidRPr="0034337D">
        <w:tab/>
        <w:t xml:space="preserve">Amores, M., et al., </w:t>
      </w:r>
      <w:r w:rsidRPr="0034337D">
        <w:rPr>
          <w:i/>
        </w:rPr>
        <w:t>Fast microwave-assisted synthesis of Li-stuffed garnets and insights into Li diffusion from muon spin spectroscopy.</w:t>
      </w:r>
      <w:r w:rsidRPr="0034337D">
        <w:t xml:space="preserve"> 2016. </w:t>
      </w:r>
      <w:r w:rsidRPr="0034337D">
        <w:rPr>
          <w:b/>
        </w:rPr>
        <w:t>4</w:t>
      </w:r>
      <w:r w:rsidRPr="0034337D">
        <w:t>(5): p. 1729-1736.</w:t>
      </w:r>
    </w:p>
    <w:p w14:paraId="11ED14E1" w14:textId="77777777" w:rsidR="0034337D" w:rsidRPr="0034337D" w:rsidRDefault="0034337D" w:rsidP="0034337D">
      <w:pPr>
        <w:pStyle w:val="EndNoteBibliography"/>
        <w:spacing w:after="0"/>
        <w:ind w:left="720" w:hanging="720"/>
      </w:pPr>
      <w:r w:rsidRPr="0034337D">
        <w:t>251.</w:t>
      </w:r>
      <w:r w:rsidRPr="0034337D">
        <w:tab/>
        <w:t xml:space="preserve">Fears, T.M., et al., </w:t>
      </w:r>
      <w:r w:rsidRPr="0034337D">
        <w:rPr>
          <w:i/>
        </w:rPr>
        <w:t>Evaluating the solid electrolyte interphase formed on silicon electrodes: a comparison of ex situ X-ray photoelectron spectroscopy and in situ neutron reflectometry.</w:t>
      </w:r>
      <w:r w:rsidRPr="0034337D">
        <w:t xml:space="preserve"> Physical Chemistry Chemical Physics, 2016. </w:t>
      </w:r>
      <w:r w:rsidRPr="0034337D">
        <w:rPr>
          <w:b/>
        </w:rPr>
        <w:t>18</w:t>
      </w:r>
      <w:r w:rsidRPr="0034337D">
        <w:t>(20): p. 13927-13940.</w:t>
      </w:r>
    </w:p>
    <w:p w14:paraId="318A5392" w14:textId="77777777" w:rsidR="0034337D" w:rsidRPr="0034337D" w:rsidRDefault="0034337D" w:rsidP="0034337D">
      <w:pPr>
        <w:pStyle w:val="EndNoteBibliography"/>
        <w:spacing w:after="0"/>
        <w:ind w:left="720" w:hanging="720"/>
      </w:pPr>
      <w:r w:rsidRPr="0034337D">
        <w:t>252.</w:t>
      </w:r>
      <w:r w:rsidRPr="0034337D">
        <w:tab/>
        <w:t xml:space="preserve">Kawaura, H., et al., </w:t>
      </w:r>
      <w:r w:rsidRPr="0034337D">
        <w:rPr>
          <w:i/>
        </w:rPr>
        <w:t>Operando Measurement of Solid Electrolyte Interphase Formation at Working Electrode of Li-Ion Battery by Time-Slicing Neutron Reflectometry.</w:t>
      </w:r>
      <w:r w:rsidRPr="0034337D">
        <w:t xml:space="preserve"> ACS Applied Materials &amp; Interfaces, 2016. </w:t>
      </w:r>
      <w:r w:rsidRPr="0034337D">
        <w:rPr>
          <w:b/>
        </w:rPr>
        <w:t>8</w:t>
      </w:r>
      <w:r w:rsidRPr="0034337D">
        <w:t>(15): p. 9540-9544.</w:t>
      </w:r>
    </w:p>
    <w:p w14:paraId="45768DFD" w14:textId="77777777" w:rsidR="0034337D" w:rsidRPr="0034337D" w:rsidRDefault="0034337D" w:rsidP="0034337D">
      <w:pPr>
        <w:pStyle w:val="EndNoteBibliography"/>
        <w:spacing w:after="0"/>
        <w:ind w:left="720" w:hanging="720"/>
      </w:pPr>
      <w:r w:rsidRPr="0034337D">
        <w:t>253.</w:t>
      </w:r>
      <w:r w:rsidRPr="0034337D">
        <w:tab/>
        <w:t xml:space="preserve">Steinhauer, M., et al., </w:t>
      </w:r>
      <w:r w:rsidRPr="0034337D">
        <w:rPr>
          <w:i/>
        </w:rPr>
        <w:t>In Situ Studies of Solid Electrolyte Interphase (SEI) Formation on Crystalline Carbon Surfaces by Neutron Reflectometry and Atomic Force Microscopy.</w:t>
      </w:r>
      <w:r w:rsidRPr="0034337D">
        <w:t xml:space="preserve"> Acs Applied Materials &amp; Interfaces, 2017. </w:t>
      </w:r>
      <w:r w:rsidRPr="0034337D">
        <w:rPr>
          <w:b/>
        </w:rPr>
        <w:t>9</w:t>
      </w:r>
      <w:r w:rsidRPr="0034337D">
        <w:t>(41): p. 35794-35801.</w:t>
      </w:r>
    </w:p>
    <w:p w14:paraId="4ADC4AD9" w14:textId="77777777" w:rsidR="0034337D" w:rsidRPr="0034337D" w:rsidRDefault="0034337D" w:rsidP="0034337D">
      <w:pPr>
        <w:pStyle w:val="EndNoteBibliography"/>
        <w:spacing w:after="0"/>
        <w:ind w:left="720" w:hanging="720"/>
      </w:pPr>
      <w:r w:rsidRPr="0034337D">
        <w:t>254.</w:t>
      </w:r>
      <w:r w:rsidRPr="0034337D">
        <w:tab/>
        <w:t xml:space="preserve">Appleyard, G.D., et al., </w:t>
      </w:r>
      <w:r w:rsidRPr="0034337D">
        <w:rPr>
          <w:i/>
        </w:rPr>
        <w:t>Olefine polymerisation process and catalyst</w:t>
      </w:r>
      <w:r w:rsidRPr="0034337D">
        <w:t>. 1979, Google Patents.</w:t>
      </w:r>
    </w:p>
    <w:p w14:paraId="5980B1E0" w14:textId="77777777" w:rsidR="0034337D" w:rsidRPr="0034337D" w:rsidRDefault="0034337D" w:rsidP="0034337D">
      <w:pPr>
        <w:pStyle w:val="EndNoteBibliography"/>
        <w:spacing w:after="0"/>
        <w:ind w:left="720" w:hanging="720"/>
      </w:pPr>
      <w:r w:rsidRPr="0034337D">
        <w:t>255.</w:t>
      </w:r>
      <w:r w:rsidRPr="0034337D">
        <w:tab/>
        <w:t xml:space="preserve">Cao, R., et al., </w:t>
      </w:r>
      <w:r w:rsidRPr="0034337D">
        <w:rPr>
          <w:i/>
        </w:rPr>
        <w:t>Molecular basis for histidine N1 position-specific methylation by CARNMT1.</w:t>
      </w:r>
      <w:r w:rsidRPr="0034337D">
        <w:t xml:space="preserve"> Cell Research, 2018. </w:t>
      </w:r>
      <w:r w:rsidRPr="0034337D">
        <w:rPr>
          <w:b/>
        </w:rPr>
        <w:t>28</w:t>
      </w:r>
      <w:r w:rsidRPr="0034337D">
        <w:t>(4): p. 494-496.</w:t>
      </w:r>
    </w:p>
    <w:p w14:paraId="695F3B82" w14:textId="77777777" w:rsidR="0034337D" w:rsidRPr="0034337D" w:rsidRDefault="0034337D" w:rsidP="0034337D">
      <w:pPr>
        <w:pStyle w:val="EndNoteBibliography"/>
        <w:ind w:left="720" w:hanging="720"/>
      </w:pPr>
      <w:r w:rsidRPr="0034337D">
        <w:t>256.</w:t>
      </w:r>
      <w:r w:rsidRPr="0034337D">
        <w:tab/>
        <w:t xml:space="preserve">Macarron, R., et al., </w:t>
      </w:r>
      <w:r w:rsidRPr="0034337D">
        <w:rPr>
          <w:i/>
        </w:rPr>
        <w:t>Impact of high-throughput screening in biomedical research.</w:t>
      </w:r>
      <w:r w:rsidRPr="0034337D">
        <w:t xml:space="preserve"> Nature Reviews Drug Discovery, 2011. </w:t>
      </w:r>
      <w:r w:rsidRPr="0034337D">
        <w:rPr>
          <w:b/>
        </w:rPr>
        <w:t>10</w:t>
      </w:r>
      <w:r w:rsidRPr="0034337D">
        <w:t>: p. 188.</w:t>
      </w:r>
    </w:p>
    <w:p w14:paraId="37C5D305" w14:textId="37A5A95E" w:rsidR="00784C5D" w:rsidRPr="0092670C" w:rsidRDefault="0088211A">
      <w:pPr>
        <w:rPr>
          <w:rFonts w:ascii="Arial" w:hAnsi="Arial" w:cs="Arial"/>
        </w:rPr>
      </w:pPr>
      <w:r w:rsidRPr="0092670C">
        <w:rPr>
          <w:rFonts w:ascii="Arial" w:hAnsi="Arial" w:cs="Arial"/>
        </w:rPr>
        <w:fldChar w:fldCharType="end"/>
      </w:r>
      <w:r w:rsidR="00365282">
        <w:rPr>
          <w:rFonts w:ascii="Arial" w:hAnsi="Arial" w:cs="Arial"/>
        </w:rPr>
        <w:fldChar w:fldCharType="begin"/>
      </w:r>
      <w:r w:rsidR="00365282">
        <w:rPr>
          <w:rFonts w:ascii="Arial" w:hAnsi="Arial" w:cs="Arial"/>
        </w:rPr>
        <w:instrText xml:space="preserve"> ADDIN </w:instrText>
      </w:r>
      <w:r w:rsidR="00365282">
        <w:rPr>
          <w:rFonts w:ascii="Arial" w:hAnsi="Arial" w:cs="Arial"/>
        </w:rPr>
        <w:fldChar w:fldCharType="end"/>
      </w:r>
    </w:p>
    <w:sectPr w:rsidR="00784C5D" w:rsidRPr="0092670C" w:rsidSect="00493782">
      <w:headerReference w:type="default" r:id="rId324"/>
      <w:footerReference w:type="default" r:id="rId325"/>
      <w:pgSz w:w="11906" w:h="16838"/>
      <w:pgMar w:top="1134" w:right="1134" w:bottom="1134"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7D9F6" w14:textId="77777777" w:rsidR="00637386" w:rsidRDefault="00637386">
      <w:pPr>
        <w:spacing w:after="0" w:line="240" w:lineRule="auto"/>
      </w:pPr>
      <w:r>
        <w:separator/>
      </w:r>
    </w:p>
  </w:endnote>
  <w:endnote w:type="continuationSeparator" w:id="0">
    <w:p w14:paraId="628A5223" w14:textId="77777777" w:rsidR="00637386" w:rsidRDefault="00637386">
      <w:pPr>
        <w:spacing w:after="0" w:line="240" w:lineRule="auto"/>
      </w:pPr>
      <w:r>
        <w:continuationSeparator/>
      </w:r>
    </w:p>
  </w:endnote>
  <w:endnote w:type="continuationNotice" w:id="1">
    <w:p w14:paraId="4E715057" w14:textId="77777777" w:rsidR="00637386" w:rsidRDefault="006373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39F3" w14:textId="274BB902" w:rsidR="000E4910" w:rsidRDefault="000E4910" w:rsidP="00E40BE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13244"/>
      <w:docPartObj>
        <w:docPartGallery w:val="Page Numbers (Bottom of Page)"/>
        <w:docPartUnique/>
      </w:docPartObj>
    </w:sdtPr>
    <w:sdtEndPr>
      <w:rPr>
        <w:noProof/>
      </w:rPr>
    </w:sdtEndPr>
    <w:sdtContent>
      <w:p w14:paraId="5616DBFB" w14:textId="3FF31BC5" w:rsidR="000E4910" w:rsidRDefault="000E4910" w:rsidP="000F20C1">
        <w:pPr>
          <w:pStyle w:val="Footer"/>
        </w:pPr>
        <w:r>
          <w:tab/>
        </w:r>
        <w:r>
          <w:tab/>
        </w:r>
        <w:r>
          <w:fldChar w:fldCharType="begin"/>
        </w:r>
        <w:r>
          <w:instrText xml:space="preserve"> PAGE   \* MERGEFORMAT </w:instrText>
        </w:r>
        <w:r>
          <w:fldChar w:fldCharType="separate"/>
        </w:r>
        <w:r>
          <w:rPr>
            <w:noProof/>
          </w:rPr>
          <w:t>2</w:t>
        </w:r>
        <w:r>
          <w:rPr>
            <w:noProof/>
          </w:rPr>
          <w:fldChar w:fldCharType="end"/>
        </w:r>
      </w:p>
    </w:sdtContent>
  </w:sdt>
  <w:p w14:paraId="3AFB3948" w14:textId="4F5A4BB2" w:rsidR="000E4910" w:rsidRDefault="000E4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763005"/>
      <w:docPartObj>
        <w:docPartGallery w:val="Page Numbers (Bottom of Page)"/>
        <w:docPartUnique/>
      </w:docPartObj>
    </w:sdtPr>
    <w:sdtEndPr>
      <w:rPr>
        <w:noProof/>
      </w:rPr>
    </w:sdtEndPr>
    <w:sdtContent>
      <w:p w14:paraId="3733BB85" w14:textId="5E5E8D79" w:rsidR="000E4910" w:rsidRDefault="000E49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1DB4BE" w14:textId="77777777" w:rsidR="000E4910" w:rsidRDefault="000E49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86C2" w14:textId="19CB2AD5" w:rsidR="000E4910" w:rsidRDefault="000E4910">
    <w:pPr>
      <w:pStyle w:val="Footer"/>
      <w:jc w:val="right"/>
    </w:pPr>
    <w:r>
      <w:rPr>
        <w:noProof/>
      </w:rPr>
      <mc:AlternateContent>
        <mc:Choice Requires="wps">
          <w:drawing>
            <wp:anchor distT="0" distB="0" distL="114300" distR="114300" simplePos="0" relativeHeight="251658241" behindDoc="0" locked="0" layoutInCell="0" allowOverlap="1" wp14:anchorId="0C409B92" wp14:editId="1A3DD8B1">
              <wp:simplePos x="0" y="0"/>
              <wp:positionH relativeFrom="page">
                <wp:posOffset>145473</wp:posOffset>
              </wp:positionH>
              <wp:positionV relativeFrom="page">
                <wp:posOffset>6407843</wp:posOffset>
              </wp:positionV>
              <wp:extent cx="762000" cy="89535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sz w:val="48"/>
                              <w:szCs w:val="48"/>
                            </w:rPr>
                            <w:id w:val="14478487"/>
                            <w:docPartObj>
                              <w:docPartGallery w:val="Page Numbers (Margins)"/>
                              <w:docPartUnique/>
                            </w:docPartObj>
                          </w:sdtPr>
                          <w:sdtEndPr>
                            <w:rPr>
                              <w:sz w:val="22"/>
                              <w:szCs w:val="22"/>
                            </w:rPr>
                          </w:sdtEndPr>
                          <w:sdtContent>
                            <w:sdt>
                              <w:sdtPr>
                                <w:rPr>
                                  <w:rFonts w:eastAsiaTheme="majorEastAsia" w:cstheme="minorHAnsi"/>
                                </w:rPr>
                                <w:id w:val="107640144"/>
                                <w:docPartObj>
                                  <w:docPartGallery w:val="Page Numbers (Margins)"/>
                                  <w:docPartUnique/>
                                </w:docPartObj>
                              </w:sdtPr>
                              <w:sdtEndPr/>
                              <w:sdtContent>
                                <w:p w14:paraId="259CDC2C" w14:textId="77777777" w:rsidR="000E4910" w:rsidRPr="002F16A4" w:rsidRDefault="000E4910">
                                  <w:pPr>
                                    <w:jc w:val="center"/>
                                    <w:rPr>
                                      <w:rFonts w:eastAsiaTheme="majorEastAsia" w:cstheme="minorHAnsi"/>
                                    </w:rPr>
                                  </w:pPr>
                                  <w:r w:rsidRPr="002F16A4">
                                    <w:rPr>
                                      <w:rFonts w:eastAsiaTheme="minorEastAsia" w:cstheme="minorHAnsi"/>
                                    </w:rPr>
                                    <w:fldChar w:fldCharType="begin"/>
                                  </w:r>
                                  <w:r w:rsidRPr="002F16A4">
                                    <w:rPr>
                                      <w:rFonts w:cstheme="minorHAnsi"/>
                                    </w:rPr>
                                    <w:instrText xml:space="preserve"> PAGE   \* MERGEFORMAT </w:instrText>
                                  </w:r>
                                  <w:r w:rsidRPr="002F16A4">
                                    <w:rPr>
                                      <w:rFonts w:eastAsiaTheme="minorEastAsia" w:cstheme="minorHAnsi"/>
                                    </w:rPr>
                                    <w:fldChar w:fldCharType="separate"/>
                                  </w:r>
                                  <w:r w:rsidRPr="002F16A4">
                                    <w:rPr>
                                      <w:rFonts w:eastAsiaTheme="majorEastAsia" w:cstheme="minorHAnsi"/>
                                      <w:noProof/>
                                    </w:rPr>
                                    <w:t>2</w:t>
                                  </w:r>
                                  <w:r w:rsidRPr="002F16A4">
                                    <w:rPr>
                                      <w:rFonts w:eastAsiaTheme="majorEastAsia" w:cstheme="minorHAnsi"/>
                                      <w:noProof/>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09B92" id="Rectangle 30" o:spid="_x0000_s1041" style="position:absolute;left:0;text-align:left;margin-left:11.45pt;margin-top:504.55pt;width:60pt;height:7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" o:allowincell="f" stroked="f">
              <v:textbox style="layout-flow:vertical">
                <w:txbxContent>
                  <w:sdt>
                    <w:sdtPr>
                      <w:rPr>
                        <w:rFonts w:eastAsiaTheme="majorEastAsia" w:cstheme="minorHAnsi"/>
                        <w:sz w:val="48"/>
                        <w:szCs w:val="48"/>
                      </w:rPr>
                      <w:id w:val="14478487"/>
                      <w:docPartObj>
                        <w:docPartGallery w:val="Page Numbers (Margins)"/>
                        <w:docPartUnique/>
                      </w:docPartObj>
                    </w:sdtPr>
                    <w:sdtEndPr>
                      <w:rPr>
                        <w:sz w:val="22"/>
                        <w:szCs w:val="22"/>
                      </w:rPr>
                    </w:sdtEndPr>
                    <w:sdtContent>
                      <w:sdt>
                        <w:sdtPr>
                          <w:rPr>
                            <w:rFonts w:eastAsiaTheme="majorEastAsia" w:cstheme="minorHAnsi"/>
                          </w:rPr>
                          <w:id w:val="107640144"/>
                          <w:docPartObj>
                            <w:docPartGallery w:val="Page Numbers (Margins)"/>
                            <w:docPartUnique/>
                          </w:docPartObj>
                        </w:sdtPr>
                        <w:sdtEndPr/>
                        <w:sdtContent>
                          <w:p w14:paraId="259CDC2C" w14:textId="77777777" w:rsidR="000E4910" w:rsidRPr="002F16A4" w:rsidRDefault="000E4910">
                            <w:pPr>
                              <w:jc w:val="center"/>
                              <w:rPr>
                                <w:rFonts w:eastAsiaTheme="majorEastAsia" w:cstheme="minorHAnsi"/>
                              </w:rPr>
                            </w:pPr>
                            <w:r w:rsidRPr="002F16A4">
                              <w:rPr>
                                <w:rFonts w:eastAsiaTheme="minorEastAsia" w:cstheme="minorHAnsi"/>
                              </w:rPr>
                              <w:fldChar w:fldCharType="begin"/>
                            </w:r>
                            <w:r w:rsidRPr="002F16A4">
                              <w:rPr>
                                <w:rFonts w:cstheme="minorHAnsi"/>
                              </w:rPr>
                              <w:instrText xml:space="preserve"> PAGE   \* MERGEFORMAT </w:instrText>
                            </w:r>
                            <w:r w:rsidRPr="002F16A4">
                              <w:rPr>
                                <w:rFonts w:eastAsiaTheme="minorEastAsia" w:cstheme="minorHAnsi"/>
                              </w:rPr>
                              <w:fldChar w:fldCharType="separate"/>
                            </w:r>
                            <w:r w:rsidRPr="002F16A4">
                              <w:rPr>
                                <w:rFonts w:eastAsiaTheme="majorEastAsia" w:cstheme="minorHAnsi"/>
                                <w:noProof/>
                              </w:rPr>
                              <w:t>2</w:t>
                            </w:r>
                            <w:r w:rsidRPr="002F16A4">
                              <w:rPr>
                                <w:rFonts w:eastAsiaTheme="majorEastAsia" w:cstheme="minorHAnsi"/>
                                <w:noProof/>
                              </w:rPr>
                              <w:fldChar w:fldCharType="end"/>
                            </w:r>
                          </w:p>
                        </w:sdtContent>
                      </w:sdt>
                    </w:sdtContent>
                  </w:sdt>
                </w:txbxContent>
              </v:textbox>
              <w10:wrap anchorx="page" anchory="page"/>
            </v:rect>
          </w:pict>
        </mc:Fallback>
      </mc:AlternateContent>
    </w:r>
  </w:p>
  <w:p w14:paraId="6CBC9179" w14:textId="77777777" w:rsidR="000E4910" w:rsidRDefault="000E4910" w:rsidP="00710DC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452968"/>
      <w:docPartObj>
        <w:docPartGallery w:val="Page Numbers (Bottom of Page)"/>
        <w:docPartUnique/>
      </w:docPartObj>
    </w:sdtPr>
    <w:sdtEndPr>
      <w:rPr>
        <w:noProof/>
      </w:rPr>
    </w:sdtEndPr>
    <w:sdtContent>
      <w:p w14:paraId="08A088A9" w14:textId="77777777" w:rsidR="000E4910" w:rsidRDefault="000E49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A781FB" w14:textId="77777777" w:rsidR="000E4910" w:rsidRDefault="000E4910" w:rsidP="00710DC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6CD5" w14:textId="4432F1BC" w:rsidR="000E4910" w:rsidRPr="00C855A8" w:rsidRDefault="000E4910" w:rsidP="00C855A8">
    <w:pPr>
      <w:pStyle w:val="Footer"/>
    </w:pPr>
    <w:r w:rsidRPr="00545F04">
      <w:rPr>
        <w:i/>
        <w:iCs/>
        <w:noProof/>
      </w:rPr>
      <mc:AlternateContent>
        <mc:Choice Requires="wps">
          <w:drawing>
            <wp:anchor distT="0" distB="0" distL="114300" distR="114300" simplePos="0" relativeHeight="251658240" behindDoc="0" locked="0" layoutInCell="0" allowOverlap="1" wp14:anchorId="32415EBC" wp14:editId="435CCD38">
              <wp:simplePos x="0" y="0"/>
              <wp:positionH relativeFrom="rightMargin">
                <wp:posOffset>-9822238</wp:posOffset>
              </wp:positionH>
              <wp:positionV relativeFrom="margin">
                <wp:posOffset>5784157</wp:posOffset>
              </wp:positionV>
              <wp:extent cx="762000" cy="895350"/>
              <wp:effectExtent l="0" t="0" r="0" b="0"/>
              <wp:wrapNone/>
              <wp:docPr id="3076" name="Rectangle 3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1807150379"/>
                            <w:docPartObj>
                              <w:docPartGallery w:val="Page Numbers (Margins)"/>
                              <w:docPartUnique/>
                            </w:docPartObj>
                          </w:sdtPr>
                          <w:sdtEndPr>
                            <w:rPr>
                              <w:rFonts w:asciiTheme="majorHAnsi" w:hAnsiTheme="majorHAnsi" w:cstheme="majorBidi"/>
                              <w:sz w:val="48"/>
                              <w:szCs w:val="48"/>
                            </w:rPr>
                          </w:sdtEndPr>
                          <w:sdtContent>
                            <w:p w14:paraId="10DC289E" w14:textId="77777777" w:rsidR="000E4910" w:rsidRDefault="000E4910">
                              <w:pPr>
                                <w:jc w:val="center"/>
                                <w:rPr>
                                  <w:rFonts w:asciiTheme="majorHAnsi" w:eastAsiaTheme="majorEastAsia" w:hAnsiTheme="majorHAnsi" w:cstheme="majorBidi"/>
                                  <w:sz w:val="72"/>
                                  <w:szCs w:val="44"/>
                                </w:rPr>
                              </w:pPr>
                              <w:r w:rsidRPr="00425E37">
                                <w:rPr>
                                  <w:rFonts w:eastAsiaTheme="minorEastAsia" w:cstheme="minorHAnsi"/>
                                </w:rPr>
                                <w:fldChar w:fldCharType="begin"/>
                              </w:r>
                              <w:r w:rsidRPr="00425E37">
                                <w:rPr>
                                  <w:rFonts w:cstheme="minorHAnsi"/>
                                </w:rPr>
                                <w:instrText xml:space="preserve"> PAGE  \* MERGEFORMAT </w:instrText>
                              </w:r>
                              <w:r w:rsidRPr="00425E37">
                                <w:rPr>
                                  <w:rFonts w:eastAsiaTheme="minorEastAsia" w:cstheme="minorHAnsi"/>
                                </w:rPr>
                                <w:fldChar w:fldCharType="separate"/>
                              </w:r>
                              <w:r w:rsidRPr="00425E37">
                                <w:rPr>
                                  <w:rFonts w:eastAsiaTheme="majorEastAsia" w:cstheme="minorHAnsi"/>
                                  <w:noProof/>
                                </w:rPr>
                                <w:t>2</w:t>
                              </w:r>
                              <w:r w:rsidRPr="00425E37">
                                <w:rPr>
                                  <w:rFonts w:eastAsiaTheme="majorEastAsia" w:cstheme="minorHAnsi"/>
                                  <w:noProof/>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15EBC" id="Rectangle 3076" o:spid="_x0000_s1042" style="position:absolute;margin-left:-773.4pt;margin-top:455.45pt;width:60pt;height:70.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" o:allowincell="f" stroked="f">
              <v:textbox style="layout-flow:vertical">
                <w:txbxContent>
                  <w:sdt>
                    <w:sdtPr>
                      <w:rPr>
                        <w:rFonts w:eastAsiaTheme="majorEastAsia" w:cstheme="minorHAnsi"/>
                      </w:rPr>
                      <w:id w:val="-1807150379"/>
                      <w:docPartObj>
                        <w:docPartGallery w:val="Page Numbers (Margins)"/>
                        <w:docPartUnique/>
                      </w:docPartObj>
                    </w:sdtPr>
                    <w:sdtEndPr>
                      <w:rPr>
                        <w:rFonts w:asciiTheme="majorHAnsi" w:hAnsiTheme="majorHAnsi" w:cstheme="majorBidi"/>
                        <w:sz w:val="48"/>
                        <w:szCs w:val="48"/>
                      </w:rPr>
                    </w:sdtEndPr>
                    <w:sdtContent>
                      <w:p w14:paraId="10DC289E" w14:textId="77777777" w:rsidR="000E4910" w:rsidRDefault="000E4910">
                        <w:pPr>
                          <w:jc w:val="center"/>
                          <w:rPr>
                            <w:rFonts w:asciiTheme="majorHAnsi" w:eastAsiaTheme="majorEastAsia" w:hAnsiTheme="majorHAnsi" w:cstheme="majorBidi"/>
                            <w:sz w:val="72"/>
                            <w:szCs w:val="44"/>
                          </w:rPr>
                        </w:pPr>
                        <w:r w:rsidRPr="00425E37">
                          <w:rPr>
                            <w:rFonts w:eastAsiaTheme="minorEastAsia" w:cstheme="minorHAnsi"/>
                          </w:rPr>
                          <w:fldChar w:fldCharType="begin"/>
                        </w:r>
                        <w:r w:rsidRPr="00425E37">
                          <w:rPr>
                            <w:rFonts w:cstheme="minorHAnsi"/>
                          </w:rPr>
                          <w:instrText xml:space="preserve"> PAGE  \* MERGEFORMAT </w:instrText>
                        </w:r>
                        <w:r w:rsidRPr="00425E37">
                          <w:rPr>
                            <w:rFonts w:eastAsiaTheme="minorEastAsia" w:cstheme="minorHAnsi"/>
                          </w:rPr>
                          <w:fldChar w:fldCharType="separate"/>
                        </w:r>
                        <w:r w:rsidRPr="00425E37">
                          <w:rPr>
                            <w:rFonts w:eastAsiaTheme="majorEastAsia" w:cstheme="minorHAnsi"/>
                            <w:noProof/>
                          </w:rPr>
                          <w:t>2</w:t>
                        </w:r>
                        <w:r w:rsidRPr="00425E37">
                          <w:rPr>
                            <w:rFonts w:eastAsiaTheme="majorEastAsia" w:cstheme="minorHAnsi"/>
                            <w:noProof/>
                          </w:rPr>
                          <w:fldChar w:fldCharType="end"/>
                        </w:r>
                      </w:p>
                    </w:sdtContent>
                  </w:sdt>
                </w:txbxContent>
              </v:textbox>
              <w10:wrap anchorx="margin" anchory="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25658"/>
      <w:docPartObj>
        <w:docPartGallery w:val="Page Numbers (Bottom of Page)"/>
        <w:docPartUnique/>
      </w:docPartObj>
    </w:sdtPr>
    <w:sdtEndPr>
      <w:rPr>
        <w:noProof/>
      </w:rPr>
    </w:sdtEndPr>
    <w:sdtContent>
      <w:p w14:paraId="74EA95DA" w14:textId="77777777" w:rsidR="000E4910" w:rsidRDefault="000E49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45757" w14:textId="77777777" w:rsidR="00637386" w:rsidRDefault="00637386">
      <w:pPr>
        <w:spacing w:after="0" w:line="240" w:lineRule="auto"/>
      </w:pPr>
      <w:r>
        <w:separator/>
      </w:r>
    </w:p>
  </w:footnote>
  <w:footnote w:type="continuationSeparator" w:id="0">
    <w:p w14:paraId="5D1BFCDD" w14:textId="77777777" w:rsidR="00637386" w:rsidRDefault="00637386">
      <w:pPr>
        <w:spacing w:after="0" w:line="240" w:lineRule="auto"/>
      </w:pPr>
      <w:r>
        <w:continuationSeparator/>
      </w:r>
    </w:p>
  </w:footnote>
  <w:footnote w:type="continuationNotice" w:id="1">
    <w:p w14:paraId="16238B18" w14:textId="77777777" w:rsidR="00637386" w:rsidRDefault="00637386">
      <w:pPr>
        <w:spacing w:after="0" w:line="240" w:lineRule="auto"/>
      </w:pPr>
    </w:p>
  </w:footnote>
  <w:footnote w:id="2">
    <w:p w14:paraId="5EAAAD9E" w14:textId="5C90FD83" w:rsidR="000E4910" w:rsidRDefault="000E4910" w:rsidP="001E3A72">
      <w:pPr>
        <w:pStyle w:val="Footer"/>
        <w:ind w:left="720"/>
      </w:pPr>
      <w:r>
        <w:rPr>
          <w:rStyle w:val="FootnoteReference"/>
        </w:rPr>
        <w:footnoteRef/>
      </w:r>
      <w:r>
        <w:t xml:space="preserve"> The ship of Theseus is a thought experiment where the components of the ship are gradually replaced as they age and asks the question if the ship is the same despite having all of its parts replaced.</w:t>
      </w:r>
    </w:p>
    <w:p w14:paraId="5BC5D8B9" w14:textId="54D3742B" w:rsidR="000E4910" w:rsidRDefault="000E49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417617"/>
      <w:docPartObj>
        <w:docPartGallery w:val="Page Numbers (Margins)"/>
        <w:docPartUnique/>
      </w:docPartObj>
    </w:sdtPr>
    <w:sdtEndPr/>
    <w:sdtContent>
      <w:p w14:paraId="365D3545" w14:textId="2744E9D4" w:rsidR="000E4910" w:rsidRPr="00F404FE" w:rsidRDefault="0067644A" w:rsidP="00F404FE">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EA98" w14:textId="4CAC0DE1" w:rsidR="000E4910" w:rsidRPr="005C68F8" w:rsidRDefault="000E4910">
    <w:pPr>
      <w:pStyle w:val="Header"/>
      <w:rPr>
        <w:i/>
        <w:iCs/>
      </w:rPr>
    </w:pPr>
    <w:r w:rsidRPr="005C68F8">
      <w:rPr>
        <w:i/>
        <w:iCs/>
      </w:rPr>
      <w:fldChar w:fldCharType="begin"/>
    </w:r>
    <w:r w:rsidRPr="005C68F8">
      <w:rPr>
        <w:i/>
        <w:iCs/>
      </w:rPr>
      <w:instrText xml:space="preserve"> STYLEREF  "Heading 1"  \* MERGEFORMAT </w:instrText>
    </w:r>
    <w:r w:rsidRPr="005C68F8">
      <w:rPr>
        <w:i/>
        <w:iCs/>
      </w:rPr>
      <w:fldChar w:fldCharType="separate"/>
    </w:r>
    <w:r w:rsidR="005E22DB">
      <w:rPr>
        <w:i/>
        <w:iCs/>
        <w:noProof/>
      </w:rPr>
      <w:t>Literature review</w:t>
    </w:r>
    <w:r w:rsidRPr="005C68F8">
      <w:rPr>
        <w:i/>
        <w:i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BD13" w14:textId="4413BC7D" w:rsidR="000E4910" w:rsidRPr="005C68F8" w:rsidRDefault="0067644A" w:rsidP="002467C5">
    <w:pPr>
      <w:pStyle w:val="Header"/>
      <w:tabs>
        <w:tab w:val="clear" w:pos="4513"/>
        <w:tab w:val="clear" w:pos="9026"/>
        <w:tab w:val="left" w:pos="2352"/>
      </w:tabs>
      <w:rPr>
        <w:i/>
        <w:iCs/>
      </w:rPr>
    </w:pPr>
    <w:sdt>
      <w:sdtPr>
        <w:rPr>
          <w:i/>
          <w:iCs/>
        </w:rPr>
        <w:id w:val="1128435339"/>
        <w:docPartObj>
          <w:docPartGallery w:val="Page Numbers (Margins)"/>
          <w:docPartUnique/>
        </w:docPartObj>
      </w:sdtPr>
      <w:sdtEndPr/>
      <w:sdtContent/>
    </w:sdt>
    <w:r w:rsidR="000E4910">
      <w:rPr>
        <w:i/>
        <w:i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5686" w14:textId="79B135E9" w:rsidR="000E4910" w:rsidRPr="005C68F8" w:rsidRDefault="000E4910" w:rsidP="002467C5">
    <w:pPr>
      <w:pStyle w:val="Header"/>
      <w:tabs>
        <w:tab w:val="clear" w:pos="4513"/>
        <w:tab w:val="clear" w:pos="9026"/>
        <w:tab w:val="left" w:pos="2352"/>
      </w:tabs>
      <w:rPr>
        <w:i/>
        <w:iCs/>
      </w:rPr>
    </w:pPr>
    <w:r w:rsidRPr="005C68F8">
      <w:rPr>
        <w:i/>
        <w:iCs/>
      </w:rPr>
      <w:fldChar w:fldCharType="begin"/>
    </w:r>
    <w:r w:rsidRPr="005C68F8">
      <w:rPr>
        <w:i/>
        <w:iCs/>
      </w:rPr>
      <w:instrText xml:space="preserve"> STYLEREF  "Heading 1"  \* MERGEFORMAT </w:instrText>
    </w:r>
    <w:r w:rsidRPr="005C68F8">
      <w:rPr>
        <w:i/>
        <w:iCs/>
      </w:rPr>
      <w:fldChar w:fldCharType="separate"/>
    </w:r>
    <w:r w:rsidR="00653607">
      <w:rPr>
        <w:i/>
        <w:iCs/>
        <w:noProof/>
      </w:rPr>
      <w:t>Pre-lithiation of hard carbon anodes for Na-ion batteries</w:t>
    </w:r>
    <w:r w:rsidRPr="005C68F8">
      <w:rPr>
        <w:i/>
        <w:iCs/>
      </w:rPr>
      <w:fldChar w:fldCharType="end"/>
    </w:r>
    <w:r>
      <w:rPr>
        <w:i/>
        <w:i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E030E"/>
    <w:multiLevelType w:val="hybridMultilevel"/>
    <w:tmpl w:val="88B63364"/>
    <w:lvl w:ilvl="0" w:tplc="04AA4F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9020C7"/>
    <w:multiLevelType w:val="hybridMultilevel"/>
    <w:tmpl w:val="F730B176"/>
    <w:lvl w:ilvl="0" w:tplc="0C5EDC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E131A"/>
    <w:multiLevelType w:val="hybridMultilevel"/>
    <w:tmpl w:val="20ACE048"/>
    <w:lvl w:ilvl="0" w:tplc="E170053E">
      <w:start w:val="1"/>
      <w:numFmt w:val="bullet"/>
      <w:lvlText w:val="•"/>
      <w:lvlJc w:val="left"/>
      <w:pPr>
        <w:tabs>
          <w:tab w:val="num" w:pos="720"/>
        </w:tabs>
        <w:ind w:left="720" w:hanging="360"/>
      </w:pPr>
      <w:rPr>
        <w:rFonts w:ascii="Arial" w:hAnsi="Arial" w:hint="default"/>
      </w:rPr>
    </w:lvl>
    <w:lvl w:ilvl="1" w:tplc="6512DC34" w:tentative="1">
      <w:start w:val="1"/>
      <w:numFmt w:val="bullet"/>
      <w:lvlText w:val="•"/>
      <w:lvlJc w:val="left"/>
      <w:pPr>
        <w:tabs>
          <w:tab w:val="num" w:pos="1440"/>
        </w:tabs>
        <w:ind w:left="1440" w:hanging="360"/>
      </w:pPr>
      <w:rPr>
        <w:rFonts w:ascii="Arial" w:hAnsi="Arial" w:hint="default"/>
      </w:rPr>
    </w:lvl>
    <w:lvl w:ilvl="2" w:tplc="426226CC" w:tentative="1">
      <w:start w:val="1"/>
      <w:numFmt w:val="bullet"/>
      <w:lvlText w:val="•"/>
      <w:lvlJc w:val="left"/>
      <w:pPr>
        <w:tabs>
          <w:tab w:val="num" w:pos="2160"/>
        </w:tabs>
        <w:ind w:left="2160" w:hanging="360"/>
      </w:pPr>
      <w:rPr>
        <w:rFonts w:ascii="Arial" w:hAnsi="Arial" w:hint="default"/>
      </w:rPr>
    </w:lvl>
    <w:lvl w:ilvl="3" w:tplc="AA226566" w:tentative="1">
      <w:start w:val="1"/>
      <w:numFmt w:val="bullet"/>
      <w:lvlText w:val="•"/>
      <w:lvlJc w:val="left"/>
      <w:pPr>
        <w:tabs>
          <w:tab w:val="num" w:pos="2880"/>
        </w:tabs>
        <w:ind w:left="2880" w:hanging="360"/>
      </w:pPr>
      <w:rPr>
        <w:rFonts w:ascii="Arial" w:hAnsi="Arial" w:hint="default"/>
      </w:rPr>
    </w:lvl>
    <w:lvl w:ilvl="4" w:tplc="597EC7D8" w:tentative="1">
      <w:start w:val="1"/>
      <w:numFmt w:val="bullet"/>
      <w:lvlText w:val="•"/>
      <w:lvlJc w:val="left"/>
      <w:pPr>
        <w:tabs>
          <w:tab w:val="num" w:pos="3600"/>
        </w:tabs>
        <w:ind w:left="3600" w:hanging="360"/>
      </w:pPr>
      <w:rPr>
        <w:rFonts w:ascii="Arial" w:hAnsi="Arial" w:hint="default"/>
      </w:rPr>
    </w:lvl>
    <w:lvl w:ilvl="5" w:tplc="3BA48966" w:tentative="1">
      <w:start w:val="1"/>
      <w:numFmt w:val="bullet"/>
      <w:lvlText w:val="•"/>
      <w:lvlJc w:val="left"/>
      <w:pPr>
        <w:tabs>
          <w:tab w:val="num" w:pos="4320"/>
        </w:tabs>
        <w:ind w:left="4320" w:hanging="360"/>
      </w:pPr>
      <w:rPr>
        <w:rFonts w:ascii="Arial" w:hAnsi="Arial" w:hint="default"/>
      </w:rPr>
    </w:lvl>
    <w:lvl w:ilvl="6" w:tplc="6FAA6E4C" w:tentative="1">
      <w:start w:val="1"/>
      <w:numFmt w:val="bullet"/>
      <w:lvlText w:val="•"/>
      <w:lvlJc w:val="left"/>
      <w:pPr>
        <w:tabs>
          <w:tab w:val="num" w:pos="5040"/>
        </w:tabs>
        <w:ind w:left="5040" w:hanging="360"/>
      </w:pPr>
      <w:rPr>
        <w:rFonts w:ascii="Arial" w:hAnsi="Arial" w:hint="default"/>
      </w:rPr>
    </w:lvl>
    <w:lvl w:ilvl="7" w:tplc="B64C1FD4" w:tentative="1">
      <w:start w:val="1"/>
      <w:numFmt w:val="bullet"/>
      <w:lvlText w:val="•"/>
      <w:lvlJc w:val="left"/>
      <w:pPr>
        <w:tabs>
          <w:tab w:val="num" w:pos="5760"/>
        </w:tabs>
        <w:ind w:left="5760" w:hanging="360"/>
      </w:pPr>
      <w:rPr>
        <w:rFonts w:ascii="Arial" w:hAnsi="Arial" w:hint="default"/>
      </w:rPr>
    </w:lvl>
    <w:lvl w:ilvl="8" w:tplc="742EA3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B64237C"/>
    <w:multiLevelType w:val="hybridMultilevel"/>
    <w:tmpl w:val="92041E0E"/>
    <w:lvl w:ilvl="0" w:tplc="4F1C392A">
      <w:start w:val="18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C9032B"/>
    <w:multiLevelType w:val="hybridMultilevel"/>
    <w:tmpl w:val="4AC4A9BA"/>
    <w:lvl w:ilvl="0" w:tplc="D9FE83AE">
      <w:start w:val="1"/>
      <w:numFmt w:val="bullet"/>
      <w:lvlText w:val="•"/>
      <w:lvlJc w:val="left"/>
      <w:pPr>
        <w:tabs>
          <w:tab w:val="num" w:pos="720"/>
        </w:tabs>
        <w:ind w:left="720" w:hanging="360"/>
      </w:pPr>
      <w:rPr>
        <w:rFonts w:ascii="Arial" w:hAnsi="Arial" w:hint="default"/>
      </w:rPr>
    </w:lvl>
    <w:lvl w:ilvl="1" w:tplc="0868C30C" w:tentative="1">
      <w:start w:val="1"/>
      <w:numFmt w:val="bullet"/>
      <w:lvlText w:val="•"/>
      <w:lvlJc w:val="left"/>
      <w:pPr>
        <w:tabs>
          <w:tab w:val="num" w:pos="1440"/>
        </w:tabs>
        <w:ind w:left="1440" w:hanging="360"/>
      </w:pPr>
      <w:rPr>
        <w:rFonts w:ascii="Arial" w:hAnsi="Arial" w:hint="default"/>
      </w:rPr>
    </w:lvl>
    <w:lvl w:ilvl="2" w:tplc="3692EDA0" w:tentative="1">
      <w:start w:val="1"/>
      <w:numFmt w:val="bullet"/>
      <w:lvlText w:val="•"/>
      <w:lvlJc w:val="left"/>
      <w:pPr>
        <w:tabs>
          <w:tab w:val="num" w:pos="2160"/>
        </w:tabs>
        <w:ind w:left="2160" w:hanging="360"/>
      </w:pPr>
      <w:rPr>
        <w:rFonts w:ascii="Arial" w:hAnsi="Arial" w:hint="default"/>
      </w:rPr>
    </w:lvl>
    <w:lvl w:ilvl="3" w:tplc="B6EC1768" w:tentative="1">
      <w:start w:val="1"/>
      <w:numFmt w:val="bullet"/>
      <w:lvlText w:val="•"/>
      <w:lvlJc w:val="left"/>
      <w:pPr>
        <w:tabs>
          <w:tab w:val="num" w:pos="2880"/>
        </w:tabs>
        <w:ind w:left="2880" w:hanging="360"/>
      </w:pPr>
      <w:rPr>
        <w:rFonts w:ascii="Arial" w:hAnsi="Arial" w:hint="default"/>
      </w:rPr>
    </w:lvl>
    <w:lvl w:ilvl="4" w:tplc="6A3C10A0" w:tentative="1">
      <w:start w:val="1"/>
      <w:numFmt w:val="bullet"/>
      <w:lvlText w:val="•"/>
      <w:lvlJc w:val="left"/>
      <w:pPr>
        <w:tabs>
          <w:tab w:val="num" w:pos="3600"/>
        </w:tabs>
        <w:ind w:left="3600" w:hanging="360"/>
      </w:pPr>
      <w:rPr>
        <w:rFonts w:ascii="Arial" w:hAnsi="Arial" w:hint="default"/>
      </w:rPr>
    </w:lvl>
    <w:lvl w:ilvl="5" w:tplc="0B10DED6" w:tentative="1">
      <w:start w:val="1"/>
      <w:numFmt w:val="bullet"/>
      <w:lvlText w:val="•"/>
      <w:lvlJc w:val="left"/>
      <w:pPr>
        <w:tabs>
          <w:tab w:val="num" w:pos="4320"/>
        </w:tabs>
        <w:ind w:left="4320" w:hanging="360"/>
      </w:pPr>
      <w:rPr>
        <w:rFonts w:ascii="Arial" w:hAnsi="Arial" w:hint="default"/>
      </w:rPr>
    </w:lvl>
    <w:lvl w:ilvl="6" w:tplc="4E12834A" w:tentative="1">
      <w:start w:val="1"/>
      <w:numFmt w:val="bullet"/>
      <w:lvlText w:val="•"/>
      <w:lvlJc w:val="left"/>
      <w:pPr>
        <w:tabs>
          <w:tab w:val="num" w:pos="5040"/>
        </w:tabs>
        <w:ind w:left="5040" w:hanging="360"/>
      </w:pPr>
      <w:rPr>
        <w:rFonts w:ascii="Arial" w:hAnsi="Arial" w:hint="default"/>
      </w:rPr>
    </w:lvl>
    <w:lvl w:ilvl="7" w:tplc="25E65CBC" w:tentative="1">
      <w:start w:val="1"/>
      <w:numFmt w:val="bullet"/>
      <w:lvlText w:val="•"/>
      <w:lvlJc w:val="left"/>
      <w:pPr>
        <w:tabs>
          <w:tab w:val="num" w:pos="5760"/>
        </w:tabs>
        <w:ind w:left="5760" w:hanging="360"/>
      </w:pPr>
      <w:rPr>
        <w:rFonts w:ascii="Arial" w:hAnsi="Arial" w:hint="default"/>
      </w:rPr>
    </w:lvl>
    <w:lvl w:ilvl="8" w:tplc="FDDED9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6539EF"/>
    <w:multiLevelType w:val="hybridMultilevel"/>
    <w:tmpl w:val="9410BACC"/>
    <w:lvl w:ilvl="0" w:tplc="B8B22302">
      <w:start w:val="1"/>
      <w:numFmt w:val="bullet"/>
      <w:lvlText w:val="•"/>
      <w:lvlJc w:val="left"/>
      <w:pPr>
        <w:tabs>
          <w:tab w:val="num" w:pos="720"/>
        </w:tabs>
        <w:ind w:left="720" w:hanging="360"/>
      </w:pPr>
      <w:rPr>
        <w:rFonts w:ascii="Arial" w:hAnsi="Arial" w:hint="default"/>
      </w:rPr>
    </w:lvl>
    <w:lvl w:ilvl="1" w:tplc="665C4968" w:tentative="1">
      <w:start w:val="1"/>
      <w:numFmt w:val="bullet"/>
      <w:lvlText w:val="•"/>
      <w:lvlJc w:val="left"/>
      <w:pPr>
        <w:tabs>
          <w:tab w:val="num" w:pos="1440"/>
        </w:tabs>
        <w:ind w:left="1440" w:hanging="360"/>
      </w:pPr>
      <w:rPr>
        <w:rFonts w:ascii="Arial" w:hAnsi="Arial" w:hint="default"/>
      </w:rPr>
    </w:lvl>
    <w:lvl w:ilvl="2" w:tplc="6B261E94" w:tentative="1">
      <w:start w:val="1"/>
      <w:numFmt w:val="bullet"/>
      <w:lvlText w:val="•"/>
      <w:lvlJc w:val="left"/>
      <w:pPr>
        <w:tabs>
          <w:tab w:val="num" w:pos="2160"/>
        </w:tabs>
        <w:ind w:left="2160" w:hanging="360"/>
      </w:pPr>
      <w:rPr>
        <w:rFonts w:ascii="Arial" w:hAnsi="Arial" w:hint="default"/>
      </w:rPr>
    </w:lvl>
    <w:lvl w:ilvl="3" w:tplc="8AA41E68" w:tentative="1">
      <w:start w:val="1"/>
      <w:numFmt w:val="bullet"/>
      <w:lvlText w:val="•"/>
      <w:lvlJc w:val="left"/>
      <w:pPr>
        <w:tabs>
          <w:tab w:val="num" w:pos="2880"/>
        </w:tabs>
        <w:ind w:left="2880" w:hanging="360"/>
      </w:pPr>
      <w:rPr>
        <w:rFonts w:ascii="Arial" w:hAnsi="Arial" w:hint="default"/>
      </w:rPr>
    </w:lvl>
    <w:lvl w:ilvl="4" w:tplc="FE2C7E42" w:tentative="1">
      <w:start w:val="1"/>
      <w:numFmt w:val="bullet"/>
      <w:lvlText w:val="•"/>
      <w:lvlJc w:val="left"/>
      <w:pPr>
        <w:tabs>
          <w:tab w:val="num" w:pos="3600"/>
        </w:tabs>
        <w:ind w:left="3600" w:hanging="360"/>
      </w:pPr>
      <w:rPr>
        <w:rFonts w:ascii="Arial" w:hAnsi="Arial" w:hint="default"/>
      </w:rPr>
    </w:lvl>
    <w:lvl w:ilvl="5" w:tplc="49F49E9E" w:tentative="1">
      <w:start w:val="1"/>
      <w:numFmt w:val="bullet"/>
      <w:lvlText w:val="•"/>
      <w:lvlJc w:val="left"/>
      <w:pPr>
        <w:tabs>
          <w:tab w:val="num" w:pos="4320"/>
        </w:tabs>
        <w:ind w:left="4320" w:hanging="360"/>
      </w:pPr>
      <w:rPr>
        <w:rFonts w:ascii="Arial" w:hAnsi="Arial" w:hint="default"/>
      </w:rPr>
    </w:lvl>
    <w:lvl w:ilvl="6" w:tplc="9AD0A43C" w:tentative="1">
      <w:start w:val="1"/>
      <w:numFmt w:val="bullet"/>
      <w:lvlText w:val="•"/>
      <w:lvlJc w:val="left"/>
      <w:pPr>
        <w:tabs>
          <w:tab w:val="num" w:pos="5040"/>
        </w:tabs>
        <w:ind w:left="5040" w:hanging="360"/>
      </w:pPr>
      <w:rPr>
        <w:rFonts w:ascii="Arial" w:hAnsi="Arial" w:hint="default"/>
      </w:rPr>
    </w:lvl>
    <w:lvl w:ilvl="7" w:tplc="329E2BFE" w:tentative="1">
      <w:start w:val="1"/>
      <w:numFmt w:val="bullet"/>
      <w:lvlText w:val="•"/>
      <w:lvlJc w:val="left"/>
      <w:pPr>
        <w:tabs>
          <w:tab w:val="num" w:pos="5760"/>
        </w:tabs>
        <w:ind w:left="5760" w:hanging="360"/>
      </w:pPr>
      <w:rPr>
        <w:rFonts w:ascii="Arial" w:hAnsi="Arial" w:hint="default"/>
      </w:rPr>
    </w:lvl>
    <w:lvl w:ilvl="8" w:tplc="FEC0BD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BC3D8B"/>
    <w:multiLevelType w:val="hybridMultilevel"/>
    <w:tmpl w:val="8D5CAB1A"/>
    <w:lvl w:ilvl="0" w:tplc="9CCA6732">
      <w:start w:val="1"/>
      <w:numFmt w:val="bullet"/>
      <w:lvlText w:val="•"/>
      <w:lvlJc w:val="left"/>
      <w:pPr>
        <w:tabs>
          <w:tab w:val="num" w:pos="720"/>
        </w:tabs>
        <w:ind w:left="720" w:hanging="360"/>
      </w:pPr>
      <w:rPr>
        <w:rFonts w:ascii="Arial" w:hAnsi="Arial" w:hint="default"/>
      </w:rPr>
    </w:lvl>
    <w:lvl w:ilvl="1" w:tplc="5BC27520" w:tentative="1">
      <w:start w:val="1"/>
      <w:numFmt w:val="bullet"/>
      <w:lvlText w:val="•"/>
      <w:lvlJc w:val="left"/>
      <w:pPr>
        <w:tabs>
          <w:tab w:val="num" w:pos="1440"/>
        </w:tabs>
        <w:ind w:left="1440" w:hanging="360"/>
      </w:pPr>
      <w:rPr>
        <w:rFonts w:ascii="Arial" w:hAnsi="Arial" w:hint="default"/>
      </w:rPr>
    </w:lvl>
    <w:lvl w:ilvl="2" w:tplc="E7B6B412" w:tentative="1">
      <w:start w:val="1"/>
      <w:numFmt w:val="bullet"/>
      <w:lvlText w:val="•"/>
      <w:lvlJc w:val="left"/>
      <w:pPr>
        <w:tabs>
          <w:tab w:val="num" w:pos="2160"/>
        </w:tabs>
        <w:ind w:left="2160" w:hanging="360"/>
      </w:pPr>
      <w:rPr>
        <w:rFonts w:ascii="Arial" w:hAnsi="Arial" w:hint="default"/>
      </w:rPr>
    </w:lvl>
    <w:lvl w:ilvl="3" w:tplc="A648A318" w:tentative="1">
      <w:start w:val="1"/>
      <w:numFmt w:val="bullet"/>
      <w:lvlText w:val="•"/>
      <w:lvlJc w:val="left"/>
      <w:pPr>
        <w:tabs>
          <w:tab w:val="num" w:pos="2880"/>
        </w:tabs>
        <w:ind w:left="2880" w:hanging="360"/>
      </w:pPr>
      <w:rPr>
        <w:rFonts w:ascii="Arial" w:hAnsi="Arial" w:hint="default"/>
      </w:rPr>
    </w:lvl>
    <w:lvl w:ilvl="4" w:tplc="832EF1D6" w:tentative="1">
      <w:start w:val="1"/>
      <w:numFmt w:val="bullet"/>
      <w:lvlText w:val="•"/>
      <w:lvlJc w:val="left"/>
      <w:pPr>
        <w:tabs>
          <w:tab w:val="num" w:pos="3600"/>
        </w:tabs>
        <w:ind w:left="3600" w:hanging="360"/>
      </w:pPr>
      <w:rPr>
        <w:rFonts w:ascii="Arial" w:hAnsi="Arial" w:hint="default"/>
      </w:rPr>
    </w:lvl>
    <w:lvl w:ilvl="5" w:tplc="4FB8B108" w:tentative="1">
      <w:start w:val="1"/>
      <w:numFmt w:val="bullet"/>
      <w:lvlText w:val="•"/>
      <w:lvlJc w:val="left"/>
      <w:pPr>
        <w:tabs>
          <w:tab w:val="num" w:pos="4320"/>
        </w:tabs>
        <w:ind w:left="4320" w:hanging="360"/>
      </w:pPr>
      <w:rPr>
        <w:rFonts w:ascii="Arial" w:hAnsi="Arial" w:hint="default"/>
      </w:rPr>
    </w:lvl>
    <w:lvl w:ilvl="6" w:tplc="265C1630" w:tentative="1">
      <w:start w:val="1"/>
      <w:numFmt w:val="bullet"/>
      <w:lvlText w:val="•"/>
      <w:lvlJc w:val="left"/>
      <w:pPr>
        <w:tabs>
          <w:tab w:val="num" w:pos="5040"/>
        </w:tabs>
        <w:ind w:left="5040" w:hanging="360"/>
      </w:pPr>
      <w:rPr>
        <w:rFonts w:ascii="Arial" w:hAnsi="Arial" w:hint="default"/>
      </w:rPr>
    </w:lvl>
    <w:lvl w:ilvl="7" w:tplc="B734CC06" w:tentative="1">
      <w:start w:val="1"/>
      <w:numFmt w:val="bullet"/>
      <w:lvlText w:val="•"/>
      <w:lvlJc w:val="left"/>
      <w:pPr>
        <w:tabs>
          <w:tab w:val="num" w:pos="5760"/>
        </w:tabs>
        <w:ind w:left="5760" w:hanging="360"/>
      </w:pPr>
      <w:rPr>
        <w:rFonts w:ascii="Arial" w:hAnsi="Arial" w:hint="default"/>
      </w:rPr>
    </w:lvl>
    <w:lvl w:ilvl="8" w:tplc="A07E6B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7733208"/>
    <w:multiLevelType w:val="multilevel"/>
    <w:tmpl w:val="62D2770C"/>
    <w:lvl w:ilvl="0">
      <w:start w:val="1"/>
      <w:numFmt w:val="decimal"/>
      <w:pStyle w:val="Heading1"/>
      <w:suff w:val="space"/>
      <w:lvlText w:val="Chapter %1:"/>
      <w:lvlJc w:val="left"/>
      <w:pPr>
        <w:ind w:left="0" w:firstLine="0"/>
      </w:pPr>
      <w:rPr>
        <w:rFonts w:hint="default"/>
        <w:b/>
      </w:rPr>
    </w:lvl>
    <w:lvl w:ilvl="1">
      <w:start w:val="1"/>
      <w:numFmt w:val="decimal"/>
      <w:pStyle w:val="Heading2"/>
      <w:suff w:val="space"/>
      <w:lvlText w:val="%1.%2"/>
      <w:lvlJc w:val="left"/>
      <w:pPr>
        <w:ind w:left="0" w:firstLine="0"/>
      </w:pPr>
      <w:rPr>
        <w:rFonts w:hint="default"/>
        <w:b w:val="0"/>
      </w:rPr>
    </w:lvl>
    <w:lvl w:ilvl="2">
      <w:start w:val="1"/>
      <w:numFmt w:val="decimal"/>
      <w:pStyle w:val="Heading3"/>
      <w:suff w:val="space"/>
      <w:lvlText w:val="%1.%2.%3"/>
      <w:lvlJc w:val="left"/>
      <w:pPr>
        <w:ind w:left="0" w:firstLine="0"/>
      </w:pPr>
      <w:rPr>
        <w:rFonts w:hint="default"/>
        <w:b w:val="0"/>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8" w15:restartNumberingAfterBreak="0">
    <w:nsid w:val="5B3F4CD6"/>
    <w:multiLevelType w:val="hybridMultilevel"/>
    <w:tmpl w:val="01A4382A"/>
    <w:lvl w:ilvl="0" w:tplc="1DEA2022">
      <w:start w:val="1"/>
      <w:numFmt w:val="bullet"/>
      <w:lvlText w:val="•"/>
      <w:lvlJc w:val="left"/>
      <w:pPr>
        <w:tabs>
          <w:tab w:val="num" w:pos="720"/>
        </w:tabs>
        <w:ind w:left="720" w:hanging="360"/>
      </w:pPr>
      <w:rPr>
        <w:rFonts w:ascii="Arial" w:hAnsi="Arial" w:hint="default"/>
      </w:rPr>
    </w:lvl>
    <w:lvl w:ilvl="1" w:tplc="1E4CCAD0" w:tentative="1">
      <w:start w:val="1"/>
      <w:numFmt w:val="bullet"/>
      <w:lvlText w:val="•"/>
      <w:lvlJc w:val="left"/>
      <w:pPr>
        <w:tabs>
          <w:tab w:val="num" w:pos="1440"/>
        </w:tabs>
        <w:ind w:left="1440" w:hanging="360"/>
      </w:pPr>
      <w:rPr>
        <w:rFonts w:ascii="Arial" w:hAnsi="Arial" w:hint="default"/>
      </w:rPr>
    </w:lvl>
    <w:lvl w:ilvl="2" w:tplc="193ECFB6" w:tentative="1">
      <w:start w:val="1"/>
      <w:numFmt w:val="bullet"/>
      <w:lvlText w:val="•"/>
      <w:lvlJc w:val="left"/>
      <w:pPr>
        <w:tabs>
          <w:tab w:val="num" w:pos="2160"/>
        </w:tabs>
        <w:ind w:left="2160" w:hanging="360"/>
      </w:pPr>
      <w:rPr>
        <w:rFonts w:ascii="Arial" w:hAnsi="Arial" w:hint="default"/>
      </w:rPr>
    </w:lvl>
    <w:lvl w:ilvl="3" w:tplc="0A92EB96" w:tentative="1">
      <w:start w:val="1"/>
      <w:numFmt w:val="bullet"/>
      <w:lvlText w:val="•"/>
      <w:lvlJc w:val="left"/>
      <w:pPr>
        <w:tabs>
          <w:tab w:val="num" w:pos="2880"/>
        </w:tabs>
        <w:ind w:left="2880" w:hanging="360"/>
      </w:pPr>
      <w:rPr>
        <w:rFonts w:ascii="Arial" w:hAnsi="Arial" w:hint="default"/>
      </w:rPr>
    </w:lvl>
    <w:lvl w:ilvl="4" w:tplc="7C205DDC" w:tentative="1">
      <w:start w:val="1"/>
      <w:numFmt w:val="bullet"/>
      <w:lvlText w:val="•"/>
      <w:lvlJc w:val="left"/>
      <w:pPr>
        <w:tabs>
          <w:tab w:val="num" w:pos="3600"/>
        </w:tabs>
        <w:ind w:left="3600" w:hanging="360"/>
      </w:pPr>
      <w:rPr>
        <w:rFonts w:ascii="Arial" w:hAnsi="Arial" w:hint="default"/>
      </w:rPr>
    </w:lvl>
    <w:lvl w:ilvl="5" w:tplc="4650CAFC" w:tentative="1">
      <w:start w:val="1"/>
      <w:numFmt w:val="bullet"/>
      <w:lvlText w:val="•"/>
      <w:lvlJc w:val="left"/>
      <w:pPr>
        <w:tabs>
          <w:tab w:val="num" w:pos="4320"/>
        </w:tabs>
        <w:ind w:left="4320" w:hanging="360"/>
      </w:pPr>
      <w:rPr>
        <w:rFonts w:ascii="Arial" w:hAnsi="Arial" w:hint="default"/>
      </w:rPr>
    </w:lvl>
    <w:lvl w:ilvl="6" w:tplc="C8A01DEA" w:tentative="1">
      <w:start w:val="1"/>
      <w:numFmt w:val="bullet"/>
      <w:lvlText w:val="•"/>
      <w:lvlJc w:val="left"/>
      <w:pPr>
        <w:tabs>
          <w:tab w:val="num" w:pos="5040"/>
        </w:tabs>
        <w:ind w:left="5040" w:hanging="360"/>
      </w:pPr>
      <w:rPr>
        <w:rFonts w:ascii="Arial" w:hAnsi="Arial" w:hint="default"/>
      </w:rPr>
    </w:lvl>
    <w:lvl w:ilvl="7" w:tplc="0A884694" w:tentative="1">
      <w:start w:val="1"/>
      <w:numFmt w:val="bullet"/>
      <w:lvlText w:val="•"/>
      <w:lvlJc w:val="left"/>
      <w:pPr>
        <w:tabs>
          <w:tab w:val="num" w:pos="5760"/>
        </w:tabs>
        <w:ind w:left="5760" w:hanging="360"/>
      </w:pPr>
      <w:rPr>
        <w:rFonts w:ascii="Arial" w:hAnsi="Arial" w:hint="default"/>
      </w:rPr>
    </w:lvl>
    <w:lvl w:ilvl="8" w:tplc="07A21F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137589F"/>
    <w:multiLevelType w:val="hybridMultilevel"/>
    <w:tmpl w:val="1FF09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E27F1E"/>
    <w:multiLevelType w:val="multilevel"/>
    <w:tmpl w:val="22C688FA"/>
    <w:lvl w:ilvl="0">
      <w:start w:val="1"/>
      <w:numFmt w:val="none"/>
      <w:suff w:val="space"/>
      <w:lvlText w:val="Chapter 1:"/>
      <w:lvlJc w:val="left"/>
      <w:pPr>
        <w:ind w:left="0" w:firstLine="0"/>
      </w:pPr>
      <w:rPr>
        <w:rFonts w:hint="default"/>
      </w:rPr>
    </w:lvl>
    <w:lvl w:ilvl="1">
      <w:start w:val="1"/>
      <w:numFmt w:val="decimal"/>
      <w:suff w:val="space"/>
      <w:lvlText w:val="%11.%2"/>
      <w:lvlJc w:val="left"/>
      <w:pPr>
        <w:ind w:left="0" w:firstLine="0"/>
      </w:pPr>
      <w:rPr>
        <w:rFonts w:hint="default"/>
      </w:rPr>
    </w:lvl>
    <w:lvl w:ilvl="2">
      <w:start w:val="1"/>
      <w:numFmt w:val="decimal"/>
      <w:suff w:val="space"/>
      <w:lvlText w:val="%1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70096B46"/>
    <w:multiLevelType w:val="hybridMultilevel"/>
    <w:tmpl w:val="6884EE54"/>
    <w:lvl w:ilvl="0" w:tplc="B18AACE0">
      <w:start w:val="1"/>
      <w:numFmt w:val="bullet"/>
      <w:lvlText w:val="•"/>
      <w:lvlJc w:val="left"/>
      <w:pPr>
        <w:tabs>
          <w:tab w:val="num" w:pos="720"/>
        </w:tabs>
        <w:ind w:left="720" w:hanging="360"/>
      </w:pPr>
      <w:rPr>
        <w:rFonts w:ascii="Arial" w:hAnsi="Arial" w:hint="default"/>
      </w:rPr>
    </w:lvl>
    <w:lvl w:ilvl="1" w:tplc="7EF88026" w:tentative="1">
      <w:start w:val="1"/>
      <w:numFmt w:val="bullet"/>
      <w:lvlText w:val="•"/>
      <w:lvlJc w:val="left"/>
      <w:pPr>
        <w:tabs>
          <w:tab w:val="num" w:pos="1440"/>
        </w:tabs>
        <w:ind w:left="1440" w:hanging="360"/>
      </w:pPr>
      <w:rPr>
        <w:rFonts w:ascii="Arial" w:hAnsi="Arial" w:hint="default"/>
      </w:rPr>
    </w:lvl>
    <w:lvl w:ilvl="2" w:tplc="C88E9EC8" w:tentative="1">
      <w:start w:val="1"/>
      <w:numFmt w:val="bullet"/>
      <w:lvlText w:val="•"/>
      <w:lvlJc w:val="left"/>
      <w:pPr>
        <w:tabs>
          <w:tab w:val="num" w:pos="2160"/>
        </w:tabs>
        <w:ind w:left="2160" w:hanging="360"/>
      </w:pPr>
      <w:rPr>
        <w:rFonts w:ascii="Arial" w:hAnsi="Arial" w:hint="default"/>
      </w:rPr>
    </w:lvl>
    <w:lvl w:ilvl="3" w:tplc="05F83BD6" w:tentative="1">
      <w:start w:val="1"/>
      <w:numFmt w:val="bullet"/>
      <w:lvlText w:val="•"/>
      <w:lvlJc w:val="left"/>
      <w:pPr>
        <w:tabs>
          <w:tab w:val="num" w:pos="2880"/>
        </w:tabs>
        <w:ind w:left="2880" w:hanging="360"/>
      </w:pPr>
      <w:rPr>
        <w:rFonts w:ascii="Arial" w:hAnsi="Arial" w:hint="default"/>
      </w:rPr>
    </w:lvl>
    <w:lvl w:ilvl="4" w:tplc="E4E4A9A2" w:tentative="1">
      <w:start w:val="1"/>
      <w:numFmt w:val="bullet"/>
      <w:lvlText w:val="•"/>
      <w:lvlJc w:val="left"/>
      <w:pPr>
        <w:tabs>
          <w:tab w:val="num" w:pos="3600"/>
        </w:tabs>
        <w:ind w:left="3600" w:hanging="360"/>
      </w:pPr>
      <w:rPr>
        <w:rFonts w:ascii="Arial" w:hAnsi="Arial" w:hint="default"/>
      </w:rPr>
    </w:lvl>
    <w:lvl w:ilvl="5" w:tplc="501EDF3E" w:tentative="1">
      <w:start w:val="1"/>
      <w:numFmt w:val="bullet"/>
      <w:lvlText w:val="•"/>
      <w:lvlJc w:val="left"/>
      <w:pPr>
        <w:tabs>
          <w:tab w:val="num" w:pos="4320"/>
        </w:tabs>
        <w:ind w:left="4320" w:hanging="360"/>
      </w:pPr>
      <w:rPr>
        <w:rFonts w:ascii="Arial" w:hAnsi="Arial" w:hint="default"/>
      </w:rPr>
    </w:lvl>
    <w:lvl w:ilvl="6" w:tplc="0AD6162E" w:tentative="1">
      <w:start w:val="1"/>
      <w:numFmt w:val="bullet"/>
      <w:lvlText w:val="•"/>
      <w:lvlJc w:val="left"/>
      <w:pPr>
        <w:tabs>
          <w:tab w:val="num" w:pos="5040"/>
        </w:tabs>
        <w:ind w:left="5040" w:hanging="360"/>
      </w:pPr>
      <w:rPr>
        <w:rFonts w:ascii="Arial" w:hAnsi="Arial" w:hint="default"/>
      </w:rPr>
    </w:lvl>
    <w:lvl w:ilvl="7" w:tplc="44249184" w:tentative="1">
      <w:start w:val="1"/>
      <w:numFmt w:val="bullet"/>
      <w:lvlText w:val="•"/>
      <w:lvlJc w:val="left"/>
      <w:pPr>
        <w:tabs>
          <w:tab w:val="num" w:pos="5760"/>
        </w:tabs>
        <w:ind w:left="5760" w:hanging="360"/>
      </w:pPr>
      <w:rPr>
        <w:rFonts w:ascii="Arial" w:hAnsi="Arial" w:hint="default"/>
      </w:rPr>
    </w:lvl>
    <w:lvl w:ilvl="8" w:tplc="DB0A99A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2"/>
  </w:num>
  <w:num w:numId="4">
    <w:abstractNumId w:val="6"/>
  </w:num>
  <w:num w:numId="5">
    <w:abstractNumId w:val="4"/>
  </w:num>
  <w:num w:numId="6">
    <w:abstractNumId w:val="8"/>
  </w:num>
  <w:num w:numId="7">
    <w:abstractNumId w:val="11"/>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7"/>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a9s0e0r0d9fnexra7pr5xdwd5ztevx95s2&quot;&gt;My EndNote Library-Converted&lt;record-ids&gt;&lt;item&gt;4&lt;/item&gt;&lt;item&gt;23&lt;/item&gt;&lt;item&gt;24&lt;/item&gt;&lt;item&gt;47&lt;/item&gt;&lt;item&gt;48&lt;/item&gt;&lt;item&gt;49&lt;/item&gt;&lt;item&gt;52&lt;/item&gt;&lt;item&gt;53&lt;/item&gt;&lt;item&gt;56&lt;/item&gt;&lt;item&gt;57&lt;/item&gt;&lt;item&gt;58&lt;/item&gt;&lt;item&gt;60&lt;/item&gt;&lt;item&gt;62&lt;/item&gt;&lt;item&gt;67&lt;/item&gt;&lt;item&gt;68&lt;/item&gt;&lt;item&gt;69&lt;/item&gt;&lt;item&gt;71&lt;/item&gt;&lt;item&gt;72&lt;/item&gt;&lt;item&gt;77&lt;/item&gt;&lt;item&gt;83&lt;/item&gt;&lt;item&gt;84&lt;/item&gt;&lt;item&gt;88&lt;/item&gt;&lt;item&gt;90&lt;/item&gt;&lt;item&gt;99&lt;/item&gt;&lt;item&gt;105&lt;/item&gt;&lt;item&gt;120&lt;/item&gt;&lt;item&gt;127&lt;/item&gt;&lt;item&gt;131&lt;/item&gt;&lt;item&gt;132&lt;/item&gt;&lt;item&gt;133&lt;/item&gt;&lt;item&gt;134&lt;/item&gt;&lt;item&gt;135&lt;/item&gt;&lt;item&gt;136&lt;/item&gt;&lt;item&gt;140&lt;/item&gt;&lt;item&gt;145&lt;/item&gt;&lt;item&gt;146&lt;/item&gt;&lt;item&gt;147&lt;/item&gt;&lt;item&gt;148&lt;/item&gt;&lt;item&gt;155&lt;/item&gt;&lt;item&gt;160&lt;/item&gt;&lt;item&gt;163&lt;/item&gt;&lt;item&gt;164&lt;/item&gt;&lt;item&gt;165&lt;/item&gt;&lt;item&gt;166&lt;/item&gt;&lt;item&gt;167&lt;/item&gt;&lt;item&gt;168&lt;/item&gt;&lt;item&gt;169&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9&lt;/item&gt;&lt;item&gt;190&lt;/item&gt;&lt;item&gt;191&lt;/item&gt;&lt;item&gt;194&lt;/item&gt;&lt;item&gt;195&lt;/item&gt;&lt;item&gt;196&lt;/item&gt;&lt;item&gt;198&lt;/item&gt;&lt;item&gt;199&lt;/item&gt;&lt;item&gt;200&lt;/item&gt;&lt;item&gt;201&lt;/item&gt;&lt;item&gt;202&lt;/item&gt;&lt;item&gt;203&lt;/item&gt;&lt;item&gt;204&lt;/item&gt;&lt;item&gt;205&lt;/item&gt;&lt;item&gt;207&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8&lt;/item&gt;&lt;item&gt;249&lt;/item&gt;&lt;item&gt;251&lt;/item&gt;&lt;item&gt;252&lt;/item&gt;&lt;item&gt;253&lt;/item&gt;&lt;item&gt;254&lt;/item&gt;&lt;item&gt;255&lt;/item&gt;&lt;item&gt;256&lt;/item&gt;&lt;item&gt;257&lt;/item&gt;&lt;item&gt;258&lt;/item&gt;&lt;item&gt;259&lt;/item&gt;&lt;item&gt;260&lt;/item&gt;&lt;item&gt;261&lt;/item&gt;&lt;item&gt;263&lt;/item&gt;&lt;item&gt;264&lt;/item&gt;&lt;item&gt;265&lt;/item&gt;&lt;item&gt;266&lt;/item&gt;&lt;item&gt;267&lt;/item&gt;&lt;item&gt;268&lt;/item&gt;&lt;item&gt;269&lt;/item&gt;&lt;item&gt;270&lt;/item&gt;&lt;item&gt;272&lt;/item&gt;&lt;item&gt;273&lt;/item&gt;&lt;item&gt;274&lt;/item&gt;&lt;item&gt;276&lt;/item&gt;&lt;item&gt;277&lt;/item&gt;&lt;item&gt;278&lt;/item&gt;&lt;item&gt;279&lt;/item&gt;&lt;item&gt;280&lt;/item&gt;&lt;item&gt;281&lt;/item&gt;&lt;item&gt;282&lt;/item&gt;&lt;item&gt;283&lt;/item&gt;&lt;item&gt;284&lt;/item&gt;&lt;item&gt;286&lt;/item&gt;&lt;item&gt;287&lt;/item&gt;&lt;item&gt;288&lt;/item&gt;&lt;item&gt;289&lt;/item&gt;&lt;item&gt;290&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7&lt;/item&gt;&lt;item&gt;328&lt;/item&gt;&lt;item&gt;329&lt;/item&gt;&lt;item&gt;330&lt;/item&gt;&lt;item&gt;331&lt;/item&gt;&lt;item&gt;332&lt;/item&gt;&lt;item&gt;333&lt;/item&gt;&lt;item&gt;335&lt;/item&gt;&lt;item&gt;336&lt;/item&gt;&lt;item&gt;337&lt;/item&gt;&lt;item&gt;338&lt;/item&gt;&lt;item&gt;339&lt;/item&gt;&lt;item&gt;340&lt;/item&gt;&lt;item&gt;341&lt;/item&gt;&lt;item&gt;342&lt;/item&gt;&lt;item&gt;343&lt;/item&gt;&lt;item&gt;344&lt;/item&gt;&lt;item&gt;345&lt;/item&gt;&lt;item&gt;346&lt;/item&gt;&lt;item&gt;348&lt;/item&gt;&lt;item&gt;350&lt;/item&gt;&lt;item&gt;351&lt;/item&gt;&lt;item&gt;353&lt;/item&gt;&lt;item&gt;354&lt;/item&gt;&lt;item&gt;355&lt;/item&gt;&lt;item&gt;356&lt;/item&gt;&lt;item&gt;357&lt;/item&gt;&lt;item&gt;358&lt;/item&gt;&lt;item&gt;360&lt;/item&gt;&lt;item&gt;361&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record-ids&gt;&lt;/item&gt;&lt;/Libraries&gt;"/>
  </w:docVars>
  <w:rsids>
    <w:rsidRoot w:val="003E14AA"/>
    <w:rsid w:val="0000010A"/>
    <w:rsid w:val="0000088D"/>
    <w:rsid w:val="000009E2"/>
    <w:rsid w:val="00000CA3"/>
    <w:rsid w:val="000013C3"/>
    <w:rsid w:val="00001C20"/>
    <w:rsid w:val="00001F30"/>
    <w:rsid w:val="000029B1"/>
    <w:rsid w:val="00002B31"/>
    <w:rsid w:val="000031E5"/>
    <w:rsid w:val="0000321D"/>
    <w:rsid w:val="00003B3E"/>
    <w:rsid w:val="00004335"/>
    <w:rsid w:val="00005286"/>
    <w:rsid w:val="000052DC"/>
    <w:rsid w:val="00005FDF"/>
    <w:rsid w:val="00006043"/>
    <w:rsid w:val="000060DC"/>
    <w:rsid w:val="00006524"/>
    <w:rsid w:val="00007965"/>
    <w:rsid w:val="00007ACF"/>
    <w:rsid w:val="00010848"/>
    <w:rsid w:val="00010B89"/>
    <w:rsid w:val="00010FA8"/>
    <w:rsid w:val="000112E4"/>
    <w:rsid w:val="00012947"/>
    <w:rsid w:val="00012BD3"/>
    <w:rsid w:val="000130E6"/>
    <w:rsid w:val="00013E62"/>
    <w:rsid w:val="00014234"/>
    <w:rsid w:val="00014ED0"/>
    <w:rsid w:val="00014F96"/>
    <w:rsid w:val="000155F0"/>
    <w:rsid w:val="000168C1"/>
    <w:rsid w:val="00017148"/>
    <w:rsid w:val="00017322"/>
    <w:rsid w:val="0001780D"/>
    <w:rsid w:val="00017DF3"/>
    <w:rsid w:val="00020461"/>
    <w:rsid w:val="000224AB"/>
    <w:rsid w:val="00022C4D"/>
    <w:rsid w:val="00023680"/>
    <w:rsid w:val="00023736"/>
    <w:rsid w:val="0002397F"/>
    <w:rsid w:val="00023B3A"/>
    <w:rsid w:val="00023C4D"/>
    <w:rsid w:val="000247EF"/>
    <w:rsid w:val="00025762"/>
    <w:rsid w:val="000259C5"/>
    <w:rsid w:val="00025B07"/>
    <w:rsid w:val="00026154"/>
    <w:rsid w:val="00026EDF"/>
    <w:rsid w:val="000271FE"/>
    <w:rsid w:val="00027210"/>
    <w:rsid w:val="00027230"/>
    <w:rsid w:val="00027721"/>
    <w:rsid w:val="00030837"/>
    <w:rsid w:val="00030E3A"/>
    <w:rsid w:val="0003109F"/>
    <w:rsid w:val="00032D91"/>
    <w:rsid w:val="00033168"/>
    <w:rsid w:val="000345B9"/>
    <w:rsid w:val="00034FDE"/>
    <w:rsid w:val="00035186"/>
    <w:rsid w:val="000352B3"/>
    <w:rsid w:val="000354FB"/>
    <w:rsid w:val="000355FC"/>
    <w:rsid w:val="00035922"/>
    <w:rsid w:val="00035C06"/>
    <w:rsid w:val="00035FFB"/>
    <w:rsid w:val="00036325"/>
    <w:rsid w:val="00036C49"/>
    <w:rsid w:val="00037779"/>
    <w:rsid w:val="00037A32"/>
    <w:rsid w:val="00037C27"/>
    <w:rsid w:val="00040048"/>
    <w:rsid w:val="00041607"/>
    <w:rsid w:val="00042447"/>
    <w:rsid w:val="00043142"/>
    <w:rsid w:val="00043B79"/>
    <w:rsid w:val="00043C4F"/>
    <w:rsid w:val="00043CCA"/>
    <w:rsid w:val="00043CFD"/>
    <w:rsid w:val="000441B5"/>
    <w:rsid w:val="00044C2B"/>
    <w:rsid w:val="00045129"/>
    <w:rsid w:val="00045FCE"/>
    <w:rsid w:val="00046684"/>
    <w:rsid w:val="00046747"/>
    <w:rsid w:val="00047DA9"/>
    <w:rsid w:val="00047F0C"/>
    <w:rsid w:val="000501E7"/>
    <w:rsid w:val="00050654"/>
    <w:rsid w:val="00050962"/>
    <w:rsid w:val="0005151E"/>
    <w:rsid w:val="000516C5"/>
    <w:rsid w:val="00051A21"/>
    <w:rsid w:val="00051C33"/>
    <w:rsid w:val="000520B8"/>
    <w:rsid w:val="00053802"/>
    <w:rsid w:val="00053DCB"/>
    <w:rsid w:val="00053FA1"/>
    <w:rsid w:val="00054569"/>
    <w:rsid w:val="0005474E"/>
    <w:rsid w:val="0005482E"/>
    <w:rsid w:val="000553C6"/>
    <w:rsid w:val="00055E17"/>
    <w:rsid w:val="00055F06"/>
    <w:rsid w:val="00057858"/>
    <w:rsid w:val="000578BA"/>
    <w:rsid w:val="00057A67"/>
    <w:rsid w:val="00060581"/>
    <w:rsid w:val="00060F89"/>
    <w:rsid w:val="0006157E"/>
    <w:rsid w:val="00061C90"/>
    <w:rsid w:val="00061ED4"/>
    <w:rsid w:val="000624C2"/>
    <w:rsid w:val="00062754"/>
    <w:rsid w:val="00062A40"/>
    <w:rsid w:val="00062B13"/>
    <w:rsid w:val="00062CF7"/>
    <w:rsid w:val="00063644"/>
    <w:rsid w:val="00063EF2"/>
    <w:rsid w:val="00063F8E"/>
    <w:rsid w:val="0006400F"/>
    <w:rsid w:val="000644C2"/>
    <w:rsid w:val="00064BDA"/>
    <w:rsid w:val="00064C14"/>
    <w:rsid w:val="00065FF4"/>
    <w:rsid w:val="00066012"/>
    <w:rsid w:val="00066B75"/>
    <w:rsid w:val="00066C9C"/>
    <w:rsid w:val="0006719D"/>
    <w:rsid w:val="00067CCB"/>
    <w:rsid w:val="0007164E"/>
    <w:rsid w:val="00071776"/>
    <w:rsid w:val="00072144"/>
    <w:rsid w:val="000722B8"/>
    <w:rsid w:val="0007265E"/>
    <w:rsid w:val="0007291D"/>
    <w:rsid w:val="00072A5A"/>
    <w:rsid w:val="000737C8"/>
    <w:rsid w:val="00073DF0"/>
    <w:rsid w:val="0007470F"/>
    <w:rsid w:val="00074EBF"/>
    <w:rsid w:val="00074FA6"/>
    <w:rsid w:val="00075571"/>
    <w:rsid w:val="00075A75"/>
    <w:rsid w:val="00076334"/>
    <w:rsid w:val="00076432"/>
    <w:rsid w:val="00076586"/>
    <w:rsid w:val="000769A6"/>
    <w:rsid w:val="00076DED"/>
    <w:rsid w:val="00077ECB"/>
    <w:rsid w:val="00080396"/>
    <w:rsid w:val="00080902"/>
    <w:rsid w:val="00080921"/>
    <w:rsid w:val="0008115B"/>
    <w:rsid w:val="00081500"/>
    <w:rsid w:val="0008179D"/>
    <w:rsid w:val="00081CDE"/>
    <w:rsid w:val="00081EBB"/>
    <w:rsid w:val="00082AB0"/>
    <w:rsid w:val="00083A25"/>
    <w:rsid w:val="00083F9A"/>
    <w:rsid w:val="00084285"/>
    <w:rsid w:val="00084325"/>
    <w:rsid w:val="0008458E"/>
    <w:rsid w:val="000846ED"/>
    <w:rsid w:val="0008472F"/>
    <w:rsid w:val="00085A1F"/>
    <w:rsid w:val="0008629F"/>
    <w:rsid w:val="00086400"/>
    <w:rsid w:val="0008684D"/>
    <w:rsid w:val="00086DA8"/>
    <w:rsid w:val="0008703D"/>
    <w:rsid w:val="00087AC9"/>
    <w:rsid w:val="00087E1C"/>
    <w:rsid w:val="000900BD"/>
    <w:rsid w:val="00090922"/>
    <w:rsid w:val="00090B8F"/>
    <w:rsid w:val="00091165"/>
    <w:rsid w:val="0009158F"/>
    <w:rsid w:val="0009201F"/>
    <w:rsid w:val="000921DB"/>
    <w:rsid w:val="00092206"/>
    <w:rsid w:val="00092805"/>
    <w:rsid w:val="00092F09"/>
    <w:rsid w:val="00093360"/>
    <w:rsid w:val="000933E9"/>
    <w:rsid w:val="000936A4"/>
    <w:rsid w:val="00093B27"/>
    <w:rsid w:val="00093CF8"/>
    <w:rsid w:val="00093F74"/>
    <w:rsid w:val="00094AEE"/>
    <w:rsid w:val="000954D1"/>
    <w:rsid w:val="00095BAB"/>
    <w:rsid w:val="00096117"/>
    <w:rsid w:val="00096BB8"/>
    <w:rsid w:val="00096CB6"/>
    <w:rsid w:val="0009713F"/>
    <w:rsid w:val="000A0491"/>
    <w:rsid w:val="000A0617"/>
    <w:rsid w:val="000A0B3C"/>
    <w:rsid w:val="000A137A"/>
    <w:rsid w:val="000A17BA"/>
    <w:rsid w:val="000A2836"/>
    <w:rsid w:val="000A2B65"/>
    <w:rsid w:val="000A2C9F"/>
    <w:rsid w:val="000A3440"/>
    <w:rsid w:val="000A3727"/>
    <w:rsid w:val="000A3D14"/>
    <w:rsid w:val="000A4758"/>
    <w:rsid w:val="000A4791"/>
    <w:rsid w:val="000A48EB"/>
    <w:rsid w:val="000A50B2"/>
    <w:rsid w:val="000A53AF"/>
    <w:rsid w:val="000A560F"/>
    <w:rsid w:val="000A616B"/>
    <w:rsid w:val="000A63F5"/>
    <w:rsid w:val="000A69CE"/>
    <w:rsid w:val="000A6EE9"/>
    <w:rsid w:val="000A75D0"/>
    <w:rsid w:val="000A7A49"/>
    <w:rsid w:val="000A7BD2"/>
    <w:rsid w:val="000A7E40"/>
    <w:rsid w:val="000B015D"/>
    <w:rsid w:val="000B0FBD"/>
    <w:rsid w:val="000B1690"/>
    <w:rsid w:val="000B1D3A"/>
    <w:rsid w:val="000B20A2"/>
    <w:rsid w:val="000B21A2"/>
    <w:rsid w:val="000B2282"/>
    <w:rsid w:val="000B347A"/>
    <w:rsid w:val="000B34BB"/>
    <w:rsid w:val="000B35AB"/>
    <w:rsid w:val="000B3833"/>
    <w:rsid w:val="000B3DBB"/>
    <w:rsid w:val="000B450C"/>
    <w:rsid w:val="000B5482"/>
    <w:rsid w:val="000B62E6"/>
    <w:rsid w:val="000B63CC"/>
    <w:rsid w:val="000C055A"/>
    <w:rsid w:val="000C0FE5"/>
    <w:rsid w:val="000C10FE"/>
    <w:rsid w:val="000C2010"/>
    <w:rsid w:val="000C2C54"/>
    <w:rsid w:val="000C2EC3"/>
    <w:rsid w:val="000C4835"/>
    <w:rsid w:val="000C4BC2"/>
    <w:rsid w:val="000C5298"/>
    <w:rsid w:val="000C5B35"/>
    <w:rsid w:val="000C601F"/>
    <w:rsid w:val="000C6915"/>
    <w:rsid w:val="000C7360"/>
    <w:rsid w:val="000C7B1F"/>
    <w:rsid w:val="000D0CA5"/>
    <w:rsid w:val="000D0DC6"/>
    <w:rsid w:val="000D13B5"/>
    <w:rsid w:val="000D160D"/>
    <w:rsid w:val="000D1A6C"/>
    <w:rsid w:val="000D1EDD"/>
    <w:rsid w:val="000D1F66"/>
    <w:rsid w:val="000D2082"/>
    <w:rsid w:val="000D20A8"/>
    <w:rsid w:val="000D33EC"/>
    <w:rsid w:val="000D4574"/>
    <w:rsid w:val="000D4CBC"/>
    <w:rsid w:val="000D4D3B"/>
    <w:rsid w:val="000D5A96"/>
    <w:rsid w:val="000D5CD2"/>
    <w:rsid w:val="000D5E6D"/>
    <w:rsid w:val="000D5F82"/>
    <w:rsid w:val="000D6230"/>
    <w:rsid w:val="000D6AD7"/>
    <w:rsid w:val="000D6E7B"/>
    <w:rsid w:val="000D746D"/>
    <w:rsid w:val="000D7751"/>
    <w:rsid w:val="000D7881"/>
    <w:rsid w:val="000E0152"/>
    <w:rsid w:val="000E07F1"/>
    <w:rsid w:val="000E16BC"/>
    <w:rsid w:val="000E18C5"/>
    <w:rsid w:val="000E1C3F"/>
    <w:rsid w:val="000E1D98"/>
    <w:rsid w:val="000E1EE7"/>
    <w:rsid w:val="000E3944"/>
    <w:rsid w:val="000E442F"/>
    <w:rsid w:val="000E4440"/>
    <w:rsid w:val="000E46F3"/>
    <w:rsid w:val="000E4910"/>
    <w:rsid w:val="000E5F0C"/>
    <w:rsid w:val="000E607A"/>
    <w:rsid w:val="000E64D0"/>
    <w:rsid w:val="000E6678"/>
    <w:rsid w:val="000E6C94"/>
    <w:rsid w:val="000E6FE1"/>
    <w:rsid w:val="000E7CCB"/>
    <w:rsid w:val="000E7EA9"/>
    <w:rsid w:val="000F0819"/>
    <w:rsid w:val="000F0F06"/>
    <w:rsid w:val="000F12DE"/>
    <w:rsid w:val="000F1E6B"/>
    <w:rsid w:val="000F1EDD"/>
    <w:rsid w:val="000F20C1"/>
    <w:rsid w:val="000F23F4"/>
    <w:rsid w:val="000F29B2"/>
    <w:rsid w:val="000F2F73"/>
    <w:rsid w:val="000F2F96"/>
    <w:rsid w:val="000F34CA"/>
    <w:rsid w:val="000F3C0F"/>
    <w:rsid w:val="000F47EB"/>
    <w:rsid w:val="000F4B49"/>
    <w:rsid w:val="000F4F55"/>
    <w:rsid w:val="000F50BE"/>
    <w:rsid w:val="000F5788"/>
    <w:rsid w:val="000F5CD3"/>
    <w:rsid w:val="000F6140"/>
    <w:rsid w:val="000F6CFD"/>
    <w:rsid w:val="000F7527"/>
    <w:rsid w:val="000F7E5D"/>
    <w:rsid w:val="001001A0"/>
    <w:rsid w:val="0010073B"/>
    <w:rsid w:val="00101033"/>
    <w:rsid w:val="00101677"/>
    <w:rsid w:val="00101D91"/>
    <w:rsid w:val="001025C2"/>
    <w:rsid w:val="001032E7"/>
    <w:rsid w:val="00103314"/>
    <w:rsid w:val="00104C30"/>
    <w:rsid w:val="00104C4D"/>
    <w:rsid w:val="00105BCB"/>
    <w:rsid w:val="00106060"/>
    <w:rsid w:val="00106DD8"/>
    <w:rsid w:val="00107829"/>
    <w:rsid w:val="0011045A"/>
    <w:rsid w:val="0011058F"/>
    <w:rsid w:val="001110BA"/>
    <w:rsid w:val="001110F9"/>
    <w:rsid w:val="00111AB9"/>
    <w:rsid w:val="00111B0D"/>
    <w:rsid w:val="00111B78"/>
    <w:rsid w:val="00111FB4"/>
    <w:rsid w:val="001127D3"/>
    <w:rsid w:val="00112877"/>
    <w:rsid w:val="00112EA6"/>
    <w:rsid w:val="00112ED9"/>
    <w:rsid w:val="0011449F"/>
    <w:rsid w:val="00114F27"/>
    <w:rsid w:val="00115D9F"/>
    <w:rsid w:val="00115E99"/>
    <w:rsid w:val="0011686F"/>
    <w:rsid w:val="001177CB"/>
    <w:rsid w:val="00117FFD"/>
    <w:rsid w:val="001204A7"/>
    <w:rsid w:val="001206BE"/>
    <w:rsid w:val="00120A78"/>
    <w:rsid w:val="00120ECB"/>
    <w:rsid w:val="0012114F"/>
    <w:rsid w:val="00121D15"/>
    <w:rsid w:val="001221A4"/>
    <w:rsid w:val="001226C9"/>
    <w:rsid w:val="00122E4C"/>
    <w:rsid w:val="001231D9"/>
    <w:rsid w:val="00123212"/>
    <w:rsid w:val="001232F4"/>
    <w:rsid w:val="0012356B"/>
    <w:rsid w:val="00123B69"/>
    <w:rsid w:val="00123ED4"/>
    <w:rsid w:val="001252C7"/>
    <w:rsid w:val="001253D7"/>
    <w:rsid w:val="00125B67"/>
    <w:rsid w:val="0012614A"/>
    <w:rsid w:val="00126438"/>
    <w:rsid w:val="001271C2"/>
    <w:rsid w:val="00127986"/>
    <w:rsid w:val="00127CB3"/>
    <w:rsid w:val="00130100"/>
    <w:rsid w:val="001306D6"/>
    <w:rsid w:val="00130726"/>
    <w:rsid w:val="00130B0A"/>
    <w:rsid w:val="00130FB4"/>
    <w:rsid w:val="00131A12"/>
    <w:rsid w:val="00131D03"/>
    <w:rsid w:val="00131D28"/>
    <w:rsid w:val="00131D54"/>
    <w:rsid w:val="00131FE2"/>
    <w:rsid w:val="0013220D"/>
    <w:rsid w:val="00133545"/>
    <w:rsid w:val="00133940"/>
    <w:rsid w:val="00133AFB"/>
    <w:rsid w:val="00134309"/>
    <w:rsid w:val="00134EEF"/>
    <w:rsid w:val="00134FC0"/>
    <w:rsid w:val="00135078"/>
    <w:rsid w:val="001350B9"/>
    <w:rsid w:val="001353AD"/>
    <w:rsid w:val="001354DF"/>
    <w:rsid w:val="00135FAE"/>
    <w:rsid w:val="0013757C"/>
    <w:rsid w:val="001404A8"/>
    <w:rsid w:val="00140706"/>
    <w:rsid w:val="00140C5A"/>
    <w:rsid w:val="00141081"/>
    <w:rsid w:val="0014143F"/>
    <w:rsid w:val="001416A0"/>
    <w:rsid w:val="00141926"/>
    <w:rsid w:val="001419DF"/>
    <w:rsid w:val="00141A32"/>
    <w:rsid w:val="00142324"/>
    <w:rsid w:val="0014232F"/>
    <w:rsid w:val="001425C8"/>
    <w:rsid w:val="0014362F"/>
    <w:rsid w:val="0014391C"/>
    <w:rsid w:val="00143CC7"/>
    <w:rsid w:val="00144897"/>
    <w:rsid w:val="0014549D"/>
    <w:rsid w:val="001454B7"/>
    <w:rsid w:val="00145FBD"/>
    <w:rsid w:val="0014629D"/>
    <w:rsid w:val="00146E7A"/>
    <w:rsid w:val="0014737C"/>
    <w:rsid w:val="0014762F"/>
    <w:rsid w:val="00147966"/>
    <w:rsid w:val="00147B62"/>
    <w:rsid w:val="00147BC5"/>
    <w:rsid w:val="00150C37"/>
    <w:rsid w:val="00150E8D"/>
    <w:rsid w:val="00150F30"/>
    <w:rsid w:val="0015157E"/>
    <w:rsid w:val="00151741"/>
    <w:rsid w:val="001518FE"/>
    <w:rsid w:val="00151A92"/>
    <w:rsid w:val="00151DC6"/>
    <w:rsid w:val="00151FF9"/>
    <w:rsid w:val="001521D7"/>
    <w:rsid w:val="00152270"/>
    <w:rsid w:val="001527FC"/>
    <w:rsid w:val="00152FED"/>
    <w:rsid w:val="001536F2"/>
    <w:rsid w:val="00155092"/>
    <w:rsid w:val="00155116"/>
    <w:rsid w:val="001556E7"/>
    <w:rsid w:val="00155756"/>
    <w:rsid w:val="001559C6"/>
    <w:rsid w:val="00155ADF"/>
    <w:rsid w:val="0015671F"/>
    <w:rsid w:val="0015786A"/>
    <w:rsid w:val="00157C93"/>
    <w:rsid w:val="00161358"/>
    <w:rsid w:val="001620B2"/>
    <w:rsid w:val="00162AB3"/>
    <w:rsid w:val="00162DE3"/>
    <w:rsid w:val="001636A8"/>
    <w:rsid w:val="00164488"/>
    <w:rsid w:val="0016482F"/>
    <w:rsid w:val="00164CF1"/>
    <w:rsid w:val="001652A8"/>
    <w:rsid w:val="001662A3"/>
    <w:rsid w:val="00167363"/>
    <w:rsid w:val="001674C6"/>
    <w:rsid w:val="00167874"/>
    <w:rsid w:val="00167A3F"/>
    <w:rsid w:val="00167B07"/>
    <w:rsid w:val="0017068D"/>
    <w:rsid w:val="00170CD4"/>
    <w:rsid w:val="00170D6D"/>
    <w:rsid w:val="00170EE6"/>
    <w:rsid w:val="00171582"/>
    <w:rsid w:val="00171BDD"/>
    <w:rsid w:val="00171DB0"/>
    <w:rsid w:val="0017252D"/>
    <w:rsid w:val="001727E9"/>
    <w:rsid w:val="00172CB1"/>
    <w:rsid w:val="00173346"/>
    <w:rsid w:val="0017370E"/>
    <w:rsid w:val="001737E9"/>
    <w:rsid w:val="00173987"/>
    <w:rsid w:val="00173EDF"/>
    <w:rsid w:val="00175AD1"/>
    <w:rsid w:val="00175B1E"/>
    <w:rsid w:val="001760BD"/>
    <w:rsid w:val="00177CB3"/>
    <w:rsid w:val="0018022B"/>
    <w:rsid w:val="001811E0"/>
    <w:rsid w:val="00181228"/>
    <w:rsid w:val="00181EF3"/>
    <w:rsid w:val="00181FF3"/>
    <w:rsid w:val="00182075"/>
    <w:rsid w:val="001821FB"/>
    <w:rsid w:val="00183010"/>
    <w:rsid w:val="001833BC"/>
    <w:rsid w:val="0018374D"/>
    <w:rsid w:val="00183923"/>
    <w:rsid w:val="00183F6C"/>
    <w:rsid w:val="001841B9"/>
    <w:rsid w:val="00184F0A"/>
    <w:rsid w:val="0018602B"/>
    <w:rsid w:val="001862A4"/>
    <w:rsid w:val="001864F6"/>
    <w:rsid w:val="00186665"/>
    <w:rsid w:val="00186938"/>
    <w:rsid w:val="00186E27"/>
    <w:rsid w:val="00187037"/>
    <w:rsid w:val="001876BB"/>
    <w:rsid w:val="0018774F"/>
    <w:rsid w:val="0019008C"/>
    <w:rsid w:val="001900E9"/>
    <w:rsid w:val="0019023B"/>
    <w:rsid w:val="0019041A"/>
    <w:rsid w:val="001904FA"/>
    <w:rsid w:val="001906DB"/>
    <w:rsid w:val="00190733"/>
    <w:rsid w:val="0019088B"/>
    <w:rsid w:val="00190DFB"/>
    <w:rsid w:val="00191A92"/>
    <w:rsid w:val="00191BCB"/>
    <w:rsid w:val="00192180"/>
    <w:rsid w:val="0019240D"/>
    <w:rsid w:val="00192D7D"/>
    <w:rsid w:val="0019353E"/>
    <w:rsid w:val="001938C7"/>
    <w:rsid w:val="00193A88"/>
    <w:rsid w:val="00194510"/>
    <w:rsid w:val="00194589"/>
    <w:rsid w:val="00194935"/>
    <w:rsid w:val="00194AE7"/>
    <w:rsid w:val="00195DED"/>
    <w:rsid w:val="001969F0"/>
    <w:rsid w:val="001976F5"/>
    <w:rsid w:val="00197EBD"/>
    <w:rsid w:val="001A0C5A"/>
    <w:rsid w:val="001A167E"/>
    <w:rsid w:val="001A1E53"/>
    <w:rsid w:val="001A24E5"/>
    <w:rsid w:val="001A2EDC"/>
    <w:rsid w:val="001A406F"/>
    <w:rsid w:val="001A4A70"/>
    <w:rsid w:val="001A5410"/>
    <w:rsid w:val="001A58DA"/>
    <w:rsid w:val="001A5BF9"/>
    <w:rsid w:val="001A5F84"/>
    <w:rsid w:val="001A7617"/>
    <w:rsid w:val="001B072F"/>
    <w:rsid w:val="001B0870"/>
    <w:rsid w:val="001B0880"/>
    <w:rsid w:val="001B0C62"/>
    <w:rsid w:val="001B1095"/>
    <w:rsid w:val="001B1128"/>
    <w:rsid w:val="001B2312"/>
    <w:rsid w:val="001B2D67"/>
    <w:rsid w:val="001B2F94"/>
    <w:rsid w:val="001B2FB3"/>
    <w:rsid w:val="001B32B1"/>
    <w:rsid w:val="001B33A0"/>
    <w:rsid w:val="001B4086"/>
    <w:rsid w:val="001B40D6"/>
    <w:rsid w:val="001B4DA6"/>
    <w:rsid w:val="001B4F2C"/>
    <w:rsid w:val="001B5476"/>
    <w:rsid w:val="001B5B3B"/>
    <w:rsid w:val="001B65E9"/>
    <w:rsid w:val="001B6625"/>
    <w:rsid w:val="001B77BA"/>
    <w:rsid w:val="001B79C1"/>
    <w:rsid w:val="001C0018"/>
    <w:rsid w:val="001C0045"/>
    <w:rsid w:val="001C11F5"/>
    <w:rsid w:val="001C1427"/>
    <w:rsid w:val="001C1906"/>
    <w:rsid w:val="001C1E0A"/>
    <w:rsid w:val="001C277E"/>
    <w:rsid w:val="001C2D4A"/>
    <w:rsid w:val="001C2D96"/>
    <w:rsid w:val="001C2E41"/>
    <w:rsid w:val="001C3494"/>
    <w:rsid w:val="001C3AD6"/>
    <w:rsid w:val="001C3F2F"/>
    <w:rsid w:val="001C4165"/>
    <w:rsid w:val="001C4BD1"/>
    <w:rsid w:val="001C4BD8"/>
    <w:rsid w:val="001C4C84"/>
    <w:rsid w:val="001C6764"/>
    <w:rsid w:val="001C7F5A"/>
    <w:rsid w:val="001D096D"/>
    <w:rsid w:val="001D0D58"/>
    <w:rsid w:val="001D0E9F"/>
    <w:rsid w:val="001D11B2"/>
    <w:rsid w:val="001D1B4C"/>
    <w:rsid w:val="001D21CD"/>
    <w:rsid w:val="001D2622"/>
    <w:rsid w:val="001D339F"/>
    <w:rsid w:val="001D3645"/>
    <w:rsid w:val="001D37FD"/>
    <w:rsid w:val="001D4086"/>
    <w:rsid w:val="001D411A"/>
    <w:rsid w:val="001D4927"/>
    <w:rsid w:val="001D5A7A"/>
    <w:rsid w:val="001D5CAF"/>
    <w:rsid w:val="001D5E2D"/>
    <w:rsid w:val="001D5F65"/>
    <w:rsid w:val="001D6FB5"/>
    <w:rsid w:val="001D7021"/>
    <w:rsid w:val="001D7943"/>
    <w:rsid w:val="001D7DBD"/>
    <w:rsid w:val="001E0095"/>
    <w:rsid w:val="001E0879"/>
    <w:rsid w:val="001E11C6"/>
    <w:rsid w:val="001E11E0"/>
    <w:rsid w:val="001E1341"/>
    <w:rsid w:val="001E1628"/>
    <w:rsid w:val="001E2114"/>
    <w:rsid w:val="001E22F3"/>
    <w:rsid w:val="001E24CA"/>
    <w:rsid w:val="001E28BE"/>
    <w:rsid w:val="001E2B3E"/>
    <w:rsid w:val="001E2C61"/>
    <w:rsid w:val="001E2CC3"/>
    <w:rsid w:val="001E2CD9"/>
    <w:rsid w:val="001E2E45"/>
    <w:rsid w:val="001E36B7"/>
    <w:rsid w:val="001E3911"/>
    <w:rsid w:val="001E3A60"/>
    <w:rsid w:val="001E3A72"/>
    <w:rsid w:val="001E3CF3"/>
    <w:rsid w:val="001E3EB9"/>
    <w:rsid w:val="001E420E"/>
    <w:rsid w:val="001E44B7"/>
    <w:rsid w:val="001E466D"/>
    <w:rsid w:val="001E46B8"/>
    <w:rsid w:val="001E4B5A"/>
    <w:rsid w:val="001E4B81"/>
    <w:rsid w:val="001E4E49"/>
    <w:rsid w:val="001E4EA3"/>
    <w:rsid w:val="001E5185"/>
    <w:rsid w:val="001E51F1"/>
    <w:rsid w:val="001E54A5"/>
    <w:rsid w:val="001E6E1E"/>
    <w:rsid w:val="001E792B"/>
    <w:rsid w:val="001E7B65"/>
    <w:rsid w:val="001F0E66"/>
    <w:rsid w:val="001F0F31"/>
    <w:rsid w:val="001F1416"/>
    <w:rsid w:val="001F16CF"/>
    <w:rsid w:val="001F16DF"/>
    <w:rsid w:val="001F2055"/>
    <w:rsid w:val="001F24C0"/>
    <w:rsid w:val="001F2683"/>
    <w:rsid w:val="001F2739"/>
    <w:rsid w:val="001F2B24"/>
    <w:rsid w:val="001F2B9B"/>
    <w:rsid w:val="001F34DF"/>
    <w:rsid w:val="001F375E"/>
    <w:rsid w:val="001F3786"/>
    <w:rsid w:val="001F37F0"/>
    <w:rsid w:val="001F3C41"/>
    <w:rsid w:val="001F3D0C"/>
    <w:rsid w:val="001F3E2A"/>
    <w:rsid w:val="001F4855"/>
    <w:rsid w:val="001F49AE"/>
    <w:rsid w:val="001F4FAF"/>
    <w:rsid w:val="001F59E6"/>
    <w:rsid w:val="001F5C16"/>
    <w:rsid w:val="001F6621"/>
    <w:rsid w:val="001F66C1"/>
    <w:rsid w:val="001F6E2A"/>
    <w:rsid w:val="001F6EAB"/>
    <w:rsid w:val="001F7A91"/>
    <w:rsid w:val="001F7F5C"/>
    <w:rsid w:val="0020027B"/>
    <w:rsid w:val="00200931"/>
    <w:rsid w:val="00200E60"/>
    <w:rsid w:val="00200F3B"/>
    <w:rsid w:val="002012FC"/>
    <w:rsid w:val="002016A5"/>
    <w:rsid w:val="0020185F"/>
    <w:rsid w:val="00201F1F"/>
    <w:rsid w:val="00202D65"/>
    <w:rsid w:val="002036F7"/>
    <w:rsid w:val="00205077"/>
    <w:rsid w:val="00205128"/>
    <w:rsid w:val="00205183"/>
    <w:rsid w:val="002051F8"/>
    <w:rsid w:val="00205991"/>
    <w:rsid w:val="00206499"/>
    <w:rsid w:val="002066F3"/>
    <w:rsid w:val="002073FF"/>
    <w:rsid w:val="00207651"/>
    <w:rsid w:val="002077B8"/>
    <w:rsid w:val="002103BD"/>
    <w:rsid w:val="002106DF"/>
    <w:rsid w:val="002108F7"/>
    <w:rsid w:val="00210CF7"/>
    <w:rsid w:val="00211CCB"/>
    <w:rsid w:val="002120FF"/>
    <w:rsid w:val="00212652"/>
    <w:rsid w:val="002129C0"/>
    <w:rsid w:val="00212E23"/>
    <w:rsid w:val="00212E3D"/>
    <w:rsid w:val="00212E54"/>
    <w:rsid w:val="00212EDE"/>
    <w:rsid w:val="00213908"/>
    <w:rsid w:val="00213C45"/>
    <w:rsid w:val="002153DE"/>
    <w:rsid w:val="002156F8"/>
    <w:rsid w:val="002157B7"/>
    <w:rsid w:val="00215AD4"/>
    <w:rsid w:val="00215C1B"/>
    <w:rsid w:val="00216878"/>
    <w:rsid w:val="0021688B"/>
    <w:rsid w:val="002172F8"/>
    <w:rsid w:val="002173B2"/>
    <w:rsid w:val="002178CF"/>
    <w:rsid w:val="00220064"/>
    <w:rsid w:val="00220561"/>
    <w:rsid w:val="00220856"/>
    <w:rsid w:val="00220C84"/>
    <w:rsid w:val="00220C87"/>
    <w:rsid w:val="00220E1F"/>
    <w:rsid w:val="0022132E"/>
    <w:rsid w:val="00221BA5"/>
    <w:rsid w:val="00221F26"/>
    <w:rsid w:val="002227E6"/>
    <w:rsid w:val="00223065"/>
    <w:rsid w:val="00223779"/>
    <w:rsid w:val="00223B9C"/>
    <w:rsid w:val="00223BF4"/>
    <w:rsid w:val="00224257"/>
    <w:rsid w:val="002248CF"/>
    <w:rsid w:val="00224AE1"/>
    <w:rsid w:val="00224B87"/>
    <w:rsid w:val="00224FE9"/>
    <w:rsid w:val="0022654F"/>
    <w:rsid w:val="0022784E"/>
    <w:rsid w:val="00227961"/>
    <w:rsid w:val="0023067A"/>
    <w:rsid w:val="002307B1"/>
    <w:rsid w:val="00231109"/>
    <w:rsid w:val="0023194E"/>
    <w:rsid w:val="00231C67"/>
    <w:rsid w:val="00232123"/>
    <w:rsid w:val="00232483"/>
    <w:rsid w:val="002326BE"/>
    <w:rsid w:val="00232C64"/>
    <w:rsid w:val="00232F85"/>
    <w:rsid w:val="0023313E"/>
    <w:rsid w:val="002338D2"/>
    <w:rsid w:val="00233C8C"/>
    <w:rsid w:val="002343B7"/>
    <w:rsid w:val="002345D6"/>
    <w:rsid w:val="00234A30"/>
    <w:rsid w:val="00235DD7"/>
    <w:rsid w:val="00236F1B"/>
    <w:rsid w:val="00237611"/>
    <w:rsid w:val="00240ABB"/>
    <w:rsid w:val="00240C3F"/>
    <w:rsid w:val="002410F3"/>
    <w:rsid w:val="0024196D"/>
    <w:rsid w:val="0024196F"/>
    <w:rsid w:val="00241E92"/>
    <w:rsid w:val="00242895"/>
    <w:rsid w:val="00242BF4"/>
    <w:rsid w:val="00242E65"/>
    <w:rsid w:val="00243488"/>
    <w:rsid w:val="002436DB"/>
    <w:rsid w:val="002438D6"/>
    <w:rsid w:val="00243905"/>
    <w:rsid w:val="00243F9C"/>
    <w:rsid w:val="0024430E"/>
    <w:rsid w:val="002446EF"/>
    <w:rsid w:val="002447D1"/>
    <w:rsid w:val="002452B7"/>
    <w:rsid w:val="00245677"/>
    <w:rsid w:val="00245729"/>
    <w:rsid w:val="00245AB0"/>
    <w:rsid w:val="00245EAF"/>
    <w:rsid w:val="00245EEA"/>
    <w:rsid w:val="002460B9"/>
    <w:rsid w:val="002467C5"/>
    <w:rsid w:val="00246907"/>
    <w:rsid w:val="00246B2E"/>
    <w:rsid w:val="00246D82"/>
    <w:rsid w:val="0024779D"/>
    <w:rsid w:val="0024794D"/>
    <w:rsid w:val="00247D7C"/>
    <w:rsid w:val="00247F1A"/>
    <w:rsid w:val="00251449"/>
    <w:rsid w:val="00251B7F"/>
    <w:rsid w:val="00252FB3"/>
    <w:rsid w:val="00253075"/>
    <w:rsid w:val="00253216"/>
    <w:rsid w:val="002536BA"/>
    <w:rsid w:val="00253AA1"/>
    <w:rsid w:val="00253AC1"/>
    <w:rsid w:val="00253B18"/>
    <w:rsid w:val="002546E6"/>
    <w:rsid w:val="00255314"/>
    <w:rsid w:val="002555EA"/>
    <w:rsid w:val="0025564F"/>
    <w:rsid w:val="0025692F"/>
    <w:rsid w:val="00256BF8"/>
    <w:rsid w:val="00257559"/>
    <w:rsid w:val="00257D4A"/>
    <w:rsid w:val="00257EDA"/>
    <w:rsid w:val="002603E5"/>
    <w:rsid w:val="0026104F"/>
    <w:rsid w:val="002613CB"/>
    <w:rsid w:val="00261652"/>
    <w:rsid w:val="00261A85"/>
    <w:rsid w:val="00261B11"/>
    <w:rsid w:val="00261E53"/>
    <w:rsid w:val="002625EA"/>
    <w:rsid w:val="002633D4"/>
    <w:rsid w:val="00263C07"/>
    <w:rsid w:val="00264BAB"/>
    <w:rsid w:val="002650DD"/>
    <w:rsid w:val="00265D01"/>
    <w:rsid w:val="00265D6A"/>
    <w:rsid w:val="002663FF"/>
    <w:rsid w:val="00266760"/>
    <w:rsid w:val="002669B7"/>
    <w:rsid w:val="002674ED"/>
    <w:rsid w:val="0026764A"/>
    <w:rsid w:val="00267650"/>
    <w:rsid w:val="00267679"/>
    <w:rsid w:val="00267C7B"/>
    <w:rsid w:val="002702AA"/>
    <w:rsid w:val="0027031D"/>
    <w:rsid w:val="0027086D"/>
    <w:rsid w:val="00270D52"/>
    <w:rsid w:val="00271480"/>
    <w:rsid w:val="00271911"/>
    <w:rsid w:val="00271FEF"/>
    <w:rsid w:val="0027208D"/>
    <w:rsid w:val="00272B4C"/>
    <w:rsid w:val="00272BFB"/>
    <w:rsid w:val="002735FB"/>
    <w:rsid w:val="00274115"/>
    <w:rsid w:val="002762E3"/>
    <w:rsid w:val="002775AC"/>
    <w:rsid w:val="00277A93"/>
    <w:rsid w:val="0028035C"/>
    <w:rsid w:val="00280460"/>
    <w:rsid w:val="00281459"/>
    <w:rsid w:val="00281533"/>
    <w:rsid w:val="00281985"/>
    <w:rsid w:val="00281A69"/>
    <w:rsid w:val="00281B75"/>
    <w:rsid w:val="00281F7A"/>
    <w:rsid w:val="0028229E"/>
    <w:rsid w:val="00282D70"/>
    <w:rsid w:val="00282DCB"/>
    <w:rsid w:val="00283BAC"/>
    <w:rsid w:val="00283CF2"/>
    <w:rsid w:val="0028439F"/>
    <w:rsid w:val="00284743"/>
    <w:rsid w:val="0028493E"/>
    <w:rsid w:val="00284B97"/>
    <w:rsid w:val="00284F43"/>
    <w:rsid w:val="002850D0"/>
    <w:rsid w:val="00285DEA"/>
    <w:rsid w:val="00286097"/>
    <w:rsid w:val="00286682"/>
    <w:rsid w:val="0028723B"/>
    <w:rsid w:val="00287757"/>
    <w:rsid w:val="00291303"/>
    <w:rsid w:val="00291B60"/>
    <w:rsid w:val="00291EFB"/>
    <w:rsid w:val="00292811"/>
    <w:rsid w:val="00292B9D"/>
    <w:rsid w:val="002933EA"/>
    <w:rsid w:val="00293880"/>
    <w:rsid w:val="00293E62"/>
    <w:rsid w:val="00294000"/>
    <w:rsid w:val="002940F8"/>
    <w:rsid w:val="0029449B"/>
    <w:rsid w:val="0029470E"/>
    <w:rsid w:val="00294751"/>
    <w:rsid w:val="00294852"/>
    <w:rsid w:val="00294FBD"/>
    <w:rsid w:val="0029516D"/>
    <w:rsid w:val="0029555E"/>
    <w:rsid w:val="002959C1"/>
    <w:rsid w:val="00295AC3"/>
    <w:rsid w:val="00295C90"/>
    <w:rsid w:val="00296C03"/>
    <w:rsid w:val="00296C6F"/>
    <w:rsid w:val="00296E25"/>
    <w:rsid w:val="00297282"/>
    <w:rsid w:val="002975EE"/>
    <w:rsid w:val="00297D4A"/>
    <w:rsid w:val="00297ED0"/>
    <w:rsid w:val="00297F02"/>
    <w:rsid w:val="00297F6B"/>
    <w:rsid w:val="002A0076"/>
    <w:rsid w:val="002A01B9"/>
    <w:rsid w:val="002A04FA"/>
    <w:rsid w:val="002A0900"/>
    <w:rsid w:val="002A110E"/>
    <w:rsid w:val="002A1407"/>
    <w:rsid w:val="002A1929"/>
    <w:rsid w:val="002A1BE7"/>
    <w:rsid w:val="002A1E7F"/>
    <w:rsid w:val="002A2801"/>
    <w:rsid w:val="002A29AF"/>
    <w:rsid w:val="002A30F2"/>
    <w:rsid w:val="002A3324"/>
    <w:rsid w:val="002A3587"/>
    <w:rsid w:val="002A4409"/>
    <w:rsid w:val="002A46E5"/>
    <w:rsid w:val="002A5249"/>
    <w:rsid w:val="002A5309"/>
    <w:rsid w:val="002A594A"/>
    <w:rsid w:val="002A5AEE"/>
    <w:rsid w:val="002A61D7"/>
    <w:rsid w:val="002A66A9"/>
    <w:rsid w:val="002A6715"/>
    <w:rsid w:val="002A67C6"/>
    <w:rsid w:val="002A6CE4"/>
    <w:rsid w:val="002A7060"/>
    <w:rsid w:val="002A7EB4"/>
    <w:rsid w:val="002B01B8"/>
    <w:rsid w:val="002B0757"/>
    <w:rsid w:val="002B12C3"/>
    <w:rsid w:val="002B16E7"/>
    <w:rsid w:val="002B1D35"/>
    <w:rsid w:val="002B247F"/>
    <w:rsid w:val="002B2880"/>
    <w:rsid w:val="002B28BF"/>
    <w:rsid w:val="002B3573"/>
    <w:rsid w:val="002B3811"/>
    <w:rsid w:val="002B38C6"/>
    <w:rsid w:val="002B3F68"/>
    <w:rsid w:val="002B3F77"/>
    <w:rsid w:val="002B415D"/>
    <w:rsid w:val="002B47E3"/>
    <w:rsid w:val="002B4992"/>
    <w:rsid w:val="002B514E"/>
    <w:rsid w:val="002B5330"/>
    <w:rsid w:val="002B5540"/>
    <w:rsid w:val="002B6100"/>
    <w:rsid w:val="002B6BA4"/>
    <w:rsid w:val="002C008C"/>
    <w:rsid w:val="002C050E"/>
    <w:rsid w:val="002C0884"/>
    <w:rsid w:val="002C1476"/>
    <w:rsid w:val="002C18FE"/>
    <w:rsid w:val="002C242D"/>
    <w:rsid w:val="002C25C9"/>
    <w:rsid w:val="002C25E1"/>
    <w:rsid w:val="002C30EE"/>
    <w:rsid w:val="002C361B"/>
    <w:rsid w:val="002C3828"/>
    <w:rsid w:val="002C3C5F"/>
    <w:rsid w:val="002C41F1"/>
    <w:rsid w:val="002C4AA4"/>
    <w:rsid w:val="002C50C8"/>
    <w:rsid w:val="002C590F"/>
    <w:rsid w:val="002C5A43"/>
    <w:rsid w:val="002C5BFE"/>
    <w:rsid w:val="002C6312"/>
    <w:rsid w:val="002C64E1"/>
    <w:rsid w:val="002C64F7"/>
    <w:rsid w:val="002C6746"/>
    <w:rsid w:val="002C681D"/>
    <w:rsid w:val="002C6D7A"/>
    <w:rsid w:val="002C6E8C"/>
    <w:rsid w:val="002C706E"/>
    <w:rsid w:val="002C7090"/>
    <w:rsid w:val="002C7529"/>
    <w:rsid w:val="002C760F"/>
    <w:rsid w:val="002C78C5"/>
    <w:rsid w:val="002C7AB3"/>
    <w:rsid w:val="002D0145"/>
    <w:rsid w:val="002D02B6"/>
    <w:rsid w:val="002D0B7D"/>
    <w:rsid w:val="002D0BE1"/>
    <w:rsid w:val="002D0F06"/>
    <w:rsid w:val="002D1064"/>
    <w:rsid w:val="002D182B"/>
    <w:rsid w:val="002D2675"/>
    <w:rsid w:val="002D28EF"/>
    <w:rsid w:val="002D367A"/>
    <w:rsid w:val="002D36BB"/>
    <w:rsid w:val="002D3C6D"/>
    <w:rsid w:val="002D4A29"/>
    <w:rsid w:val="002D4FBA"/>
    <w:rsid w:val="002D504C"/>
    <w:rsid w:val="002D5479"/>
    <w:rsid w:val="002D5B7A"/>
    <w:rsid w:val="002D5D6C"/>
    <w:rsid w:val="002D5F67"/>
    <w:rsid w:val="002D62F1"/>
    <w:rsid w:val="002D6BE8"/>
    <w:rsid w:val="002E04C4"/>
    <w:rsid w:val="002E1076"/>
    <w:rsid w:val="002E1280"/>
    <w:rsid w:val="002E128D"/>
    <w:rsid w:val="002E151C"/>
    <w:rsid w:val="002E1612"/>
    <w:rsid w:val="002E1DA9"/>
    <w:rsid w:val="002E2125"/>
    <w:rsid w:val="002E2138"/>
    <w:rsid w:val="002E23F0"/>
    <w:rsid w:val="002E265C"/>
    <w:rsid w:val="002E2940"/>
    <w:rsid w:val="002E2EDB"/>
    <w:rsid w:val="002E3316"/>
    <w:rsid w:val="002E331B"/>
    <w:rsid w:val="002E3545"/>
    <w:rsid w:val="002E3B17"/>
    <w:rsid w:val="002E3E0E"/>
    <w:rsid w:val="002E4163"/>
    <w:rsid w:val="002E4B52"/>
    <w:rsid w:val="002E51D9"/>
    <w:rsid w:val="002E571B"/>
    <w:rsid w:val="002E60F7"/>
    <w:rsid w:val="002E7377"/>
    <w:rsid w:val="002E7DBB"/>
    <w:rsid w:val="002F0447"/>
    <w:rsid w:val="002F0656"/>
    <w:rsid w:val="002F11C7"/>
    <w:rsid w:val="002F16A4"/>
    <w:rsid w:val="002F29E8"/>
    <w:rsid w:val="002F2E81"/>
    <w:rsid w:val="002F31A6"/>
    <w:rsid w:val="002F3619"/>
    <w:rsid w:val="002F4513"/>
    <w:rsid w:val="002F5126"/>
    <w:rsid w:val="002F5EE6"/>
    <w:rsid w:val="002F61EE"/>
    <w:rsid w:val="002F62B5"/>
    <w:rsid w:val="002F7156"/>
    <w:rsid w:val="002F76D2"/>
    <w:rsid w:val="002F7B62"/>
    <w:rsid w:val="003015CF"/>
    <w:rsid w:val="0030171B"/>
    <w:rsid w:val="00301E04"/>
    <w:rsid w:val="00301F2D"/>
    <w:rsid w:val="00302576"/>
    <w:rsid w:val="00302771"/>
    <w:rsid w:val="00303D83"/>
    <w:rsid w:val="00303EDC"/>
    <w:rsid w:val="00304BD6"/>
    <w:rsid w:val="0030504C"/>
    <w:rsid w:val="00305556"/>
    <w:rsid w:val="00305859"/>
    <w:rsid w:val="00305BB2"/>
    <w:rsid w:val="00307245"/>
    <w:rsid w:val="00307725"/>
    <w:rsid w:val="0030779C"/>
    <w:rsid w:val="00307DEA"/>
    <w:rsid w:val="00307FCB"/>
    <w:rsid w:val="00310DB4"/>
    <w:rsid w:val="003117BF"/>
    <w:rsid w:val="00311CF7"/>
    <w:rsid w:val="00311E04"/>
    <w:rsid w:val="0031243F"/>
    <w:rsid w:val="00312900"/>
    <w:rsid w:val="00312B8B"/>
    <w:rsid w:val="00312E11"/>
    <w:rsid w:val="00312E31"/>
    <w:rsid w:val="003134CD"/>
    <w:rsid w:val="00314352"/>
    <w:rsid w:val="00314B02"/>
    <w:rsid w:val="00315004"/>
    <w:rsid w:val="003153B1"/>
    <w:rsid w:val="00315F55"/>
    <w:rsid w:val="00316A88"/>
    <w:rsid w:val="00316C38"/>
    <w:rsid w:val="00316FFB"/>
    <w:rsid w:val="00317551"/>
    <w:rsid w:val="00317C26"/>
    <w:rsid w:val="00317D68"/>
    <w:rsid w:val="003206FF"/>
    <w:rsid w:val="00321328"/>
    <w:rsid w:val="00321550"/>
    <w:rsid w:val="003217DB"/>
    <w:rsid w:val="003217F2"/>
    <w:rsid w:val="0032188D"/>
    <w:rsid w:val="00323752"/>
    <w:rsid w:val="00323B64"/>
    <w:rsid w:val="00323D36"/>
    <w:rsid w:val="00324083"/>
    <w:rsid w:val="00324714"/>
    <w:rsid w:val="003251FA"/>
    <w:rsid w:val="0032520E"/>
    <w:rsid w:val="00325BDC"/>
    <w:rsid w:val="0032611D"/>
    <w:rsid w:val="0032728A"/>
    <w:rsid w:val="00327A5C"/>
    <w:rsid w:val="00327CA4"/>
    <w:rsid w:val="003317D4"/>
    <w:rsid w:val="00332491"/>
    <w:rsid w:val="00333306"/>
    <w:rsid w:val="003339C5"/>
    <w:rsid w:val="00333DED"/>
    <w:rsid w:val="00333F34"/>
    <w:rsid w:val="0033403A"/>
    <w:rsid w:val="0033426C"/>
    <w:rsid w:val="003342D2"/>
    <w:rsid w:val="0033445A"/>
    <w:rsid w:val="00334B90"/>
    <w:rsid w:val="0033573E"/>
    <w:rsid w:val="003358F8"/>
    <w:rsid w:val="00335C73"/>
    <w:rsid w:val="003365D8"/>
    <w:rsid w:val="00336700"/>
    <w:rsid w:val="00337019"/>
    <w:rsid w:val="0033797B"/>
    <w:rsid w:val="0034082E"/>
    <w:rsid w:val="00340CD5"/>
    <w:rsid w:val="00340D04"/>
    <w:rsid w:val="00340DF6"/>
    <w:rsid w:val="00340EC9"/>
    <w:rsid w:val="00341239"/>
    <w:rsid w:val="00341C59"/>
    <w:rsid w:val="00341C79"/>
    <w:rsid w:val="00341E75"/>
    <w:rsid w:val="00341FF9"/>
    <w:rsid w:val="003425CD"/>
    <w:rsid w:val="00342C02"/>
    <w:rsid w:val="0034337D"/>
    <w:rsid w:val="00343928"/>
    <w:rsid w:val="00343EAC"/>
    <w:rsid w:val="00344400"/>
    <w:rsid w:val="00344939"/>
    <w:rsid w:val="00344A8D"/>
    <w:rsid w:val="00344B9A"/>
    <w:rsid w:val="00344C06"/>
    <w:rsid w:val="00344FA5"/>
    <w:rsid w:val="003451DB"/>
    <w:rsid w:val="003452DE"/>
    <w:rsid w:val="00345A60"/>
    <w:rsid w:val="00345ECF"/>
    <w:rsid w:val="00346405"/>
    <w:rsid w:val="00347175"/>
    <w:rsid w:val="003475BC"/>
    <w:rsid w:val="003479F5"/>
    <w:rsid w:val="00347B29"/>
    <w:rsid w:val="00350160"/>
    <w:rsid w:val="003506D9"/>
    <w:rsid w:val="003512F6"/>
    <w:rsid w:val="00351C48"/>
    <w:rsid w:val="0035208A"/>
    <w:rsid w:val="003524B7"/>
    <w:rsid w:val="00352EE5"/>
    <w:rsid w:val="00352FCB"/>
    <w:rsid w:val="00352FD0"/>
    <w:rsid w:val="00353213"/>
    <w:rsid w:val="0035393B"/>
    <w:rsid w:val="00353C01"/>
    <w:rsid w:val="00353D95"/>
    <w:rsid w:val="00353FAE"/>
    <w:rsid w:val="003547C3"/>
    <w:rsid w:val="00354887"/>
    <w:rsid w:val="00354FE6"/>
    <w:rsid w:val="0035577C"/>
    <w:rsid w:val="00356005"/>
    <w:rsid w:val="00356289"/>
    <w:rsid w:val="003565E4"/>
    <w:rsid w:val="00356A26"/>
    <w:rsid w:val="00356AF1"/>
    <w:rsid w:val="00356F72"/>
    <w:rsid w:val="003576F5"/>
    <w:rsid w:val="00357AD3"/>
    <w:rsid w:val="00360642"/>
    <w:rsid w:val="003606CB"/>
    <w:rsid w:val="00360756"/>
    <w:rsid w:val="003612B1"/>
    <w:rsid w:val="0036183D"/>
    <w:rsid w:val="00361B6C"/>
    <w:rsid w:val="00361F51"/>
    <w:rsid w:val="00362078"/>
    <w:rsid w:val="003620AB"/>
    <w:rsid w:val="003629D4"/>
    <w:rsid w:val="00362BE6"/>
    <w:rsid w:val="00363288"/>
    <w:rsid w:val="0036336E"/>
    <w:rsid w:val="0036359D"/>
    <w:rsid w:val="003637EC"/>
    <w:rsid w:val="00364494"/>
    <w:rsid w:val="0036488D"/>
    <w:rsid w:val="0036493F"/>
    <w:rsid w:val="00365282"/>
    <w:rsid w:val="00365334"/>
    <w:rsid w:val="0036654F"/>
    <w:rsid w:val="003665B0"/>
    <w:rsid w:val="003665C5"/>
    <w:rsid w:val="00366B1B"/>
    <w:rsid w:val="00367097"/>
    <w:rsid w:val="0036737B"/>
    <w:rsid w:val="0036756E"/>
    <w:rsid w:val="0036768D"/>
    <w:rsid w:val="003704A1"/>
    <w:rsid w:val="003709CB"/>
    <w:rsid w:val="00370B0D"/>
    <w:rsid w:val="00370C3D"/>
    <w:rsid w:val="00370FD8"/>
    <w:rsid w:val="00371EF5"/>
    <w:rsid w:val="00372C8A"/>
    <w:rsid w:val="00373120"/>
    <w:rsid w:val="0037333B"/>
    <w:rsid w:val="003735F6"/>
    <w:rsid w:val="003736C4"/>
    <w:rsid w:val="00373CB1"/>
    <w:rsid w:val="00373F7C"/>
    <w:rsid w:val="003740D3"/>
    <w:rsid w:val="0037471F"/>
    <w:rsid w:val="0037586B"/>
    <w:rsid w:val="00375FC7"/>
    <w:rsid w:val="003766DD"/>
    <w:rsid w:val="0037697F"/>
    <w:rsid w:val="00377E66"/>
    <w:rsid w:val="00377FF8"/>
    <w:rsid w:val="00380753"/>
    <w:rsid w:val="003807FC"/>
    <w:rsid w:val="00381080"/>
    <w:rsid w:val="00381759"/>
    <w:rsid w:val="00381B26"/>
    <w:rsid w:val="00381B42"/>
    <w:rsid w:val="00381F64"/>
    <w:rsid w:val="0038301D"/>
    <w:rsid w:val="0038334F"/>
    <w:rsid w:val="003836CF"/>
    <w:rsid w:val="00383857"/>
    <w:rsid w:val="00383DF8"/>
    <w:rsid w:val="00383E6C"/>
    <w:rsid w:val="00384574"/>
    <w:rsid w:val="00384651"/>
    <w:rsid w:val="0038501A"/>
    <w:rsid w:val="003854BB"/>
    <w:rsid w:val="0038564A"/>
    <w:rsid w:val="0038594B"/>
    <w:rsid w:val="0038666E"/>
    <w:rsid w:val="00386B47"/>
    <w:rsid w:val="00386FFC"/>
    <w:rsid w:val="003877CF"/>
    <w:rsid w:val="003902A0"/>
    <w:rsid w:val="003903D7"/>
    <w:rsid w:val="0039078D"/>
    <w:rsid w:val="003907B2"/>
    <w:rsid w:val="00391347"/>
    <w:rsid w:val="0039297B"/>
    <w:rsid w:val="00392F4D"/>
    <w:rsid w:val="0039309A"/>
    <w:rsid w:val="00393E47"/>
    <w:rsid w:val="00394062"/>
    <w:rsid w:val="003940CE"/>
    <w:rsid w:val="003946EE"/>
    <w:rsid w:val="00394C33"/>
    <w:rsid w:val="003954DC"/>
    <w:rsid w:val="00395930"/>
    <w:rsid w:val="00395A76"/>
    <w:rsid w:val="00395BA7"/>
    <w:rsid w:val="00395CA4"/>
    <w:rsid w:val="00396418"/>
    <w:rsid w:val="003965B2"/>
    <w:rsid w:val="00396AB3"/>
    <w:rsid w:val="00397623"/>
    <w:rsid w:val="003A0448"/>
    <w:rsid w:val="003A0451"/>
    <w:rsid w:val="003A0783"/>
    <w:rsid w:val="003A0A4E"/>
    <w:rsid w:val="003A0C6F"/>
    <w:rsid w:val="003A102F"/>
    <w:rsid w:val="003A11A5"/>
    <w:rsid w:val="003A121A"/>
    <w:rsid w:val="003A1410"/>
    <w:rsid w:val="003A17F5"/>
    <w:rsid w:val="003A2862"/>
    <w:rsid w:val="003A2A23"/>
    <w:rsid w:val="003A2C4B"/>
    <w:rsid w:val="003A2E45"/>
    <w:rsid w:val="003A311D"/>
    <w:rsid w:val="003A377C"/>
    <w:rsid w:val="003A478D"/>
    <w:rsid w:val="003A4949"/>
    <w:rsid w:val="003A522D"/>
    <w:rsid w:val="003A552A"/>
    <w:rsid w:val="003A5694"/>
    <w:rsid w:val="003A5F9E"/>
    <w:rsid w:val="003A6189"/>
    <w:rsid w:val="003A698D"/>
    <w:rsid w:val="003A6E8D"/>
    <w:rsid w:val="003A704A"/>
    <w:rsid w:val="003A7281"/>
    <w:rsid w:val="003B0002"/>
    <w:rsid w:val="003B0B6F"/>
    <w:rsid w:val="003B10D3"/>
    <w:rsid w:val="003B12B2"/>
    <w:rsid w:val="003B1BC6"/>
    <w:rsid w:val="003B1CD7"/>
    <w:rsid w:val="003B2003"/>
    <w:rsid w:val="003B25E1"/>
    <w:rsid w:val="003B2764"/>
    <w:rsid w:val="003B2D24"/>
    <w:rsid w:val="003B2D38"/>
    <w:rsid w:val="003B3743"/>
    <w:rsid w:val="003B3774"/>
    <w:rsid w:val="003B3994"/>
    <w:rsid w:val="003B4919"/>
    <w:rsid w:val="003B57A3"/>
    <w:rsid w:val="003B582D"/>
    <w:rsid w:val="003B60A8"/>
    <w:rsid w:val="003B676E"/>
    <w:rsid w:val="003B77BA"/>
    <w:rsid w:val="003C0212"/>
    <w:rsid w:val="003C07BD"/>
    <w:rsid w:val="003C0A63"/>
    <w:rsid w:val="003C1331"/>
    <w:rsid w:val="003C25E6"/>
    <w:rsid w:val="003C26A3"/>
    <w:rsid w:val="003C2FA6"/>
    <w:rsid w:val="003C362D"/>
    <w:rsid w:val="003C370A"/>
    <w:rsid w:val="003C3AC2"/>
    <w:rsid w:val="003C3C80"/>
    <w:rsid w:val="003C3CB7"/>
    <w:rsid w:val="003C41CA"/>
    <w:rsid w:val="003C5429"/>
    <w:rsid w:val="003C5A68"/>
    <w:rsid w:val="003C5CC7"/>
    <w:rsid w:val="003C5DBC"/>
    <w:rsid w:val="003C696E"/>
    <w:rsid w:val="003C752A"/>
    <w:rsid w:val="003C7B34"/>
    <w:rsid w:val="003C7CEF"/>
    <w:rsid w:val="003C7DCD"/>
    <w:rsid w:val="003D0182"/>
    <w:rsid w:val="003D0551"/>
    <w:rsid w:val="003D06D4"/>
    <w:rsid w:val="003D0AA1"/>
    <w:rsid w:val="003D0BF9"/>
    <w:rsid w:val="003D0C87"/>
    <w:rsid w:val="003D0FA0"/>
    <w:rsid w:val="003D1A82"/>
    <w:rsid w:val="003D1BC0"/>
    <w:rsid w:val="003D249C"/>
    <w:rsid w:val="003D2914"/>
    <w:rsid w:val="003D314E"/>
    <w:rsid w:val="003D33D5"/>
    <w:rsid w:val="003D3473"/>
    <w:rsid w:val="003D382A"/>
    <w:rsid w:val="003D3FA2"/>
    <w:rsid w:val="003D4D4F"/>
    <w:rsid w:val="003D5CE0"/>
    <w:rsid w:val="003D73DD"/>
    <w:rsid w:val="003D7818"/>
    <w:rsid w:val="003D7EE3"/>
    <w:rsid w:val="003E011B"/>
    <w:rsid w:val="003E0930"/>
    <w:rsid w:val="003E0D9E"/>
    <w:rsid w:val="003E14AA"/>
    <w:rsid w:val="003E1901"/>
    <w:rsid w:val="003E1934"/>
    <w:rsid w:val="003E1FF4"/>
    <w:rsid w:val="003E2B63"/>
    <w:rsid w:val="003E2C80"/>
    <w:rsid w:val="003E3525"/>
    <w:rsid w:val="003E3733"/>
    <w:rsid w:val="003E44F5"/>
    <w:rsid w:val="003E5315"/>
    <w:rsid w:val="003E56A0"/>
    <w:rsid w:val="003E626E"/>
    <w:rsid w:val="003E64D2"/>
    <w:rsid w:val="003E67C9"/>
    <w:rsid w:val="003E6895"/>
    <w:rsid w:val="003E7BFC"/>
    <w:rsid w:val="003E7D85"/>
    <w:rsid w:val="003F0238"/>
    <w:rsid w:val="003F02A9"/>
    <w:rsid w:val="003F0BCD"/>
    <w:rsid w:val="003F0D7B"/>
    <w:rsid w:val="003F0EA6"/>
    <w:rsid w:val="003F0F36"/>
    <w:rsid w:val="003F109B"/>
    <w:rsid w:val="003F17C3"/>
    <w:rsid w:val="003F1B56"/>
    <w:rsid w:val="003F1E56"/>
    <w:rsid w:val="003F21B3"/>
    <w:rsid w:val="003F29BB"/>
    <w:rsid w:val="003F2F09"/>
    <w:rsid w:val="003F3520"/>
    <w:rsid w:val="003F363F"/>
    <w:rsid w:val="003F38A3"/>
    <w:rsid w:val="003F4F82"/>
    <w:rsid w:val="003F5030"/>
    <w:rsid w:val="003F5AC0"/>
    <w:rsid w:val="003F5E6C"/>
    <w:rsid w:val="003F5E7D"/>
    <w:rsid w:val="003F69A6"/>
    <w:rsid w:val="003F79DC"/>
    <w:rsid w:val="003F7D17"/>
    <w:rsid w:val="003F7F4E"/>
    <w:rsid w:val="00400457"/>
    <w:rsid w:val="004004F9"/>
    <w:rsid w:val="004006E0"/>
    <w:rsid w:val="00400F04"/>
    <w:rsid w:val="0040106A"/>
    <w:rsid w:val="004019DD"/>
    <w:rsid w:val="00401EE9"/>
    <w:rsid w:val="0040211E"/>
    <w:rsid w:val="00402B7C"/>
    <w:rsid w:val="004038A4"/>
    <w:rsid w:val="0040392A"/>
    <w:rsid w:val="00403C22"/>
    <w:rsid w:val="00403E8E"/>
    <w:rsid w:val="0040409B"/>
    <w:rsid w:val="00404B07"/>
    <w:rsid w:val="00405AFB"/>
    <w:rsid w:val="00406344"/>
    <w:rsid w:val="00406B43"/>
    <w:rsid w:val="00407D6D"/>
    <w:rsid w:val="004105B7"/>
    <w:rsid w:val="00410D93"/>
    <w:rsid w:val="00411403"/>
    <w:rsid w:val="0041152D"/>
    <w:rsid w:val="0041152F"/>
    <w:rsid w:val="00411F12"/>
    <w:rsid w:val="0041210B"/>
    <w:rsid w:val="004121F3"/>
    <w:rsid w:val="00412563"/>
    <w:rsid w:val="00412A40"/>
    <w:rsid w:val="00413203"/>
    <w:rsid w:val="00413519"/>
    <w:rsid w:val="004136C7"/>
    <w:rsid w:val="004138AE"/>
    <w:rsid w:val="004148B2"/>
    <w:rsid w:val="00414A34"/>
    <w:rsid w:val="004156ED"/>
    <w:rsid w:val="00416092"/>
    <w:rsid w:val="004161DF"/>
    <w:rsid w:val="00416C88"/>
    <w:rsid w:val="00416CDB"/>
    <w:rsid w:val="0041721F"/>
    <w:rsid w:val="0042108C"/>
    <w:rsid w:val="0042135D"/>
    <w:rsid w:val="00421A85"/>
    <w:rsid w:val="004228E2"/>
    <w:rsid w:val="00422DA6"/>
    <w:rsid w:val="004239E9"/>
    <w:rsid w:val="00423A6C"/>
    <w:rsid w:val="0042429E"/>
    <w:rsid w:val="00424448"/>
    <w:rsid w:val="004246DA"/>
    <w:rsid w:val="004247E0"/>
    <w:rsid w:val="00424B64"/>
    <w:rsid w:val="00424FD7"/>
    <w:rsid w:val="0042500C"/>
    <w:rsid w:val="00425E37"/>
    <w:rsid w:val="00426523"/>
    <w:rsid w:val="00426C27"/>
    <w:rsid w:val="00426C8C"/>
    <w:rsid w:val="00426FB2"/>
    <w:rsid w:val="00427624"/>
    <w:rsid w:val="00427E3A"/>
    <w:rsid w:val="00430396"/>
    <w:rsid w:val="00430A81"/>
    <w:rsid w:val="00430D8C"/>
    <w:rsid w:val="00431A6B"/>
    <w:rsid w:val="00431B89"/>
    <w:rsid w:val="004320B1"/>
    <w:rsid w:val="004322B6"/>
    <w:rsid w:val="00432FB9"/>
    <w:rsid w:val="00433096"/>
    <w:rsid w:val="00433360"/>
    <w:rsid w:val="00433668"/>
    <w:rsid w:val="00433D5D"/>
    <w:rsid w:val="00434646"/>
    <w:rsid w:val="0043475A"/>
    <w:rsid w:val="004352C4"/>
    <w:rsid w:val="004353E1"/>
    <w:rsid w:val="00435461"/>
    <w:rsid w:val="00435D41"/>
    <w:rsid w:val="00436D0F"/>
    <w:rsid w:val="004373BC"/>
    <w:rsid w:val="00437ED3"/>
    <w:rsid w:val="0044089F"/>
    <w:rsid w:val="004414A7"/>
    <w:rsid w:val="004419C3"/>
    <w:rsid w:val="00441CB4"/>
    <w:rsid w:val="0044224F"/>
    <w:rsid w:val="00442741"/>
    <w:rsid w:val="00443315"/>
    <w:rsid w:val="004433BA"/>
    <w:rsid w:val="004439ED"/>
    <w:rsid w:val="00443E78"/>
    <w:rsid w:val="00443ECC"/>
    <w:rsid w:val="00443FF5"/>
    <w:rsid w:val="00444DAC"/>
    <w:rsid w:val="0044602B"/>
    <w:rsid w:val="00446210"/>
    <w:rsid w:val="00446615"/>
    <w:rsid w:val="00447236"/>
    <w:rsid w:val="004472D9"/>
    <w:rsid w:val="00447E4D"/>
    <w:rsid w:val="00450112"/>
    <w:rsid w:val="00450138"/>
    <w:rsid w:val="00450352"/>
    <w:rsid w:val="0045082E"/>
    <w:rsid w:val="004509AB"/>
    <w:rsid w:val="00451344"/>
    <w:rsid w:val="00451431"/>
    <w:rsid w:val="0045175F"/>
    <w:rsid w:val="00451E67"/>
    <w:rsid w:val="00452E08"/>
    <w:rsid w:val="004538F6"/>
    <w:rsid w:val="00453F69"/>
    <w:rsid w:val="0045415B"/>
    <w:rsid w:val="0045445D"/>
    <w:rsid w:val="00454750"/>
    <w:rsid w:val="00454BC4"/>
    <w:rsid w:val="00454EB3"/>
    <w:rsid w:val="00455387"/>
    <w:rsid w:val="00455686"/>
    <w:rsid w:val="004558B1"/>
    <w:rsid w:val="004573EC"/>
    <w:rsid w:val="004574D9"/>
    <w:rsid w:val="00457736"/>
    <w:rsid w:val="00457E1A"/>
    <w:rsid w:val="00460ED7"/>
    <w:rsid w:val="004612B1"/>
    <w:rsid w:val="0046139D"/>
    <w:rsid w:val="004614D8"/>
    <w:rsid w:val="004614E0"/>
    <w:rsid w:val="00461A60"/>
    <w:rsid w:val="0046218D"/>
    <w:rsid w:val="00462C24"/>
    <w:rsid w:val="00464057"/>
    <w:rsid w:val="00464066"/>
    <w:rsid w:val="004644DC"/>
    <w:rsid w:val="004645A8"/>
    <w:rsid w:val="004655F3"/>
    <w:rsid w:val="00465879"/>
    <w:rsid w:val="00465AC3"/>
    <w:rsid w:val="00465D29"/>
    <w:rsid w:val="00465E46"/>
    <w:rsid w:val="00466F16"/>
    <w:rsid w:val="0046749E"/>
    <w:rsid w:val="00467551"/>
    <w:rsid w:val="0046795E"/>
    <w:rsid w:val="0046796C"/>
    <w:rsid w:val="00467B41"/>
    <w:rsid w:val="00467CC0"/>
    <w:rsid w:val="0047119F"/>
    <w:rsid w:val="00471419"/>
    <w:rsid w:val="00471F7A"/>
    <w:rsid w:val="0047209F"/>
    <w:rsid w:val="00472A4F"/>
    <w:rsid w:val="004730D9"/>
    <w:rsid w:val="00473855"/>
    <w:rsid w:val="004738F6"/>
    <w:rsid w:val="00473FC8"/>
    <w:rsid w:val="00474F7A"/>
    <w:rsid w:val="004756FB"/>
    <w:rsid w:val="004759A4"/>
    <w:rsid w:val="0047678E"/>
    <w:rsid w:val="00477B8A"/>
    <w:rsid w:val="00477BCE"/>
    <w:rsid w:val="0048032A"/>
    <w:rsid w:val="004809D1"/>
    <w:rsid w:val="004816C2"/>
    <w:rsid w:val="00481F8B"/>
    <w:rsid w:val="00482406"/>
    <w:rsid w:val="004825F2"/>
    <w:rsid w:val="004831BB"/>
    <w:rsid w:val="0048409D"/>
    <w:rsid w:val="00484B3C"/>
    <w:rsid w:val="00485020"/>
    <w:rsid w:val="0048570B"/>
    <w:rsid w:val="00486085"/>
    <w:rsid w:val="004860E2"/>
    <w:rsid w:val="004860E3"/>
    <w:rsid w:val="00486B71"/>
    <w:rsid w:val="00486B72"/>
    <w:rsid w:val="00486F57"/>
    <w:rsid w:val="00486F7B"/>
    <w:rsid w:val="0048704A"/>
    <w:rsid w:val="004878F0"/>
    <w:rsid w:val="004901CF"/>
    <w:rsid w:val="004906BF"/>
    <w:rsid w:val="00491817"/>
    <w:rsid w:val="004935CF"/>
    <w:rsid w:val="00493782"/>
    <w:rsid w:val="0049504E"/>
    <w:rsid w:val="004952E3"/>
    <w:rsid w:val="00496218"/>
    <w:rsid w:val="00496BC0"/>
    <w:rsid w:val="00496CE2"/>
    <w:rsid w:val="00496FC6"/>
    <w:rsid w:val="00497D3B"/>
    <w:rsid w:val="004A0158"/>
    <w:rsid w:val="004A09BC"/>
    <w:rsid w:val="004A12E1"/>
    <w:rsid w:val="004A1741"/>
    <w:rsid w:val="004A208C"/>
    <w:rsid w:val="004A20FC"/>
    <w:rsid w:val="004A2CC2"/>
    <w:rsid w:val="004A372B"/>
    <w:rsid w:val="004A3792"/>
    <w:rsid w:val="004A39D1"/>
    <w:rsid w:val="004A4044"/>
    <w:rsid w:val="004A5452"/>
    <w:rsid w:val="004A61D4"/>
    <w:rsid w:val="004A6380"/>
    <w:rsid w:val="004A65BD"/>
    <w:rsid w:val="004A6A48"/>
    <w:rsid w:val="004A6EDB"/>
    <w:rsid w:val="004A7115"/>
    <w:rsid w:val="004A77D7"/>
    <w:rsid w:val="004A78A6"/>
    <w:rsid w:val="004B01E9"/>
    <w:rsid w:val="004B09FB"/>
    <w:rsid w:val="004B0BC5"/>
    <w:rsid w:val="004B0F62"/>
    <w:rsid w:val="004B12E0"/>
    <w:rsid w:val="004B1374"/>
    <w:rsid w:val="004B15E6"/>
    <w:rsid w:val="004B2DF3"/>
    <w:rsid w:val="004B402B"/>
    <w:rsid w:val="004B4037"/>
    <w:rsid w:val="004B4609"/>
    <w:rsid w:val="004B468C"/>
    <w:rsid w:val="004B4B95"/>
    <w:rsid w:val="004B5B8E"/>
    <w:rsid w:val="004B5CAA"/>
    <w:rsid w:val="004B6979"/>
    <w:rsid w:val="004B71DB"/>
    <w:rsid w:val="004B7AEE"/>
    <w:rsid w:val="004B7F1C"/>
    <w:rsid w:val="004C023B"/>
    <w:rsid w:val="004C08E3"/>
    <w:rsid w:val="004C0BB2"/>
    <w:rsid w:val="004C0E2C"/>
    <w:rsid w:val="004C0F1D"/>
    <w:rsid w:val="004C12BC"/>
    <w:rsid w:val="004C16C9"/>
    <w:rsid w:val="004C1E37"/>
    <w:rsid w:val="004C27F5"/>
    <w:rsid w:val="004C2EBA"/>
    <w:rsid w:val="004C2F20"/>
    <w:rsid w:val="004C307F"/>
    <w:rsid w:val="004C3583"/>
    <w:rsid w:val="004C3B1B"/>
    <w:rsid w:val="004C3E78"/>
    <w:rsid w:val="004C44CA"/>
    <w:rsid w:val="004C46B1"/>
    <w:rsid w:val="004C4758"/>
    <w:rsid w:val="004C483E"/>
    <w:rsid w:val="004C5FE2"/>
    <w:rsid w:val="004C62F0"/>
    <w:rsid w:val="004C640D"/>
    <w:rsid w:val="004C68AB"/>
    <w:rsid w:val="004C68E5"/>
    <w:rsid w:val="004C6F20"/>
    <w:rsid w:val="004C702D"/>
    <w:rsid w:val="004C7AEB"/>
    <w:rsid w:val="004C7F4D"/>
    <w:rsid w:val="004D01EF"/>
    <w:rsid w:val="004D033C"/>
    <w:rsid w:val="004D068E"/>
    <w:rsid w:val="004D0FA2"/>
    <w:rsid w:val="004D169A"/>
    <w:rsid w:val="004D197E"/>
    <w:rsid w:val="004D1C0F"/>
    <w:rsid w:val="004D2584"/>
    <w:rsid w:val="004D2F4D"/>
    <w:rsid w:val="004D3657"/>
    <w:rsid w:val="004D3FBE"/>
    <w:rsid w:val="004D3FF7"/>
    <w:rsid w:val="004D5972"/>
    <w:rsid w:val="004D6052"/>
    <w:rsid w:val="004D6184"/>
    <w:rsid w:val="004D6C5A"/>
    <w:rsid w:val="004D6EC2"/>
    <w:rsid w:val="004D70AF"/>
    <w:rsid w:val="004D72E1"/>
    <w:rsid w:val="004D735B"/>
    <w:rsid w:val="004E008E"/>
    <w:rsid w:val="004E019C"/>
    <w:rsid w:val="004E0A11"/>
    <w:rsid w:val="004E1411"/>
    <w:rsid w:val="004E143A"/>
    <w:rsid w:val="004E1D2D"/>
    <w:rsid w:val="004E1ECE"/>
    <w:rsid w:val="004E24FE"/>
    <w:rsid w:val="004E3318"/>
    <w:rsid w:val="004E3E15"/>
    <w:rsid w:val="004E40CC"/>
    <w:rsid w:val="004E44F6"/>
    <w:rsid w:val="004E5C5D"/>
    <w:rsid w:val="004E61B2"/>
    <w:rsid w:val="004E636E"/>
    <w:rsid w:val="004E6BEE"/>
    <w:rsid w:val="004E737A"/>
    <w:rsid w:val="004E73AB"/>
    <w:rsid w:val="004F00BF"/>
    <w:rsid w:val="004F0555"/>
    <w:rsid w:val="004F08A2"/>
    <w:rsid w:val="004F0B23"/>
    <w:rsid w:val="004F0B3F"/>
    <w:rsid w:val="004F0BAA"/>
    <w:rsid w:val="004F0C93"/>
    <w:rsid w:val="004F0D9B"/>
    <w:rsid w:val="004F0E0C"/>
    <w:rsid w:val="004F0EC3"/>
    <w:rsid w:val="004F1348"/>
    <w:rsid w:val="004F14E8"/>
    <w:rsid w:val="004F1529"/>
    <w:rsid w:val="004F1B84"/>
    <w:rsid w:val="004F1C11"/>
    <w:rsid w:val="004F1DA1"/>
    <w:rsid w:val="004F1DA7"/>
    <w:rsid w:val="004F23BD"/>
    <w:rsid w:val="004F2508"/>
    <w:rsid w:val="004F2710"/>
    <w:rsid w:val="004F2AEC"/>
    <w:rsid w:val="004F2BEF"/>
    <w:rsid w:val="004F3095"/>
    <w:rsid w:val="004F309B"/>
    <w:rsid w:val="004F392C"/>
    <w:rsid w:val="004F432C"/>
    <w:rsid w:val="004F4404"/>
    <w:rsid w:val="004F4409"/>
    <w:rsid w:val="004F4BEA"/>
    <w:rsid w:val="004F5D95"/>
    <w:rsid w:val="004F5F4A"/>
    <w:rsid w:val="004F5FFC"/>
    <w:rsid w:val="004F6343"/>
    <w:rsid w:val="004F658C"/>
    <w:rsid w:val="004F66B3"/>
    <w:rsid w:val="004F67A8"/>
    <w:rsid w:val="004F6A9D"/>
    <w:rsid w:val="004F6B49"/>
    <w:rsid w:val="004F6E63"/>
    <w:rsid w:val="004F72A1"/>
    <w:rsid w:val="00500641"/>
    <w:rsid w:val="005006B2"/>
    <w:rsid w:val="00501560"/>
    <w:rsid w:val="00501A56"/>
    <w:rsid w:val="00502C16"/>
    <w:rsid w:val="00502D2A"/>
    <w:rsid w:val="0050328C"/>
    <w:rsid w:val="00503579"/>
    <w:rsid w:val="005037AC"/>
    <w:rsid w:val="005038FA"/>
    <w:rsid w:val="00504436"/>
    <w:rsid w:val="005045DC"/>
    <w:rsid w:val="00504D29"/>
    <w:rsid w:val="00504DC3"/>
    <w:rsid w:val="00504EAC"/>
    <w:rsid w:val="005056C4"/>
    <w:rsid w:val="005059AF"/>
    <w:rsid w:val="00505D42"/>
    <w:rsid w:val="0050634F"/>
    <w:rsid w:val="005065A3"/>
    <w:rsid w:val="005075DE"/>
    <w:rsid w:val="00507B38"/>
    <w:rsid w:val="00507BD3"/>
    <w:rsid w:val="00507CDF"/>
    <w:rsid w:val="00507D3A"/>
    <w:rsid w:val="00510103"/>
    <w:rsid w:val="005101E3"/>
    <w:rsid w:val="00510802"/>
    <w:rsid w:val="00510DD6"/>
    <w:rsid w:val="0051185A"/>
    <w:rsid w:val="00511A26"/>
    <w:rsid w:val="00511BD2"/>
    <w:rsid w:val="00511C96"/>
    <w:rsid w:val="00511F24"/>
    <w:rsid w:val="00512351"/>
    <w:rsid w:val="00512490"/>
    <w:rsid w:val="0051251E"/>
    <w:rsid w:val="0051260A"/>
    <w:rsid w:val="00512ABC"/>
    <w:rsid w:val="0051338F"/>
    <w:rsid w:val="0051341F"/>
    <w:rsid w:val="005135A3"/>
    <w:rsid w:val="00513644"/>
    <w:rsid w:val="00513F07"/>
    <w:rsid w:val="00514391"/>
    <w:rsid w:val="0051469A"/>
    <w:rsid w:val="0051481C"/>
    <w:rsid w:val="00514C29"/>
    <w:rsid w:val="00514EA4"/>
    <w:rsid w:val="005156C3"/>
    <w:rsid w:val="00515731"/>
    <w:rsid w:val="00515C58"/>
    <w:rsid w:val="00515F8F"/>
    <w:rsid w:val="00515FB0"/>
    <w:rsid w:val="005164DC"/>
    <w:rsid w:val="00516501"/>
    <w:rsid w:val="00516791"/>
    <w:rsid w:val="00516A32"/>
    <w:rsid w:val="00517663"/>
    <w:rsid w:val="00517CE5"/>
    <w:rsid w:val="005203F5"/>
    <w:rsid w:val="00520EB6"/>
    <w:rsid w:val="005215E0"/>
    <w:rsid w:val="00521636"/>
    <w:rsid w:val="005216FA"/>
    <w:rsid w:val="00523092"/>
    <w:rsid w:val="005238D0"/>
    <w:rsid w:val="00523E91"/>
    <w:rsid w:val="00524656"/>
    <w:rsid w:val="00524A3E"/>
    <w:rsid w:val="00524A8F"/>
    <w:rsid w:val="00525E50"/>
    <w:rsid w:val="005260F2"/>
    <w:rsid w:val="00526EA1"/>
    <w:rsid w:val="005275BA"/>
    <w:rsid w:val="00527E4C"/>
    <w:rsid w:val="00530A46"/>
    <w:rsid w:val="00530C57"/>
    <w:rsid w:val="00531A37"/>
    <w:rsid w:val="00531E3A"/>
    <w:rsid w:val="00531EA6"/>
    <w:rsid w:val="00532DCD"/>
    <w:rsid w:val="0053358A"/>
    <w:rsid w:val="0053366A"/>
    <w:rsid w:val="00534267"/>
    <w:rsid w:val="00534CFA"/>
    <w:rsid w:val="0053591A"/>
    <w:rsid w:val="00535D29"/>
    <w:rsid w:val="00536092"/>
    <w:rsid w:val="0053638E"/>
    <w:rsid w:val="00536CB7"/>
    <w:rsid w:val="00536CBC"/>
    <w:rsid w:val="00536D99"/>
    <w:rsid w:val="0053710D"/>
    <w:rsid w:val="00537D48"/>
    <w:rsid w:val="00540209"/>
    <w:rsid w:val="00540522"/>
    <w:rsid w:val="00540BF4"/>
    <w:rsid w:val="00540F5A"/>
    <w:rsid w:val="00541AB9"/>
    <w:rsid w:val="00541C9B"/>
    <w:rsid w:val="0054226B"/>
    <w:rsid w:val="00542ACC"/>
    <w:rsid w:val="0054308F"/>
    <w:rsid w:val="00543B62"/>
    <w:rsid w:val="005452BF"/>
    <w:rsid w:val="005452C2"/>
    <w:rsid w:val="005455EA"/>
    <w:rsid w:val="00545756"/>
    <w:rsid w:val="00545F04"/>
    <w:rsid w:val="005462A6"/>
    <w:rsid w:val="00546409"/>
    <w:rsid w:val="005464DF"/>
    <w:rsid w:val="00546B00"/>
    <w:rsid w:val="00546E95"/>
    <w:rsid w:val="0054768A"/>
    <w:rsid w:val="00547BC4"/>
    <w:rsid w:val="00547F23"/>
    <w:rsid w:val="00550C53"/>
    <w:rsid w:val="00550D66"/>
    <w:rsid w:val="00550FE1"/>
    <w:rsid w:val="00552E8D"/>
    <w:rsid w:val="0055488E"/>
    <w:rsid w:val="005550E0"/>
    <w:rsid w:val="005556DC"/>
    <w:rsid w:val="005567A5"/>
    <w:rsid w:val="005569B7"/>
    <w:rsid w:val="00556C0C"/>
    <w:rsid w:val="005573AC"/>
    <w:rsid w:val="00557992"/>
    <w:rsid w:val="00557CEA"/>
    <w:rsid w:val="0056012B"/>
    <w:rsid w:val="0056054B"/>
    <w:rsid w:val="005608C9"/>
    <w:rsid w:val="00560A4F"/>
    <w:rsid w:val="00560B52"/>
    <w:rsid w:val="00560C78"/>
    <w:rsid w:val="00560D7E"/>
    <w:rsid w:val="00560E95"/>
    <w:rsid w:val="00561541"/>
    <w:rsid w:val="005618AD"/>
    <w:rsid w:val="005619BB"/>
    <w:rsid w:val="00561B73"/>
    <w:rsid w:val="00562466"/>
    <w:rsid w:val="00562C4C"/>
    <w:rsid w:val="005631E9"/>
    <w:rsid w:val="00563390"/>
    <w:rsid w:val="00563A77"/>
    <w:rsid w:val="00564119"/>
    <w:rsid w:val="00564F77"/>
    <w:rsid w:val="00565A80"/>
    <w:rsid w:val="00565B1C"/>
    <w:rsid w:val="00565BDE"/>
    <w:rsid w:val="005660E0"/>
    <w:rsid w:val="005661A1"/>
    <w:rsid w:val="005667B2"/>
    <w:rsid w:val="00566C37"/>
    <w:rsid w:val="00566E57"/>
    <w:rsid w:val="0056711A"/>
    <w:rsid w:val="00567229"/>
    <w:rsid w:val="0056794E"/>
    <w:rsid w:val="00567FC1"/>
    <w:rsid w:val="005705B3"/>
    <w:rsid w:val="0057074B"/>
    <w:rsid w:val="005717D9"/>
    <w:rsid w:val="00572013"/>
    <w:rsid w:val="00572050"/>
    <w:rsid w:val="005722BC"/>
    <w:rsid w:val="0057239F"/>
    <w:rsid w:val="00572D24"/>
    <w:rsid w:val="00573202"/>
    <w:rsid w:val="005733E0"/>
    <w:rsid w:val="0057359A"/>
    <w:rsid w:val="005747DE"/>
    <w:rsid w:val="005759FE"/>
    <w:rsid w:val="00575D6A"/>
    <w:rsid w:val="00575ECC"/>
    <w:rsid w:val="00576040"/>
    <w:rsid w:val="005760B7"/>
    <w:rsid w:val="0057628B"/>
    <w:rsid w:val="0057638E"/>
    <w:rsid w:val="0058047C"/>
    <w:rsid w:val="0058055C"/>
    <w:rsid w:val="00581707"/>
    <w:rsid w:val="00581ABE"/>
    <w:rsid w:val="0058227E"/>
    <w:rsid w:val="0058228F"/>
    <w:rsid w:val="0058239A"/>
    <w:rsid w:val="0058251D"/>
    <w:rsid w:val="005825F2"/>
    <w:rsid w:val="00582E9D"/>
    <w:rsid w:val="00582FE9"/>
    <w:rsid w:val="0058354F"/>
    <w:rsid w:val="005838EF"/>
    <w:rsid w:val="00583EE3"/>
    <w:rsid w:val="0058496F"/>
    <w:rsid w:val="00584A71"/>
    <w:rsid w:val="005852D4"/>
    <w:rsid w:val="005859BE"/>
    <w:rsid w:val="00585F93"/>
    <w:rsid w:val="00586C2F"/>
    <w:rsid w:val="0058744F"/>
    <w:rsid w:val="005875B6"/>
    <w:rsid w:val="005877F1"/>
    <w:rsid w:val="0059014F"/>
    <w:rsid w:val="0059067B"/>
    <w:rsid w:val="005912EA"/>
    <w:rsid w:val="00592A9B"/>
    <w:rsid w:val="00593C49"/>
    <w:rsid w:val="00594033"/>
    <w:rsid w:val="0059441B"/>
    <w:rsid w:val="00594766"/>
    <w:rsid w:val="00594BD9"/>
    <w:rsid w:val="00594D89"/>
    <w:rsid w:val="00595B76"/>
    <w:rsid w:val="00595C14"/>
    <w:rsid w:val="00596A31"/>
    <w:rsid w:val="00596E58"/>
    <w:rsid w:val="00596F74"/>
    <w:rsid w:val="005973AE"/>
    <w:rsid w:val="0059757A"/>
    <w:rsid w:val="005979ED"/>
    <w:rsid w:val="00597DF9"/>
    <w:rsid w:val="00597F6B"/>
    <w:rsid w:val="005A0B5A"/>
    <w:rsid w:val="005A16F3"/>
    <w:rsid w:val="005A2A00"/>
    <w:rsid w:val="005A341B"/>
    <w:rsid w:val="005A372B"/>
    <w:rsid w:val="005A3CC3"/>
    <w:rsid w:val="005A4159"/>
    <w:rsid w:val="005A497D"/>
    <w:rsid w:val="005A4F32"/>
    <w:rsid w:val="005A5ABB"/>
    <w:rsid w:val="005A5B9A"/>
    <w:rsid w:val="005A64AE"/>
    <w:rsid w:val="005A68D6"/>
    <w:rsid w:val="005A6B90"/>
    <w:rsid w:val="005A6D56"/>
    <w:rsid w:val="005A734A"/>
    <w:rsid w:val="005A7371"/>
    <w:rsid w:val="005A73E6"/>
    <w:rsid w:val="005A7530"/>
    <w:rsid w:val="005A754A"/>
    <w:rsid w:val="005A783B"/>
    <w:rsid w:val="005A7949"/>
    <w:rsid w:val="005A7DC9"/>
    <w:rsid w:val="005A7F8A"/>
    <w:rsid w:val="005B02C9"/>
    <w:rsid w:val="005B0708"/>
    <w:rsid w:val="005B0AC8"/>
    <w:rsid w:val="005B0C02"/>
    <w:rsid w:val="005B0FD0"/>
    <w:rsid w:val="005B11ED"/>
    <w:rsid w:val="005B12D8"/>
    <w:rsid w:val="005B1F88"/>
    <w:rsid w:val="005B2070"/>
    <w:rsid w:val="005B2818"/>
    <w:rsid w:val="005B2E51"/>
    <w:rsid w:val="005B2EF7"/>
    <w:rsid w:val="005B3B2C"/>
    <w:rsid w:val="005B482E"/>
    <w:rsid w:val="005B4C29"/>
    <w:rsid w:val="005B55C7"/>
    <w:rsid w:val="005B5A0C"/>
    <w:rsid w:val="005B5BF7"/>
    <w:rsid w:val="005B5D21"/>
    <w:rsid w:val="005B5DCD"/>
    <w:rsid w:val="005B64B2"/>
    <w:rsid w:val="005B6EE7"/>
    <w:rsid w:val="005B7BB4"/>
    <w:rsid w:val="005B7FB2"/>
    <w:rsid w:val="005C055F"/>
    <w:rsid w:val="005C1814"/>
    <w:rsid w:val="005C3804"/>
    <w:rsid w:val="005C3A71"/>
    <w:rsid w:val="005C4577"/>
    <w:rsid w:val="005C472F"/>
    <w:rsid w:val="005C4B08"/>
    <w:rsid w:val="005C5A73"/>
    <w:rsid w:val="005C62D0"/>
    <w:rsid w:val="005C6725"/>
    <w:rsid w:val="005C68F8"/>
    <w:rsid w:val="005C6926"/>
    <w:rsid w:val="005C6997"/>
    <w:rsid w:val="005C6CC9"/>
    <w:rsid w:val="005C75D6"/>
    <w:rsid w:val="005D061A"/>
    <w:rsid w:val="005D0BBF"/>
    <w:rsid w:val="005D0EAD"/>
    <w:rsid w:val="005D1264"/>
    <w:rsid w:val="005D1E8C"/>
    <w:rsid w:val="005D2861"/>
    <w:rsid w:val="005D2A82"/>
    <w:rsid w:val="005D32BC"/>
    <w:rsid w:val="005D43D4"/>
    <w:rsid w:val="005D4742"/>
    <w:rsid w:val="005D5BCB"/>
    <w:rsid w:val="005D5C3F"/>
    <w:rsid w:val="005D6F5F"/>
    <w:rsid w:val="005D72F9"/>
    <w:rsid w:val="005D7940"/>
    <w:rsid w:val="005D7BA8"/>
    <w:rsid w:val="005D7BD7"/>
    <w:rsid w:val="005D7C45"/>
    <w:rsid w:val="005D7D1B"/>
    <w:rsid w:val="005D7DE4"/>
    <w:rsid w:val="005E084A"/>
    <w:rsid w:val="005E0DD4"/>
    <w:rsid w:val="005E0F13"/>
    <w:rsid w:val="005E22DB"/>
    <w:rsid w:val="005E2A7C"/>
    <w:rsid w:val="005E2C85"/>
    <w:rsid w:val="005E2FAC"/>
    <w:rsid w:val="005E3421"/>
    <w:rsid w:val="005E368F"/>
    <w:rsid w:val="005E4100"/>
    <w:rsid w:val="005E4A6C"/>
    <w:rsid w:val="005E547E"/>
    <w:rsid w:val="005E560C"/>
    <w:rsid w:val="005E5DA1"/>
    <w:rsid w:val="005E5EA7"/>
    <w:rsid w:val="005E60C9"/>
    <w:rsid w:val="005E6297"/>
    <w:rsid w:val="005E69D4"/>
    <w:rsid w:val="005E6C11"/>
    <w:rsid w:val="005E6FD3"/>
    <w:rsid w:val="005E76BF"/>
    <w:rsid w:val="005E7A6B"/>
    <w:rsid w:val="005E7CD7"/>
    <w:rsid w:val="005E7FA4"/>
    <w:rsid w:val="005E7FCB"/>
    <w:rsid w:val="005F031C"/>
    <w:rsid w:val="005F08D7"/>
    <w:rsid w:val="005F0F96"/>
    <w:rsid w:val="005F1276"/>
    <w:rsid w:val="005F12DA"/>
    <w:rsid w:val="005F18B7"/>
    <w:rsid w:val="005F1A85"/>
    <w:rsid w:val="005F211E"/>
    <w:rsid w:val="005F2E00"/>
    <w:rsid w:val="005F30BB"/>
    <w:rsid w:val="005F328C"/>
    <w:rsid w:val="005F3FE8"/>
    <w:rsid w:val="005F5373"/>
    <w:rsid w:val="005F578C"/>
    <w:rsid w:val="005F58DA"/>
    <w:rsid w:val="005F5A51"/>
    <w:rsid w:val="005F5F82"/>
    <w:rsid w:val="005F6870"/>
    <w:rsid w:val="005F7144"/>
    <w:rsid w:val="005F74B3"/>
    <w:rsid w:val="005F761A"/>
    <w:rsid w:val="005F7AF8"/>
    <w:rsid w:val="005F7D7D"/>
    <w:rsid w:val="005F7E6F"/>
    <w:rsid w:val="00600094"/>
    <w:rsid w:val="00600BF4"/>
    <w:rsid w:val="00601029"/>
    <w:rsid w:val="006016F6"/>
    <w:rsid w:val="00602082"/>
    <w:rsid w:val="006021A9"/>
    <w:rsid w:val="006026ED"/>
    <w:rsid w:val="00602900"/>
    <w:rsid w:val="00602A8D"/>
    <w:rsid w:val="0060321B"/>
    <w:rsid w:val="00603608"/>
    <w:rsid w:val="00603AC4"/>
    <w:rsid w:val="006042BC"/>
    <w:rsid w:val="00605003"/>
    <w:rsid w:val="006056A6"/>
    <w:rsid w:val="00605738"/>
    <w:rsid w:val="00605855"/>
    <w:rsid w:val="006058E8"/>
    <w:rsid w:val="00605A69"/>
    <w:rsid w:val="00605C04"/>
    <w:rsid w:val="00605F7F"/>
    <w:rsid w:val="00606138"/>
    <w:rsid w:val="00606D91"/>
    <w:rsid w:val="00606DFF"/>
    <w:rsid w:val="00606EC2"/>
    <w:rsid w:val="00606F15"/>
    <w:rsid w:val="00606FBA"/>
    <w:rsid w:val="006071CC"/>
    <w:rsid w:val="00607488"/>
    <w:rsid w:val="00607EFB"/>
    <w:rsid w:val="0061042F"/>
    <w:rsid w:val="006106FA"/>
    <w:rsid w:val="006107B7"/>
    <w:rsid w:val="0061113B"/>
    <w:rsid w:val="00611141"/>
    <w:rsid w:val="00611802"/>
    <w:rsid w:val="006121B4"/>
    <w:rsid w:val="0061224C"/>
    <w:rsid w:val="00612D55"/>
    <w:rsid w:val="00613678"/>
    <w:rsid w:val="006143FB"/>
    <w:rsid w:val="00614ED1"/>
    <w:rsid w:val="00615164"/>
    <w:rsid w:val="0061572B"/>
    <w:rsid w:val="00615D81"/>
    <w:rsid w:val="00615E03"/>
    <w:rsid w:val="00616D97"/>
    <w:rsid w:val="00616F90"/>
    <w:rsid w:val="00620976"/>
    <w:rsid w:val="00620B1B"/>
    <w:rsid w:val="00620C26"/>
    <w:rsid w:val="00620F78"/>
    <w:rsid w:val="00621228"/>
    <w:rsid w:val="00621A17"/>
    <w:rsid w:val="006226EB"/>
    <w:rsid w:val="00622B3C"/>
    <w:rsid w:val="00622D0C"/>
    <w:rsid w:val="00622DDE"/>
    <w:rsid w:val="00623208"/>
    <w:rsid w:val="00623902"/>
    <w:rsid w:val="00624192"/>
    <w:rsid w:val="00624AA7"/>
    <w:rsid w:val="00624D75"/>
    <w:rsid w:val="00624FEA"/>
    <w:rsid w:val="00625958"/>
    <w:rsid w:val="006263A4"/>
    <w:rsid w:val="0062712C"/>
    <w:rsid w:val="0062780E"/>
    <w:rsid w:val="00627EE0"/>
    <w:rsid w:val="00630175"/>
    <w:rsid w:val="0063064A"/>
    <w:rsid w:val="00630B4C"/>
    <w:rsid w:val="00630DA6"/>
    <w:rsid w:val="00630FBF"/>
    <w:rsid w:val="00631641"/>
    <w:rsid w:val="00631CCC"/>
    <w:rsid w:val="00633FAF"/>
    <w:rsid w:val="00634136"/>
    <w:rsid w:val="00634756"/>
    <w:rsid w:val="00634AB7"/>
    <w:rsid w:val="00634ABF"/>
    <w:rsid w:val="0063618B"/>
    <w:rsid w:val="0063619F"/>
    <w:rsid w:val="006366E2"/>
    <w:rsid w:val="00637386"/>
    <w:rsid w:val="00637902"/>
    <w:rsid w:val="006379AE"/>
    <w:rsid w:val="00637AEC"/>
    <w:rsid w:val="006400CB"/>
    <w:rsid w:val="0064160D"/>
    <w:rsid w:val="00641D00"/>
    <w:rsid w:val="00642A5A"/>
    <w:rsid w:val="006436F7"/>
    <w:rsid w:val="00643754"/>
    <w:rsid w:val="006437B9"/>
    <w:rsid w:val="00643808"/>
    <w:rsid w:val="00643F9D"/>
    <w:rsid w:val="00644019"/>
    <w:rsid w:val="006443C1"/>
    <w:rsid w:val="0064487F"/>
    <w:rsid w:val="00645374"/>
    <w:rsid w:val="006453AD"/>
    <w:rsid w:val="006457DF"/>
    <w:rsid w:val="00645D6C"/>
    <w:rsid w:val="00646F03"/>
    <w:rsid w:val="006470A9"/>
    <w:rsid w:val="006473C8"/>
    <w:rsid w:val="00647624"/>
    <w:rsid w:val="00650B1C"/>
    <w:rsid w:val="006513FC"/>
    <w:rsid w:val="0065178E"/>
    <w:rsid w:val="00651950"/>
    <w:rsid w:val="00651D54"/>
    <w:rsid w:val="00651D7F"/>
    <w:rsid w:val="00651EFE"/>
    <w:rsid w:val="006523AD"/>
    <w:rsid w:val="0065268F"/>
    <w:rsid w:val="00652B6F"/>
    <w:rsid w:val="00652CFE"/>
    <w:rsid w:val="00652DED"/>
    <w:rsid w:val="00653298"/>
    <w:rsid w:val="00653607"/>
    <w:rsid w:val="00653D85"/>
    <w:rsid w:val="006546AD"/>
    <w:rsid w:val="00654C3E"/>
    <w:rsid w:val="00654EE9"/>
    <w:rsid w:val="00655E55"/>
    <w:rsid w:val="0065613D"/>
    <w:rsid w:val="006567E8"/>
    <w:rsid w:val="00656F4A"/>
    <w:rsid w:val="006573AE"/>
    <w:rsid w:val="00657B57"/>
    <w:rsid w:val="0066008C"/>
    <w:rsid w:val="0066168B"/>
    <w:rsid w:val="00661B69"/>
    <w:rsid w:val="00662DAB"/>
    <w:rsid w:val="00662F7D"/>
    <w:rsid w:val="00663658"/>
    <w:rsid w:val="0066371D"/>
    <w:rsid w:val="0066401E"/>
    <w:rsid w:val="00664397"/>
    <w:rsid w:val="00664B55"/>
    <w:rsid w:val="00665008"/>
    <w:rsid w:val="0066507A"/>
    <w:rsid w:val="006652FC"/>
    <w:rsid w:val="00665516"/>
    <w:rsid w:val="0066575C"/>
    <w:rsid w:val="00665F99"/>
    <w:rsid w:val="00666A04"/>
    <w:rsid w:val="00666A4B"/>
    <w:rsid w:val="00666C02"/>
    <w:rsid w:val="006710C7"/>
    <w:rsid w:val="00671DF5"/>
    <w:rsid w:val="006724B2"/>
    <w:rsid w:val="006728C9"/>
    <w:rsid w:val="006728D6"/>
    <w:rsid w:val="006731BD"/>
    <w:rsid w:val="006731E1"/>
    <w:rsid w:val="00673253"/>
    <w:rsid w:val="00673950"/>
    <w:rsid w:val="006744CE"/>
    <w:rsid w:val="0067476A"/>
    <w:rsid w:val="006749E8"/>
    <w:rsid w:val="00674B87"/>
    <w:rsid w:val="00675545"/>
    <w:rsid w:val="006756CE"/>
    <w:rsid w:val="00675B41"/>
    <w:rsid w:val="00675C70"/>
    <w:rsid w:val="0067644A"/>
    <w:rsid w:val="006776BA"/>
    <w:rsid w:val="006777D7"/>
    <w:rsid w:val="0068002A"/>
    <w:rsid w:val="00680D16"/>
    <w:rsid w:val="00680E42"/>
    <w:rsid w:val="00681362"/>
    <w:rsid w:val="0068198A"/>
    <w:rsid w:val="00681C89"/>
    <w:rsid w:val="0068237D"/>
    <w:rsid w:val="00682F0F"/>
    <w:rsid w:val="00682FFB"/>
    <w:rsid w:val="00683237"/>
    <w:rsid w:val="006832E2"/>
    <w:rsid w:val="00683F77"/>
    <w:rsid w:val="0068401D"/>
    <w:rsid w:val="0068402E"/>
    <w:rsid w:val="006846C2"/>
    <w:rsid w:val="00684F5A"/>
    <w:rsid w:val="00685290"/>
    <w:rsid w:val="00685299"/>
    <w:rsid w:val="00685583"/>
    <w:rsid w:val="00685713"/>
    <w:rsid w:val="006859E9"/>
    <w:rsid w:val="00686090"/>
    <w:rsid w:val="00686755"/>
    <w:rsid w:val="006877AB"/>
    <w:rsid w:val="00687876"/>
    <w:rsid w:val="00687982"/>
    <w:rsid w:val="0069066D"/>
    <w:rsid w:val="0069094F"/>
    <w:rsid w:val="006909D8"/>
    <w:rsid w:val="00690D9B"/>
    <w:rsid w:val="00691601"/>
    <w:rsid w:val="006923EF"/>
    <w:rsid w:val="00693AAB"/>
    <w:rsid w:val="006941F8"/>
    <w:rsid w:val="0069446C"/>
    <w:rsid w:val="0069461A"/>
    <w:rsid w:val="0069493D"/>
    <w:rsid w:val="00695457"/>
    <w:rsid w:val="00695A90"/>
    <w:rsid w:val="00695DFD"/>
    <w:rsid w:val="00695FA6"/>
    <w:rsid w:val="00697325"/>
    <w:rsid w:val="00697F85"/>
    <w:rsid w:val="006A0E62"/>
    <w:rsid w:val="006A13B4"/>
    <w:rsid w:val="006A13BB"/>
    <w:rsid w:val="006A1430"/>
    <w:rsid w:val="006A1830"/>
    <w:rsid w:val="006A1A05"/>
    <w:rsid w:val="006A1B4E"/>
    <w:rsid w:val="006A1BAD"/>
    <w:rsid w:val="006A1C43"/>
    <w:rsid w:val="006A2245"/>
    <w:rsid w:val="006A241F"/>
    <w:rsid w:val="006A2764"/>
    <w:rsid w:val="006A2E91"/>
    <w:rsid w:val="006A37F6"/>
    <w:rsid w:val="006A3D67"/>
    <w:rsid w:val="006A3FFC"/>
    <w:rsid w:val="006A41D1"/>
    <w:rsid w:val="006A4684"/>
    <w:rsid w:val="006A5107"/>
    <w:rsid w:val="006A5793"/>
    <w:rsid w:val="006A5E92"/>
    <w:rsid w:val="006A6A06"/>
    <w:rsid w:val="006A6AB2"/>
    <w:rsid w:val="006B00AB"/>
    <w:rsid w:val="006B0916"/>
    <w:rsid w:val="006B1442"/>
    <w:rsid w:val="006B1586"/>
    <w:rsid w:val="006B218A"/>
    <w:rsid w:val="006B2231"/>
    <w:rsid w:val="006B2569"/>
    <w:rsid w:val="006B2ADE"/>
    <w:rsid w:val="006B2E86"/>
    <w:rsid w:val="006B30F7"/>
    <w:rsid w:val="006B4049"/>
    <w:rsid w:val="006B4135"/>
    <w:rsid w:val="006B4224"/>
    <w:rsid w:val="006B4538"/>
    <w:rsid w:val="006B467B"/>
    <w:rsid w:val="006B4762"/>
    <w:rsid w:val="006B5657"/>
    <w:rsid w:val="006B5A1E"/>
    <w:rsid w:val="006B5A95"/>
    <w:rsid w:val="006B6A3F"/>
    <w:rsid w:val="006B6E36"/>
    <w:rsid w:val="006B7170"/>
    <w:rsid w:val="006B780A"/>
    <w:rsid w:val="006B7E77"/>
    <w:rsid w:val="006C0206"/>
    <w:rsid w:val="006C12EC"/>
    <w:rsid w:val="006C1A05"/>
    <w:rsid w:val="006C1A3C"/>
    <w:rsid w:val="006C1ACB"/>
    <w:rsid w:val="006C2476"/>
    <w:rsid w:val="006C2711"/>
    <w:rsid w:val="006C279C"/>
    <w:rsid w:val="006C288D"/>
    <w:rsid w:val="006C28A7"/>
    <w:rsid w:val="006C2E0F"/>
    <w:rsid w:val="006C344D"/>
    <w:rsid w:val="006C347D"/>
    <w:rsid w:val="006C35D4"/>
    <w:rsid w:val="006C35FD"/>
    <w:rsid w:val="006C3838"/>
    <w:rsid w:val="006C42C7"/>
    <w:rsid w:val="006C4580"/>
    <w:rsid w:val="006C467F"/>
    <w:rsid w:val="006C486C"/>
    <w:rsid w:val="006C4907"/>
    <w:rsid w:val="006C4B16"/>
    <w:rsid w:val="006C4BFD"/>
    <w:rsid w:val="006C4D07"/>
    <w:rsid w:val="006C4EF6"/>
    <w:rsid w:val="006C5D82"/>
    <w:rsid w:val="006C5E4A"/>
    <w:rsid w:val="006C6E59"/>
    <w:rsid w:val="006C721D"/>
    <w:rsid w:val="006C7316"/>
    <w:rsid w:val="006C751C"/>
    <w:rsid w:val="006C788A"/>
    <w:rsid w:val="006D00DE"/>
    <w:rsid w:val="006D059F"/>
    <w:rsid w:val="006D0986"/>
    <w:rsid w:val="006D0C93"/>
    <w:rsid w:val="006D0DC4"/>
    <w:rsid w:val="006D1643"/>
    <w:rsid w:val="006D1A08"/>
    <w:rsid w:val="006D2015"/>
    <w:rsid w:val="006D2396"/>
    <w:rsid w:val="006D3283"/>
    <w:rsid w:val="006D348F"/>
    <w:rsid w:val="006D3E93"/>
    <w:rsid w:val="006D4921"/>
    <w:rsid w:val="006D4938"/>
    <w:rsid w:val="006D4AD9"/>
    <w:rsid w:val="006D5820"/>
    <w:rsid w:val="006D5DB2"/>
    <w:rsid w:val="006D5EF2"/>
    <w:rsid w:val="006D6370"/>
    <w:rsid w:val="006D67D2"/>
    <w:rsid w:val="006D68B8"/>
    <w:rsid w:val="006D71D5"/>
    <w:rsid w:val="006D7473"/>
    <w:rsid w:val="006D7B05"/>
    <w:rsid w:val="006E05CC"/>
    <w:rsid w:val="006E0856"/>
    <w:rsid w:val="006E09FA"/>
    <w:rsid w:val="006E1F4B"/>
    <w:rsid w:val="006E235A"/>
    <w:rsid w:val="006E264B"/>
    <w:rsid w:val="006E2F57"/>
    <w:rsid w:val="006E38AF"/>
    <w:rsid w:val="006E3BD6"/>
    <w:rsid w:val="006E41C1"/>
    <w:rsid w:val="006E5416"/>
    <w:rsid w:val="006E54EA"/>
    <w:rsid w:val="006E5844"/>
    <w:rsid w:val="006E598F"/>
    <w:rsid w:val="006E5CF3"/>
    <w:rsid w:val="006E608D"/>
    <w:rsid w:val="006E6451"/>
    <w:rsid w:val="006E70EF"/>
    <w:rsid w:val="006E78D1"/>
    <w:rsid w:val="006E7C0A"/>
    <w:rsid w:val="006E7C3D"/>
    <w:rsid w:val="006F02CA"/>
    <w:rsid w:val="006F0AFF"/>
    <w:rsid w:val="006F1367"/>
    <w:rsid w:val="006F149E"/>
    <w:rsid w:val="006F14B6"/>
    <w:rsid w:val="006F1C4F"/>
    <w:rsid w:val="006F2017"/>
    <w:rsid w:val="006F2636"/>
    <w:rsid w:val="006F3F45"/>
    <w:rsid w:val="006F4436"/>
    <w:rsid w:val="006F46C2"/>
    <w:rsid w:val="006F4992"/>
    <w:rsid w:val="006F4C15"/>
    <w:rsid w:val="006F4E27"/>
    <w:rsid w:val="006F537B"/>
    <w:rsid w:val="006F7973"/>
    <w:rsid w:val="006F79EB"/>
    <w:rsid w:val="00700E2F"/>
    <w:rsid w:val="00700F9D"/>
    <w:rsid w:val="007010F6"/>
    <w:rsid w:val="00701655"/>
    <w:rsid w:val="007029CC"/>
    <w:rsid w:val="00703650"/>
    <w:rsid w:val="00703701"/>
    <w:rsid w:val="00704423"/>
    <w:rsid w:val="0070582B"/>
    <w:rsid w:val="00705F9E"/>
    <w:rsid w:val="007063EA"/>
    <w:rsid w:val="00706E9C"/>
    <w:rsid w:val="007076C6"/>
    <w:rsid w:val="007078E7"/>
    <w:rsid w:val="00707EE6"/>
    <w:rsid w:val="00710128"/>
    <w:rsid w:val="00710CD3"/>
    <w:rsid w:val="00710CF7"/>
    <w:rsid w:val="00710DC7"/>
    <w:rsid w:val="00711099"/>
    <w:rsid w:val="00711431"/>
    <w:rsid w:val="00712770"/>
    <w:rsid w:val="00712BF2"/>
    <w:rsid w:val="00713702"/>
    <w:rsid w:val="00713C1D"/>
    <w:rsid w:val="00713D85"/>
    <w:rsid w:val="00714343"/>
    <w:rsid w:val="00714845"/>
    <w:rsid w:val="00714A2F"/>
    <w:rsid w:val="007157ED"/>
    <w:rsid w:val="0071618C"/>
    <w:rsid w:val="00716416"/>
    <w:rsid w:val="00716915"/>
    <w:rsid w:val="00716BA9"/>
    <w:rsid w:val="00716CE2"/>
    <w:rsid w:val="00717310"/>
    <w:rsid w:val="00717361"/>
    <w:rsid w:val="00717A0B"/>
    <w:rsid w:val="00717D69"/>
    <w:rsid w:val="00717EDE"/>
    <w:rsid w:val="00717F45"/>
    <w:rsid w:val="007205AB"/>
    <w:rsid w:val="00720718"/>
    <w:rsid w:val="00720EFE"/>
    <w:rsid w:val="007212FF"/>
    <w:rsid w:val="00722201"/>
    <w:rsid w:val="0072339C"/>
    <w:rsid w:val="0072355B"/>
    <w:rsid w:val="0072373C"/>
    <w:rsid w:val="00723D42"/>
    <w:rsid w:val="00723D61"/>
    <w:rsid w:val="007241DA"/>
    <w:rsid w:val="00724695"/>
    <w:rsid w:val="00725105"/>
    <w:rsid w:val="00725621"/>
    <w:rsid w:val="00725875"/>
    <w:rsid w:val="0072608A"/>
    <w:rsid w:val="007261C8"/>
    <w:rsid w:val="00726401"/>
    <w:rsid w:val="00726F4E"/>
    <w:rsid w:val="007272E3"/>
    <w:rsid w:val="00727352"/>
    <w:rsid w:val="00727E51"/>
    <w:rsid w:val="00730000"/>
    <w:rsid w:val="00730028"/>
    <w:rsid w:val="00730108"/>
    <w:rsid w:val="007306C2"/>
    <w:rsid w:val="00730F94"/>
    <w:rsid w:val="00731F5D"/>
    <w:rsid w:val="0073211E"/>
    <w:rsid w:val="007324AF"/>
    <w:rsid w:val="007328D0"/>
    <w:rsid w:val="007330FA"/>
    <w:rsid w:val="00733EE7"/>
    <w:rsid w:val="007342C8"/>
    <w:rsid w:val="00734934"/>
    <w:rsid w:val="00734D85"/>
    <w:rsid w:val="00734EE4"/>
    <w:rsid w:val="0073516F"/>
    <w:rsid w:val="0073517D"/>
    <w:rsid w:val="00735C16"/>
    <w:rsid w:val="00736AEA"/>
    <w:rsid w:val="00736BA2"/>
    <w:rsid w:val="00736D0C"/>
    <w:rsid w:val="007371F2"/>
    <w:rsid w:val="007371F3"/>
    <w:rsid w:val="00737340"/>
    <w:rsid w:val="007373D8"/>
    <w:rsid w:val="007374DC"/>
    <w:rsid w:val="007375AF"/>
    <w:rsid w:val="007375E5"/>
    <w:rsid w:val="00737A29"/>
    <w:rsid w:val="00737AC0"/>
    <w:rsid w:val="00737B35"/>
    <w:rsid w:val="00737E39"/>
    <w:rsid w:val="0074001B"/>
    <w:rsid w:val="007404AD"/>
    <w:rsid w:val="0074126E"/>
    <w:rsid w:val="0074135A"/>
    <w:rsid w:val="0074163D"/>
    <w:rsid w:val="00741F2F"/>
    <w:rsid w:val="007437A8"/>
    <w:rsid w:val="00743B34"/>
    <w:rsid w:val="007441EA"/>
    <w:rsid w:val="007452DC"/>
    <w:rsid w:val="0074596D"/>
    <w:rsid w:val="00746419"/>
    <w:rsid w:val="00747438"/>
    <w:rsid w:val="00747668"/>
    <w:rsid w:val="00750C57"/>
    <w:rsid w:val="00751615"/>
    <w:rsid w:val="0075199B"/>
    <w:rsid w:val="007528BA"/>
    <w:rsid w:val="0075298B"/>
    <w:rsid w:val="0075311B"/>
    <w:rsid w:val="007532E4"/>
    <w:rsid w:val="007539B7"/>
    <w:rsid w:val="00753B04"/>
    <w:rsid w:val="00754685"/>
    <w:rsid w:val="00754B28"/>
    <w:rsid w:val="00754D77"/>
    <w:rsid w:val="00754DAE"/>
    <w:rsid w:val="00754FA3"/>
    <w:rsid w:val="00755778"/>
    <w:rsid w:val="007561B4"/>
    <w:rsid w:val="007563CE"/>
    <w:rsid w:val="00756AC9"/>
    <w:rsid w:val="00756CA6"/>
    <w:rsid w:val="00757060"/>
    <w:rsid w:val="007570A9"/>
    <w:rsid w:val="0075718B"/>
    <w:rsid w:val="0075797D"/>
    <w:rsid w:val="00757DF8"/>
    <w:rsid w:val="00760A82"/>
    <w:rsid w:val="007610B4"/>
    <w:rsid w:val="0076166E"/>
    <w:rsid w:val="00761F42"/>
    <w:rsid w:val="00761FAE"/>
    <w:rsid w:val="00762232"/>
    <w:rsid w:val="00762370"/>
    <w:rsid w:val="00763D8C"/>
    <w:rsid w:val="00764F8D"/>
    <w:rsid w:val="00765276"/>
    <w:rsid w:val="00765933"/>
    <w:rsid w:val="007659A4"/>
    <w:rsid w:val="00766164"/>
    <w:rsid w:val="0076670D"/>
    <w:rsid w:val="00767089"/>
    <w:rsid w:val="007675DE"/>
    <w:rsid w:val="00767697"/>
    <w:rsid w:val="00767952"/>
    <w:rsid w:val="00770220"/>
    <w:rsid w:val="0077031C"/>
    <w:rsid w:val="007708C3"/>
    <w:rsid w:val="00771450"/>
    <w:rsid w:val="007715A0"/>
    <w:rsid w:val="007718EC"/>
    <w:rsid w:val="00771933"/>
    <w:rsid w:val="007720FC"/>
    <w:rsid w:val="00772F16"/>
    <w:rsid w:val="0077308A"/>
    <w:rsid w:val="007737FC"/>
    <w:rsid w:val="00773C0D"/>
    <w:rsid w:val="00773F5B"/>
    <w:rsid w:val="00773FD9"/>
    <w:rsid w:val="00774228"/>
    <w:rsid w:val="00774355"/>
    <w:rsid w:val="007755B6"/>
    <w:rsid w:val="007756CF"/>
    <w:rsid w:val="00775F57"/>
    <w:rsid w:val="0077791E"/>
    <w:rsid w:val="00777CD9"/>
    <w:rsid w:val="00780ADB"/>
    <w:rsid w:val="00781CE4"/>
    <w:rsid w:val="007839D7"/>
    <w:rsid w:val="00784440"/>
    <w:rsid w:val="00784853"/>
    <w:rsid w:val="00784C5D"/>
    <w:rsid w:val="00784FF3"/>
    <w:rsid w:val="007853BC"/>
    <w:rsid w:val="007853DF"/>
    <w:rsid w:val="0078587D"/>
    <w:rsid w:val="00786049"/>
    <w:rsid w:val="007862CA"/>
    <w:rsid w:val="007864A3"/>
    <w:rsid w:val="00786798"/>
    <w:rsid w:val="00786C06"/>
    <w:rsid w:val="0078756D"/>
    <w:rsid w:val="007879E4"/>
    <w:rsid w:val="00787F6A"/>
    <w:rsid w:val="00790819"/>
    <w:rsid w:val="0079083D"/>
    <w:rsid w:val="0079125D"/>
    <w:rsid w:val="007913FD"/>
    <w:rsid w:val="0079192E"/>
    <w:rsid w:val="007935CB"/>
    <w:rsid w:val="007939CD"/>
    <w:rsid w:val="00793C01"/>
    <w:rsid w:val="00793E5A"/>
    <w:rsid w:val="00795451"/>
    <w:rsid w:val="00795509"/>
    <w:rsid w:val="00795A3B"/>
    <w:rsid w:val="00795E89"/>
    <w:rsid w:val="007964B2"/>
    <w:rsid w:val="0079692F"/>
    <w:rsid w:val="00796AE5"/>
    <w:rsid w:val="0079753E"/>
    <w:rsid w:val="00797A53"/>
    <w:rsid w:val="00797E86"/>
    <w:rsid w:val="007A00C9"/>
    <w:rsid w:val="007A0114"/>
    <w:rsid w:val="007A057D"/>
    <w:rsid w:val="007A072D"/>
    <w:rsid w:val="007A0EE0"/>
    <w:rsid w:val="007A0F5E"/>
    <w:rsid w:val="007A1B0D"/>
    <w:rsid w:val="007A1E1F"/>
    <w:rsid w:val="007A20CB"/>
    <w:rsid w:val="007A2453"/>
    <w:rsid w:val="007A2A74"/>
    <w:rsid w:val="007A3813"/>
    <w:rsid w:val="007A3B07"/>
    <w:rsid w:val="007A3B1D"/>
    <w:rsid w:val="007A4497"/>
    <w:rsid w:val="007A4D83"/>
    <w:rsid w:val="007A5924"/>
    <w:rsid w:val="007A6ECD"/>
    <w:rsid w:val="007A76A4"/>
    <w:rsid w:val="007A7A0B"/>
    <w:rsid w:val="007B0289"/>
    <w:rsid w:val="007B02B8"/>
    <w:rsid w:val="007B130D"/>
    <w:rsid w:val="007B1C12"/>
    <w:rsid w:val="007B20E0"/>
    <w:rsid w:val="007B21A5"/>
    <w:rsid w:val="007B2AE4"/>
    <w:rsid w:val="007B3384"/>
    <w:rsid w:val="007B40EE"/>
    <w:rsid w:val="007B499C"/>
    <w:rsid w:val="007B4E26"/>
    <w:rsid w:val="007B52CC"/>
    <w:rsid w:val="007B5442"/>
    <w:rsid w:val="007B57B2"/>
    <w:rsid w:val="007B596C"/>
    <w:rsid w:val="007B5AE5"/>
    <w:rsid w:val="007B5DF2"/>
    <w:rsid w:val="007B65F9"/>
    <w:rsid w:val="007B6C08"/>
    <w:rsid w:val="007B6E39"/>
    <w:rsid w:val="007B7BA3"/>
    <w:rsid w:val="007C0477"/>
    <w:rsid w:val="007C06D6"/>
    <w:rsid w:val="007C1626"/>
    <w:rsid w:val="007C26EA"/>
    <w:rsid w:val="007C31AC"/>
    <w:rsid w:val="007C349A"/>
    <w:rsid w:val="007C3E60"/>
    <w:rsid w:val="007C4518"/>
    <w:rsid w:val="007C477A"/>
    <w:rsid w:val="007C483D"/>
    <w:rsid w:val="007C489D"/>
    <w:rsid w:val="007C4B0F"/>
    <w:rsid w:val="007C4BF2"/>
    <w:rsid w:val="007C526B"/>
    <w:rsid w:val="007C5BAC"/>
    <w:rsid w:val="007C5C94"/>
    <w:rsid w:val="007C6524"/>
    <w:rsid w:val="007C772A"/>
    <w:rsid w:val="007D0755"/>
    <w:rsid w:val="007D08BF"/>
    <w:rsid w:val="007D0ABD"/>
    <w:rsid w:val="007D18AC"/>
    <w:rsid w:val="007D1B30"/>
    <w:rsid w:val="007D1B8F"/>
    <w:rsid w:val="007D1C68"/>
    <w:rsid w:val="007D1CE9"/>
    <w:rsid w:val="007D1E3C"/>
    <w:rsid w:val="007D2224"/>
    <w:rsid w:val="007D340F"/>
    <w:rsid w:val="007D3CD4"/>
    <w:rsid w:val="007D4B86"/>
    <w:rsid w:val="007D4D4D"/>
    <w:rsid w:val="007D586C"/>
    <w:rsid w:val="007D5915"/>
    <w:rsid w:val="007D6AE6"/>
    <w:rsid w:val="007D72D3"/>
    <w:rsid w:val="007D7A0E"/>
    <w:rsid w:val="007D7B55"/>
    <w:rsid w:val="007D7C33"/>
    <w:rsid w:val="007E0A44"/>
    <w:rsid w:val="007E1238"/>
    <w:rsid w:val="007E14BD"/>
    <w:rsid w:val="007E1539"/>
    <w:rsid w:val="007E1D96"/>
    <w:rsid w:val="007E1DD3"/>
    <w:rsid w:val="007E2DD8"/>
    <w:rsid w:val="007E2E33"/>
    <w:rsid w:val="007E383A"/>
    <w:rsid w:val="007E394E"/>
    <w:rsid w:val="007E3AE4"/>
    <w:rsid w:val="007E4761"/>
    <w:rsid w:val="007E4A15"/>
    <w:rsid w:val="007E4A5C"/>
    <w:rsid w:val="007E5A8B"/>
    <w:rsid w:val="007E5F58"/>
    <w:rsid w:val="007E6281"/>
    <w:rsid w:val="007E6434"/>
    <w:rsid w:val="007E6799"/>
    <w:rsid w:val="007E6AE0"/>
    <w:rsid w:val="007E6D7A"/>
    <w:rsid w:val="007E6FBE"/>
    <w:rsid w:val="007F009B"/>
    <w:rsid w:val="007F0906"/>
    <w:rsid w:val="007F0E69"/>
    <w:rsid w:val="007F1B11"/>
    <w:rsid w:val="007F25B2"/>
    <w:rsid w:val="007F2644"/>
    <w:rsid w:val="007F3441"/>
    <w:rsid w:val="007F362E"/>
    <w:rsid w:val="007F3A2B"/>
    <w:rsid w:val="007F3D74"/>
    <w:rsid w:val="007F477B"/>
    <w:rsid w:val="007F5063"/>
    <w:rsid w:val="007F50D5"/>
    <w:rsid w:val="007F5228"/>
    <w:rsid w:val="007F5349"/>
    <w:rsid w:val="007F598A"/>
    <w:rsid w:val="007F6C1B"/>
    <w:rsid w:val="007F729E"/>
    <w:rsid w:val="007F7C7E"/>
    <w:rsid w:val="008002D8"/>
    <w:rsid w:val="008017C7"/>
    <w:rsid w:val="008025B8"/>
    <w:rsid w:val="00802E67"/>
    <w:rsid w:val="00803687"/>
    <w:rsid w:val="00803AC8"/>
    <w:rsid w:val="00803B07"/>
    <w:rsid w:val="00804026"/>
    <w:rsid w:val="00804283"/>
    <w:rsid w:val="00804C4A"/>
    <w:rsid w:val="00804CAD"/>
    <w:rsid w:val="00804D84"/>
    <w:rsid w:val="00805384"/>
    <w:rsid w:val="00805842"/>
    <w:rsid w:val="008060FE"/>
    <w:rsid w:val="0080641B"/>
    <w:rsid w:val="00806433"/>
    <w:rsid w:val="008066F1"/>
    <w:rsid w:val="00806A6A"/>
    <w:rsid w:val="00806F6D"/>
    <w:rsid w:val="00807446"/>
    <w:rsid w:val="00807762"/>
    <w:rsid w:val="0080781E"/>
    <w:rsid w:val="00807C8D"/>
    <w:rsid w:val="008104BC"/>
    <w:rsid w:val="0081106B"/>
    <w:rsid w:val="008110F5"/>
    <w:rsid w:val="00811C0A"/>
    <w:rsid w:val="00811C22"/>
    <w:rsid w:val="00811ED5"/>
    <w:rsid w:val="008122FC"/>
    <w:rsid w:val="0081235E"/>
    <w:rsid w:val="008125C2"/>
    <w:rsid w:val="008128B7"/>
    <w:rsid w:val="00812CA8"/>
    <w:rsid w:val="00814980"/>
    <w:rsid w:val="008150F5"/>
    <w:rsid w:val="008151BA"/>
    <w:rsid w:val="0081614A"/>
    <w:rsid w:val="00816D65"/>
    <w:rsid w:val="0081719B"/>
    <w:rsid w:val="0081732E"/>
    <w:rsid w:val="0081739D"/>
    <w:rsid w:val="00817894"/>
    <w:rsid w:val="00820DA5"/>
    <w:rsid w:val="00820DCB"/>
    <w:rsid w:val="008225B3"/>
    <w:rsid w:val="0082276E"/>
    <w:rsid w:val="00822B14"/>
    <w:rsid w:val="00822BE7"/>
    <w:rsid w:val="008235C8"/>
    <w:rsid w:val="00823902"/>
    <w:rsid w:val="00824795"/>
    <w:rsid w:val="00824B79"/>
    <w:rsid w:val="0082550A"/>
    <w:rsid w:val="00825B72"/>
    <w:rsid w:val="0082731F"/>
    <w:rsid w:val="00827CA5"/>
    <w:rsid w:val="00827D23"/>
    <w:rsid w:val="00827DD8"/>
    <w:rsid w:val="008306A4"/>
    <w:rsid w:val="00830858"/>
    <w:rsid w:val="00830CDD"/>
    <w:rsid w:val="00830F13"/>
    <w:rsid w:val="0083103E"/>
    <w:rsid w:val="008313E8"/>
    <w:rsid w:val="00831A47"/>
    <w:rsid w:val="00831B61"/>
    <w:rsid w:val="00831DF3"/>
    <w:rsid w:val="008322BF"/>
    <w:rsid w:val="00832488"/>
    <w:rsid w:val="008327E6"/>
    <w:rsid w:val="008328E2"/>
    <w:rsid w:val="00832A48"/>
    <w:rsid w:val="00832C5F"/>
    <w:rsid w:val="0083488C"/>
    <w:rsid w:val="00834A3A"/>
    <w:rsid w:val="00834D3C"/>
    <w:rsid w:val="00835138"/>
    <w:rsid w:val="00835EE2"/>
    <w:rsid w:val="0083625F"/>
    <w:rsid w:val="00836F6F"/>
    <w:rsid w:val="008371B3"/>
    <w:rsid w:val="00837651"/>
    <w:rsid w:val="00837999"/>
    <w:rsid w:val="008402A0"/>
    <w:rsid w:val="0084090A"/>
    <w:rsid w:val="008409A9"/>
    <w:rsid w:val="00840E40"/>
    <w:rsid w:val="0084163C"/>
    <w:rsid w:val="008416C4"/>
    <w:rsid w:val="008418BD"/>
    <w:rsid w:val="00841D5B"/>
    <w:rsid w:val="00841F65"/>
    <w:rsid w:val="00841FAA"/>
    <w:rsid w:val="00842201"/>
    <w:rsid w:val="00842BE0"/>
    <w:rsid w:val="008432E7"/>
    <w:rsid w:val="00843442"/>
    <w:rsid w:val="0084366A"/>
    <w:rsid w:val="00843A0F"/>
    <w:rsid w:val="00843AC3"/>
    <w:rsid w:val="00843B59"/>
    <w:rsid w:val="00843C1D"/>
    <w:rsid w:val="008442FF"/>
    <w:rsid w:val="00844362"/>
    <w:rsid w:val="008445ED"/>
    <w:rsid w:val="00844D40"/>
    <w:rsid w:val="0084522E"/>
    <w:rsid w:val="0084583C"/>
    <w:rsid w:val="00845D3C"/>
    <w:rsid w:val="00846727"/>
    <w:rsid w:val="00846B22"/>
    <w:rsid w:val="00846E93"/>
    <w:rsid w:val="008474E3"/>
    <w:rsid w:val="00847CB7"/>
    <w:rsid w:val="0085064E"/>
    <w:rsid w:val="008506BE"/>
    <w:rsid w:val="008507AD"/>
    <w:rsid w:val="00850919"/>
    <w:rsid w:val="00850AC0"/>
    <w:rsid w:val="0085172C"/>
    <w:rsid w:val="0085191F"/>
    <w:rsid w:val="00851FD3"/>
    <w:rsid w:val="00852028"/>
    <w:rsid w:val="00852130"/>
    <w:rsid w:val="00852306"/>
    <w:rsid w:val="008523F0"/>
    <w:rsid w:val="008528B1"/>
    <w:rsid w:val="00852991"/>
    <w:rsid w:val="00852ABA"/>
    <w:rsid w:val="00852C63"/>
    <w:rsid w:val="0085418B"/>
    <w:rsid w:val="0085455D"/>
    <w:rsid w:val="00854621"/>
    <w:rsid w:val="00854737"/>
    <w:rsid w:val="008553FE"/>
    <w:rsid w:val="008554BB"/>
    <w:rsid w:val="008566F9"/>
    <w:rsid w:val="00856875"/>
    <w:rsid w:val="00856B78"/>
    <w:rsid w:val="0085711D"/>
    <w:rsid w:val="008576DC"/>
    <w:rsid w:val="008608B2"/>
    <w:rsid w:val="008609C7"/>
    <w:rsid w:val="0086105E"/>
    <w:rsid w:val="00861B0F"/>
    <w:rsid w:val="0086216F"/>
    <w:rsid w:val="00864074"/>
    <w:rsid w:val="008640D2"/>
    <w:rsid w:val="00864696"/>
    <w:rsid w:val="00864F79"/>
    <w:rsid w:val="0086512C"/>
    <w:rsid w:val="008651F7"/>
    <w:rsid w:val="0086581B"/>
    <w:rsid w:val="00866C82"/>
    <w:rsid w:val="00867323"/>
    <w:rsid w:val="00867479"/>
    <w:rsid w:val="00870348"/>
    <w:rsid w:val="008708BC"/>
    <w:rsid w:val="008709D5"/>
    <w:rsid w:val="00870DE1"/>
    <w:rsid w:val="00871490"/>
    <w:rsid w:val="008723E5"/>
    <w:rsid w:val="00872AA9"/>
    <w:rsid w:val="00872D2A"/>
    <w:rsid w:val="008744E7"/>
    <w:rsid w:val="0087550E"/>
    <w:rsid w:val="008767B4"/>
    <w:rsid w:val="00876FAD"/>
    <w:rsid w:val="00877343"/>
    <w:rsid w:val="008773FE"/>
    <w:rsid w:val="00877465"/>
    <w:rsid w:val="0087790A"/>
    <w:rsid w:val="0088032A"/>
    <w:rsid w:val="008806E0"/>
    <w:rsid w:val="00880B66"/>
    <w:rsid w:val="00880E91"/>
    <w:rsid w:val="00881090"/>
    <w:rsid w:val="00881FA3"/>
    <w:rsid w:val="0088211A"/>
    <w:rsid w:val="00882AAE"/>
    <w:rsid w:val="00883160"/>
    <w:rsid w:val="00883967"/>
    <w:rsid w:val="008841B2"/>
    <w:rsid w:val="0088456A"/>
    <w:rsid w:val="0088513B"/>
    <w:rsid w:val="00885891"/>
    <w:rsid w:val="00885A0B"/>
    <w:rsid w:val="00885FD0"/>
    <w:rsid w:val="008861FF"/>
    <w:rsid w:val="0088634B"/>
    <w:rsid w:val="0088647D"/>
    <w:rsid w:val="00886E57"/>
    <w:rsid w:val="00886FAC"/>
    <w:rsid w:val="00887961"/>
    <w:rsid w:val="008902DF"/>
    <w:rsid w:val="008903FE"/>
    <w:rsid w:val="00890507"/>
    <w:rsid w:val="00890864"/>
    <w:rsid w:val="00890CA1"/>
    <w:rsid w:val="00890E3F"/>
    <w:rsid w:val="00891BCD"/>
    <w:rsid w:val="00892782"/>
    <w:rsid w:val="00892A5A"/>
    <w:rsid w:val="00892E26"/>
    <w:rsid w:val="0089333B"/>
    <w:rsid w:val="00893834"/>
    <w:rsid w:val="008938C3"/>
    <w:rsid w:val="0089391A"/>
    <w:rsid w:val="008945F5"/>
    <w:rsid w:val="0089514E"/>
    <w:rsid w:val="00895AD6"/>
    <w:rsid w:val="00895FEF"/>
    <w:rsid w:val="008962D8"/>
    <w:rsid w:val="00896313"/>
    <w:rsid w:val="00896703"/>
    <w:rsid w:val="008969A3"/>
    <w:rsid w:val="008973A1"/>
    <w:rsid w:val="00897ABC"/>
    <w:rsid w:val="00897F79"/>
    <w:rsid w:val="00897FC6"/>
    <w:rsid w:val="008A05E5"/>
    <w:rsid w:val="008A0712"/>
    <w:rsid w:val="008A0959"/>
    <w:rsid w:val="008A0D71"/>
    <w:rsid w:val="008A0ECB"/>
    <w:rsid w:val="008A1644"/>
    <w:rsid w:val="008A16AB"/>
    <w:rsid w:val="008A1B38"/>
    <w:rsid w:val="008A1D30"/>
    <w:rsid w:val="008A2535"/>
    <w:rsid w:val="008A25D7"/>
    <w:rsid w:val="008A2C1A"/>
    <w:rsid w:val="008A3022"/>
    <w:rsid w:val="008A3EA1"/>
    <w:rsid w:val="008A4913"/>
    <w:rsid w:val="008A4BF6"/>
    <w:rsid w:val="008A4FE2"/>
    <w:rsid w:val="008A54C0"/>
    <w:rsid w:val="008A561B"/>
    <w:rsid w:val="008A56B9"/>
    <w:rsid w:val="008A5997"/>
    <w:rsid w:val="008A5C70"/>
    <w:rsid w:val="008A5F5F"/>
    <w:rsid w:val="008A5FCC"/>
    <w:rsid w:val="008A6172"/>
    <w:rsid w:val="008A78F4"/>
    <w:rsid w:val="008A7942"/>
    <w:rsid w:val="008A7DBE"/>
    <w:rsid w:val="008B06F6"/>
    <w:rsid w:val="008B0B34"/>
    <w:rsid w:val="008B0D08"/>
    <w:rsid w:val="008B0D87"/>
    <w:rsid w:val="008B15A8"/>
    <w:rsid w:val="008B168C"/>
    <w:rsid w:val="008B2890"/>
    <w:rsid w:val="008B352F"/>
    <w:rsid w:val="008B49E6"/>
    <w:rsid w:val="008B4BF6"/>
    <w:rsid w:val="008B50A8"/>
    <w:rsid w:val="008B55D7"/>
    <w:rsid w:val="008B5723"/>
    <w:rsid w:val="008B5731"/>
    <w:rsid w:val="008B608E"/>
    <w:rsid w:val="008B65C5"/>
    <w:rsid w:val="008B67F5"/>
    <w:rsid w:val="008B70F0"/>
    <w:rsid w:val="008B75C0"/>
    <w:rsid w:val="008B7A30"/>
    <w:rsid w:val="008C0297"/>
    <w:rsid w:val="008C044A"/>
    <w:rsid w:val="008C0833"/>
    <w:rsid w:val="008C0D00"/>
    <w:rsid w:val="008C0D89"/>
    <w:rsid w:val="008C0EA2"/>
    <w:rsid w:val="008C135D"/>
    <w:rsid w:val="008C1952"/>
    <w:rsid w:val="008C1CEF"/>
    <w:rsid w:val="008C20A4"/>
    <w:rsid w:val="008C210D"/>
    <w:rsid w:val="008C2216"/>
    <w:rsid w:val="008C2DD4"/>
    <w:rsid w:val="008C315E"/>
    <w:rsid w:val="008C32C3"/>
    <w:rsid w:val="008C3426"/>
    <w:rsid w:val="008C362B"/>
    <w:rsid w:val="008C41A0"/>
    <w:rsid w:val="008C44F4"/>
    <w:rsid w:val="008C49AD"/>
    <w:rsid w:val="008C4EFC"/>
    <w:rsid w:val="008C55DC"/>
    <w:rsid w:val="008C5B85"/>
    <w:rsid w:val="008C5F91"/>
    <w:rsid w:val="008C6001"/>
    <w:rsid w:val="008C6237"/>
    <w:rsid w:val="008C7345"/>
    <w:rsid w:val="008C7C53"/>
    <w:rsid w:val="008D0565"/>
    <w:rsid w:val="008D0BC0"/>
    <w:rsid w:val="008D0EE0"/>
    <w:rsid w:val="008D11DD"/>
    <w:rsid w:val="008D19B3"/>
    <w:rsid w:val="008D2100"/>
    <w:rsid w:val="008D223A"/>
    <w:rsid w:val="008D2E12"/>
    <w:rsid w:val="008D2E50"/>
    <w:rsid w:val="008D351F"/>
    <w:rsid w:val="008D3A2D"/>
    <w:rsid w:val="008D3D05"/>
    <w:rsid w:val="008D3FB4"/>
    <w:rsid w:val="008D4202"/>
    <w:rsid w:val="008D4F1A"/>
    <w:rsid w:val="008D5183"/>
    <w:rsid w:val="008D54E6"/>
    <w:rsid w:val="008D58AB"/>
    <w:rsid w:val="008D5D61"/>
    <w:rsid w:val="008D6014"/>
    <w:rsid w:val="008D732C"/>
    <w:rsid w:val="008D76B2"/>
    <w:rsid w:val="008D7785"/>
    <w:rsid w:val="008D77E8"/>
    <w:rsid w:val="008D79A3"/>
    <w:rsid w:val="008D7EE7"/>
    <w:rsid w:val="008E00A5"/>
    <w:rsid w:val="008E072F"/>
    <w:rsid w:val="008E0846"/>
    <w:rsid w:val="008E0A6B"/>
    <w:rsid w:val="008E1A68"/>
    <w:rsid w:val="008E1F02"/>
    <w:rsid w:val="008E1FD5"/>
    <w:rsid w:val="008E237B"/>
    <w:rsid w:val="008E2978"/>
    <w:rsid w:val="008E29A1"/>
    <w:rsid w:val="008E2FB2"/>
    <w:rsid w:val="008E3578"/>
    <w:rsid w:val="008E3AD6"/>
    <w:rsid w:val="008E3C32"/>
    <w:rsid w:val="008E481A"/>
    <w:rsid w:val="008E495E"/>
    <w:rsid w:val="008E54F7"/>
    <w:rsid w:val="008E5978"/>
    <w:rsid w:val="008E5FA3"/>
    <w:rsid w:val="008E645D"/>
    <w:rsid w:val="008E7573"/>
    <w:rsid w:val="008F018D"/>
    <w:rsid w:val="008F0B1C"/>
    <w:rsid w:val="008F0E58"/>
    <w:rsid w:val="008F0E8B"/>
    <w:rsid w:val="008F10D2"/>
    <w:rsid w:val="008F119C"/>
    <w:rsid w:val="008F26BC"/>
    <w:rsid w:val="008F2EC6"/>
    <w:rsid w:val="008F30A1"/>
    <w:rsid w:val="008F4C62"/>
    <w:rsid w:val="008F4CF4"/>
    <w:rsid w:val="008F53FB"/>
    <w:rsid w:val="008F5DB5"/>
    <w:rsid w:val="008F6440"/>
    <w:rsid w:val="008F6777"/>
    <w:rsid w:val="008F6812"/>
    <w:rsid w:val="008F6D24"/>
    <w:rsid w:val="008F7093"/>
    <w:rsid w:val="008F7220"/>
    <w:rsid w:val="008F73DE"/>
    <w:rsid w:val="008F745D"/>
    <w:rsid w:val="008F759A"/>
    <w:rsid w:val="008F7859"/>
    <w:rsid w:val="008F7E0A"/>
    <w:rsid w:val="00900A85"/>
    <w:rsid w:val="00902235"/>
    <w:rsid w:val="00903503"/>
    <w:rsid w:val="0090362E"/>
    <w:rsid w:val="00904E5F"/>
    <w:rsid w:val="009058C3"/>
    <w:rsid w:val="00906955"/>
    <w:rsid w:val="00906AC1"/>
    <w:rsid w:val="00906BC9"/>
    <w:rsid w:val="00906DBC"/>
    <w:rsid w:val="00907AF6"/>
    <w:rsid w:val="00907CD3"/>
    <w:rsid w:val="0091039D"/>
    <w:rsid w:val="0091048B"/>
    <w:rsid w:val="009104AD"/>
    <w:rsid w:val="009110BB"/>
    <w:rsid w:val="009113AD"/>
    <w:rsid w:val="00911AD6"/>
    <w:rsid w:val="00911AFD"/>
    <w:rsid w:val="009120F7"/>
    <w:rsid w:val="00912D07"/>
    <w:rsid w:val="00913131"/>
    <w:rsid w:val="0091316B"/>
    <w:rsid w:val="00913361"/>
    <w:rsid w:val="009133E4"/>
    <w:rsid w:val="00913457"/>
    <w:rsid w:val="0091375C"/>
    <w:rsid w:val="009141D6"/>
    <w:rsid w:val="00914306"/>
    <w:rsid w:val="0091466E"/>
    <w:rsid w:val="00914DD0"/>
    <w:rsid w:val="0091510F"/>
    <w:rsid w:val="0091537A"/>
    <w:rsid w:val="009157C1"/>
    <w:rsid w:val="009158E7"/>
    <w:rsid w:val="0091617E"/>
    <w:rsid w:val="00916217"/>
    <w:rsid w:val="00916443"/>
    <w:rsid w:val="00916B88"/>
    <w:rsid w:val="009170A1"/>
    <w:rsid w:val="0091741E"/>
    <w:rsid w:val="0092094F"/>
    <w:rsid w:val="00920A45"/>
    <w:rsid w:val="009217C8"/>
    <w:rsid w:val="0092180A"/>
    <w:rsid w:val="00921906"/>
    <w:rsid w:val="0092199B"/>
    <w:rsid w:val="00921CAD"/>
    <w:rsid w:val="00922FA0"/>
    <w:rsid w:val="009235FE"/>
    <w:rsid w:val="00923735"/>
    <w:rsid w:val="00923C0F"/>
    <w:rsid w:val="009241B3"/>
    <w:rsid w:val="009251E2"/>
    <w:rsid w:val="009252C0"/>
    <w:rsid w:val="0092578C"/>
    <w:rsid w:val="009259D6"/>
    <w:rsid w:val="00925B3D"/>
    <w:rsid w:val="0092670C"/>
    <w:rsid w:val="00926C51"/>
    <w:rsid w:val="0092730C"/>
    <w:rsid w:val="009276DD"/>
    <w:rsid w:val="00927A7F"/>
    <w:rsid w:val="00927B13"/>
    <w:rsid w:val="00927BA7"/>
    <w:rsid w:val="00930385"/>
    <w:rsid w:val="0093055E"/>
    <w:rsid w:val="009309D1"/>
    <w:rsid w:val="009310E9"/>
    <w:rsid w:val="009310F6"/>
    <w:rsid w:val="0093136F"/>
    <w:rsid w:val="00931841"/>
    <w:rsid w:val="0093193D"/>
    <w:rsid w:val="00933A50"/>
    <w:rsid w:val="00933B97"/>
    <w:rsid w:val="00934046"/>
    <w:rsid w:val="00934D19"/>
    <w:rsid w:val="00934F44"/>
    <w:rsid w:val="00935C3F"/>
    <w:rsid w:val="0093602F"/>
    <w:rsid w:val="00936577"/>
    <w:rsid w:val="00936C9C"/>
    <w:rsid w:val="00936D60"/>
    <w:rsid w:val="009376DD"/>
    <w:rsid w:val="0094094A"/>
    <w:rsid w:val="00940C83"/>
    <w:rsid w:val="00940E9D"/>
    <w:rsid w:val="0094126A"/>
    <w:rsid w:val="00941473"/>
    <w:rsid w:val="009415A2"/>
    <w:rsid w:val="00941679"/>
    <w:rsid w:val="009427C2"/>
    <w:rsid w:val="00942F26"/>
    <w:rsid w:val="0094345C"/>
    <w:rsid w:val="009439C7"/>
    <w:rsid w:val="00944485"/>
    <w:rsid w:val="009447EE"/>
    <w:rsid w:val="00944EAE"/>
    <w:rsid w:val="00945910"/>
    <w:rsid w:val="009468A5"/>
    <w:rsid w:val="009468D5"/>
    <w:rsid w:val="0094694B"/>
    <w:rsid w:val="0094721D"/>
    <w:rsid w:val="0094750C"/>
    <w:rsid w:val="00947588"/>
    <w:rsid w:val="00947672"/>
    <w:rsid w:val="00947B53"/>
    <w:rsid w:val="009500D9"/>
    <w:rsid w:val="00950563"/>
    <w:rsid w:val="00950D86"/>
    <w:rsid w:val="00951240"/>
    <w:rsid w:val="00951610"/>
    <w:rsid w:val="0095194C"/>
    <w:rsid w:val="0095269F"/>
    <w:rsid w:val="00952C0B"/>
    <w:rsid w:val="00953190"/>
    <w:rsid w:val="00953456"/>
    <w:rsid w:val="00953711"/>
    <w:rsid w:val="009538DA"/>
    <w:rsid w:val="00954355"/>
    <w:rsid w:val="0095474F"/>
    <w:rsid w:val="0095550B"/>
    <w:rsid w:val="00955BFC"/>
    <w:rsid w:val="00956064"/>
    <w:rsid w:val="00956AE3"/>
    <w:rsid w:val="00956B5A"/>
    <w:rsid w:val="0095756A"/>
    <w:rsid w:val="00957602"/>
    <w:rsid w:val="00957A60"/>
    <w:rsid w:val="00957B22"/>
    <w:rsid w:val="009607A7"/>
    <w:rsid w:val="00960DA5"/>
    <w:rsid w:val="00960E4E"/>
    <w:rsid w:val="00961CCC"/>
    <w:rsid w:val="00961E0C"/>
    <w:rsid w:val="00962061"/>
    <w:rsid w:val="009622F4"/>
    <w:rsid w:val="00963680"/>
    <w:rsid w:val="00963D5D"/>
    <w:rsid w:val="00963E0D"/>
    <w:rsid w:val="009641A4"/>
    <w:rsid w:val="009644DE"/>
    <w:rsid w:val="00965560"/>
    <w:rsid w:val="0096598D"/>
    <w:rsid w:val="0096608E"/>
    <w:rsid w:val="00966710"/>
    <w:rsid w:val="00966EDE"/>
    <w:rsid w:val="009675FC"/>
    <w:rsid w:val="00970BE0"/>
    <w:rsid w:val="00971A91"/>
    <w:rsid w:val="00971BE0"/>
    <w:rsid w:val="00971ED2"/>
    <w:rsid w:val="00972AEA"/>
    <w:rsid w:val="00973704"/>
    <w:rsid w:val="00974127"/>
    <w:rsid w:val="00974147"/>
    <w:rsid w:val="00975156"/>
    <w:rsid w:val="0097636D"/>
    <w:rsid w:val="00976A23"/>
    <w:rsid w:val="00976E1F"/>
    <w:rsid w:val="009805E9"/>
    <w:rsid w:val="00980C1D"/>
    <w:rsid w:val="00980CD9"/>
    <w:rsid w:val="00980D86"/>
    <w:rsid w:val="00981B26"/>
    <w:rsid w:val="00982752"/>
    <w:rsid w:val="009828B4"/>
    <w:rsid w:val="00982C65"/>
    <w:rsid w:val="0098316E"/>
    <w:rsid w:val="0098387E"/>
    <w:rsid w:val="00983F38"/>
    <w:rsid w:val="009848E9"/>
    <w:rsid w:val="00984B6A"/>
    <w:rsid w:val="00984E59"/>
    <w:rsid w:val="00985722"/>
    <w:rsid w:val="00985804"/>
    <w:rsid w:val="00985B74"/>
    <w:rsid w:val="00985E3C"/>
    <w:rsid w:val="00986719"/>
    <w:rsid w:val="00986AF8"/>
    <w:rsid w:val="0098764E"/>
    <w:rsid w:val="0098790A"/>
    <w:rsid w:val="00987953"/>
    <w:rsid w:val="00987BA8"/>
    <w:rsid w:val="00990836"/>
    <w:rsid w:val="009910C1"/>
    <w:rsid w:val="0099115B"/>
    <w:rsid w:val="00991922"/>
    <w:rsid w:val="00991A2F"/>
    <w:rsid w:val="009920E2"/>
    <w:rsid w:val="00992D62"/>
    <w:rsid w:val="009930BF"/>
    <w:rsid w:val="00993233"/>
    <w:rsid w:val="009936F9"/>
    <w:rsid w:val="00994CC1"/>
    <w:rsid w:val="0099504C"/>
    <w:rsid w:val="00995161"/>
    <w:rsid w:val="00995503"/>
    <w:rsid w:val="00995548"/>
    <w:rsid w:val="009956BC"/>
    <w:rsid w:val="009959C8"/>
    <w:rsid w:val="009959DD"/>
    <w:rsid w:val="00996CC7"/>
    <w:rsid w:val="009970E5"/>
    <w:rsid w:val="00997185"/>
    <w:rsid w:val="00997DA7"/>
    <w:rsid w:val="009A0616"/>
    <w:rsid w:val="009A0E79"/>
    <w:rsid w:val="009A10AC"/>
    <w:rsid w:val="009A1250"/>
    <w:rsid w:val="009A19FD"/>
    <w:rsid w:val="009A1B39"/>
    <w:rsid w:val="009A4068"/>
    <w:rsid w:val="009A48C7"/>
    <w:rsid w:val="009A5158"/>
    <w:rsid w:val="009A6151"/>
    <w:rsid w:val="009A6305"/>
    <w:rsid w:val="009A78C7"/>
    <w:rsid w:val="009A7B72"/>
    <w:rsid w:val="009A7ECB"/>
    <w:rsid w:val="009B030F"/>
    <w:rsid w:val="009B102B"/>
    <w:rsid w:val="009B129B"/>
    <w:rsid w:val="009B1512"/>
    <w:rsid w:val="009B1562"/>
    <w:rsid w:val="009B17FD"/>
    <w:rsid w:val="009B2025"/>
    <w:rsid w:val="009B3702"/>
    <w:rsid w:val="009B37CA"/>
    <w:rsid w:val="009B3AD9"/>
    <w:rsid w:val="009B4064"/>
    <w:rsid w:val="009B4466"/>
    <w:rsid w:val="009B48B1"/>
    <w:rsid w:val="009B4D79"/>
    <w:rsid w:val="009B50BA"/>
    <w:rsid w:val="009B51CB"/>
    <w:rsid w:val="009B5D71"/>
    <w:rsid w:val="009C071F"/>
    <w:rsid w:val="009C0D13"/>
    <w:rsid w:val="009C1164"/>
    <w:rsid w:val="009C1BE7"/>
    <w:rsid w:val="009C1D69"/>
    <w:rsid w:val="009C1D7A"/>
    <w:rsid w:val="009C2134"/>
    <w:rsid w:val="009C24F1"/>
    <w:rsid w:val="009C2FC0"/>
    <w:rsid w:val="009C300D"/>
    <w:rsid w:val="009C39A5"/>
    <w:rsid w:val="009C3D39"/>
    <w:rsid w:val="009C3E18"/>
    <w:rsid w:val="009C468D"/>
    <w:rsid w:val="009C4B84"/>
    <w:rsid w:val="009C4D86"/>
    <w:rsid w:val="009C4FFC"/>
    <w:rsid w:val="009C5339"/>
    <w:rsid w:val="009C5357"/>
    <w:rsid w:val="009C56FE"/>
    <w:rsid w:val="009C63C6"/>
    <w:rsid w:val="009C66BC"/>
    <w:rsid w:val="009C6F95"/>
    <w:rsid w:val="009C72C4"/>
    <w:rsid w:val="009C7B87"/>
    <w:rsid w:val="009C7EA2"/>
    <w:rsid w:val="009C7FF2"/>
    <w:rsid w:val="009D0226"/>
    <w:rsid w:val="009D0382"/>
    <w:rsid w:val="009D04FC"/>
    <w:rsid w:val="009D0524"/>
    <w:rsid w:val="009D0AD0"/>
    <w:rsid w:val="009D0B40"/>
    <w:rsid w:val="009D0C90"/>
    <w:rsid w:val="009D19AA"/>
    <w:rsid w:val="009D2E19"/>
    <w:rsid w:val="009D3377"/>
    <w:rsid w:val="009D3B72"/>
    <w:rsid w:val="009D45ED"/>
    <w:rsid w:val="009D4789"/>
    <w:rsid w:val="009D5925"/>
    <w:rsid w:val="009D67B4"/>
    <w:rsid w:val="009D6BA9"/>
    <w:rsid w:val="009D6F00"/>
    <w:rsid w:val="009D71BA"/>
    <w:rsid w:val="009D7480"/>
    <w:rsid w:val="009D77A3"/>
    <w:rsid w:val="009D7C6D"/>
    <w:rsid w:val="009D7F23"/>
    <w:rsid w:val="009E0819"/>
    <w:rsid w:val="009E09A0"/>
    <w:rsid w:val="009E0A17"/>
    <w:rsid w:val="009E1778"/>
    <w:rsid w:val="009E1FE5"/>
    <w:rsid w:val="009E2A54"/>
    <w:rsid w:val="009E3365"/>
    <w:rsid w:val="009E3391"/>
    <w:rsid w:val="009E350A"/>
    <w:rsid w:val="009E3CAA"/>
    <w:rsid w:val="009E43FE"/>
    <w:rsid w:val="009E4910"/>
    <w:rsid w:val="009E4D17"/>
    <w:rsid w:val="009E631E"/>
    <w:rsid w:val="009E6A14"/>
    <w:rsid w:val="009E6E3F"/>
    <w:rsid w:val="009E73FF"/>
    <w:rsid w:val="009F00DD"/>
    <w:rsid w:val="009F03E8"/>
    <w:rsid w:val="009F07BB"/>
    <w:rsid w:val="009F1EDB"/>
    <w:rsid w:val="009F224E"/>
    <w:rsid w:val="009F2264"/>
    <w:rsid w:val="009F2E8F"/>
    <w:rsid w:val="009F32F6"/>
    <w:rsid w:val="009F3747"/>
    <w:rsid w:val="009F3D27"/>
    <w:rsid w:val="009F3ED3"/>
    <w:rsid w:val="009F3F24"/>
    <w:rsid w:val="009F4439"/>
    <w:rsid w:val="009F4445"/>
    <w:rsid w:val="009F4450"/>
    <w:rsid w:val="009F5106"/>
    <w:rsid w:val="009F5261"/>
    <w:rsid w:val="009F559B"/>
    <w:rsid w:val="009F55FD"/>
    <w:rsid w:val="009F560A"/>
    <w:rsid w:val="009F5876"/>
    <w:rsid w:val="009F5D09"/>
    <w:rsid w:val="009F5DA9"/>
    <w:rsid w:val="009F66DF"/>
    <w:rsid w:val="009F6FC3"/>
    <w:rsid w:val="00A008A9"/>
    <w:rsid w:val="00A00D65"/>
    <w:rsid w:val="00A00F1C"/>
    <w:rsid w:val="00A0141B"/>
    <w:rsid w:val="00A016F8"/>
    <w:rsid w:val="00A01ADB"/>
    <w:rsid w:val="00A028D1"/>
    <w:rsid w:val="00A02A4A"/>
    <w:rsid w:val="00A02FB0"/>
    <w:rsid w:val="00A0339C"/>
    <w:rsid w:val="00A0384B"/>
    <w:rsid w:val="00A03C28"/>
    <w:rsid w:val="00A03E81"/>
    <w:rsid w:val="00A04926"/>
    <w:rsid w:val="00A04A1E"/>
    <w:rsid w:val="00A04DEC"/>
    <w:rsid w:val="00A057A0"/>
    <w:rsid w:val="00A05A36"/>
    <w:rsid w:val="00A06022"/>
    <w:rsid w:val="00A0640C"/>
    <w:rsid w:val="00A0644E"/>
    <w:rsid w:val="00A065FE"/>
    <w:rsid w:val="00A070C5"/>
    <w:rsid w:val="00A07B4B"/>
    <w:rsid w:val="00A07D13"/>
    <w:rsid w:val="00A07EF1"/>
    <w:rsid w:val="00A100F8"/>
    <w:rsid w:val="00A1140E"/>
    <w:rsid w:val="00A11EFB"/>
    <w:rsid w:val="00A12FAE"/>
    <w:rsid w:val="00A132D9"/>
    <w:rsid w:val="00A13AE7"/>
    <w:rsid w:val="00A14ADA"/>
    <w:rsid w:val="00A151D3"/>
    <w:rsid w:val="00A1547C"/>
    <w:rsid w:val="00A158E2"/>
    <w:rsid w:val="00A15E87"/>
    <w:rsid w:val="00A16316"/>
    <w:rsid w:val="00A16557"/>
    <w:rsid w:val="00A16953"/>
    <w:rsid w:val="00A16A42"/>
    <w:rsid w:val="00A16DE4"/>
    <w:rsid w:val="00A170B2"/>
    <w:rsid w:val="00A170BA"/>
    <w:rsid w:val="00A20190"/>
    <w:rsid w:val="00A204A5"/>
    <w:rsid w:val="00A205C9"/>
    <w:rsid w:val="00A213D0"/>
    <w:rsid w:val="00A21473"/>
    <w:rsid w:val="00A22E34"/>
    <w:rsid w:val="00A236AA"/>
    <w:rsid w:val="00A2379D"/>
    <w:rsid w:val="00A23CA3"/>
    <w:rsid w:val="00A23E30"/>
    <w:rsid w:val="00A2596A"/>
    <w:rsid w:val="00A259FD"/>
    <w:rsid w:val="00A25D7F"/>
    <w:rsid w:val="00A2643D"/>
    <w:rsid w:val="00A26A85"/>
    <w:rsid w:val="00A27494"/>
    <w:rsid w:val="00A2785E"/>
    <w:rsid w:val="00A27F0F"/>
    <w:rsid w:val="00A30B01"/>
    <w:rsid w:val="00A31241"/>
    <w:rsid w:val="00A31654"/>
    <w:rsid w:val="00A31F37"/>
    <w:rsid w:val="00A31FFE"/>
    <w:rsid w:val="00A324C6"/>
    <w:rsid w:val="00A334FE"/>
    <w:rsid w:val="00A33B1E"/>
    <w:rsid w:val="00A33CFA"/>
    <w:rsid w:val="00A34796"/>
    <w:rsid w:val="00A34989"/>
    <w:rsid w:val="00A3515D"/>
    <w:rsid w:val="00A35771"/>
    <w:rsid w:val="00A3734F"/>
    <w:rsid w:val="00A40305"/>
    <w:rsid w:val="00A41398"/>
    <w:rsid w:val="00A42539"/>
    <w:rsid w:val="00A4276B"/>
    <w:rsid w:val="00A4318D"/>
    <w:rsid w:val="00A43422"/>
    <w:rsid w:val="00A43692"/>
    <w:rsid w:val="00A437E9"/>
    <w:rsid w:val="00A43ACB"/>
    <w:rsid w:val="00A44635"/>
    <w:rsid w:val="00A450E1"/>
    <w:rsid w:val="00A4549F"/>
    <w:rsid w:val="00A457D4"/>
    <w:rsid w:val="00A467D9"/>
    <w:rsid w:val="00A47089"/>
    <w:rsid w:val="00A477A3"/>
    <w:rsid w:val="00A478C3"/>
    <w:rsid w:val="00A47EFF"/>
    <w:rsid w:val="00A47FC3"/>
    <w:rsid w:val="00A50263"/>
    <w:rsid w:val="00A50537"/>
    <w:rsid w:val="00A50A07"/>
    <w:rsid w:val="00A50B45"/>
    <w:rsid w:val="00A50FA0"/>
    <w:rsid w:val="00A51265"/>
    <w:rsid w:val="00A51451"/>
    <w:rsid w:val="00A514A9"/>
    <w:rsid w:val="00A51E15"/>
    <w:rsid w:val="00A52083"/>
    <w:rsid w:val="00A520BA"/>
    <w:rsid w:val="00A5213C"/>
    <w:rsid w:val="00A52852"/>
    <w:rsid w:val="00A528CD"/>
    <w:rsid w:val="00A53184"/>
    <w:rsid w:val="00A53993"/>
    <w:rsid w:val="00A53FB3"/>
    <w:rsid w:val="00A54A3C"/>
    <w:rsid w:val="00A554E7"/>
    <w:rsid w:val="00A554F3"/>
    <w:rsid w:val="00A55651"/>
    <w:rsid w:val="00A568A0"/>
    <w:rsid w:val="00A56E6B"/>
    <w:rsid w:val="00A57287"/>
    <w:rsid w:val="00A57900"/>
    <w:rsid w:val="00A616AD"/>
    <w:rsid w:val="00A626A9"/>
    <w:rsid w:val="00A62B46"/>
    <w:rsid w:val="00A62E36"/>
    <w:rsid w:val="00A62ED7"/>
    <w:rsid w:val="00A63AC8"/>
    <w:rsid w:val="00A6475E"/>
    <w:rsid w:val="00A64D7E"/>
    <w:rsid w:val="00A65053"/>
    <w:rsid w:val="00A659B6"/>
    <w:rsid w:val="00A659C7"/>
    <w:rsid w:val="00A6679B"/>
    <w:rsid w:val="00A6741A"/>
    <w:rsid w:val="00A677A7"/>
    <w:rsid w:val="00A679B7"/>
    <w:rsid w:val="00A67A77"/>
    <w:rsid w:val="00A70C2F"/>
    <w:rsid w:val="00A70DE8"/>
    <w:rsid w:val="00A7159D"/>
    <w:rsid w:val="00A71F83"/>
    <w:rsid w:val="00A7263C"/>
    <w:rsid w:val="00A7276A"/>
    <w:rsid w:val="00A72AEB"/>
    <w:rsid w:val="00A72B97"/>
    <w:rsid w:val="00A73055"/>
    <w:rsid w:val="00A735C1"/>
    <w:rsid w:val="00A747C6"/>
    <w:rsid w:val="00A74B61"/>
    <w:rsid w:val="00A74DD9"/>
    <w:rsid w:val="00A75F8D"/>
    <w:rsid w:val="00A76658"/>
    <w:rsid w:val="00A771BA"/>
    <w:rsid w:val="00A774A7"/>
    <w:rsid w:val="00A77682"/>
    <w:rsid w:val="00A778D6"/>
    <w:rsid w:val="00A77D9F"/>
    <w:rsid w:val="00A80118"/>
    <w:rsid w:val="00A80760"/>
    <w:rsid w:val="00A80A5D"/>
    <w:rsid w:val="00A80ADD"/>
    <w:rsid w:val="00A810E4"/>
    <w:rsid w:val="00A811D2"/>
    <w:rsid w:val="00A818DA"/>
    <w:rsid w:val="00A81B6B"/>
    <w:rsid w:val="00A8260E"/>
    <w:rsid w:val="00A82D3B"/>
    <w:rsid w:val="00A8346D"/>
    <w:rsid w:val="00A836F1"/>
    <w:rsid w:val="00A838A3"/>
    <w:rsid w:val="00A83955"/>
    <w:rsid w:val="00A83A5B"/>
    <w:rsid w:val="00A83E6A"/>
    <w:rsid w:val="00A84A61"/>
    <w:rsid w:val="00A84BA3"/>
    <w:rsid w:val="00A84F53"/>
    <w:rsid w:val="00A85401"/>
    <w:rsid w:val="00A85A44"/>
    <w:rsid w:val="00A85F0D"/>
    <w:rsid w:val="00A86139"/>
    <w:rsid w:val="00A8630B"/>
    <w:rsid w:val="00A8661D"/>
    <w:rsid w:val="00A86EA4"/>
    <w:rsid w:val="00A901AB"/>
    <w:rsid w:val="00A904B5"/>
    <w:rsid w:val="00A90D2D"/>
    <w:rsid w:val="00A9103E"/>
    <w:rsid w:val="00A914E0"/>
    <w:rsid w:val="00A91A59"/>
    <w:rsid w:val="00A91C66"/>
    <w:rsid w:val="00A93276"/>
    <w:rsid w:val="00A93925"/>
    <w:rsid w:val="00A939C3"/>
    <w:rsid w:val="00A93A27"/>
    <w:rsid w:val="00A93DD5"/>
    <w:rsid w:val="00A9416D"/>
    <w:rsid w:val="00A943A2"/>
    <w:rsid w:val="00A952C0"/>
    <w:rsid w:val="00A95517"/>
    <w:rsid w:val="00A9567F"/>
    <w:rsid w:val="00A95A1A"/>
    <w:rsid w:val="00A961C3"/>
    <w:rsid w:val="00A968F8"/>
    <w:rsid w:val="00A96947"/>
    <w:rsid w:val="00AA0DD9"/>
    <w:rsid w:val="00AA1997"/>
    <w:rsid w:val="00AA1BA5"/>
    <w:rsid w:val="00AA22A0"/>
    <w:rsid w:val="00AA2709"/>
    <w:rsid w:val="00AA2999"/>
    <w:rsid w:val="00AA2D09"/>
    <w:rsid w:val="00AA38DF"/>
    <w:rsid w:val="00AA4644"/>
    <w:rsid w:val="00AA5BBD"/>
    <w:rsid w:val="00AA5BF4"/>
    <w:rsid w:val="00AA5CD3"/>
    <w:rsid w:val="00AA6328"/>
    <w:rsid w:val="00AA65B0"/>
    <w:rsid w:val="00AA7130"/>
    <w:rsid w:val="00AA7AC4"/>
    <w:rsid w:val="00AB0040"/>
    <w:rsid w:val="00AB00B6"/>
    <w:rsid w:val="00AB01EB"/>
    <w:rsid w:val="00AB0CFD"/>
    <w:rsid w:val="00AB2879"/>
    <w:rsid w:val="00AB29B0"/>
    <w:rsid w:val="00AB2C02"/>
    <w:rsid w:val="00AB2C54"/>
    <w:rsid w:val="00AB2DD5"/>
    <w:rsid w:val="00AB332A"/>
    <w:rsid w:val="00AB33DE"/>
    <w:rsid w:val="00AB368F"/>
    <w:rsid w:val="00AB3E31"/>
    <w:rsid w:val="00AB444A"/>
    <w:rsid w:val="00AB4B5C"/>
    <w:rsid w:val="00AB4D8B"/>
    <w:rsid w:val="00AB56B0"/>
    <w:rsid w:val="00AB5714"/>
    <w:rsid w:val="00AB573D"/>
    <w:rsid w:val="00AB5B45"/>
    <w:rsid w:val="00AB5F1F"/>
    <w:rsid w:val="00AB6325"/>
    <w:rsid w:val="00AB641D"/>
    <w:rsid w:val="00AB64A8"/>
    <w:rsid w:val="00AB72D5"/>
    <w:rsid w:val="00AC0321"/>
    <w:rsid w:val="00AC0BF2"/>
    <w:rsid w:val="00AC1379"/>
    <w:rsid w:val="00AC221B"/>
    <w:rsid w:val="00AC2584"/>
    <w:rsid w:val="00AC2786"/>
    <w:rsid w:val="00AC326E"/>
    <w:rsid w:val="00AC3D89"/>
    <w:rsid w:val="00AC3DBA"/>
    <w:rsid w:val="00AC4118"/>
    <w:rsid w:val="00AC5A23"/>
    <w:rsid w:val="00AC651E"/>
    <w:rsid w:val="00AC6C18"/>
    <w:rsid w:val="00AC706C"/>
    <w:rsid w:val="00AC726B"/>
    <w:rsid w:val="00AC7835"/>
    <w:rsid w:val="00AC79B7"/>
    <w:rsid w:val="00AC7E67"/>
    <w:rsid w:val="00AC7EAD"/>
    <w:rsid w:val="00AD048F"/>
    <w:rsid w:val="00AD05BE"/>
    <w:rsid w:val="00AD107D"/>
    <w:rsid w:val="00AD2069"/>
    <w:rsid w:val="00AD285B"/>
    <w:rsid w:val="00AD3437"/>
    <w:rsid w:val="00AD3B6E"/>
    <w:rsid w:val="00AD432E"/>
    <w:rsid w:val="00AD4984"/>
    <w:rsid w:val="00AD4CC3"/>
    <w:rsid w:val="00AD4FDD"/>
    <w:rsid w:val="00AD5779"/>
    <w:rsid w:val="00AD5A33"/>
    <w:rsid w:val="00AD5A81"/>
    <w:rsid w:val="00AD5CA0"/>
    <w:rsid w:val="00AD6308"/>
    <w:rsid w:val="00AD66DD"/>
    <w:rsid w:val="00AD6F50"/>
    <w:rsid w:val="00AD70E3"/>
    <w:rsid w:val="00AD7333"/>
    <w:rsid w:val="00AD756F"/>
    <w:rsid w:val="00AD7583"/>
    <w:rsid w:val="00AE00FC"/>
    <w:rsid w:val="00AE0115"/>
    <w:rsid w:val="00AE051B"/>
    <w:rsid w:val="00AE0614"/>
    <w:rsid w:val="00AE0954"/>
    <w:rsid w:val="00AE0AFF"/>
    <w:rsid w:val="00AE0D2D"/>
    <w:rsid w:val="00AE1969"/>
    <w:rsid w:val="00AE1CF3"/>
    <w:rsid w:val="00AE1E4A"/>
    <w:rsid w:val="00AE221A"/>
    <w:rsid w:val="00AE29B8"/>
    <w:rsid w:val="00AE2A9F"/>
    <w:rsid w:val="00AE346A"/>
    <w:rsid w:val="00AE415E"/>
    <w:rsid w:val="00AE422C"/>
    <w:rsid w:val="00AE4986"/>
    <w:rsid w:val="00AE49E3"/>
    <w:rsid w:val="00AE4E8C"/>
    <w:rsid w:val="00AE51CD"/>
    <w:rsid w:val="00AE526B"/>
    <w:rsid w:val="00AE542F"/>
    <w:rsid w:val="00AE5432"/>
    <w:rsid w:val="00AE5B5F"/>
    <w:rsid w:val="00AE5BEF"/>
    <w:rsid w:val="00AE5CB3"/>
    <w:rsid w:val="00AE5CC1"/>
    <w:rsid w:val="00AE5EAD"/>
    <w:rsid w:val="00AE6258"/>
    <w:rsid w:val="00AE636B"/>
    <w:rsid w:val="00AE6651"/>
    <w:rsid w:val="00AE6809"/>
    <w:rsid w:val="00AE713A"/>
    <w:rsid w:val="00AE71BF"/>
    <w:rsid w:val="00AE744C"/>
    <w:rsid w:val="00AE775E"/>
    <w:rsid w:val="00AF0320"/>
    <w:rsid w:val="00AF07E1"/>
    <w:rsid w:val="00AF0877"/>
    <w:rsid w:val="00AF1287"/>
    <w:rsid w:val="00AF196F"/>
    <w:rsid w:val="00AF20F9"/>
    <w:rsid w:val="00AF21B1"/>
    <w:rsid w:val="00AF2227"/>
    <w:rsid w:val="00AF231B"/>
    <w:rsid w:val="00AF270C"/>
    <w:rsid w:val="00AF2B54"/>
    <w:rsid w:val="00AF3761"/>
    <w:rsid w:val="00AF3848"/>
    <w:rsid w:val="00AF38CD"/>
    <w:rsid w:val="00AF393C"/>
    <w:rsid w:val="00AF6581"/>
    <w:rsid w:val="00AF6693"/>
    <w:rsid w:val="00AF688D"/>
    <w:rsid w:val="00AF69AA"/>
    <w:rsid w:val="00AF6D9A"/>
    <w:rsid w:val="00AF73D9"/>
    <w:rsid w:val="00B0064F"/>
    <w:rsid w:val="00B012DC"/>
    <w:rsid w:val="00B014BB"/>
    <w:rsid w:val="00B016FD"/>
    <w:rsid w:val="00B01DA2"/>
    <w:rsid w:val="00B02F4C"/>
    <w:rsid w:val="00B03C79"/>
    <w:rsid w:val="00B04840"/>
    <w:rsid w:val="00B04857"/>
    <w:rsid w:val="00B048C0"/>
    <w:rsid w:val="00B049C2"/>
    <w:rsid w:val="00B0579F"/>
    <w:rsid w:val="00B05E58"/>
    <w:rsid w:val="00B05F73"/>
    <w:rsid w:val="00B06371"/>
    <w:rsid w:val="00B06B9F"/>
    <w:rsid w:val="00B06F05"/>
    <w:rsid w:val="00B07826"/>
    <w:rsid w:val="00B07DBA"/>
    <w:rsid w:val="00B10BEB"/>
    <w:rsid w:val="00B113E4"/>
    <w:rsid w:val="00B1164B"/>
    <w:rsid w:val="00B11BDB"/>
    <w:rsid w:val="00B11D07"/>
    <w:rsid w:val="00B12A9D"/>
    <w:rsid w:val="00B12BB2"/>
    <w:rsid w:val="00B13BDF"/>
    <w:rsid w:val="00B13DBE"/>
    <w:rsid w:val="00B13F0C"/>
    <w:rsid w:val="00B14E2F"/>
    <w:rsid w:val="00B150CF"/>
    <w:rsid w:val="00B15C46"/>
    <w:rsid w:val="00B15EB2"/>
    <w:rsid w:val="00B16C56"/>
    <w:rsid w:val="00B16E7A"/>
    <w:rsid w:val="00B1755D"/>
    <w:rsid w:val="00B1765F"/>
    <w:rsid w:val="00B177FD"/>
    <w:rsid w:val="00B17EB7"/>
    <w:rsid w:val="00B2032F"/>
    <w:rsid w:val="00B20455"/>
    <w:rsid w:val="00B204EA"/>
    <w:rsid w:val="00B20687"/>
    <w:rsid w:val="00B206FD"/>
    <w:rsid w:val="00B20F48"/>
    <w:rsid w:val="00B215BD"/>
    <w:rsid w:val="00B2176E"/>
    <w:rsid w:val="00B224CC"/>
    <w:rsid w:val="00B224F6"/>
    <w:rsid w:val="00B232D7"/>
    <w:rsid w:val="00B2401F"/>
    <w:rsid w:val="00B246AD"/>
    <w:rsid w:val="00B247C9"/>
    <w:rsid w:val="00B24849"/>
    <w:rsid w:val="00B24EA8"/>
    <w:rsid w:val="00B254AA"/>
    <w:rsid w:val="00B2550E"/>
    <w:rsid w:val="00B2559B"/>
    <w:rsid w:val="00B26076"/>
    <w:rsid w:val="00B26101"/>
    <w:rsid w:val="00B265FC"/>
    <w:rsid w:val="00B271CE"/>
    <w:rsid w:val="00B27A49"/>
    <w:rsid w:val="00B27A55"/>
    <w:rsid w:val="00B30A51"/>
    <w:rsid w:val="00B30F90"/>
    <w:rsid w:val="00B30FC4"/>
    <w:rsid w:val="00B313AB"/>
    <w:rsid w:val="00B318C9"/>
    <w:rsid w:val="00B31B01"/>
    <w:rsid w:val="00B32401"/>
    <w:rsid w:val="00B32425"/>
    <w:rsid w:val="00B32497"/>
    <w:rsid w:val="00B326D5"/>
    <w:rsid w:val="00B33127"/>
    <w:rsid w:val="00B332BE"/>
    <w:rsid w:val="00B332E0"/>
    <w:rsid w:val="00B334C0"/>
    <w:rsid w:val="00B33BC1"/>
    <w:rsid w:val="00B341B3"/>
    <w:rsid w:val="00B34347"/>
    <w:rsid w:val="00B34515"/>
    <w:rsid w:val="00B34A3C"/>
    <w:rsid w:val="00B359DB"/>
    <w:rsid w:val="00B35E33"/>
    <w:rsid w:val="00B36878"/>
    <w:rsid w:val="00B36B7F"/>
    <w:rsid w:val="00B37575"/>
    <w:rsid w:val="00B37FFB"/>
    <w:rsid w:val="00B4017E"/>
    <w:rsid w:val="00B40238"/>
    <w:rsid w:val="00B403F6"/>
    <w:rsid w:val="00B40438"/>
    <w:rsid w:val="00B418EA"/>
    <w:rsid w:val="00B42310"/>
    <w:rsid w:val="00B42529"/>
    <w:rsid w:val="00B42D06"/>
    <w:rsid w:val="00B4417E"/>
    <w:rsid w:val="00B44386"/>
    <w:rsid w:val="00B443AA"/>
    <w:rsid w:val="00B444E7"/>
    <w:rsid w:val="00B44574"/>
    <w:rsid w:val="00B457EE"/>
    <w:rsid w:val="00B463F8"/>
    <w:rsid w:val="00B46421"/>
    <w:rsid w:val="00B4686F"/>
    <w:rsid w:val="00B46A79"/>
    <w:rsid w:val="00B46B58"/>
    <w:rsid w:val="00B46EC2"/>
    <w:rsid w:val="00B47096"/>
    <w:rsid w:val="00B4730D"/>
    <w:rsid w:val="00B47E67"/>
    <w:rsid w:val="00B50847"/>
    <w:rsid w:val="00B5093F"/>
    <w:rsid w:val="00B50EC3"/>
    <w:rsid w:val="00B5109B"/>
    <w:rsid w:val="00B51740"/>
    <w:rsid w:val="00B5193E"/>
    <w:rsid w:val="00B51BAF"/>
    <w:rsid w:val="00B51CBD"/>
    <w:rsid w:val="00B5331F"/>
    <w:rsid w:val="00B53B42"/>
    <w:rsid w:val="00B53D21"/>
    <w:rsid w:val="00B53D4A"/>
    <w:rsid w:val="00B53EED"/>
    <w:rsid w:val="00B54065"/>
    <w:rsid w:val="00B54203"/>
    <w:rsid w:val="00B558EC"/>
    <w:rsid w:val="00B559E7"/>
    <w:rsid w:val="00B561AE"/>
    <w:rsid w:val="00B562D0"/>
    <w:rsid w:val="00B563B9"/>
    <w:rsid w:val="00B56BF4"/>
    <w:rsid w:val="00B57596"/>
    <w:rsid w:val="00B60154"/>
    <w:rsid w:val="00B604D7"/>
    <w:rsid w:val="00B610F9"/>
    <w:rsid w:val="00B61749"/>
    <w:rsid w:val="00B61C8E"/>
    <w:rsid w:val="00B625F6"/>
    <w:rsid w:val="00B629DF"/>
    <w:rsid w:val="00B62A6D"/>
    <w:rsid w:val="00B63296"/>
    <w:rsid w:val="00B63FE8"/>
    <w:rsid w:val="00B643B2"/>
    <w:rsid w:val="00B6516B"/>
    <w:rsid w:val="00B655E8"/>
    <w:rsid w:val="00B65A0A"/>
    <w:rsid w:val="00B66122"/>
    <w:rsid w:val="00B662CA"/>
    <w:rsid w:val="00B6673E"/>
    <w:rsid w:val="00B66E8C"/>
    <w:rsid w:val="00B6762E"/>
    <w:rsid w:val="00B701B9"/>
    <w:rsid w:val="00B701D1"/>
    <w:rsid w:val="00B70B2A"/>
    <w:rsid w:val="00B70DC1"/>
    <w:rsid w:val="00B7171C"/>
    <w:rsid w:val="00B71ABA"/>
    <w:rsid w:val="00B71BDB"/>
    <w:rsid w:val="00B71CD3"/>
    <w:rsid w:val="00B71FD9"/>
    <w:rsid w:val="00B72822"/>
    <w:rsid w:val="00B72AEE"/>
    <w:rsid w:val="00B730DC"/>
    <w:rsid w:val="00B7325B"/>
    <w:rsid w:val="00B73B6B"/>
    <w:rsid w:val="00B73C27"/>
    <w:rsid w:val="00B73C99"/>
    <w:rsid w:val="00B743D3"/>
    <w:rsid w:val="00B7494D"/>
    <w:rsid w:val="00B76375"/>
    <w:rsid w:val="00B766FE"/>
    <w:rsid w:val="00B76E84"/>
    <w:rsid w:val="00B77156"/>
    <w:rsid w:val="00B77175"/>
    <w:rsid w:val="00B7741B"/>
    <w:rsid w:val="00B776BA"/>
    <w:rsid w:val="00B7781E"/>
    <w:rsid w:val="00B77C5A"/>
    <w:rsid w:val="00B77E5B"/>
    <w:rsid w:val="00B80663"/>
    <w:rsid w:val="00B806D4"/>
    <w:rsid w:val="00B808EC"/>
    <w:rsid w:val="00B80F81"/>
    <w:rsid w:val="00B81653"/>
    <w:rsid w:val="00B81E3D"/>
    <w:rsid w:val="00B8252E"/>
    <w:rsid w:val="00B82993"/>
    <w:rsid w:val="00B82A63"/>
    <w:rsid w:val="00B83B49"/>
    <w:rsid w:val="00B83F61"/>
    <w:rsid w:val="00B843FF"/>
    <w:rsid w:val="00B847B6"/>
    <w:rsid w:val="00B84C63"/>
    <w:rsid w:val="00B84E5E"/>
    <w:rsid w:val="00B85706"/>
    <w:rsid w:val="00B86793"/>
    <w:rsid w:val="00B86DEE"/>
    <w:rsid w:val="00B86E88"/>
    <w:rsid w:val="00B9047F"/>
    <w:rsid w:val="00B90514"/>
    <w:rsid w:val="00B90565"/>
    <w:rsid w:val="00B90A7A"/>
    <w:rsid w:val="00B90E9B"/>
    <w:rsid w:val="00B916BD"/>
    <w:rsid w:val="00B9231F"/>
    <w:rsid w:val="00B92B1B"/>
    <w:rsid w:val="00B92CEE"/>
    <w:rsid w:val="00B930F3"/>
    <w:rsid w:val="00B940E9"/>
    <w:rsid w:val="00B944D3"/>
    <w:rsid w:val="00B9496F"/>
    <w:rsid w:val="00B952DD"/>
    <w:rsid w:val="00B95C21"/>
    <w:rsid w:val="00B95DDE"/>
    <w:rsid w:val="00B96622"/>
    <w:rsid w:val="00B96EA2"/>
    <w:rsid w:val="00B97230"/>
    <w:rsid w:val="00B9724F"/>
    <w:rsid w:val="00B97552"/>
    <w:rsid w:val="00B9760A"/>
    <w:rsid w:val="00B97A7C"/>
    <w:rsid w:val="00BA0D5C"/>
    <w:rsid w:val="00BA1776"/>
    <w:rsid w:val="00BA25A0"/>
    <w:rsid w:val="00BA29FE"/>
    <w:rsid w:val="00BA2E54"/>
    <w:rsid w:val="00BA3037"/>
    <w:rsid w:val="00BA3AA9"/>
    <w:rsid w:val="00BA3B72"/>
    <w:rsid w:val="00BA4DB3"/>
    <w:rsid w:val="00BA4E44"/>
    <w:rsid w:val="00BA5104"/>
    <w:rsid w:val="00BA59BF"/>
    <w:rsid w:val="00BA5F97"/>
    <w:rsid w:val="00BA6625"/>
    <w:rsid w:val="00BA6E00"/>
    <w:rsid w:val="00BA7675"/>
    <w:rsid w:val="00BA773F"/>
    <w:rsid w:val="00BB033D"/>
    <w:rsid w:val="00BB0370"/>
    <w:rsid w:val="00BB03EB"/>
    <w:rsid w:val="00BB1D91"/>
    <w:rsid w:val="00BB1FDC"/>
    <w:rsid w:val="00BB2504"/>
    <w:rsid w:val="00BB2590"/>
    <w:rsid w:val="00BB27EB"/>
    <w:rsid w:val="00BB2F0D"/>
    <w:rsid w:val="00BB356B"/>
    <w:rsid w:val="00BB4409"/>
    <w:rsid w:val="00BB4499"/>
    <w:rsid w:val="00BB450F"/>
    <w:rsid w:val="00BB4AD7"/>
    <w:rsid w:val="00BB4C85"/>
    <w:rsid w:val="00BB4EFF"/>
    <w:rsid w:val="00BB5063"/>
    <w:rsid w:val="00BB5A6E"/>
    <w:rsid w:val="00BB5B30"/>
    <w:rsid w:val="00BB5D9F"/>
    <w:rsid w:val="00BB6A09"/>
    <w:rsid w:val="00BB7088"/>
    <w:rsid w:val="00BB736A"/>
    <w:rsid w:val="00BB7692"/>
    <w:rsid w:val="00BB76E9"/>
    <w:rsid w:val="00BB77B8"/>
    <w:rsid w:val="00BC0683"/>
    <w:rsid w:val="00BC1A76"/>
    <w:rsid w:val="00BC1B4C"/>
    <w:rsid w:val="00BC2124"/>
    <w:rsid w:val="00BC301E"/>
    <w:rsid w:val="00BC3294"/>
    <w:rsid w:val="00BC3565"/>
    <w:rsid w:val="00BC3A8B"/>
    <w:rsid w:val="00BC3EF6"/>
    <w:rsid w:val="00BC41B7"/>
    <w:rsid w:val="00BC4D05"/>
    <w:rsid w:val="00BC5BB5"/>
    <w:rsid w:val="00BC5C71"/>
    <w:rsid w:val="00BC5FE8"/>
    <w:rsid w:val="00BC7024"/>
    <w:rsid w:val="00BC738A"/>
    <w:rsid w:val="00BC7BF3"/>
    <w:rsid w:val="00BC7C37"/>
    <w:rsid w:val="00BC7CC0"/>
    <w:rsid w:val="00BD0B22"/>
    <w:rsid w:val="00BD0D4F"/>
    <w:rsid w:val="00BD16FB"/>
    <w:rsid w:val="00BD170D"/>
    <w:rsid w:val="00BD18F8"/>
    <w:rsid w:val="00BD19E2"/>
    <w:rsid w:val="00BD1A99"/>
    <w:rsid w:val="00BD1C46"/>
    <w:rsid w:val="00BD1FA1"/>
    <w:rsid w:val="00BD1FBD"/>
    <w:rsid w:val="00BD2714"/>
    <w:rsid w:val="00BD393D"/>
    <w:rsid w:val="00BD3BD8"/>
    <w:rsid w:val="00BD4B00"/>
    <w:rsid w:val="00BD52AE"/>
    <w:rsid w:val="00BD5A5C"/>
    <w:rsid w:val="00BD6E32"/>
    <w:rsid w:val="00BD72E4"/>
    <w:rsid w:val="00BD7546"/>
    <w:rsid w:val="00BD7B4A"/>
    <w:rsid w:val="00BD7E0B"/>
    <w:rsid w:val="00BD7F87"/>
    <w:rsid w:val="00BE03C8"/>
    <w:rsid w:val="00BE08A0"/>
    <w:rsid w:val="00BE1A04"/>
    <w:rsid w:val="00BE1C45"/>
    <w:rsid w:val="00BE20D1"/>
    <w:rsid w:val="00BE2DD8"/>
    <w:rsid w:val="00BE2EBB"/>
    <w:rsid w:val="00BE3276"/>
    <w:rsid w:val="00BE32E3"/>
    <w:rsid w:val="00BE33DF"/>
    <w:rsid w:val="00BE38B4"/>
    <w:rsid w:val="00BE3D5C"/>
    <w:rsid w:val="00BE43E7"/>
    <w:rsid w:val="00BE56C6"/>
    <w:rsid w:val="00BE5A05"/>
    <w:rsid w:val="00BE5F53"/>
    <w:rsid w:val="00BE5F5C"/>
    <w:rsid w:val="00BE687D"/>
    <w:rsid w:val="00BE6AFC"/>
    <w:rsid w:val="00BE6F75"/>
    <w:rsid w:val="00BE7B02"/>
    <w:rsid w:val="00BE7C79"/>
    <w:rsid w:val="00BF0215"/>
    <w:rsid w:val="00BF0506"/>
    <w:rsid w:val="00BF120F"/>
    <w:rsid w:val="00BF148B"/>
    <w:rsid w:val="00BF179B"/>
    <w:rsid w:val="00BF2860"/>
    <w:rsid w:val="00BF3AB3"/>
    <w:rsid w:val="00BF42E2"/>
    <w:rsid w:val="00BF4994"/>
    <w:rsid w:val="00BF4EB2"/>
    <w:rsid w:val="00BF4EBF"/>
    <w:rsid w:val="00BF529A"/>
    <w:rsid w:val="00BF5B8F"/>
    <w:rsid w:val="00BF7227"/>
    <w:rsid w:val="00BF74F2"/>
    <w:rsid w:val="00BF7610"/>
    <w:rsid w:val="00BF763F"/>
    <w:rsid w:val="00BF79EF"/>
    <w:rsid w:val="00C0025A"/>
    <w:rsid w:val="00C006F7"/>
    <w:rsid w:val="00C008CE"/>
    <w:rsid w:val="00C0097B"/>
    <w:rsid w:val="00C00A7F"/>
    <w:rsid w:val="00C00F11"/>
    <w:rsid w:val="00C0104E"/>
    <w:rsid w:val="00C01150"/>
    <w:rsid w:val="00C0165B"/>
    <w:rsid w:val="00C01819"/>
    <w:rsid w:val="00C02A0E"/>
    <w:rsid w:val="00C02DAF"/>
    <w:rsid w:val="00C03E6F"/>
    <w:rsid w:val="00C04259"/>
    <w:rsid w:val="00C05428"/>
    <w:rsid w:val="00C05954"/>
    <w:rsid w:val="00C05DAE"/>
    <w:rsid w:val="00C05E20"/>
    <w:rsid w:val="00C05F31"/>
    <w:rsid w:val="00C06568"/>
    <w:rsid w:val="00C065DB"/>
    <w:rsid w:val="00C06831"/>
    <w:rsid w:val="00C06E27"/>
    <w:rsid w:val="00C06E4B"/>
    <w:rsid w:val="00C071E7"/>
    <w:rsid w:val="00C07656"/>
    <w:rsid w:val="00C07934"/>
    <w:rsid w:val="00C07EF8"/>
    <w:rsid w:val="00C10371"/>
    <w:rsid w:val="00C108BF"/>
    <w:rsid w:val="00C10A8D"/>
    <w:rsid w:val="00C11282"/>
    <w:rsid w:val="00C12326"/>
    <w:rsid w:val="00C12399"/>
    <w:rsid w:val="00C129AA"/>
    <w:rsid w:val="00C12B56"/>
    <w:rsid w:val="00C12FBE"/>
    <w:rsid w:val="00C13270"/>
    <w:rsid w:val="00C132FC"/>
    <w:rsid w:val="00C139EC"/>
    <w:rsid w:val="00C144F8"/>
    <w:rsid w:val="00C146D8"/>
    <w:rsid w:val="00C15042"/>
    <w:rsid w:val="00C15340"/>
    <w:rsid w:val="00C15E8C"/>
    <w:rsid w:val="00C15F3A"/>
    <w:rsid w:val="00C1614E"/>
    <w:rsid w:val="00C16157"/>
    <w:rsid w:val="00C16CEB"/>
    <w:rsid w:val="00C16D60"/>
    <w:rsid w:val="00C17365"/>
    <w:rsid w:val="00C17544"/>
    <w:rsid w:val="00C176E0"/>
    <w:rsid w:val="00C17862"/>
    <w:rsid w:val="00C17A49"/>
    <w:rsid w:val="00C17C9D"/>
    <w:rsid w:val="00C20A21"/>
    <w:rsid w:val="00C21677"/>
    <w:rsid w:val="00C216E9"/>
    <w:rsid w:val="00C2216F"/>
    <w:rsid w:val="00C2221A"/>
    <w:rsid w:val="00C2274A"/>
    <w:rsid w:val="00C22983"/>
    <w:rsid w:val="00C23322"/>
    <w:rsid w:val="00C256E9"/>
    <w:rsid w:val="00C2655D"/>
    <w:rsid w:val="00C2701D"/>
    <w:rsid w:val="00C27434"/>
    <w:rsid w:val="00C2743A"/>
    <w:rsid w:val="00C27639"/>
    <w:rsid w:val="00C300F7"/>
    <w:rsid w:val="00C304E4"/>
    <w:rsid w:val="00C30C0E"/>
    <w:rsid w:val="00C30D2A"/>
    <w:rsid w:val="00C30FA1"/>
    <w:rsid w:val="00C313F9"/>
    <w:rsid w:val="00C31A20"/>
    <w:rsid w:val="00C321F1"/>
    <w:rsid w:val="00C32860"/>
    <w:rsid w:val="00C34710"/>
    <w:rsid w:val="00C348CB"/>
    <w:rsid w:val="00C34B60"/>
    <w:rsid w:val="00C34C4A"/>
    <w:rsid w:val="00C35444"/>
    <w:rsid w:val="00C3567E"/>
    <w:rsid w:val="00C35972"/>
    <w:rsid w:val="00C36699"/>
    <w:rsid w:val="00C36F2D"/>
    <w:rsid w:val="00C3750D"/>
    <w:rsid w:val="00C37F35"/>
    <w:rsid w:val="00C40DA9"/>
    <w:rsid w:val="00C41066"/>
    <w:rsid w:val="00C41D9D"/>
    <w:rsid w:val="00C42300"/>
    <w:rsid w:val="00C4253E"/>
    <w:rsid w:val="00C441E4"/>
    <w:rsid w:val="00C44587"/>
    <w:rsid w:val="00C448ED"/>
    <w:rsid w:val="00C44EF9"/>
    <w:rsid w:val="00C45076"/>
    <w:rsid w:val="00C456D5"/>
    <w:rsid w:val="00C45717"/>
    <w:rsid w:val="00C45AD4"/>
    <w:rsid w:val="00C45D56"/>
    <w:rsid w:val="00C469B0"/>
    <w:rsid w:val="00C46A08"/>
    <w:rsid w:val="00C4799D"/>
    <w:rsid w:val="00C47BF8"/>
    <w:rsid w:val="00C50B93"/>
    <w:rsid w:val="00C50F7D"/>
    <w:rsid w:val="00C51BFF"/>
    <w:rsid w:val="00C51D43"/>
    <w:rsid w:val="00C51F07"/>
    <w:rsid w:val="00C52017"/>
    <w:rsid w:val="00C5365D"/>
    <w:rsid w:val="00C545DE"/>
    <w:rsid w:val="00C54E7D"/>
    <w:rsid w:val="00C557BC"/>
    <w:rsid w:val="00C56B2C"/>
    <w:rsid w:val="00C56CA7"/>
    <w:rsid w:val="00C56CCC"/>
    <w:rsid w:val="00C56CDE"/>
    <w:rsid w:val="00C56DAB"/>
    <w:rsid w:val="00C57D24"/>
    <w:rsid w:val="00C57EB7"/>
    <w:rsid w:val="00C60274"/>
    <w:rsid w:val="00C60E70"/>
    <w:rsid w:val="00C60FB9"/>
    <w:rsid w:val="00C60FE3"/>
    <w:rsid w:val="00C6125B"/>
    <w:rsid w:val="00C612F0"/>
    <w:rsid w:val="00C61460"/>
    <w:rsid w:val="00C61857"/>
    <w:rsid w:val="00C62D6C"/>
    <w:rsid w:val="00C63016"/>
    <w:rsid w:val="00C6390C"/>
    <w:rsid w:val="00C63AE2"/>
    <w:rsid w:val="00C63D52"/>
    <w:rsid w:val="00C63FF1"/>
    <w:rsid w:val="00C640C7"/>
    <w:rsid w:val="00C645E3"/>
    <w:rsid w:val="00C64643"/>
    <w:rsid w:val="00C648BC"/>
    <w:rsid w:val="00C6663E"/>
    <w:rsid w:val="00C6664F"/>
    <w:rsid w:val="00C709AA"/>
    <w:rsid w:val="00C70A3A"/>
    <w:rsid w:val="00C71038"/>
    <w:rsid w:val="00C71465"/>
    <w:rsid w:val="00C71DD2"/>
    <w:rsid w:val="00C72D8E"/>
    <w:rsid w:val="00C73ADA"/>
    <w:rsid w:val="00C747F5"/>
    <w:rsid w:val="00C74E98"/>
    <w:rsid w:val="00C74F02"/>
    <w:rsid w:val="00C74F59"/>
    <w:rsid w:val="00C75089"/>
    <w:rsid w:val="00C7575A"/>
    <w:rsid w:val="00C759DF"/>
    <w:rsid w:val="00C75C5C"/>
    <w:rsid w:val="00C75DDF"/>
    <w:rsid w:val="00C76660"/>
    <w:rsid w:val="00C76B50"/>
    <w:rsid w:val="00C7701F"/>
    <w:rsid w:val="00C7732E"/>
    <w:rsid w:val="00C77D23"/>
    <w:rsid w:val="00C77DA7"/>
    <w:rsid w:val="00C80193"/>
    <w:rsid w:val="00C8069F"/>
    <w:rsid w:val="00C812CD"/>
    <w:rsid w:val="00C8198C"/>
    <w:rsid w:val="00C81C2E"/>
    <w:rsid w:val="00C8202C"/>
    <w:rsid w:val="00C821A8"/>
    <w:rsid w:val="00C82873"/>
    <w:rsid w:val="00C828D9"/>
    <w:rsid w:val="00C82B07"/>
    <w:rsid w:val="00C82B34"/>
    <w:rsid w:val="00C8333C"/>
    <w:rsid w:val="00C8336C"/>
    <w:rsid w:val="00C8339C"/>
    <w:rsid w:val="00C836DD"/>
    <w:rsid w:val="00C83818"/>
    <w:rsid w:val="00C83D9B"/>
    <w:rsid w:val="00C8420A"/>
    <w:rsid w:val="00C847F3"/>
    <w:rsid w:val="00C848C3"/>
    <w:rsid w:val="00C8497A"/>
    <w:rsid w:val="00C8516D"/>
    <w:rsid w:val="00C851C7"/>
    <w:rsid w:val="00C855A8"/>
    <w:rsid w:val="00C85C35"/>
    <w:rsid w:val="00C85D06"/>
    <w:rsid w:val="00C85D68"/>
    <w:rsid w:val="00C86B35"/>
    <w:rsid w:val="00C872A6"/>
    <w:rsid w:val="00C8774D"/>
    <w:rsid w:val="00C878F4"/>
    <w:rsid w:val="00C9094F"/>
    <w:rsid w:val="00C911A1"/>
    <w:rsid w:val="00C915CC"/>
    <w:rsid w:val="00C91ED2"/>
    <w:rsid w:val="00C926F3"/>
    <w:rsid w:val="00C92CA2"/>
    <w:rsid w:val="00C92D07"/>
    <w:rsid w:val="00C92F37"/>
    <w:rsid w:val="00C93081"/>
    <w:rsid w:val="00C931E3"/>
    <w:rsid w:val="00C941EC"/>
    <w:rsid w:val="00C94269"/>
    <w:rsid w:val="00C94542"/>
    <w:rsid w:val="00C94A66"/>
    <w:rsid w:val="00C94B3A"/>
    <w:rsid w:val="00C94EEE"/>
    <w:rsid w:val="00C95954"/>
    <w:rsid w:val="00C95EAE"/>
    <w:rsid w:val="00C97184"/>
    <w:rsid w:val="00C97DFF"/>
    <w:rsid w:val="00CA00EB"/>
    <w:rsid w:val="00CA04B2"/>
    <w:rsid w:val="00CA2F09"/>
    <w:rsid w:val="00CA4CC2"/>
    <w:rsid w:val="00CA4DC6"/>
    <w:rsid w:val="00CA522C"/>
    <w:rsid w:val="00CA5471"/>
    <w:rsid w:val="00CA55D4"/>
    <w:rsid w:val="00CA57F7"/>
    <w:rsid w:val="00CA58D5"/>
    <w:rsid w:val="00CA591F"/>
    <w:rsid w:val="00CA59DD"/>
    <w:rsid w:val="00CA5EBF"/>
    <w:rsid w:val="00CA678D"/>
    <w:rsid w:val="00CA690A"/>
    <w:rsid w:val="00CA6C59"/>
    <w:rsid w:val="00CA7897"/>
    <w:rsid w:val="00CA7CB6"/>
    <w:rsid w:val="00CA7F3D"/>
    <w:rsid w:val="00CA7FF4"/>
    <w:rsid w:val="00CB08DE"/>
    <w:rsid w:val="00CB09A8"/>
    <w:rsid w:val="00CB0CA5"/>
    <w:rsid w:val="00CB0D09"/>
    <w:rsid w:val="00CB0DA9"/>
    <w:rsid w:val="00CB11EB"/>
    <w:rsid w:val="00CB1586"/>
    <w:rsid w:val="00CB1B9E"/>
    <w:rsid w:val="00CB20A2"/>
    <w:rsid w:val="00CB2BA0"/>
    <w:rsid w:val="00CB3226"/>
    <w:rsid w:val="00CB3425"/>
    <w:rsid w:val="00CB387A"/>
    <w:rsid w:val="00CB3A34"/>
    <w:rsid w:val="00CB3A4B"/>
    <w:rsid w:val="00CB3B59"/>
    <w:rsid w:val="00CB3E3D"/>
    <w:rsid w:val="00CB44C6"/>
    <w:rsid w:val="00CB472B"/>
    <w:rsid w:val="00CB4865"/>
    <w:rsid w:val="00CB48FA"/>
    <w:rsid w:val="00CB4984"/>
    <w:rsid w:val="00CB5FA5"/>
    <w:rsid w:val="00CB6717"/>
    <w:rsid w:val="00CB6739"/>
    <w:rsid w:val="00CB6F6F"/>
    <w:rsid w:val="00CB6F78"/>
    <w:rsid w:val="00CB70CE"/>
    <w:rsid w:val="00CB72A2"/>
    <w:rsid w:val="00CB7469"/>
    <w:rsid w:val="00CB75FA"/>
    <w:rsid w:val="00CB773E"/>
    <w:rsid w:val="00CB7B3A"/>
    <w:rsid w:val="00CB7D51"/>
    <w:rsid w:val="00CC1E7A"/>
    <w:rsid w:val="00CC204F"/>
    <w:rsid w:val="00CC21BE"/>
    <w:rsid w:val="00CC230A"/>
    <w:rsid w:val="00CC2432"/>
    <w:rsid w:val="00CC3763"/>
    <w:rsid w:val="00CC3C92"/>
    <w:rsid w:val="00CC44E7"/>
    <w:rsid w:val="00CC5D5E"/>
    <w:rsid w:val="00CC5F1F"/>
    <w:rsid w:val="00CC627E"/>
    <w:rsid w:val="00CC643B"/>
    <w:rsid w:val="00CC66B2"/>
    <w:rsid w:val="00CD019F"/>
    <w:rsid w:val="00CD0451"/>
    <w:rsid w:val="00CD0DCA"/>
    <w:rsid w:val="00CD1755"/>
    <w:rsid w:val="00CD19E8"/>
    <w:rsid w:val="00CD1CD7"/>
    <w:rsid w:val="00CD2795"/>
    <w:rsid w:val="00CD2933"/>
    <w:rsid w:val="00CD2A0D"/>
    <w:rsid w:val="00CD2B4F"/>
    <w:rsid w:val="00CD2BE7"/>
    <w:rsid w:val="00CD2FA3"/>
    <w:rsid w:val="00CD3ABF"/>
    <w:rsid w:val="00CD41C2"/>
    <w:rsid w:val="00CD47CA"/>
    <w:rsid w:val="00CD493D"/>
    <w:rsid w:val="00CD4DB3"/>
    <w:rsid w:val="00CD4E4D"/>
    <w:rsid w:val="00CD4EF4"/>
    <w:rsid w:val="00CD59A6"/>
    <w:rsid w:val="00CD5E3C"/>
    <w:rsid w:val="00CD5F93"/>
    <w:rsid w:val="00CD63B5"/>
    <w:rsid w:val="00CD66A7"/>
    <w:rsid w:val="00CD6919"/>
    <w:rsid w:val="00CD6AEC"/>
    <w:rsid w:val="00CD7295"/>
    <w:rsid w:val="00CD784C"/>
    <w:rsid w:val="00CD79AE"/>
    <w:rsid w:val="00CE0844"/>
    <w:rsid w:val="00CE0E4B"/>
    <w:rsid w:val="00CE10A8"/>
    <w:rsid w:val="00CE1F1D"/>
    <w:rsid w:val="00CE21A0"/>
    <w:rsid w:val="00CE2803"/>
    <w:rsid w:val="00CE2ADC"/>
    <w:rsid w:val="00CE35EB"/>
    <w:rsid w:val="00CE3DED"/>
    <w:rsid w:val="00CE3E37"/>
    <w:rsid w:val="00CE4384"/>
    <w:rsid w:val="00CE5230"/>
    <w:rsid w:val="00CE52AB"/>
    <w:rsid w:val="00CE57CB"/>
    <w:rsid w:val="00CE7E78"/>
    <w:rsid w:val="00CE7F4C"/>
    <w:rsid w:val="00CF06AC"/>
    <w:rsid w:val="00CF0DF8"/>
    <w:rsid w:val="00CF0E3F"/>
    <w:rsid w:val="00CF1981"/>
    <w:rsid w:val="00CF1BBA"/>
    <w:rsid w:val="00CF1CA8"/>
    <w:rsid w:val="00CF1FD5"/>
    <w:rsid w:val="00CF25B2"/>
    <w:rsid w:val="00CF2AFA"/>
    <w:rsid w:val="00CF2DAA"/>
    <w:rsid w:val="00CF2FAE"/>
    <w:rsid w:val="00CF3369"/>
    <w:rsid w:val="00CF3E67"/>
    <w:rsid w:val="00CF4138"/>
    <w:rsid w:val="00CF4A02"/>
    <w:rsid w:val="00CF4AF2"/>
    <w:rsid w:val="00CF4B2B"/>
    <w:rsid w:val="00CF4E60"/>
    <w:rsid w:val="00CF5266"/>
    <w:rsid w:val="00CF56B5"/>
    <w:rsid w:val="00CF58B4"/>
    <w:rsid w:val="00CF58F7"/>
    <w:rsid w:val="00CF5935"/>
    <w:rsid w:val="00CF5BDB"/>
    <w:rsid w:val="00CF5EC0"/>
    <w:rsid w:val="00CF5F94"/>
    <w:rsid w:val="00CF6449"/>
    <w:rsid w:val="00CF667F"/>
    <w:rsid w:val="00CF6A79"/>
    <w:rsid w:val="00CF6E81"/>
    <w:rsid w:val="00CF7484"/>
    <w:rsid w:val="00CF7A8C"/>
    <w:rsid w:val="00D001CE"/>
    <w:rsid w:val="00D015F5"/>
    <w:rsid w:val="00D02899"/>
    <w:rsid w:val="00D029EC"/>
    <w:rsid w:val="00D02F50"/>
    <w:rsid w:val="00D02F76"/>
    <w:rsid w:val="00D032A8"/>
    <w:rsid w:val="00D036D9"/>
    <w:rsid w:val="00D0400B"/>
    <w:rsid w:val="00D04AF8"/>
    <w:rsid w:val="00D04D86"/>
    <w:rsid w:val="00D05174"/>
    <w:rsid w:val="00D058A7"/>
    <w:rsid w:val="00D05A1A"/>
    <w:rsid w:val="00D05BD0"/>
    <w:rsid w:val="00D05EBC"/>
    <w:rsid w:val="00D06713"/>
    <w:rsid w:val="00D06BE4"/>
    <w:rsid w:val="00D0732D"/>
    <w:rsid w:val="00D07B24"/>
    <w:rsid w:val="00D104F3"/>
    <w:rsid w:val="00D116E5"/>
    <w:rsid w:val="00D11D1B"/>
    <w:rsid w:val="00D12832"/>
    <w:rsid w:val="00D1429C"/>
    <w:rsid w:val="00D1465B"/>
    <w:rsid w:val="00D14CA2"/>
    <w:rsid w:val="00D14D8F"/>
    <w:rsid w:val="00D1543D"/>
    <w:rsid w:val="00D15C0C"/>
    <w:rsid w:val="00D16745"/>
    <w:rsid w:val="00D16F36"/>
    <w:rsid w:val="00D17DDA"/>
    <w:rsid w:val="00D202D0"/>
    <w:rsid w:val="00D2035E"/>
    <w:rsid w:val="00D203B1"/>
    <w:rsid w:val="00D20923"/>
    <w:rsid w:val="00D2185C"/>
    <w:rsid w:val="00D221F4"/>
    <w:rsid w:val="00D2264E"/>
    <w:rsid w:val="00D22AB8"/>
    <w:rsid w:val="00D239C8"/>
    <w:rsid w:val="00D23ECD"/>
    <w:rsid w:val="00D24179"/>
    <w:rsid w:val="00D248FA"/>
    <w:rsid w:val="00D2513C"/>
    <w:rsid w:val="00D256A8"/>
    <w:rsid w:val="00D26C51"/>
    <w:rsid w:val="00D26F56"/>
    <w:rsid w:val="00D302FF"/>
    <w:rsid w:val="00D308B1"/>
    <w:rsid w:val="00D30BBB"/>
    <w:rsid w:val="00D31206"/>
    <w:rsid w:val="00D3214D"/>
    <w:rsid w:val="00D3224B"/>
    <w:rsid w:val="00D332F9"/>
    <w:rsid w:val="00D33698"/>
    <w:rsid w:val="00D33BAA"/>
    <w:rsid w:val="00D347AE"/>
    <w:rsid w:val="00D353AC"/>
    <w:rsid w:val="00D35E5B"/>
    <w:rsid w:val="00D3604A"/>
    <w:rsid w:val="00D3643C"/>
    <w:rsid w:val="00D36C07"/>
    <w:rsid w:val="00D36E6B"/>
    <w:rsid w:val="00D36FB5"/>
    <w:rsid w:val="00D37243"/>
    <w:rsid w:val="00D374A6"/>
    <w:rsid w:val="00D37C9C"/>
    <w:rsid w:val="00D403F7"/>
    <w:rsid w:val="00D40CE0"/>
    <w:rsid w:val="00D41667"/>
    <w:rsid w:val="00D41C52"/>
    <w:rsid w:val="00D42EEC"/>
    <w:rsid w:val="00D434D0"/>
    <w:rsid w:val="00D4441C"/>
    <w:rsid w:val="00D44454"/>
    <w:rsid w:val="00D4473A"/>
    <w:rsid w:val="00D44B6E"/>
    <w:rsid w:val="00D45527"/>
    <w:rsid w:val="00D4623D"/>
    <w:rsid w:val="00D46F5C"/>
    <w:rsid w:val="00D4706C"/>
    <w:rsid w:val="00D478F3"/>
    <w:rsid w:val="00D47AD0"/>
    <w:rsid w:val="00D50859"/>
    <w:rsid w:val="00D50BEB"/>
    <w:rsid w:val="00D5225A"/>
    <w:rsid w:val="00D530EB"/>
    <w:rsid w:val="00D53AD3"/>
    <w:rsid w:val="00D54F6A"/>
    <w:rsid w:val="00D553AF"/>
    <w:rsid w:val="00D55729"/>
    <w:rsid w:val="00D55BFF"/>
    <w:rsid w:val="00D5666C"/>
    <w:rsid w:val="00D56943"/>
    <w:rsid w:val="00D571AE"/>
    <w:rsid w:val="00D577A5"/>
    <w:rsid w:val="00D60266"/>
    <w:rsid w:val="00D60268"/>
    <w:rsid w:val="00D60364"/>
    <w:rsid w:val="00D61779"/>
    <w:rsid w:val="00D617D5"/>
    <w:rsid w:val="00D61874"/>
    <w:rsid w:val="00D61A06"/>
    <w:rsid w:val="00D61D97"/>
    <w:rsid w:val="00D62D44"/>
    <w:rsid w:val="00D62E94"/>
    <w:rsid w:val="00D63394"/>
    <w:rsid w:val="00D635D5"/>
    <w:rsid w:val="00D63F8B"/>
    <w:rsid w:val="00D64197"/>
    <w:rsid w:val="00D64422"/>
    <w:rsid w:val="00D64483"/>
    <w:rsid w:val="00D6477F"/>
    <w:rsid w:val="00D647D2"/>
    <w:rsid w:val="00D65696"/>
    <w:rsid w:val="00D65EE0"/>
    <w:rsid w:val="00D66020"/>
    <w:rsid w:val="00D660F0"/>
    <w:rsid w:val="00D675B2"/>
    <w:rsid w:val="00D67952"/>
    <w:rsid w:val="00D67EFC"/>
    <w:rsid w:val="00D702AD"/>
    <w:rsid w:val="00D70A16"/>
    <w:rsid w:val="00D717D3"/>
    <w:rsid w:val="00D71DEB"/>
    <w:rsid w:val="00D7213A"/>
    <w:rsid w:val="00D729F3"/>
    <w:rsid w:val="00D72E0B"/>
    <w:rsid w:val="00D72ECF"/>
    <w:rsid w:val="00D757DC"/>
    <w:rsid w:val="00D76726"/>
    <w:rsid w:val="00D76884"/>
    <w:rsid w:val="00D77163"/>
    <w:rsid w:val="00D77C2A"/>
    <w:rsid w:val="00D80794"/>
    <w:rsid w:val="00D807FE"/>
    <w:rsid w:val="00D80D62"/>
    <w:rsid w:val="00D815AF"/>
    <w:rsid w:val="00D81E34"/>
    <w:rsid w:val="00D81EBA"/>
    <w:rsid w:val="00D82490"/>
    <w:rsid w:val="00D83CDE"/>
    <w:rsid w:val="00D84523"/>
    <w:rsid w:val="00D845E3"/>
    <w:rsid w:val="00D846E5"/>
    <w:rsid w:val="00D8542E"/>
    <w:rsid w:val="00D854D3"/>
    <w:rsid w:val="00D85AEA"/>
    <w:rsid w:val="00D867B7"/>
    <w:rsid w:val="00D867C7"/>
    <w:rsid w:val="00D86EBB"/>
    <w:rsid w:val="00D86FB3"/>
    <w:rsid w:val="00D87243"/>
    <w:rsid w:val="00D87248"/>
    <w:rsid w:val="00D876E5"/>
    <w:rsid w:val="00D87B31"/>
    <w:rsid w:val="00D87E71"/>
    <w:rsid w:val="00D90203"/>
    <w:rsid w:val="00D90466"/>
    <w:rsid w:val="00D9081B"/>
    <w:rsid w:val="00D908AC"/>
    <w:rsid w:val="00D90AB0"/>
    <w:rsid w:val="00D90C3D"/>
    <w:rsid w:val="00D913E1"/>
    <w:rsid w:val="00D91440"/>
    <w:rsid w:val="00D917C1"/>
    <w:rsid w:val="00D918C5"/>
    <w:rsid w:val="00D919A3"/>
    <w:rsid w:val="00D929CF"/>
    <w:rsid w:val="00D93040"/>
    <w:rsid w:val="00D93345"/>
    <w:rsid w:val="00D943EE"/>
    <w:rsid w:val="00D9453C"/>
    <w:rsid w:val="00D945B9"/>
    <w:rsid w:val="00D94620"/>
    <w:rsid w:val="00D94C9F"/>
    <w:rsid w:val="00D9554A"/>
    <w:rsid w:val="00D957A4"/>
    <w:rsid w:val="00D9615B"/>
    <w:rsid w:val="00D96600"/>
    <w:rsid w:val="00D96D41"/>
    <w:rsid w:val="00D97129"/>
    <w:rsid w:val="00D97145"/>
    <w:rsid w:val="00D97334"/>
    <w:rsid w:val="00D97C5F"/>
    <w:rsid w:val="00DA00EC"/>
    <w:rsid w:val="00DA0F0D"/>
    <w:rsid w:val="00DA1041"/>
    <w:rsid w:val="00DA11A3"/>
    <w:rsid w:val="00DA12E8"/>
    <w:rsid w:val="00DA1335"/>
    <w:rsid w:val="00DA1ABF"/>
    <w:rsid w:val="00DA1EF8"/>
    <w:rsid w:val="00DA2096"/>
    <w:rsid w:val="00DA2226"/>
    <w:rsid w:val="00DA233C"/>
    <w:rsid w:val="00DA2427"/>
    <w:rsid w:val="00DA2637"/>
    <w:rsid w:val="00DA26B8"/>
    <w:rsid w:val="00DA339D"/>
    <w:rsid w:val="00DA33BC"/>
    <w:rsid w:val="00DA383F"/>
    <w:rsid w:val="00DA3A7D"/>
    <w:rsid w:val="00DA3D1B"/>
    <w:rsid w:val="00DA42AD"/>
    <w:rsid w:val="00DA43D4"/>
    <w:rsid w:val="00DA4797"/>
    <w:rsid w:val="00DA4DA3"/>
    <w:rsid w:val="00DA51E5"/>
    <w:rsid w:val="00DA52B2"/>
    <w:rsid w:val="00DA556B"/>
    <w:rsid w:val="00DA565D"/>
    <w:rsid w:val="00DA7E3A"/>
    <w:rsid w:val="00DB01ED"/>
    <w:rsid w:val="00DB07D5"/>
    <w:rsid w:val="00DB153C"/>
    <w:rsid w:val="00DB164C"/>
    <w:rsid w:val="00DB1F10"/>
    <w:rsid w:val="00DB1F91"/>
    <w:rsid w:val="00DB24C1"/>
    <w:rsid w:val="00DB281A"/>
    <w:rsid w:val="00DB28EC"/>
    <w:rsid w:val="00DB295D"/>
    <w:rsid w:val="00DB2F6D"/>
    <w:rsid w:val="00DB38E0"/>
    <w:rsid w:val="00DB39A6"/>
    <w:rsid w:val="00DB39CC"/>
    <w:rsid w:val="00DB39DF"/>
    <w:rsid w:val="00DB5490"/>
    <w:rsid w:val="00DB5A84"/>
    <w:rsid w:val="00DB5CC9"/>
    <w:rsid w:val="00DB612E"/>
    <w:rsid w:val="00DB616A"/>
    <w:rsid w:val="00DB68B4"/>
    <w:rsid w:val="00DB6D3B"/>
    <w:rsid w:val="00DB6FAB"/>
    <w:rsid w:val="00DB78A7"/>
    <w:rsid w:val="00DB7931"/>
    <w:rsid w:val="00DC0177"/>
    <w:rsid w:val="00DC08C7"/>
    <w:rsid w:val="00DC0AFF"/>
    <w:rsid w:val="00DC0D4A"/>
    <w:rsid w:val="00DC14B3"/>
    <w:rsid w:val="00DC1605"/>
    <w:rsid w:val="00DC17E8"/>
    <w:rsid w:val="00DC1B1A"/>
    <w:rsid w:val="00DC1FCB"/>
    <w:rsid w:val="00DC2CD8"/>
    <w:rsid w:val="00DC2D71"/>
    <w:rsid w:val="00DC2EC2"/>
    <w:rsid w:val="00DC3173"/>
    <w:rsid w:val="00DC3757"/>
    <w:rsid w:val="00DC3DD0"/>
    <w:rsid w:val="00DC51A4"/>
    <w:rsid w:val="00DC532B"/>
    <w:rsid w:val="00DC548E"/>
    <w:rsid w:val="00DC5C83"/>
    <w:rsid w:val="00DC63BB"/>
    <w:rsid w:val="00DC7AD9"/>
    <w:rsid w:val="00DD07DE"/>
    <w:rsid w:val="00DD0978"/>
    <w:rsid w:val="00DD0B4B"/>
    <w:rsid w:val="00DD0C20"/>
    <w:rsid w:val="00DD116B"/>
    <w:rsid w:val="00DD12BC"/>
    <w:rsid w:val="00DD18AF"/>
    <w:rsid w:val="00DD1C8D"/>
    <w:rsid w:val="00DD21B1"/>
    <w:rsid w:val="00DD28C0"/>
    <w:rsid w:val="00DD2935"/>
    <w:rsid w:val="00DD300B"/>
    <w:rsid w:val="00DD312A"/>
    <w:rsid w:val="00DD40A4"/>
    <w:rsid w:val="00DD444E"/>
    <w:rsid w:val="00DD48E8"/>
    <w:rsid w:val="00DD4C02"/>
    <w:rsid w:val="00DD50E2"/>
    <w:rsid w:val="00DD51DA"/>
    <w:rsid w:val="00DD53DE"/>
    <w:rsid w:val="00DD5552"/>
    <w:rsid w:val="00DD5A05"/>
    <w:rsid w:val="00DD5B3C"/>
    <w:rsid w:val="00DD6BDB"/>
    <w:rsid w:val="00DD6DED"/>
    <w:rsid w:val="00DD6F20"/>
    <w:rsid w:val="00DD70BA"/>
    <w:rsid w:val="00DD774C"/>
    <w:rsid w:val="00DD7C63"/>
    <w:rsid w:val="00DD7D5F"/>
    <w:rsid w:val="00DD7D78"/>
    <w:rsid w:val="00DD7F22"/>
    <w:rsid w:val="00DE0333"/>
    <w:rsid w:val="00DE05E9"/>
    <w:rsid w:val="00DE0729"/>
    <w:rsid w:val="00DE0987"/>
    <w:rsid w:val="00DE0A16"/>
    <w:rsid w:val="00DE0E92"/>
    <w:rsid w:val="00DE1259"/>
    <w:rsid w:val="00DE1882"/>
    <w:rsid w:val="00DE1975"/>
    <w:rsid w:val="00DE22AE"/>
    <w:rsid w:val="00DE2625"/>
    <w:rsid w:val="00DE2A88"/>
    <w:rsid w:val="00DE2CDE"/>
    <w:rsid w:val="00DE30EA"/>
    <w:rsid w:val="00DE31FE"/>
    <w:rsid w:val="00DE3C14"/>
    <w:rsid w:val="00DE40BB"/>
    <w:rsid w:val="00DE464E"/>
    <w:rsid w:val="00DE4762"/>
    <w:rsid w:val="00DE4930"/>
    <w:rsid w:val="00DE4C3B"/>
    <w:rsid w:val="00DE4F67"/>
    <w:rsid w:val="00DE5531"/>
    <w:rsid w:val="00DE5A46"/>
    <w:rsid w:val="00DE6C3E"/>
    <w:rsid w:val="00DE7608"/>
    <w:rsid w:val="00DE788F"/>
    <w:rsid w:val="00DE7CF5"/>
    <w:rsid w:val="00DF0322"/>
    <w:rsid w:val="00DF055C"/>
    <w:rsid w:val="00DF1B51"/>
    <w:rsid w:val="00DF2302"/>
    <w:rsid w:val="00DF25A5"/>
    <w:rsid w:val="00DF2EE5"/>
    <w:rsid w:val="00DF344E"/>
    <w:rsid w:val="00DF3D56"/>
    <w:rsid w:val="00DF4057"/>
    <w:rsid w:val="00DF474D"/>
    <w:rsid w:val="00DF483C"/>
    <w:rsid w:val="00DF4D1B"/>
    <w:rsid w:val="00DF5219"/>
    <w:rsid w:val="00DF5B67"/>
    <w:rsid w:val="00DF685D"/>
    <w:rsid w:val="00DF72E6"/>
    <w:rsid w:val="00DF79E9"/>
    <w:rsid w:val="00DF7BFB"/>
    <w:rsid w:val="00E00013"/>
    <w:rsid w:val="00E00264"/>
    <w:rsid w:val="00E00571"/>
    <w:rsid w:val="00E008C3"/>
    <w:rsid w:val="00E00EB7"/>
    <w:rsid w:val="00E019EE"/>
    <w:rsid w:val="00E02490"/>
    <w:rsid w:val="00E02E74"/>
    <w:rsid w:val="00E031D8"/>
    <w:rsid w:val="00E03A68"/>
    <w:rsid w:val="00E0419C"/>
    <w:rsid w:val="00E04602"/>
    <w:rsid w:val="00E04C73"/>
    <w:rsid w:val="00E05133"/>
    <w:rsid w:val="00E06124"/>
    <w:rsid w:val="00E06998"/>
    <w:rsid w:val="00E06A9C"/>
    <w:rsid w:val="00E06B5C"/>
    <w:rsid w:val="00E07303"/>
    <w:rsid w:val="00E07347"/>
    <w:rsid w:val="00E07DB7"/>
    <w:rsid w:val="00E1087C"/>
    <w:rsid w:val="00E10D25"/>
    <w:rsid w:val="00E110AE"/>
    <w:rsid w:val="00E1196D"/>
    <w:rsid w:val="00E11D36"/>
    <w:rsid w:val="00E121FD"/>
    <w:rsid w:val="00E12A99"/>
    <w:rsid w:val="00E12F6B"/>
    <w:rsid w:val="00E1322B"/>
    <w:rsid w:val="00E145EA"/>
    <w:rsid w:val="00E150CB"/>
    <w:rsid w:val="00E16B8F"/>
    <w:rsid w:val="00E17199"/>
    <w:rsid w:val="00E17DB4"/>
    <w:rsid w:val="00E2048D"/>
    <w:rsid w:val="00E21849"/>
    <w:rsid w:val="00E21A9F"/>
    <w:rsid w:val="00E21DC9"/>
    <w:rsid w:val="00E21DCD"/>
    <w:rsid w:val="00E224AA"/>
    <w:rsid w:val="00E233F5"/>
    <w:rsid w:val="00E23DBD"/>
    <w:rsid w:val="00E24B46"/>
    <w:rsid w:val="00E25AE7"/>
    <w:rsid w:val="00E25B9F"/>
    <w:rsid w:val="00E26328"/>
    <w:rsid w:val="00E268B1"/>
    <w:rsid w:val="00E268C6"/>
    <w:rsid w:val="00E27722"/>
    <w:rsid w:val="00E27A80"/>
    <w:rsid w:val="00E27C65"/>
    <w:rsid w:val="00E27C80"/>
    <w:rsid w:val="00E30346"/>
    <w:rsid w:val="00E30AAA"/>
    <w:rsid w:val="00E30CFB"/>
    <w:rsid w:val="00E31531"/>
    <w:rsid w:val="00E3169C"/>
    <w:rsid w:val="00E31FD3"/>
    <w:rsid w:val="00E32AA2"/>
    <w:rsid w:val="00E32FFA"/>
    <w:rsid w:val="00E330A8"/>
    <w:rsid w:val="00E336EA"/>
    <w:rsid w:val="00E3371A"/>
    <w:rsid w:val="00E343DC"/>
    <w:rsid w:val="00E346C5"/>
    <w:rsid w:val="00E353ED"/>
    <w:rsid w:val="00E35498"/>
    <w:rsid w:val="00E360DC"/>
    <w:rsid w:val="00E36780"/>
    <w:rsid w:val="00E36790"/>
    <w:rsid w:val="00E36943"/>
    <w:rsid w:val="00E37002"/>
    <w:rsid w:val="00E376CA"/>
    <w:rsid w:val="00E37897"/>
    <w:rsid w:val="00E37BD5"/>
    <w:rsid w:val="00E37E64"/>
    <w:rsid w:val="00E405B8"/>
    <w:rsid w:val="00E406A5"/>
    <w:rsid w:val="00E40BEE"/>
    <w:rsid w:val="00E410AC"/>
    <w:rsid w:val="00E41270"/>
    <w:rsid w:val="00E41884"/>
    <w:rsid w:val="00E41A00"/>
    <w:rsid w:val="00E41C13"/>
    <w:rsid w:val="00E425E3"/>
    <w:rsid w:val="00E426E6"/>
    <w:rsid w:val="00E42BC5"/>
    <w:rsid w:val="00E43360"/>
    <w:rsid w:val="00E434B5"/>
    <w:rsid w:val="00E4361E"/>
    <w:rsid w:val="00E43E32"/>
    <w:rsid w:val="00E43FAE"/>
    <w:rsid w:val="00E44546"/>
    <w:rsid w:val="00E4464E"/>
    <w:rsid w:val="00E448EC"/>
    <w:rsid w:val="00E44A9B"/>
    <w:rsid w:val="00E44B82"/>
    <w:rsid w:val="00E44FCD"/>
    <w:rsid w:val="00E45EF0"/>
    <w:rsid w:val="00E4662A"/>
    <w:rsid w:val="00E46D3F"/>
    <w:rsid w:val="00E46FAA"/>
    <w:rsid w:val="00E4710A"/>
    <w:rsid w:val="00E47EE7"/>
    <w:rsid w:val="00E5005B"/>
    <w:rsid w:val="00E51368"/>
    <w:rsid w:val="00E515D4"/>
    <w:rsid w:val="00E51A25"/>
    <w:rsid w:val="00E51C67"/>
    <w:rsid w:val="00E51D32"/>
    <w:rsid w:val="00E52695"/>
    <w:rsid w:val="00E52734"/>
    <w:rsid w:val="00E52D30"/>
    <w:rsid w:val="00E534A3"/>
    <w:rsid w:val="00E5354F"/>
    <w:rsid w:val="00E5397A"/>
    <w:rsid w:val="00E54441"/>
    <w:rsid w:val="00E544A7"/>
    <w:rsid w:val="00E54843"/>
    <w:rsid w:val="00E54C67"/>
    <w:rsid w:val="00E54D1C"/>
    <w:rsid w:val="00E550DD"/>
    <w:rsid w:val="00E558AC"/>
    <w:rsid w:val="00E561F7"/>
    <w:rsid w:val="00E56C22"/>
    <w:rsid w:val="00E574B2"/>
    <w:rsid w:val="00E57C94"/>
    <w:rsid w:val="00E601B2"/>
    <w:rsid w:val="00E60237"/>
    <w:rsid w:val="00E60A61"/>
    <w:rsid w:val="00E60D31"/>
    <w:rsid w:val="00E60EEC"/>
    <w:rsid w:val="00E61877"/>
    <w:rsid w:val="00E62C4D"/>
    <w:rsid w:val="00E62C6C"/>
    <w:rsid w:val="00E63385"/>
    <w:rsid w:val="00E634E1"/>
    <w:rsid w:val="00E6475E"/>
    <w:rsid w:val="00E656FB"/>
    <w:rsid w:val="00E65FAA"/>
    <w:rsid w:val="00E6623E"/>
    <w:rsid w:val="00E66392"/>
    <w:rsid w:val="00E672A3"/>
    <w:rsid w:val="00E70200"/>
    <w:rsid w:val="00E70576"/>
    <w:rsid w:val="00E70C12"/>
    <w:rsid w:val="00E71551"/>
    <w:rsid w:val="00E72421"/>
    <w:rsid w:val="00E724CB"/>
    <w:rsid w:val="00E7290F"/>
    <w:rsid w:val="00E72B77"/>
    <w:rsid w:val="00E73722"/>
    <w:rsid w:val="00E7381F"/>
    <w:rsid w:val="00E73FA4"/>
    <w:rsid w:val="00E744B9"/>
    <w:rsid w:val="00E74872"/>
    <w:rsid w:val="00E74AB4"/>
    <w:rsid w:val="00E7536E"/>
    <w:rsid w:val="00E764EE"/>
    <w:rsid w:val="00E76BB1"/>
    <w:rsid w:val="00E76BD7"/>
    <w:rsid w:val="00E774DF"/>
    <w:rsid w:val="00E776F4"/>
    <w:rsid w:val="00E77924"/>
    <w:rsid w:val="00E77A32"/>
    <w:rsid w:val="00E80003"/>
    <w:rsid w:val="00E801DF"/>
    <w:rsid w:val="00E8044E"/>
    <w:rsid w:val="00E80FA4"/>
    <w:rsid w:val="00E81789"/>
    <w:rsid w:val="00E8180A"/>
    <w:rsid w:val="00E81F3A"/>
    <w:rsid w:val="00E8237A"/>
    <w:rsid w:val="00E826B1"/>
    <w:rsid w:val="00E82AB0"/>
    <w:rsid w:val="00E82B53"/>
    <w:rsid w:val="00E82BBD"/>
    <w:rsid w:val="00E82CB8"/>
    <w:rsid w:val="00E82F0B"/>
    <w:rsid w:val="00E832BB"/>
    <w:rsid w:val="00E8341D"/>
    <w:rsid w:val="00E836E0"/>
    <w:rsid w:val="00E838D5"/>
    <w:rsid w:val="00E83987"/>
    <w:rsid w:val="00E83D05"/>
    <w:rsid w:val="00E84EFA"/>
    <w:rsid w:val="00E8554F"/>
    <w:rsid w:val="00E85C42"/>
    <w:rsid w:val="00E85C4F"/>
    <w:rsid w:val="00E85E21"/>
    <w:rsid w:val="00E85F01"/>
    <w:rsid w:val="00E86198"/>
    <w:rsid w:val="00E861E8"/>
    <w:rsid w:val="00E86D59"/>
    <w:rsid w:val="00E871C4"/>
    <w:rsid w:val="00E875E6"/>
    <w:rsid w:val="00E87739"/>
    <w:rsid w:val="00E87808"/>
    <w:rsid w:val="00E8781E"/>
    <w:rsid w:val="00E87B29"/>
    <w:rsid w:val="00E87D43"/>
    <w:rsid w:val="00E9003B"/>
    <w:rsid w:val="00E9039E"/>
    <w:rsid w:val="00E90DAD"/>
    <w:rsid w:val="00E91806"/>
    <w:rsid w:val="00E91BA6"/>
    <w:rsid w:val="00E920AB"/>
    <w:rsid w:val="00E9227A"/>
    <w:rsid w:val="00E922D6"/>
    <w:rsid w:val="00E9230A"/>
    <w:rsid w:val="00E9241C"/>
    <w:rsid w:val="00E92DE9"/>
    <w:rsid w:val="00E92FAD"/>
    <w:rsid w:val="00E939A0"/>
    <w:rsid w:val="00E93DC4"/>
    <w:rsid w:val="00E94194"/>
    <w:rsid w:val="00E946FF"/>
    <w:rsid w:val="00E95352"/>
    <w:rsid w:val="00E95355"/>
    <w:rsid w:val="00E96016"/>
    <w:rsid w:val="00E961B4"/>
    <w:rsid w:val="00E961F3"/>
    <w:rsid w:val="00E96222"/>
    <w:rsid w:val="00E962F4"/>
    <w:rsid w:val="00E96A49"/>
    <w:rsid w:val="00E96B11"/>
    <w:rsid w:val="00E96D30"/>
    <w:rsid w:val="00E9739A"/>
    <w:rsid w:val="00E973E2"/>
    <w:rsid w:val="00E9756B"/>
    <w:rsid w:val="00E977AC"/>
    <w:rsid w:val="00E97A39"/>
    <w:rsid w:val="00E97A79"/>
    <w:rsid w:val="00E97AF2"/>
    <w:rsid w:val="00EA089D"/>
    <w:rsid w:val="00EA095C"/>
    <w:rsid w:val="00EA0CFE"/>
    <w:rsid w:val="00EA16F9"/>
    <w:rsid w:val="00EA1AE2"/>
    <w:rsid w:val="00EA1D0B"/>
    <w:rsid w:val="00EA2C02"/>
    <w:rsid w:val="00EA3099"/>
    <w:rsid w:val="00EA31AC"/>
    <w:rsid w:val="00EA322F"/>
    <w:rsid w:val="00EA32B7"/>
    <w:rsid w:val="00EA3A10"/>
    <w:rsid w:val="00EA3A7B"/>
    <w:rsid w:val="00EA4247"/>
    <w:rsid w:val="00EA548B"/>
    <w:rsid w:val="00EA56F5"/>
    <w:rsid w:val="00EA5AAC"/>
    <w:rsid w:val="00EA6079"/>
    <w:rsid w:val="00EA633A"/>
    <w:rsid w:val="00EA6983"/>
    <w:rsid w:val="00EA7690"/>
    <w:rsid w:val="00EA7C18"/>
    <w:rsid w:val="00EB0768"/>
    <w:rsid w:val="00EB0825"/>
    <w:rsid w:val="00EB10C0"/>
    <w:rsid w:val="00EB13F3"/>
    <w:rsid w:val="00EB14D3"/>
    <w:rsid w:val="00EB1B64"/>
    <w:rsid w:val="00EB1C40"/>
    <w:rsid w:val="00EB22A0"/>
    <w:rsid w:val="00EB29AA"/>
    <w:rsid w:val="00EB3D4D"/>
    <w:rsid w:val="00EB3EA1"/>
    <w:rsid w:val="00EB3FD5"/>
    <w:rsid w:val="00EB4E8D"/>
    <w:rsid w:val="00EB51E9"/>
    <w:rsid w:val="00EB5364"/>
    <w:rsid w:val="00EB572B"/>
    <w:rsid w:val="00EB5EFC"/>
    <w:rsid w:val="00EB6557"/>
    <w:rsid w:val="00EB65E7"/>
    <w:rsid w:val="00EB6CA7"/>
    <w:rsid w:val="00EB70DA"/>
    <w:rsid w:val="00EB70F9"/>
    <w:rsid w:val="00EB725C"/>
    <w:rsid w:val="00EB7BBA"/>
    <w:rsid w:val="00EC060A"/>
    <w:rsid w:val="00EC06EB"/>
    <w:rsid w:val="00EC122C"/>
    <w:rsid w:val="00EC1C23"/>
    <w:rsid w:val="00EC1FB3"/>
    <w:rsid w:val="00EC2554"/>
    <w:rsid w:val="00EC3760"/>
    <w:rsid w:val="00EC3CBE"/>
    <w:rsid w:val="00EC3FD0"/>
    <w:rsid w:val="00EC41F9"/>
    <w:rsid w:val="00EC42B7"/>
    <w:rsid w:val="00EC4437"/>
    <w:rsid w:val="00EC521A"/>
    <w:rsid w:val="00EC5323"/>
    <w:rsid w:val="00EC5546"/>
    <w:rsid w:val="00EC5FB0"/>
    <w:rsid w:val="00EC7057"/>
    <w:rsid w:val="00EC754C"/>
    <w:rsid w:val="00EC7918"/>
    <w:rsid w:val="00EC7994"/>
    <w:rsid w:val="00EC7FC2"/>
    <w:rsid w:val="00ED0D2B"/>
    <w:rsid w:val="00ED15EF"/>
    <w:rsid w:val="00ED1850"/>
    <w:rsid w:val="00ED1E80"/>
    <w:rsid w:val="00ED2956"/>
    <w:rsid w:val="00ED2F86"/>
    <w:rsid w:val="00ED3203"/>
    <w:rsid w:val="00ED3496"/>
    <w:rsid w:val="00ED396C"/>
    <w:rsid w:val="00ED45E4"/>
    <w:rsid w:val="00ED4DF7"/>
    <w:rsid w:val="00ED4F1B"/>
    <w:rsid w:val="00ED567B"/>
    <w:rsid w:val="00ED5B8A"/>
    <w:rsid w:val="00ED5FF3"/>
    <w:rsid w:val="00ED6CA6"/>
    <w:rsid w:val="00ED6FCB"/>
    <w:rsid w:val="00ED7B3B"/>
    <w:rsid w:val="00ED7CE0"/>
    <w:rsid w:val="00EE0E58"/>
    <w:rsid w:val="00EE1A6D"/>
    <w:rsid w:val="00EE1FFC"/>
    <w:rsid w:val="00EE3365"/>
    <w:rsid w:val="00EE3C6F"/>
    <w:rsid w:val="00EE42EE"/>
    <w:rsid w:val="00EE4CA8"/>
    <w:rsid w:val="00EE4E97"/>
    <w:rsid w:val="00EE5550"/>
    <w:rsid w:val="00EE5935"/>
    <w:rsid w:val="00EE5EB3"/>
    <w:rsid w:val="00EE60E0"/>
    <w:rsid w:val="00EE64E6"/>
    <w:rsid w:val="00EE6EEA"/>
    <w:rsid w:val="00EE79DE"/>
    <w:rsid w:val="00EF002F"/>
    <w:rsid w:val="00EF009D"/>
    <w:rsid w:val="00EF0823"/>
    <w:rsid w:val="00EF0D30"/>
    <w:rsid w:val="00EF206C"/>
    <w:rsid w:val="00EF2276"/>
    <w:rsid w:val="00EF2F16"/>
    <w:rsid w:val="00EF3198"/>
    <w:rsid w:val="00EF3599"/>
    <w:rsid w:val="00EF3794"/>
    <w:rsid w:val="00EF3E0C"/>
    <w:rsid w:val="00EF5158"/>
    <w:rsid w:val="00EF58C3"/>
    <w:rsid w:val="00EF626D"/>
    <w:rsid w:val="00EF72BE"/>
    <w:rsid w:val="00EF78CA"/>
    <w:rsid w:val="00EF7F70"/>
    <w:rsid w:val="00F0053E"/>
    <w:rsid w:val="00F00664"/>
    <w:rsid w:val="00F00B05"/>
    <w:rsid w:val="00F00DE0"/>
    <w:rsid w:val="00F00F95"/>
    <w:rsid w:val="00F0119B"/>
    <w:rsid w:val="00F01940"/>
    <w:rsid w:val="00F01F4C"/>
    <w:rsid w:val="00F02045"/>
    <w:rsid w:val="00F021D7"/>
    <w:rsid w:val="00F028E3"/>
    <w:rsid w:val="00F02DDF"/>
    <w:rsid w:val="00F03B4F"/>
    <w:rsid w:val="00F03DB0"/>
    <w:rsid w:val="00F044D7"/>
    <w:rsid w:val="00F04818"/>
    <w:rsid w:val="00F04FDD"/>
    <w:rsid w:val="00F06354"/>
    <w:rsid w:val="00F06816"/>
    <w:rsid w:val="00F06859"/>
    <w:rsid w:val="00F06CB2"/>
    <w:rsid w:val="00F0735C"/>
    <w:rsid w:val="00F10501"/>
    <w:rsid w:val="00F10E66"/>
    <w:rsid w:val="00F114E0"/>
    <w:rsid w:val="00F12F70"/>
    <w:rsid w:val="00F13364"/>
    <w:rsid w:val="00F13EAA"/>
    <w:rsid w:val="00F159A1"/>
    <w:rsid w:val="00F15E41"/>
    <w:rsid w:val="00F15E5B"/>
    <w:rsid w:val="00F16332"/>
    <w:rsid w:val="00F16BD8"/>
    <w:rsid w:val="00F16E77"/>
    <w:rsid w:val="00F17458"/>
    <w:rsid w:val="00F17F81"/>
    <w:rsid w:val="00F20617"/>
    <w:rsid w:val="00F20B6E"/>
    <w:rsid w:val="00F210BD"/>
    <w:rsid w:val="00F215F5"/>
    <w:rsid w:val="00F216B2"/>
    <w:rsid w:val="00F217D3"/>
    <w:rsid w:val="00F219A1"/>
    <w:rsid w:val="00F221D5"/>
    <w:rsid w:val="00F2234D"/>
    <w:rsid w:val="00F227D1"/>
    <w:rsid w:val="00F22C5B"/>
    <w:rsid w:val="00F234EC"/>
    <w:rsid w:val="00F2372D"/>
    <w:rsid w:val="00F250DA"/>
    <w:rsid w:val="00F25714"/>
    <w:rsid w:val="00F25D75"/>
    <w:rsid w:val="00F263BD"/>
    <w:rsid w:val="00F27631"/>
    <w:rsid w:val="00F27728"/>
    <w:rsid w:val="00F277EF"/>
    <w:rsid w:val="00F27A57"/>
    <w:rsid w:val="00F27AA0"/>
    <w:rsid w:val="00F300DC"/>
    <w:rsid w:val="00F3014F"/>
    <w:rsid w:val="00F307B3"/>
    <w:rsid w:val="00F307B7"/>
    <w:rsid w:val="00F30AFA"/>
    <w:rsid w:val="00F30E08"/>
    <w:rsid w:val="00F31349"/>
    <w:rsid w:val="00F315DB"/>
    <w:rsid w:val="00F31C98"/>
    <w:rsid w:val="00F31F61"/>
    <w:rsid w:val="00F32431"/>
    <w:rsid w:val="00F3264C"/>
    <w:rsid w:val="00F33384"/>
    <w:rsid w:val="00F33FA3"/>
    <w:rsid w:val="00F33FCE"/>
    <w:rsid w:val="00F34BD1"/>
    <w:rsid w:val="00F35136"/>
    <w:rsid w:val="00F35AE8"/>
    <w:rsid w:val="00F36067"/>
    <w:rsid w:val="00F366B1"/>
    <w:rsid w:val="00F36DC4"/>
    <w:rsid w:val="00F3795F"/>
    <w:rsid w:val="00F400EF"/>
    <w:rsid w:val="00F403DC"/>
    <w:rsid w:val="00F404FE"/>
    <w:rsid w:val="00F4110A"/>
    <w:rsid w:val="00F41595"/>
    <w:rsid w:val="00F41CAE"/>
    <w:rsid w:val="00F42564"/>
    <w:rsid w:val="00F42809"/>
    <w:rsid w:val="00F43864"/>
    <w:rsid w:val="00F43ACE"/>
    <w:rsid w:val="00F45058"/>
    <w:rsid w:val="00F450D0"/>
    <w:rsid w:val="00F45126"/>
    <w:rsid w:val="00F4520D"/>
    <w:rsid w:val="00F458C8"/>
    <w:rsid w:val="00F4596A"/>
    <w:rsid w:val="00F45C25"/>
    <w:rsid w:val="00F45E3D"/>
    <w:rsid w:val="00F4628F"/>
    <w:rsid w:val="00F46312"/>
    <w:rsid w:val="00F469C9"/>
    <w:rsid w:val="00F47485"/>
    <w:rsid w:val="00F478EE"/>
    <w:rsid w:val="00F50266"/>
    <w:rsid w:val="00F5051F"/>
    <w:rsid w:val="00F508C7"/>
    <w:rsid w:val="00F5092A"/>
    <w:rsid w:val="00F50A29"/>
    <w:rsid w:val="00F50A65"/>
    <w:rsid w:val="00F50B25"/>
    <w:rsid w:val="00F50B70"/>
    <w:rsid w:val="00F51BF2"/>
    <w:rsid w:val="00F52AC5"/>
    <w:rsid w:val="00F52BF5"/>
    <w:rsid w:val="00F53239"/>
    <w:rsid w:val="00F53460"/>
    <w:rsid w:val="00F54A72"/>
    <w:rsid w:val="00F556A9"/>
    <w:rsid w:val="00F572C6"/>
    <w:rsid w:val="00F57E62"/>
    <w:rsid w:val="00F603BA"/>
    <w:rsid w:val="00F6058F"/>
    <w:rsid w:val="00F60FD3"/>
    <w:rsid w:val="00F612C3"/>
    <w:rsid w:val="00F6155E"/>
    <w:rsid w:val="00F61623"/>
    <w:rsid w:val="00F6175D"/>
    <w:rsid w:val="00F61CC1"/>
    <w:rsid w:val="00F6296F"/>
    <w:rsid w:val="00F629A2"/>
    <w:rsid w:val="00F62D7B"/>
    <w:rsid w:val="00F64411"/>
    <w:rsid w:val="00F64CC7"/>
    <w:rsid w:val="00F64D08"/>
    <w:rsid w:val="00F64EF4"/>
    <w:rsid w:val="00F64F1F"/>
    <w:rsid w:val="00F66D4D"/>
    <w:rsid w:val="00F66DCA"/>
    <w:rsid w:val="00F66E15"/>
    <w:rsid w:val="00F66EC0"/>
    <w:rsid w:val="00F66F25"/>
    <w:rsid w:val="00F672E3"/>
    <w:rsid w:val="00F701EF"/>
    <w:rsid w:val="00F7053F"/>
    <w:rsid w:val="00F70651"/>
    <w:rsid w:val="00F70EEC"/>
    <w:rsid w:val="00F7155C"/>
    <w:rsid w:val="00F72E88"/>
    <w:rsid w:val="00F735BF"/>
    <w:rsid w:val="00F7366F"/>
    <w:rsid w:val="00F73A9B"/>
    <w:rsid w:val="00F740BB"/>
    <w:rsid w:val="00F741EE"/>
    <w:rsid w:val="00F7443C"/>
    <w:rsid w:val="00F74FA9"/>
    <w:rsid w:val="00F75294"/>
    <w:rsid w:val="00F75680"/>
    <w:rsid w:val="00F75DB9"/>
    <w:rsid w:val="00F75EF6"/>
    <w:rsid w:val="00F76658"/>
    <w:rsid w:val="00F76BAF"/>
    <w:rsid w:val="00F76FB3"/>
    <w:rsid w:val="00F778F6"/>
    <w:rsid w:val="00F8020F"/>
    <w:rsid w:val="00F80A67"/>
    <w:rsid w:val="00F80ABD"/>
    <w:rsid w:val="00F80BDA"/>
    <w:rsid w:val="00F80C05"/>
    <w:rsid w:val="00F8111A"/>
    <w:rsid w:val="00F814F3"/>
    <w:rsid w:val="00F81743"/>
    <w:rsid w:val="00F81C6A"/>
    <w:rsid w:val="00F81CEE"/>
    <w:rsid w:val="00F822ED"/>
    <w:rsid w:val="00F82433"/>
    <w:rsid w:val="00F82459"/>
    <w:rsid w:val="00F830B7"/>
    <w:rsid w:val="00F839F0"/>
    <w:rsid w:val="00F83C5D"/>
    <w:rsid w:val="00F84053"/>
    <w:rsid w:val="00F84237"/>
    <w:rsid w:val="00F84254"/>
    <w:rsid w:val="00F84525"/>
    <w:rsid w:val="00F8458C"/>
    <w:rsid w:val="00F8543F"/>
    <w:rsid w:val="00F85470"/>
    <w:rsid w:val="00F8658F"/>
    <w:rsid w:val="00F873B6"/>
    <w:rsid w:val="00F875FC"/>
    <w:rsid w:val="00F87798"/>
    <w:rsid w:val="00F87AE6"/>
    <w:rsid w:val="00F87CCF"/>
    <w:rsid w:val="00F90096"/>
    <w:rsid w:val="00F901C9"/>
    <w:rsid w:val="00F905B7"/>
    <w:rsid w:val="00F905E0"/>
    <w:rsid w:val="00F906CF"/>
    <w:rsid w:val="00F91DA6"/>
    <w:rsid w:val="00F92088"/>
    <w:rsid w:val="00F927B8"/>
    <w:rsid w:val="00F9381B"/>
    <w:rsid w:val="00F94F9A"/>
    <w:rsid w:val="00F954F2"/>
    <w:rsid w:val="00F95EE6"/>
    <w:rsid w:val="00F95EF0"/>
    <w:rsid w:val="00F96C17"/>
    <w:rsid w:val="00F96DBC"/>
    <w:rsid w:val="00F97B5F"/>
    <w:rsid w:val="00FA0080"/>
    <w:rsid w:val="00FA00FB"/>
    <w:rsid w:val="00FA03B9"/>
    <w:rsid w:val="00FA0F88"/>
    <w:rsid w:val="00FA1068"/>
    <w:rsid w:val="00FA1252"/>
    <w:rsid w:val="00FA18BB"/>
    <w:rsid w:val="00FA1D20"/>
    <w:rsid w:val="00FA2724"/>
    <w:rsid w:val="00FA2F5D"/>
    <w:rsid w:val="00FA3296"/>
    <w:rsid w:val="00FA3628"/>
    <w:rsid w:val="00FA3A4A"/>
    <w:rsid w:val="00FA3AEF"/>
    <w:rsid w:val="00FA3D5F"/>
    <w:rsid w:val="00FA425E"/>
    <w:rsid w:val="00FA4763"/>
    <w:rsid w:val="00FA49A4"/>
    <w:rsid w:val="00FA49D8"/>
    <w:rsid w:val="00FA4D7C"/>
    <w:rsid w:val="00FA4D81"/>
    <w:rsid w:val="00FA4FD5"/>
    <w:rsid w:val="00FA5378"/>
    <w:rsid w:val="00FA5559"/>
    <w:rsid w:val="00FA5657"/>
    <w:rsid w:val="00FA5672"/>
    <w:rsid w:val="00FA5673"/>
    <w:rsid w:val="00FA56C9"/>
    <w:rsid w:val="00FA5F9F"/>
    <w:rsid w:val="00FA6FCB"/>
    <w:rsid w:val="00FA71F0"/>
    <w:rsid w:val="00FA73DE"/>
    <w:rsid w:val="00FA7861"/>
    <w:rsid w:val="00FA7CE8"/>
    <w:rsid w:val="00FA7E91"/>
    <w:rsid w:val="00FB0858"/>
    <w:rsid w:val="00FB0FAA"/>
    <w:rsid w:val="00FB12E7"/>
    <w:rsid w:val="00FB2BF5"/>
    <w:rsid w:val="00FB3327"/>
    <w:rsid w:val="00FB38F2"/>
    <w:rsid w:val="00FB3ADA"/>
    <w:rsid w:val="00FB3D6D"/>
    <w:rsid w:val="00FB461E"/>
    <w:rsid w:val="00FB46A2"/>
    <w:rsid w:val="00FB5093"/>
    <w:rsid w:val="00FB545D"/>
    <w:rsid w:val="00FB5590"/>
    <w:rsid w:val="00FB6BC9"/>
    <w:rsid w:val="00FB6D49"/>
    <w:rsid w:val="00FB7099"/>
    <w:rsid w:val="00FB7654"/>
    <w:rsid w:val="00FC04A7"/>
    <w:rsid w:val="00FC119A"/>
    <w:rsid w:val="00FC13BE"/>
    <w:rsid w:val="00FC1A90"/>
    <w:rsid w:val="00FC2F17"/>
    <w:rsid w:val="00FC355C"/>
    <w:rsid w:val="00FC3673"/>
    <w:rsid w:val="00FC3C3D"/>
    <w:rsid w:val="00FC4394"/>
    <w:rsid w:val="00FC44B1"/>
    <w:rsid w:val="00FC573B"/>
    <w:rsid w:val="00FC5F4F"/>
    <w:rsid w:val="00FC6D83"/>
    <w:rsid w:val="00FD0BA1"/>
    <w:rsid w:val="00FD1BF7"/>
    <w:rsid w:val="00FD1FAE"/>
    <w:rsid w:val="00FD2E0D"/>
    <w:rsid w:val="00FD2EE6"/>
    <w:rsid w:val="00FD2FC3"/>
    <w:rsid w:val="00FD30A0"/>
    <w:rsid w:val="00FD3356"/>
    <w:rsid w:val="00FD4A91"/>
    <w:rsid w:val="00FD4DA9"/>
    <w:rsid w:val="00FD5692"/>
    <w:rsid w:val="00FD6665"/>
    <w:rsid w:val="00FD699B"/>
    <w:rsid w:val="00FD6CD7"/>
    <w:rsid w:val="00FD6E05"/>
    <w:rsid w:val="00FD735F"/>
    <w:rsid w:val="00FD7DA7"/>
    <w:rsid w:val="00FE0BCB"/>
    <w:rsid w:val="00FE0CB1"/>
    <w:rsid w:val="00FE1782"/>
    <w:rsid w:val="00FE1C67"/>
    <w:rsid w:val="00FE1DBB"/>
    <w:rsid w:val="00FE1E27"/>
    <w:rsid w:val="00FE1F50"/>
    <w:rsid w:val="00FE21B8"/>
    <w:rsid w:val="00FE2441"/>
    <w:rsid w:val="00FE24E4"/>
    <w:rsid w:val="00FE332F"/>
    <w:rsid w:val="00FE33B7"/>
    <w:rsid w:val="00FE39FE"/>
    <w:rsid w:val="00FE3C8E"/>
    <w:rsid w:val="00FE3CC1"/>
    <w:rsid w:val="00FE5B27"/>
    <w:rsid w:val="00FE5D46"/>
    <w:rsid w:val="00FE7045"/>
    <w:rsid w:val="00FE7B6A"/>
    <w:rsid w:val="00FE7CBE"/>
    <w:rsid w:val="00FF2600"/>
    <w:rsid w:val="00FF2C04"/>
    <w:rsid w:val="00FF2C42"/>
    <w:rsid w:val="00FF3244"/>
    <w:rsid w:val="00FF44AA"/>
    <w:rsid w:val="00FF4569"/>
    <w:rsid w:val="00FF4D7E"/>
    <w:rsid w:val="00FF5525"/>
    <w:rsid w:val="00FF595B"/>
    <w:rsid w:val="00FF5A88"/>
    <w:rsid w:val="00FF5EC6"/>
    <w:rsid w:val="00FF628A"/>
    <w:rsid w:val="00FF642D"/>
    <w:rsid w:val="00FF6CC1"/>
    <w:rsid w:val="00FF77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E0EFD2"/>
  <w15:chartTrackingRefBased/>
  <w15:docId w15:val="{EAD124FD-5661-4D60-8E60-03478C79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4AA"/>
    <w:pPr>
      <w:keepNext/>
      <w:keepLines/>
      <w:numPr>
        <w:numId w:val="1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14AA"/>
    <w:pPr>
      <w:keepNext/>
      <w:keepLines/>
      <w:numPr>
        <w:ilvl w:val="1"/>
        <w:numId w:val="1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5F93"/>
    <w:pPr>
      <w:keepNext/>
      <w:keepLines/>
      <w:numPr>
        <w:ilvl w:val="2"/>
        <w:numId w:val="1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314E"/>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314E"/>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314E"/>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D314E"/>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D314E"/>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314E"/>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4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E14AA"/>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E14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1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4AA"/>
    <w:rPr>
      <w:rFonts w:ascii="Segoe UI" w:hAnsi="Segoe UI" w:cs="Segoe UI"/>
      <w:sz w:val="18"/>
      <w:szCs w:val="18"/>
    </w:rPr>
  </w:style>
  <w:style w:type="paragraph" w:customStyle="1" w:styleId="EndNoteBibliographyTitle">
    <w:name w:val="EndNote Bibliography Title"/>
    <w:basedOn w:val="Normal"/>
    <w:link w:val="EndNoteBibliographyTitleChar"/>
    <w:rsid w:val="003E14A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E14AA"/>
    <w:rPr>
      <w:rFonts w:ascii="Calibri" w:hAnsi="Calibri" w:cs="Calibri"/>
      <w:noProof/>
      <w:lang w:val="en-US"/>
    </w:rPr>
  </w:style>
  <w:style w:type="paragraph" w:customStyle="1" w:styleId="EndNoteBibliography">
    <w:name w:val="EndNote Bibliography"/>
    <w:basedOn w:val="Normal"/>
    <w:link w:val="EndNoteBibliographyChar"/>
    <w:rsid w:val="003E14A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E14AA"/>
    <w:rPr>
      <w:rFonts w:ascii="Calibri" w:hAnsi="Calibri" w:cs="Calibri"/>
      <w:noProof/>
      <w:lang w:val="en-US"/>
    </w:rPr>
  </w:style>
  <w:style w:type="character" w:styleId="Hyperlink">
    <w:name w:val="Hyperlink"/>
    <w:basedOn w:val="DefaultParagraphFont"/>
    <w:uiPriority w:val="99"/>
    <w:unhideWhenUsed/>
    <w:rsid w:val="003E14AA"/>
    <w:rPr>
      <w:color w:val="0563C1" w:themeColor="hyperlink"/>
      <w:u w:val="single"/>
    </w:rPr>
  </w:style>
  <w:style w:type="character" w:styleId="UnresolvedMention">
    <w:name w:val="Unresolved Mention"/>
    <w:basedOn w:val="DefaultParagraphFont"/>
    <w:uiPriority w:val="99"/>
    <w:semiHidden/>
    <w:unhideWhenUsed/>
    <w:rsid w:val="003E14AA"/>
    <w:rPr>
      <w:color w:val="605E5C"/>
      <w:shd w:val="clear" w:color="auto" w:fill="E1DFDD"/>
    </w:rPr>
  </w:style>
  <w:style w:type="table" w:customStyle="1" w:styleId="TableGrid1">
    <w:name w:val="Table Grid1"/>
    <w:basedOn w:val="TableNormal"/>
    <w:next w:val="TableGrid"/>
    <w:uiPriority w:val="39"/>
    <w:rsid w:val="003E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1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4AA"/>
  </w:style>
  <w:style w:type="paragraph" w:styleId="Footer">
    <w:name w:val="footer"/>
    <w:basedOn w:val="Normal"/>
    <w:link w:val="FooterChar"/>
    <w:uiPriority w:val="99"/>
    <w:unhideWhenUsed/>
    <w:rsid w:val="003E1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4AA"/>
  </w:style>
  <w:style w:type="paragraph" w:styleId="Caption">
    <w:name w:val="caption"/>
    <w:basedOn w:val="Normal"/>
    <w:next w:val="Normal"/>
    <w:uiPriority w:val="35"/>
    <w:unhideWhenUsed/>
    <w:qFormat/>
    <w:rsid w:val="003E14AA"/>
    <w:pPr>
      <w:spacing w:after="200" w:line="240" w:lineRule="auto"/>
    </w:pPr>
    <w:rPr>
      <w:i/>
      <w:iCs/>
      <w:color w:val="44546A" w:themeColor="text2"/>
      <w:sz w:val="18"/>
      <w:szCs w:val="18"/>
    </w:rPr>
  </w:style>
  <w:style w:type="table" w:customStyle="1" w:styleId="TableGrid2">
    <w:name w:val="Table Grid2"/>
    <w:basedOn w:val="TableNormal"/>
    <w:next w:val="TableGrid"/>
    <w:uiPriority w:val="39"/>
    <w:rsid w:val="003E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E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E14AA"/>
    <w:pPr>
      <w:outlineLvl w:val="9"/>
    </w:pPr>
    <w:rPr>
      <w:lang w:val="en-US"/>
    </w:rPr>
  </w:style>
  <w:style w:type="paragraph" w:styleId="TOC2">
    <w:name w:val="toc 2"/>
    <w:basedOn w:val="Normal"/>
    <w:next w:val="Normal"/>
    <w:autoRedefine/>
    <w:uiPriority w:val="39"/>
    <w:unhideWhenUsed/>
    <w:rsid w:val="003E14AA"/>
    <w:pPr>
      <w:spacing w:after="100"/>
      <w:ind w:left="220"/>
    </w:pPr>
  </w:style>
  <w:style w:type="paragraph" w:styleId="TOC1">
    <w:name w:val="toc 1"/>
    <w:basedOn w:val="Normal"/>
    <w:next w:val="Normal"/>
    <w:autoRedefine/>
    <w:uiPriority w:val="39"/>
    <w:unhideWhenUsed/>
    <w:rsid w:val="003E14AA"/>
    <w:pPr>
      <w:spacing w:after="100"/>
    </w:pPr>
  </w:style>
  <w:style w:type="character" w:styleId="PlaceholderText">
    <w:name w:val="Placeholder Text"/>
    <w:basedOn w:val="DefaultParagraphFont"/>
    <w:uiPriority w:val="99"/>
    <w:semiHidden/>
    <w:rsid w:val="003E14AA"/>
    <w:rPr>
      <w:color w:val="808080"/>
    </w:rPr>
  </w:style>
  <w:style w:type="paragraph" w:styleId="ListParagraph">
    <w:name w:val="List Paragraph"/>
    <w:basedOn w:val="Normal"/>
    <w:uiPriority w:val="34"/>
    <w:qFormat/>
    <w:rsid w:val="003E14AA"/>
    <w:pPr>
      <w:ind w:left="720"/>
      <w:contextualSpacing/>
    </w:pPr>
  </w:style>
  <w:style w:type="table" w:customStyle="1" w:styleId="TableGrid4">
    <w:name w:val="Table Grid4"/>
    <w:basedOn w:val="TableNormal"/>
    <w:next w:val="TableGrid"/>
    <w:uiPriority w:val="39"/>
    <w:rsid w:val="00E33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36EA"/>
    <w:rPr>
      <w:sz w:val="16"/>
      <w:szCs w:val="16"/>
    </w:rPr>
  </w:style>
  <w:style w:type="paragraph" w:styleId="CommentText">
    <w:name w:val="annotation text"/>
    <w:basedOn w:val="Normal"/>
    <w:link w:val="CommentTextChar"/>
    <w:uiPriority w:val="99"/>
    <w:semiHidden/>
    <w:unhideWhenUsed/>
    <w:rsid w:val="00E336EA"/>
    <w:pPr>
      <w:spacing w:line="240" w:lineRule="auto"/>
    </w:pPr>
    <w:rPr>
      <w:sz w:val="20"/>
      <w:szCs w:val="20"/>
    </w:rPr>
  </w:style>
  <w:style w:type="character" w:customStyle="1" w:styleId="CommentTextChar">
    <w:name w:val="Comment Text Char"/>
    <w:basedOn w:val="DefaultParagraphFont"/>
    <w:link w:val="CommentText"/>
    <w:uiPriority w:val="99"/>
    <w:semiHidden/>
    <w:rsid w:val="00E336EA"/>
    <w:rPr>
      <w:sz w:val="20"/>
      <w:szCs w:val="20"/>
    </w:rPr>
  </w:style>
  <w:style w:type="paragraph" w:styleId="CommentSubject">
    <w:name w:val="annotation subject"/>
    <w:basedOn w:val="CommentText"/>
    <w:next w:val="CommentText"/>
    <w:link w:val="CommentSubjectChar"/>
    <w:uiPriority w:val="99"/>
    <w:semiHidden/>
    <w:unhideWhenUsed/>
    <w:rsid w:val="00E336EA"/>
    <w:rPr>
      <w:b/>
      <w:bCs/>
    </w:rPr>
  </w:style>
  <w:style w:type="character" w:customStyle="1" w:styleId="CommentSubjectChar">
    <w:name w:val="Comment Subject Char"/>
    <w:basedOn w:val="CommentTextChar"/>
    <w:link w:val="CommentSubject"/>
    <w:uiPriority w:val="99"/>
    <w:semiHidden/>
    <w:rsid w:val="00E336EA"/>
    <w:rPr>
      <w:b/>
      <w:bCs/>
      <w:sz w:val="20"/>
      <w:szCs w:val="20"/>
    </w:rPr>
  </w:style>
  <w:style w:type="paragraph" w:styleId="EndnoteText">
    <w:name w:val="endnote text"/>
    <w:basedOn w:val="Normal"/>
    <w:link w:val="EndnoteTextChar"/>
    <w:uiPriority w:val="99"/>
    <w:semiHidden/>
    <w:unhideWhenUsed/>
    <w:rsid w:val="00E336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36EA"/>
    <w:rPr>
      <w:sz w:val="20"/>
      <w:szCs w:val="20"/>
    </w:rPr>
  </w:style>
  <w:style w:type="character" w:styleId="EndnoteReference">
    <w:name w:val="endnote reference"/>
    <w:basedOn w:val="DefaultParagraphFont"/>
    <w:uiPriority w:val="99"/>
    <w:semiHidden/>
    <w:unhideWhenUsed/>
    <w:rsid w:val="00E336EA"/>
    <w:rPr>
      <w:vertAlign w:val="superscript"/>
    </w:rPr>
  </w:style>
  <w:style w:type="paragraph" w:styleId="TOC3">
    <w:name w:val="toc 3"/>
    <w:basedOn w:val="Normal"/>
    <w:next w:val="Normal"/>
    <w:autoRedefine/>
    <w:uiPriority w:val="39"/>
    <w:unhideWhenUsed/>
    <w:rsid w:val="00E336EA"/>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585F93"/>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3B1BC6"/>
    <w:pPr>
      <w:spacing w:after="0" w:line="240" w:lineRule="auto"/>
    </w:pPr>
  </w:style>
  <w:style w:type="paragraph" w:styleId="TOC4">
    <w:name w:val="toc 4"/>
    <w:basedOn w:val="Normal"/>
    <w:next w:val="Normal"/>
    <w:autoRedefine/>
    <w:uiPriority w:val="39"/>
    <w:unhideWhenUsed/>
    <w:rsid w:val="00EB14D3"/>
    <w:pPr>
      <w:spacing w:after="100"/>
      <w:ind w:left="660"/>
    </w:pPr>
    <w:rPr>
      <w:rFonts w:eastAsiaTheme="minorEastAsia"/>
      <w:lang w:eastAsia="en-GB"/>
    </w:rPr>
  </w:style>
  <w:style w:type="paragraph" w:styleId="TOC5">
    <w:name w:val="toc 5"/>
    <w:basedOn w:val="Normal"/>
    <w:next w:val="Normal"/>
    <w:autoRedefine/>
    <w:uiPriority w:val="39"/>
    <w:unhideWhenUsed/>
    <w:rsid w:val="00EB14D3"/>
    <w:pPr>
      <w:spacing w:after="100"/>
      <w:ind w:left="880"/>
    </w:pPr>
    <w:rPr>
      <w:rFonts w:eastAsiaTheme="minorEastAsia"/>
      <w:lang w:eastAsia="en-GB"/>
    </w:rPr>
  </w:style>
  <w:style w:type="paragraph" w:styleId="TOC6">
    <w:name w:val="toc 6"/>
    <w:basedOn w:val="Normal"/>
    <w:next w:val="Normal"/>
    <w:autoRedefine/>
    <w:uiPriority w:val="39"/>
    <w:unhideWhenUsed/>
    <w:rsid w:val="00EB14D3"/>
    <w:pPr>
      <w:spacing w:after="100"/>
      <w:ind w:left="1100"/>
    </w:pPr>
    <w:rPr>
      <w:rFonts w:eastAsiaTheme="minorEastAsia"/>
      <w:lang w:eastAsia="en-GB"/>
    </w:rPr>
  </w:style>
  <w:style w:type="paragraph" w:styleId="TOC7">
    <w:name w:val="toc 7"/>
    <w:basedOn w:val="Normal"/>
    <w:next w:val="Normal"/>
    <w:autoRedefine/>
    <w:uiPriority w:val="39"/>
    <w:unhideWhenUsed/>
    <w:rsid w:val="00EB14D3"/>
    <w:pPr>
      <w:spacing w:after="100"/>
      <w:ind w:left="1320"/>
    </w:pPr>
    <w:rPr>
      <w:rFonts w:eastAsiaTheme="minorEastAsia"/>
      <w:lang w:eastAsia="en-GB"/>
    </w:rPr>
  </w:style>
  <w:style w:type="paragraph" w:styleId="TOC8">
    <w:name w:val="toc 8"/>
    <w:basedOn w:val="Normal"/>
    <w:next w:val="Normal"/>
    <w:autoRedefine/>
    <w:uiPriority w:val="39"/>
    <w:unhideWhenUsed/>
    <w:rsid w:val="00EB14D3"/>
    <w:pPr>
      <w:spacing w:after="100"/>
      <w:ind w:left="1540"/>
    </w:pPr>
    <w:rPr>
      <w:rFonts w:eastAsiaTheme="minorEastAsia"/>
      <w:lang w:eastAsia="en-GB"/>
    </w:rPr>
  </w:style>
  <w:style w:type="paragraph" w:styleId="TOC9">
    <w:name w:val="toc 9"/>
    <w:basedOn w:val="Normal"/>
    <w:next w:val="Normal"/>
    <w:autoRedefine/>
    <w:uiPriority w:val="39"/>
    <w:unhideWhenUsed/>
    <w:rsid w:val="00EB14D3"/>
    <w:pPr>
      <w:spacing w:after="100"/>
      <w:ind w:left="1760"/>
    </w:pPr>
    <w:rPr>
      <w:rFonts w:eastAsiaTheme="minorEastAsia"/>
      <w:lang w:eastAsia="en-GB"/>
    </w:rPr>
  </w:style>
  <w:style w:type="paragraph" w:styleId="FootnoteText">
    <w:name w:val="footnote text"/>
    <w:basedOn w:val="Normal"/>
    <w:link w:val="FootnoteTextChar"/>
    <w:uiPriority w:val="99"/>
    <w:semiHidden/>
    <w:unhideWhenUsed/>
    <w:rsid w:val="003807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0753"/>
    <w:rPr>
      <w:sz w:val="20"/>
      <w:szCs w:val="20"/>
    </w:rPr>
  </w:style>
  <w:style w:type="character" w:styleId="FootnoteReference">
    <w:name w:val="footnote reference"/>
    <w:basedOn w:val="DefaultParagraphFont"/>
    <w:uiPriority w:val="99"/>
    <w:semiHidden/>
    <w:unhideWhenUsed/>
    <w:rsid w:val="00380753"/>
    <w:rPr>
      <w:vertAlign w:val="superscript"/>
    </w:rPr>
  </w:style>
  <w:style w:type="character" w:customStyle="1" w:styleId="Heading4Char">
    <w:name w:val="Heading 4 Char"/>
    <w:basedOn w:val="DefaultParagraphFont"/>
    <w:link w:val="Heading4"/>
    <w:uiPriority w:val="9"/>
    <w:semiHidden/>
    <w:rsid w:val="003D314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314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D314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D314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D31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314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D1F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FA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665331">
      <w:bodyDiv w:val="1"/>
      <w:marLeft w:val="0"/>
      <w:marRight w:val="0"/>
      <w:marTop w:val="0"/>
      <w:marBottom w:val="0"/>
      <w:divBdr>
        <w:top w:val="none" w:sz="0" w:space="0" w:color="auto"/>
        <w:left w:val="none" w:sz="0" w:space="0" w:color="auto"/>
        <w:bottom w:val="none" w:sz="0" w:space="0" w:color="auto"/>
        <w:right w:val="none" w:sz="0" w:space="0" w:color="auto"/>
      </w:divBdr>
      <w:divsChild>
        <w:div w:id="59595186">
          <w:marLeft w:val="0"/>
          <w:marRight w:val="0"/>
          <w:marTop w:val="0"/>
          <w:marBottom w:val="0"/>
          <w:divBdr>
            <w:top w:val="none" w:sz="0" w:space="0" w:color="auto"/>
            <w:left w:val="none" w:sz="0" w:space="0" w:color="auto"/>
            <w:bottom w:val="none" w:sz="0" w:space="0" w:color="auto"/>
            <w:right w:val="none" w:sz="0" w:space="0" w:color="auto"/>
          </w:divBdr>
        </w:div>
        <w:div w:id="264726919">
          <w:marLeft w:val="0"/>
          <w:marRight w:val="0"/>
          <w:marTop w:val="0"/>
          <w:marBottom w:val="0"/>
          <w:divBdr>
            <w:top w:val="none" w:sz="0" w:space="0" w:color="auto"/>
            <w:left w:val="none" w:sz="0" w:space="0" w:color="auto"/>
            <w:bottom w:val="none" w:sz="0" w:space="0" w:color="auto"/>
            <w:right w:val="none" w:sz="0" w:space="0" w:color="auto"/>
          </w:divBdr>
        </w:div>
        <w:div w:id="264771777">
          <w:marLeft w:val="0"/>
          <w:marRight w:val="0"/>
          <w:marTop w:val="0"/>
          <w:marBottom w:val="0"/>
          <w:divBdr>
            <w:top w:val="none" w:sz="0" w:space="0" w:color="auto"/>
            <w:left w:val="none" w:sz="0" w:space="0" w:color="auto"/>
            <w:bottom w:val="none" w:sz="0" w:space="0" w:color="auto"/>
            <w:right w:val="none" w:sz="0" w:space="0" w:color="auto"/>
          </w:divBdr>
        </w:div>
        <w:div w:id="816805875">
          <w:marLeft w:val="0"/>
          <w:marRight w:val="0"/>
          <w:marTop w:val="0"/>
          <w:marBottom w:val="0"/>
          <w:divBdr>
            <w:top w:val="none" w:sz="0" w:space="0" w:color="auto"/>
            <w:left w:val="none" w:sz="0" w:space="0" w:color="auto"/>
            <w:bottom w:val="none" w:sz="0" w:space="0" w:color="auto"/>
            <w:right w:val="none" w:sz="0" w:space="0" w:color="auto"/>
          </w:divBdr>
        </w:div>
        <w:div w:id="1120999766">
          <w:marLeft w:val="0"/>
          <w:marRight w:val="0"/>
          <w:marTop w:val="0"/>
          <w:marBottom w:val="0"/>
          <w:divBdr>
            <w:top w:val="none" w:sz="0" w:space="0" w:color="auto"/>
            <w:left w:val="none" w:sz="0" w:space="0" w:color="auto"/>
            <w:bottom w:val="none" w:sz="0" w:space="0" w:color="auto"/>
            <w:right w:val="none" w:sz="0" w:space="0" w:color="auto"/>
          </w:divBdr>
        </w:div>
        <w:div w:id="1139761551">
          <w:marLeft w:val="0"/>
          <w:marRight w:val="0"/>
          <w:marTop w:val="0"/>
          <w:marBottom w:val="0"/>
          <w:divBdr>
            <w:top w:val="none" w:sz="0" w:space="0" w:color="auto"/>
            <w:left w:val="none" w:sz="0" w:space="0" w:color="auto"/>
            <w:bottom w:val="none" w:sz="0" w:space="0" w:color="auto"/>
            <w:right w:val="none" w:sz="0" w:space="0" w:color="auto"/>
          </w:divBdr>
        </w:div>
        <w:div w:id="1193376550">
          <w:marLeft w:val="0"/>
          <w:marRight w:val="0"/>
          <w:marTop w:val="0"/>
          <w:marBottom w:val="0"/>
          <w:divBdr>
            <w:top w:val="none" w:sz="0" w:space="0" w:color="auto"/>
            <w:left w:val="none" w:sz="0" w:space="0" w:color="auto"/>
            <w:bottom w:val="none" w:sz="0" w:space="0" w:color="auto"/>
            <w:right w:val="none" w:sz="0" w:space="0" w:color="auto"/>
          </w:divBdr>
        </w:div>
        <w:div w:id="1292398531">
          <w:marLeft w:val="0"/>
          <w:marRight w:val="0"/>
          <w:marTop w:val="0"/>
          <w:marBottom w:val="0"/>
          <w:divBdr>
            <w:top w:val="none" w:sz="0" w:space="0" w:color="auto"/>
            <w:left w:val="none" w:sz="0" w:space="0" w:color="auto"/>
            <w:bottom w:val="none" w:sz="0" w:space="0" w:color="auto"/>
            <w:right w:val="none" w:sz="0" w:space="0" w:color="auto"/>
          </w:divBdr>
        </w:div>
      </w:divsChild>
    </w:div>
    <w:div w:id="719551873">
      <w:bodyDiv w:val="1"/>
      <w:marLeft w:val="0"/>
      <w:marRight w:val="0"/>
      <w:marTop w:val="0"/>
      <w:marBottom w:val="0"/>
      <w:divBdr>
        <w:top w:val="none" w:sz="0" w:space="0" w:color="auto"/>
        <w:left w:val="none" w:sz="0" w:space="0" w:color="auto"/>
        <w:bottom w:val="none" w:sz="0" w:space="0" w:color="auto"/>
        <w:right w:val="none" w:sz="0" w:space="0" w:color="auto"/>
      </w:divBdr>
    </w:div>
    <w:div w:id="1722972138">
      <w:bodyDiv w:val="1"/>
      <w:marLeft w:val="0"/>
      <w:marRight w:val="0"/>
      <w:marTop w:val="0"/>
      <w:marBottom w:val="0"/>
      <w:divBdr>
        <w:top w:val="none" w:sz="0" w:space="0" w:color="auto"/>
        <w:left w:val="none" w:sz="0" w:space="0" w:color="auto"/>
        <w:bottom w:val="none" w:sz="0" w:space="0" w:color="auto"/>
        <w:right w:val="none" w:sz="0" w:space="0" w:color="auto"/>
      </w:divBdr>
      <w:divsChild>
        <w:div w:id="68891065">
          <w:marLeft w:val="0"/>
          <w:marRight w:val="0"/>
          <w:marTop w:val="0"/>
          <w:marBottom w:val="0"/>
          <w:divBdr>
            <w:top w:val="none" w:sz="0" w:space="0" w:color="auto"/>
            <w:left w:val="none" w:sz="0" w:space="0" w:color="auto"/>
            <w:bottom w:val="none" w:sz="0" w:space="0" w:color="auto"/>
            <w:right w:val="none" w:sz="0" w:space="0" w:color="auto"/>
          </w:divBdr>
        </w:div>
        <w:div w:id="274138949">
          <w:marLeft w:val="0"/>
          <w:marRight w:val="0"/>
          <w:marTop w:val="0"/>
          <w:marBottom w:val="0"/>
          <w:divBdr>
            <w:top w:val="none" w:sz="0" w:space="0" w:color="auto"/>
            <w:left w:val="none" w:sz="0" w:space="0" w:color="auto"/>
            <w:bottom w:val="none" w:sz="0" w:space="0" w:color="auto"/>
            <w:right w:val="none" w:sz="0" w:space="0" w:color="auto"/>
          </w:divBdr>
        </w:div>
        <w:div w:id="341012356">
          <w:marLeft w:val="0"/>
          <w:marRight w:val="0"/>
          <w:marTop w:val="0"/>
          <w:marBottom w:val="0"/>
          <w:divBdr>
            <w:top w:val="none" w:sz="0" w:space="0" w:color="auto"/>
            <w:left w:val="none" w:sz="0" w:space="0" w:color="auto"/>
            <w:bottom w:val="none" w:sz="0" w:space="0" w:color="auto"/>
            <w:right w:val="none" w:sz="0" w:space="0" w:color="auto"/>
          </w:divBdr>
        </w:div>
        <w:div w:id="430393383">
          <w:marLeft w:val="0"/>
          <w:marRight w:val="0"/>
          <w:marTop w:val="0"/>
          <w:marBottom w:val="0"/>
          <w:divBdr>
            <w:top w:val="none" w:sz="0" w:space="0" w:color="auto"/>
            <w:left w:val="none" w:sz="0" w:space="0" w:color="auto"/>
            <w:bottom w:val="none" w:sz="0" w:space="0" w:color="auto"/>
            <w:right w:val="none" w:sz="0" w:space="0" w:color="auto"/>
          </w:divBdr>
        </w:div>
        <w:div w:id="1238444379">
          <w:marLeft w:val="0"/>
          <w:marRight w:val="0"/>
          <w:marTop w:val="0"/>
          <w:marBottom w:val="0"/>
          <w:divBdr>
            <w:top w:val="none" w:sz="0" w:space="0" w:color="auto"/>
            <w:left w:val="none" w:sz="0" w:space="0" w:color="auto"/>
            <w:bottom w:val="none" w:sz="0" w:space="0" w:color="auto"/>
            <w:right w:val="none" w:sz="0" w:space="0" w:color="auto"/>
          </w:divBdr>
        </w:div>
        <w:div w:id="1341271862">
          <w:marLeft w:val="0"/>
          <w:marRight w:val="0"/>
          <w:marTop w:val="0"/>
          <w:marBottom w:val="0"/>
          <w:divBdr>
            <w:top w:val="none" w:sz="0" w:space="0" w:color="auto"/>
            <w:left w:val="none" w:sz="0" w:space="0" w:color="auto"/>
            <w:bottom w:val="none" w:sz="0" w:space="0" w:color="auto"/>
            <w:right w:val="none" w:sz="0" w:space="0" w:color="auto"/>
          </w:divBdr>
        </w:div>
        <w:div w:id="1385789735">
          <w:marLeft w:val="0"/>
          <w:marRight w:val="0"/>
          <w:marTop w:val="0"/>
          <w:marBottom w:val="0"/>
          <w:divBdr>
            <w:top w:val="none" w:sz="0" w:space="0" w:color="auto"/>
            <w:left w:val="none" w:sz="0" w:space="0" w:color="auto"/>
            <w:bottom w:val="none" w:sz="0" w:space="0" w:color="auto"/>
            <w:right w:val="none" w:sz="0" w:space="0" w:color="auto"/>
          </w:divBdr>
        </w:div>
        <w:div w:id="1968663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 /><Relationship Id="rId299" Type="http://schemas.openxmlformats.org/officeDocument/2006/relationships/image" Target="media/image160.emf" /><Relationship Id="rId303" Type="http://schemas.openxmlformats.org/officeDocument/2006/relationships/image" Target="media/image162.emf" /><Relationship Id="rId21" Type="http://schemas.openxmlformats.org/officeDocument/2006/relationships/image" Target="media/image7.png" /><Relationship Id="rId42" Type="http://schemas.openxmlformats.org/officeDocument/2006/relationships/oleObject" Target="embeddings/oleObject10.bin" /><Relationship Id="rId63" Type="http://schemas.openxmlformats.org/officeDocument/2006/relationships/header" Target="header2.xml" /><Relationship Id="rId84" Type="http://schemas.openxmlformats.org/officeDocument/2006/relationships/oleObject" Target="embeddings/oleObject26.bin" /><Relationship Id="rId138" Type="http://schemas.openxmlformats.org/officeDocument/2006/relationships/image" Target="media/image75.emf" /><Relationship Id="rId159" Type="http://schemas.openxmlformats.org/officeDocument/2006/relationships/oleObject" Target="embeddings/oleObject54.bin" /><Relationship Id="rId324" Type="http://schemas.openxmlformats.org/officeDocument/2006/relationships/header" Target="header4.xml" /><Relationship Id="rId170" Type="http://schemas.openxmlformats.org/officeDocument/2006/relationships/oleObject" Target="embeddings/oleObject59.bin" /><Relationship Id="rId191" Type="http://schemas.openxmlformats.org/officeDocument/2006/relationships/oleObject" Target="embeddings/oleObject69.bin" /><Relationship Id="rId205" Type="http://schemas.openxmlformats.org/officeDocument/2006/relationships/oleObject" Target="embeddings/oleObject76.bin" /><Relationship Id="rId226" Type="http://schemas.openxmlformats.org/officeDocument/2006/relationships/image" Target="media/image121.jpeg" /><Relationship Id="rId247" Type="http://schemas.openxmlformats.org/officeDocument/2006/relationships/oleObject" Target="embeddings/oleObject96.bin" /><Relationship Id="rId107" Type="http://schemas.openxmlformats.org/officeDocument/2006/relationships/oleObject" Target="embeddings/oleObject35.bin" /><Relationship Id="rId268" Type="http://schemas.openxmlformats.org/officeDocument/2006/relationships/oleObject" Target="embeddings/oleObject106.bin" /><Relationship Id="rId289" Type="http://schemas.openxmlformats.org/officeDocument/2006/relationships/image" Target="media/image155.emf" /><Relationship Id="rId11" Type="http://schemas.openxmlformats.org/officeDocument/2006/relationships/image" Target="media/image1.png" /><Relationship Id="rId32" Type="http://schemas.openxmlformats.org/officeDocument/2006/relationships/footer" Target="footer3.xml" /><Relationship Id="rId53" Type="http://schemas.openxmlformats.org/officeDocument/2006/relationships/header" Target="header1.xml" /><Relationship Id="rId74" Type="http://schemas.openxmlformats.org/officeDocument/2006/relationships/oleObject" Target="embeddings/oleObject21.bin" /><Relationship Id="rId128" Type="http://schemas.openxmlformats.org/officeDocument/2006/relationships/oleObject" Target="embeddings/oleObject41.bin" /><Relationship Id="rId149" Type="http://schemas.openxmlformats.org/officeDocument/2006/relationships/oleObject" Target="embeddings/oleObject50.bin" /><Relationship Id="rId314" Type="http://schemas.openxmlformats.org/officeDocument/2006/relationships/oleObject" Target="embeddings/oleObject128.bin" /><Relationship Id="rId5" Type="http://schemas.openxmlformats.org/officeDocument/2006/relationships/numbering" Target="numbering.xml" /><Relationship Id="rId95" Type="http://schemas.openxmlformats.org/officeDocument/2006/relationships/image" Target="media/image47.emf" /><Relationship Id="rId160" Type="http://schemas.openxmlformats.org/officeDocument/2006/relationships/image" Target="media/image87.emf" /><Relationship Id="rId181" Type="http://schemas.openxmlformats.org/officeDocument/2006/relationships/image" Target="media/image98.emf" /><Relationship Id="rId216" Type="http://schemas.openxmlformats.org/officeDocument/2006/relationships/image" Target="media/image116.emf" /><Relationship Id="rId237" Type="http://schemas.openxmlformats.org/officeDocument/2006/relationships/oleObject" Target="embeddings/oleObject91.bin" /><Relationship Id="rId258" Type="http://schemas.openxmlformats.org/officeDocument/2006/relationships/oleObject" Target="embeddings/oleObject101.bin" /><Relationship Id="rId279" Type="http://schemas.openxmlformats.org/officeDocument/2006/relationships/image" Target="media/image149.emf" /><Relationship Id="rId22" Type="http://schemas.openxmlformats.org/officeDocument/2006/relationships/image" Target="media/image8.emf" /><Relationship Id="rId43" Type="http://schemas.openxmlformats.org/officeDocument/2006/relationships/image" Target="media/image20.emf" /><Relationship Id="rId64" Type="http://schemas.openxmlformats.org/officeDocument/2006/relationships/footer" Target="footer5.xml" /><Relationship Id="rId118" Type="http://schemas.openxmlformats.org/officeDocument/2006/relationships/image" Target="media/image62.emf" /><Relationship Id="rId139" Type="http://schemas.openxmlformats.org/officeDocument/2006/relationships/oleObject" Target="embeddings/oleObject45.bin" /><Relationship Id="rId290" Type="http://schemas.openxmlformats.org/officeDocument/2006/relationships/oleObject" Target="embeddings/oleObject116.bin" /><Relationship Id="rId304" Type="http://schemas.openxmlformats.org/officeDocument/2006/relationships/oleObject" Target="embeddings/oleObject123.bin" /><Relationship Id="rId325" Type="http://schemas.openxmlformats.org/officeDocument/2006/relationships/footer" Target="footer7.xml" /><Relationship Id="rId85" Type="http://schemas.openxmlformats.org/officeDocument/2006/relationships/image" Target="media/image42.emf" /><Relationship Id="rId150" Type="http://schemas.openxmlformats.org/officeDocument/2006/relationships/image" Target="media/image81.emf" /><Relationship Id="rId171" Type="http://schemas.openxmlformats.org/officeDocument/2006/relationships/image" Target="media/image93.emf" /><Relationship Id="rId192" Type="http://schemas.openxmlformats.org/officeDocument/2006/relationships/image" Target="media/image104.emf" /><Relationship Id="rId206" Type="http://schemas.openxmlformats.org/officeDocument/2006/relationships/image" Target="media/image111.emf" /><Relationship Id="rId227" Type="http://schemas.openxmlformats.org/officeDocument/2006/relationships/image" Target="media/image122.jpeg" /><Relationship Id="rId248" Type="http://schemas.openxmlformats.org/officeDocument/2006/relationships/image" Target="media/image133.emf" /><Relationship Id="rId269" Type="http://schemas.openxmlformats.org/officeDocument/2006/relationships/image" Target="media/image144.emf" /><Relationship Id="rId12" Type="http://schemas.openxmlformats.org/officeDocument/2006/relationships/footer" Target="footer1.xml" /><Relationship Id="rId33" Type="http://schemas.openxmlformats.org/officeDocument/2006/relationships/image" Target="media/image15.emf" /><Relationship Id="rId108" Type="http://schemas.openxmlformats.org/officeDocument/2006/relationships/image" Target="media/image54.emf" /><Relationship Id="rId129" Type="http://schemas.openxmlformats.org/officeDocument/2006/relationships/image" Target="media/image69.png" /><Relationship Id="rId280" Type="http://schemas.openxmlformats.org/officeDocument/2006/relationships/oleObject" Target="embeddings/oleObject112.bin" /><Relationship Id="rId315" Type="http://schemas.openxmlformats.org/officeDocument/2006/relationships/image" Target="media/image168.emf" /><Relationship Id="rId54" Type="http://schemas.openxmlformats.org/officeDocument/2006/relationships/footer" Target="footer4.xml" /><Relationship Id="rId75" Type="http://schemas.openxmlformats.org/officeDocument/2006/relationships/image" Target="media/image37.emf" /><Relationship Id="rId96" Type="http://schemas.openxmlformats.org/officeDocument/2006/relationships/oleObject" Target="embeddings/oleObject32.bin" /><Relationship Id="rId140" Type="http://schemas.openxmlformats.org/officeDocument/2006/relationships/image" Target="media/image76.emf" /><Relationship Id="rId161" Type="http://schemas.openxmlformats.org/officeDocument/2006/relationships/oleObject" Target="embeddings/oleObject55.bin" /><Relationship Id="rId182" Type="http://schemas.openxmlformats.org/officeDocument/2006/relationships/oleObject" Target="embeddings/oleObject65.bin" /><Relationship Id="rId217" Type="http://schemas.openxmlformats.org/officeDocument/2006/relationships/oleObject" Target="embeddings/oleObject82.bin" /><Relationship Id="rId6" Type="http://schemas.openxmlformats.org/officeDocument/2006/relationships/styles" Target="styles.xml" /><Relationship Id="rId238" Type="http://schemas.openxmlformats.org/officeDocument/2006/relationships/image" Target="media/image128.emf" /><Relationship Id="rId259" Type="http://schemas.openxmlformats.org/officeDocument/2006/relationships/image" Target="media/image139.emf" /><Relationship Id="rId23" Type="http://schemas.openxmlformats.org/officeDocument/2006/relationships/oleObject" Target="embeddings/oleObject3.bin" /><Relationship Id="rId119" Type="http://schemas.openxmlformats.org/officeDocument/2006/relationships/image" Target="media/image63.emf" /><Relationship Id="rId270" Type="http://schemas.openxmlformats.org/officeDocument/2006/relationships/oleObject" Target="embeddings/oleObject107.bin" /><Relationship Id="rId291" Type="http://schemas.openxmlformats.org/officeDocument/2006/relationships/image" Target="media/image156.emf" /><Relationship Id="rId305" Type="http://schemas.openxmlformats.org/officeDocument/2006/relationships/image" Target="media/image163.emf" /><Relationship Id="rId326" Type="http://schemas.openxmlformats.org/officeDocument/2006/relationships/fontTable" Target="fontTable.xml" /><Relationship Id="rId44" Type="http://schemas.openxmlformats.org/officeDocument/2006/relationships/oleObject" Target="embeddings/oleObject11.bin" /><Relationship Id="rId65" Type="http://schemas.openxmlformats.org/officeDocument/2006/relationships/image" Target="media/image32.emf" /><Relationship Id="rId86" Type="http://schemas.openxmlformats.org/officeDocument/2006/relationships/oleObject" Target="embeddings/oleObject27.bin" /><Relationship Id="rId130" Type="http://schemas.openxmlformats.org/officeDocument/2006/relationships/image" Target="media/image70.jpeg" /><Relationship Id="rId151" Type="http://schemas.openxmlformats.org/officeDocument/2006/relationships/oleObject" Target="embeddings/oleObject51.bin" /><Relationship Id="rId172" Type="http://schemas.openxmlformats.org/officeDocument/2006/relationships/oleObject" Target="embeddings/oleObject60.bin" /><Relationship Id="rId193" Type="http://schemas.openxmlformats.org/officeDocument/2006/relationships/oleObject" Target="embeddings/oleObject70.bin" /><Relationship Id="rId207" Type="http://schemas.openxmlformats.org/officeDocument/2006/relationships/oleObject" Target="embeddings/oleObject77.bin" /><Relationship Id="rId228" Type="http://schemas.openxmlformats.org/officeDocument/2006/relationships/image" Target="media/image123.emf" /><Relationship Id="rId249" Type="http://schemas.openxmlformats.org/officeDocument/2006/relationships/oleObject" Target="embeddings/oleObject97.bin" /><Relationship Id="rId13" Type="http://schemas.openxmlformats.org/officeDocument/2006/relationships/footer" Target="footer2.xml" /><Relationship Id="rId109" Type="http://schemas.openxmlformats.org/officeDocument/2006/relationships/oleObject" Target="embeddings/oleObject36.bin" /><Relationship Id="rId260" Type="http://schemas.openxmlformats.org/officeDocument/2006/relationships/oleObject" Target="embeddings/oleObject102.bin" /><Relationship Id="rId281" Type="http://schemas.openxmlformats.org/officeDocument/2006/relationships/image" Target="media/image150.emf" /><Relationship Id="rId316" Type="http://schemas.openxmlformats.org/officeDocument/2006/relationships/oleObject" Target="embeddings/oleObject129.bin" /><Relationship Id="rId34" Type="http://schemas.openxmlformats.org/officeDocument/2006/relationships/oleObject" Target="embeddings/oleObject6.bin" /><Relationship Id="rId55" Type="http://schemas.openxmlformats.org/officeDocument/2006/relationships/image" Target="media/image25.png" /><Relationship Id="rId76" Type="http://schemas.openxmlformats.org/officeDocument/2006/relationships/oleObject" Target="embeddings/oleObject22.bin" /><Relationship Id="rId97" Type="http://schemas.openxmlformats.org/officeDocument/2006/relationships/image" Target="media/image48.emf" /><Relationship Id="rId120" Type="http://schemas.openxmlformats.org/officeDocument/2006/relationships/image" Target="media/image64.emf" /><Relationship Id="rId141" Type="http://schemas.openxmlformats.org/officeDocument/2006/relationships/oleObject" Target="embeddings/oleObject46.bin" /><Relationship Id="rId7" Type="http://schemas.openxmlformats.org/officeDocument/2006/relationships/settings" Target="settings.xml" /><Relationship Id="rId162" Type="http://schemas.openxmlformats.org/officeDocument/2006/relationships/image" Target="media/image88.emf" /><Relationship Id="rId183" Type="http://schemas.openxmlformats.org/officeDocument/2006/relationships/image" Target="media/image99.emf" /><Relationship Id="rId218" Type="http://schemas.openxmlformats.org/officeDocument/2006/relationships/image" Target="media/image117.emf" /><Relationship Id="rId239" Type="http://schemas.openxmlformats.org/officeDocument/2006/relationships/oleObject" Target="embeddings/oleObject92.bin" /><Relationship Id="rId250" Type="http://schemas.openxmlformats.org/officeDocument/2006/relationships/image" Target="media/image134.emf" /><Relationship Id="rId271" Type="http://schemas.openxmlformats.org/officeDocument/2006/relationships/image" Target="media/image145.emf" /><Relationship Id="rId292" Type="http://schemas.openxmlformats.org/officeDocument/2006/relationships/oleObject" Target="embeddings/oleObject117.bin" /><Relationship Id="rId306" Type="http://schemas.openxmlformats.org/officeDocument/2006/relationships/oleObject" Target="embeddings/oleObject124.bin" /><Relationship Id="rId24" Type="http://schemas.openxmlformats.org/officeDocument/2006/relationships/image" Target="media/image9.emf" /><Relationship Id="rId45" Type="http://schemas.openxmlformats.org/officeDocument/2006/relationships/image" Target="media/image21.emf" /><Relationship Id="rId66" Type="http://schemas.openxmlformats.org/officeDocument/2006/relationships/oleObject" Target="embeddings/oleObject17.bin" /><Relationship Id="rId87" Type="http://schemas.openxmlformats.org/officeDocument/2006/relationships/image" Target="media/image43.emf" /><Relationship Id="rId110" Type="http://schemas.openxmlformats.org/officeDocument/2006/relationships/image" Target="media/image55.jpeg" /><Relationship Id="rId131" Type="http://schemas.openxmlformats.org/officeDocument/2006/relationships/image" Target="media/image71.png" /><Relationship Id="rId327" Type="http://schemas.openxmlformats.org/officeDocument/2006/relationships/theme" Target="theme/theme1.xml" /><Relationship Id="rId152" Type="http://schemas.openxmlformats.org/officeDocument/2006/relationships/image" Target="media/image82.emf" /><Relationship Id="rId173" Type="http://schemas.openxmlformats.org/officeDocument/2006/relationships/image" Target="media/image94.emf" /><Relationship Id="rId194" Type="http://schemas.openxmlformats.org/officeDocument/2006/relationships/image" Target="media/image105.emf" /><Relationship Id="rId208" Type="http://schemas.openxmlformats.org/officeDocument/2006/relationships/image" Target="media/image112.emf" /><Relationship Id="rId229" Type="http://schemas.openxmlformats.org/officeDocument/2006/relationships/oleObject" Target="embeddings/oleObject87.bin" /><Relationship Id="rId240" Type="http://schemas.openxmlformats.org/officeDocument/2006/relationships/image" Target="media/image129.emf" /><Relationship Id="rId261" Type="http://schemas.openxmlformats.org/officeDocument/2006/relationships/image" Target="media/image140.emf" /><Relationship Id="rId14" Type="http://schemas.openxmlformats.org/officeDocument/2006/relationships/image" Target="media/image2.jpeg" /><Relationship Id="rId30" Type="http://schemas.openxmlformats.org/officeDocument/2006/relationships/image" Target="media/image13.jpeg" /><Relationship Id="rId35" Type="http://schemas.openxmlformats.org/officeDocument/2006/relationships/image" Target="media/image16.emf" /><Relationship Id="rId56" Type="http://schemas.openxmlformats.org/officeDocument/2006/relationships/image" Target="media/image26.png" /><Relationship Id="rId77" Type="http://schemas.openxmlformats.org/officeDocument/2006/relationships/image" Target="media/image38.emf" /><Relationship Id="rId100" Type="http://schemas.openxmlformats.org/officeDocument/2006/relationships/oleObject" Target="embeddings/oleObject34.bin" /><Relationship Id="rId105" Type="http://schemas.openxmlformats.org/officeDocument/2006/relationships/image" Target="media/image52.jpeg" /><Relationship Id="rId126" Type="http://schemas.openxmlformats.org/officeDocument/2006/relationships/oleObject" Target="embeddings/oleObject40.bin" /><Relationship Id="rId147" Type="http://schemas.openxmlformats.org/officeDocument/2006/relationships/oleObject" Target="embeddings/oleObject49.bin" /><Relationship Id="rId168" Type="http://schemas.openxmlformats.org/officeDocument/2006/relationships/image" Target="media/image91.emf" /><Relationship Id="rId282" Type="http://schemas.openxmlformats.org/officeDocument/2006/relationships/oleObject" Target="embeddings/oleObject113.bin" /><Relationship Id="rId312" Type="http://schemas.openxmlformats.org/officeDocument/2006/relationships/oleObject" Target="embeddings/oleObject127.bin" /><Relationship Id="rId317" Type="http://schemas.openxmlformats.org/officeDocument/2006/relationships/hyperlink" Target="https://www.nobelprize.org/prizes/chemistry/2019/press-release/" TargetMode="External" /><Relationship Id="rId8" Type="http://schemas.openxmlformats.org/officeDocument/2006/relationships/webSettings" Target="webSettings.xml" /><Relationship Id="rId51" Type="http://schemas.openxmlformats.org/officeDocument/2006/relationships/image" Target="media/image24.emf" /><Relationship Id="rId72" Type="http://schemas.openxmlformats.org/officeDocument/2006/relationships/oleObject" Target="embeddings/oleObject20.bin" /><Relationship Id="rId93" Type="http://schemas.openxmlformats.org/officeDocument/2006/relationships/image" Target="media/image46.emf" /><Relationship Id="rId98" Type="http://schemas.openxmlformats.org/officeDocument/2006/relationships/oleObject" Target="embeddings/oleObject33.bin" /><Relationship Id="rId121" Type="http://schemas.openxmlformats.org/officeDocument/2006/relationships/image" Target="media/image65.emf" /><Relationship Id="rId142" Type="http://schemas.openxmlformats.org/officeDocument/2006/relationships/image" Target="media/image77.emf" /><Relationship Id="rId163" Type="http://schemas.openxmlformats.org/officeDocument/2006/relationships/oleObject" Target="embeddings/oleObject56.bin" /><Relationship Id="rId184" Type="http://schemas.openxmlformats.org/officeDocument/2006/relationships/oleObject" Target="embeddings/oleObject66.bin" /><Relationship Id="rId189" Type="http://schemas.openxmlformats.org/officeDocument/2006/relationships/image" Target="media/image102.emf" /><Relationship Id="rId219" Type="http://schemas.openxmlformats.org/officeDocument/2006/relationships/oleObject" Target="embeddings/oleObject83.bin" /><Relationship Id="rId3" Type="http://schemas.openxmlformats.org/officeDocument/2006/relationships/customXml" Target="../customXml/item3.xml" /><Relationship Id="rId214" Type="http://schemas.openxmlformats.org/officeDocument/2006/relationships/image" Target="media/image115.emf" /><Relationship Id="rId230" Type="http://schemas.openxmlformats.org/officeDocument/2006/relationships/image" Target="media/image124.emf" /><Relationship Id="rId235" Type="http://schemas.openxmlformats.org/officeDocument/2006/relationships/oleObject" Target="embeddings/oleObject90.bin" /><Relationship Id="rId251" Type="http://schemas.openxmlformats.org/officeDocument/2006/relationships/oleObject" Target="embeddings/oleObject98.bin" /><Relationship Id="rId256" Type="http://schemas.openxmlformats.org/officeDocument/2006/relationships/oleObject" Target="embeddings/oleObject100.bin" /><Relationship Id="rId277" Type="http://schemas.openxmlformats.org/officeDocument/2006/relationships/image" Target="media/image148.emf" /><Relationship Id="rId298" Type="http://schemas.openxmlformats.org/officeDocument/2006/relationships/oleObject" Target="embeddings/oleObject120.bin" /><Relationship Id="rId25" Type="http://schemas.openxmlformats.org/officeDocument/2006/relationships/oleObject" Target="embeddings/oleObject4.bin" /><Relationship Id="rId46" Type="http://schemas.openxmlformats.org/officeDocument/2006/relationships/oleObject" Target="embeddings/oleObject12.bin" /><Relationship Id="rId67" Type="http://schemas.openxmlformats.org/officeDocument/2006/relationships/image" Target="media/image33.emf" /><Relationship Id="rId116" Type="http://schemas.openxmlformats.org/officeDocument/2006/relationships/image" Target="media/image60.emf" /><Relationship Id="rId137" Type="http://schemas.openxmlformats.org/officeDocument/2006/relationships/oleObject" Target="embeddings/oleObject44.bin" /><Relationship Id="rId158" Type="http://schemas.openxmlformats.org/officeDocument/2006/relationships/image" Target="media/image86.emf" /><Relationship Id="rId272" Type="http://schemas.openxmlformats.org/officeDocument/2006/relationships/oleObject" Target="embeddings/oleObject108.bin" /><Relationship Id="rId293" Type="http://schemas.openxmlformats.org/officeDocument/2006/relationships/image" Target="media/image157.emf" /><Relationship Id="rId302" Type="http://schemas.openxmlformats.org/officeDocument/2006/relationships/oleObject" Target="embeddings/oleObject122.bin" /><Relationship Id="rId307" Type="http://schemas.openxmlformats.org/officeDocument/2006/relationships/image" Target="media/image164.emf" /><Relationship Id="rId323" Type="http://schemas.openxmlformats.org/officeDocument/2006/relationships/hyperlink" Target="https://www.brukerafmprobes.com/p-3365-nchv.aspx" TargetMode="External" /><Relationship Id="rId20" Type="http://schemas.openxmlformats.org/officeDocument/2006/relationships/oleObject" Target="embeddings/oleObject2.bin" /><Relationship Id="rId41" Type="http://schemas.openxmlformats.org/officeDocument/2006/relationships/image" Target="media/image19.emf" /><Relationship Id="rId62" Type="http://schemas.openxmlformats.org/officeDocument/2006/relationships/image" Target="media/image31.jpeg" /><Relationship Id="rId83" Type="http://schemas.openxmlformats.org/officeDocument/2006/relationships/image" Target="media/image41.emf" /><Relationship Id="rId88" Type="http://schemas.openxmlformats.org/officeDocument/2006/relationships/oleObject" Target="embeddings/oleObject28.bin" /><Relationship Id="rId111" Type="http://schemas.openxmlformats.org/officeDocument/2006/relationships/image" Target="media/image56.png" /><Relationship Id="rId132" Type="http://schemas.openxmlformats.org/officeDocument/2006/relationships/image" Target="media/image72.emf" /><Relationship Id="rId153" Type="http://schemas.openxmlformats.org/officeDocument/2006/relationships/oleObject" Target="embeddings/oleObject52.bin" /><Relationship Id="rId174" Type="http://schemas.openxmlformats.org/officeDocument/2006/relationships/oleObject" Target="embeddings/oleObject61.bin" /><Relationship Id="rId179" Type="http://schemas.openxmlformats.org/officeDocument/2006/relationships/image" Target="media/image97.emf" /><Relationship Id="rId195" Type="http://schemas.openxmlformats.org/officeDocument/2006/relationships/oleObject" Target="embeddings/oleObject71.bin" /><Relationship Id="rId209" Type="http://schemas.openxmlformats.org/officeDocument/2006/relationships/oleObject" Target="embeddings/oleObject78.bin" /><Relationship Id="rId190" Type="http://schemas.openxmlformats.org/officeDocument/2006/relationships/image" Target="media/image103.emf" /><Relationship Id="rId204" Type="http://schemas.openxmlformats.org/officeDocument/2006/relationships/image" Target="media/image110.emf" /><Relationship Id="rId220" Type="http://schemas.openxmlformats.org/officeDocument/2006/relationships/image" Target="media/image118.emf" /><Relationship Id="rId225" Type="http://schemas.openxmlformats.org/officeDocument/2006/relationships/oleObject" Target="embeddings/oleObject86.bin" /><Relationship Id="rId241" Type="http://schemas.openxmlformats.org/officeDocument/2006/relationships/oleObject" Target="embeddings/oleObject93.bin" /><Relationship Id="rId246" Type="http://schemas.openxmlformats.org/officeDocument/2006/relationships/image" Target="media/image132.emf" /><Relationship Id="rId267" Type="http://schemas.openxmlformats.org/officeDocument/2006/relationships/image" Target="media/image143.emf" /><Relationship Id="rId288" Type="http://schemas.openxmlformats.org/officeDocument/2006/relationships/oleObject" Target="embeddings/oleObject115.bin" /><Relationship Id="rId15" Type="http://schemas.openxmlformats.org/officeDocument/2006/relationships/image" Target="media/image3.gif" /><Relationship Id="rId36" Type="http://schemas.openxmlformats.org/officeDocument/2006/relationships/oleObject" Target="embeddings/oleObject7.bin" /><Relationship Id="rId57" Type="http://schemas.openxmlformats.org/officeDocument/2006/relationships/image" Target="media/image27.jpeg" /><Relationship Id="rId106" Type="http://schemas.openxmlformats.org/officeDocument/2006/relationships/image" Target="media/image53.emf" /><Relationship Id="rId127" Type="http://schemas.openxmlformats.org/officeDocument/2006/relationships/image" Target="media/image68.emf" /><Relationship Id="rId262" Type="http://schemas.openxmlformats.org/officeDocument/2006/relationships/oleObject" Target="embeddings/oleObject103.bin" /><Relationship Id="rId283" Type="http://schemas.openxmlformats.org/officeDocument/2006/relationships/image" Target="media/image151.emf" /><Relationship Id="rId313" Type="http://schemas.openxmlformats.org/officeDocument/2006/relationships/image" Target="media/image167.emf" /><Relationship Id="rId318" Type="http://schemas.openxmlformats.org/officeDocument/2006/relationships/hyperlink" Target="https://www.forbes.com/sites/uciliawang/2015/07/17/why-tesla-rolls-out-better-ev-batteries/" TargetMode="External" /><Relationship Id="rId10" Type="http://schemas.openxmlformats.org/officeDocument/2006/relationships/endnotes" Target="endnotes.xml" /><Relationship Id="rId31" Type="http://schemas.openxmlformats.org/officeDocument/2006/relationships/image" Target="media/image14.jpeg" /><Relationship Id="rId52" Type="http://schemas.openxmlformats.org/officeDocument/2006/relationships/oleObject" Target="embeddings/oleObject15.bin" /><Relationship Id="rId73" Type="http://schemas.openxmlformats.org/officeDocument/2006/relationships/image" Target="media/image36.emf" /><Relationship Id="rId78" Type="http://schemas.openxmlformats.org/officeDocument/2006/relationships/oleObject" Target="embeddings/oleObject23.bin" /><Relationship Id="rId94" Type="http://schemas.openxmlformats.org/officeDocument/2006/relationships/oleObject" Target="embeddings/oleObject31.bin" /><Relationship Id="rId99" Type="http://schemas.openxmlformats.org/officeDocument/2006/relationships/image" Target="media/image49.emf" /><Relationship Id="rId101" Type="http://schemas.openxmlformats.org/officeDocument/2006/relationships/header" Target="header3.xml" /><Relationship Id="rId122" Type="http://schemas.openxmlformats.org/officeDocument/2006/relationships/oleObject" Target="embeddings/oleObject38.bin" /><Relationship Id="rId143" Type="http://schemas.openxmlformats.org/officeDocument/2006/relationships/oleObject" Target="embeddings/oleObject47.bin" /><Relationship Id="rId148" Type="http://schemas.openxmlformats.org/officeDocument/2006/relationships/image" Target="media/image80.emf" /><Relationship Id="rId164" Type="http://schemas.openxmlformats.org/officeDocument/2006/relationships/image" Target="media/image89.emf" /><Relationship Id="rId169" Type="http://schemas.openxmlformats.org/officeDocument/2006/relationships/image" Target="media/image92.emf" /><Relationship Id="rId185" Type="http://schemas.openxmlformats.org/officeDocument/2006/relationships/image" Target="media/image100.emf" /><Relationship Id="rId4" Type="http://schemas.openxmlformats.org/officeDocument/2006/relationships/customXml" Target="../customXml/item4.xml" /><Relationship Id="rId9" Type="http://schemas.openxmlformats.org/officeDocument/2006/relationships/footnotes" Target="footnotes.xml" /><Relationship Id="rId180" Type="http://schemas.openxmlformats.org/officeDocument/2006/relationships/oleObject" Target="embeddings/oleObject64.bin" /><Relationship Id="rId210" Type="http://schemas.openxmlformats.org/officeDocument/2006/relationships/image" Target="media/image113.emf" /><Relationship Id="rId215" Type="http://schemas.openxmlformats.org/officeDocument/2006/relationships/oleObject" Target="embeddings/oleObject81.bin" /><Relationship Id="rId236" Type="http://schemas.openxmlformats.org/officeDocument/2006/relationships/image" Target="media/image127.emf" /><Relationship Id="rId257" Type="http://schemas.openxmlformats.org/officeDocument/2006/relationships/image" Target="media/image138.emf" /><Relationship Id="rId278" Type="http://schemas.openxmlformats.org/officeDocument/2006/relationships/oleObject" Target="embeddings/oleObject111.bin" /><Relationship Id="rId26" Type="http://schemas.openxmlformats.org/officeDocument/2006/relationships/image" Target="media/image10.emf" /><Relationship Id="rId231" Type="http://schemas.openxmlformats.org/officeDocument/2006/relationships/oleObject" Target="embeddings/oleObject88.bin" /><Relationship Id="rId252" Type="http://schemas.openxmlformats.org/officeDocument/2006/relationships/image" Target="media/image135.emf" /><Relationship Id="rId273" Type="http://schemas.openxmlformats.org/officeDocument/2006/relationships/image" Target="media/image146.emf" /><Relationship Id="rId294" Type="http://schemas.openxmlformats.org/officeDocument/2006/relationships/oleObject" Target="embeddings/oleObject118.bin" /><Relationship Id="rId308" Type="http://schemas.openxmlformats.org/officeDocument/2006/relationships/oleObject" Target="embeddings/oleObject125.bin" /><Relationship Id="rId47" Type="http://schemas.openxmlformats.org/officeDocument/2006/relationships/image" Target="media/image22.emf" /><Relationship Id="rId68" Type="http://schemas.openxmlformats.org/officeDocument/2006/relationships/oleObject" Target="embeddings/oleObject18.bin" /><Relationship Id="rId89" Type="http://schemas.openxmlformats.org/officeDocument/2006/relationships/image" Target="media/image44.emf" /><Relationship Id="rId112" Type="http://schemas.openxmlformats.org/officeDocument/2006/relationships/image" Target="media/image57.png" /><Relationship Id="rId133" Type="http://schemas.openxmlformats.org/officeDocument/2006/relationships/oleObject" Target="embeddings/oleObject42.bin" /><Relationship Id="rId154" Type="http://schemas.openxmlformats.org/officeDocument/2006/relationships/image" Target="media/image83.tiff" /><Relationship Id="rId175" Type="http://schemas.openxmlformats.org/officeDocument/2006/relationships/image" Target="media/image95.emf" /><Relationship Id="rId196" Type="http://schemas.openxmlformats.org/officeDocument/2006/relationships/image" Target="media/image106.emf" /><Relationship Id="rId200" Type="http://schemas.openxmlformats.org/officeDocument/2006/relationships/image" Target="media/image108.emf" /><Relationship Id="rId16" Type="http://schemas.openxmlformats.org/officeDocument/2006/relationships/image" Target="media/image4.png" /><Relationship Id="rId221" Type="http://schemas.openxmlformats.org/officeDocument/2006/relationships/oleObject" Target="embeddings/oleObject84.bin" /><Relationship Id="rId242" Type="http://schemas.openxmlformats.org/officeDocument/2006/relationships/image" Target="media/image130.emf" /><Relationship Id="rId263" Type="http://schemas.openxmlformats.org/officeDocument/2006/relationships/image" Target="media/image141.emf" /><Relationship Id="rId284" Type="http://schemas.openxmlformats.org/officeDocument/2006/relationships/oleObject" Target="embeddings/oleObject114.bin" /><Relationship Id="rId319" Type="http://schemas.openxmlformats.org/officeDocument/2006/relationships/hyperlink" Target="https://www.greencarcongress.com/2012/03/lifsi-20120321.html" TargetMode="External" /><Relationship Id="rId37" Type="http://schemas.openxmlformats.org/officeDocument/2006/relationships/image" Target="media/image17.emf" /><Relationship Id="rId58" Type="http://schemas.openxmlformats.org/officeDocument/2006/relationships/image" Target="media/image28.jpeg" /><Relationship Id="rId79" Type="http://schemas.openxmlformats.org/officeDocument/2006/relationships/image" Target="media/image39.emf" /><Relationship Id="rId102" Type="http://schemas.openxmlformats.org/officeDocument/2006/relationships/footer" Target="footer6.xml" /><Relationship Id="rId123" Type="http://schemas.openxmlformats.org/officeDocument/2006/relationships/image" Target="media/image66.emf" /><Relationship Id="rId144" Type="http://schemas.openxmlformats.org/officeDocument/2006/relationships/image" Target="media/image78.emf" /><Relationship Id="rId90" Type="http://schemas.openxmlformats.org/officeDocument/2006/relationships/oleObject" Target="embeddings/oleObject29.bin" /><Relationship Id="rId165" Type="http://schemas.openxmlformats.org/officeDocument/2006/relationships/oleObject" Target="embeddings/oleObject57.bin" /><Relationship Id="rId186" Type="http://schemas.openxmlformats.org/officeDocument/2006/relationships/oleObject" Target="embeddings/oleObject67.bin" /><Relationship Id="rId211" Type="http://schemas.openxmlformats.org/officeDocument/2006/relationships/oleObject" Target="embeddings/oleObject79.bin" /><Relationship Id="rId232" Type="http://schemas.openxmlformats.org/officeDocument/2006/relationships/image" Target="media/image125.emf" /><Relationship Id="rId253" Type="http://schemas.openxmlformats.org/officeDocument/2006/relationships/image" Target="media/image136.emf" /><Relationship Id="rId274" Type="http://schemas.openxmlformats.org/officeDocument/2006/relationships/oleObject" Target="embeddings/oleObject109.bin" /><Relationship Id="rId295" Type="http://schemas.openxmlformats.org/officeDocument/2006/relationships/image" Target="media/image158.emf" /><Relationship Id="rId309" Type="http://schemas.openxmlformats.org/officeDocument/2006/relationships/image" Target="media/image165.emf" /><Relationship Id="rId27" Type="http://schemas.openxmlformats.org/officeDocument/2006/relationships/oleObject" Target="embeddings/oleObject5.bin" /><Relationship Id="rId48" Type="http://schemas.openxmlformats.org/officeDocument/2006/relationships/oleObject" Target="embeddings/oleObject13.bin" /><Relationship Id="rId69" Type="http://schemas.openxmlformats.org/officeDocument/2006/relationships/image" Target="media/image34.emf" /><Relationship Id="rId113" Type="http://schemas.openxmlformats.org/officeDocument/2006/relationships/image" Target="media/image58.emf" /><Relationship Id="rId134" Type="http://schemas.openxmlformats.org/officeDocument/2006/relationships/image" Target="media/image73.emf" /><Relationship Id="rId320" Type="http://schemas.openxmlformats.org/officeDocument/2006/relationships/hyperlink" Target="https://cleantechnica.com/2016/05/31/battery-lifetime-long-can-electric-vehicle-batteries-last/" TargetMode="External" /><Relationship Id="rId80" Type="http://schemas.openxmlformats.org/officeDocument/2006/relationships/oleObject" Target="embeddings/oleObject24.bin" /><Relationship Id="rId155" Type="http://schemas.openxmlformats.org/officeDocument/2006/relationships/image" Target="media/image84.tiff" /><Relationship Id="rId176" Type="http://schemas.openxmlformats.org/officeDocument/2006/relationships/oleObject" Target="embeddings/oleObject62.bin" /><Relationship Id="rId197" Type="http://schemas.openxmlformats.org/officeDocument/2006/relationships/oleObject" Target="embeddings/oleObject72.bin" /><Relationship Id="rId201" Type="http://schemas.openxmlformats.org/officeDocument/2006/relationships/oleObject" Target="embeddings/oleObject74.bin" /><Relationship Id="rId222" Type="http://schemas.openxmlformats.org/officeDocument/2006/relationships/image" Target="media/image119.emf" /><Relationship Id="rId243" Type="http://schemas.openxmlformats.org/officeDocument/2006/relationships/oleObject" Target="embeddings/oleObject94.bin" /><Relationship Id="rId264" Type="http://schemas.openxmlformats.org/officeDocument/2006/relationships/oleObject" Target="embeddings/oleObject104.bin" /><Relationship Id="rId285" Type="http://schemas.openxmlformats.org/officeDocument/2006/relationships/image" Target="media/image152.jpeg" /><Relationship Id="rId17" Type="http://schemas.openxmlformats.org/officeDocument/2006/relationships/image" Target="media/image5.emf" /><Relationship Id="rId38" Type="http://schemas.openxmlformats.org/officeDocument/2006/relationships/oleObject" Target="embeddings/oleObject8.bin" /><Relationship Id="rId59" Type="http://schemas.openxmlformats.org/officeDocument/2006/relationships/image" Target="media/image29.emf" /><Relationship Id="rId103" Type="http://schemas.openxmlformats.org/officeDocument/2006/relationships/image" Target="media/image50.png" /><Relationship Id="rId124" Type="http://schemas.openxmlformats.org/officeDocument/2006/relationships/oleObject" Target="embeddings/oleObject39.bin" /><Relationship Id="rId310" Type="http://schemas.openxmlformats.org/officeDocument/2006/relationships/oleObject" Target="embeddings/oleObject126.bin" /><Relationship Id="rId70" Type="http://schemas.openxmlformats.org/officeDocument/2006/relationships/oleObject" Target="embeddings/oleObject19.bin" /><Relationship Id="rId91" Type="http://schemas.openxmlformats.org/officeDocument/2006/relationships/image" Target="media/image45.emf" /><Relationship Id="rId145" Type="http://schemas.openxmlformats.org/officeDocument/2006/relationships/oleObject" Target="embeddings/oleObject48.bin" /><Relationship Id="rId166" Type="http://schemas.openxmlformats.org/officeDocument/2006/relationships/image" Target="media/image90.emf" /><Relationship Id="rId187" Type="http://schemas.openxmlformats.org/officeDocument/2006/relationships/image" Target="media/image101.emf" /><Relationship Id="rId1" Type="http://schemas.openxmlformats.org/officeDocument/2006/relationships/customXml" Target="../customXml/item1.xml" /><Relationship Id="rId212" Type="http://schemas.openxmlformats.org/officeDocument/2006/relationships/image" Target="media/image114.emf" /><Relationship Id="rId233" Type="http://schemas.openxmlformats.org/officeDocument/2006/relationships/oleObject" Target="embeddings/oleObject89.bin" /><Relationship Id="rId254" Type="http://schemas.openxmlformats.org/officeDocument/2006/relationships/oleObject" Target="embeddings/oleObject99.bin" /><Relationship Id="rId28" Type="http://schemas.openxmlformats.org/officeDocument/2006/relationships/image" Target="media/image11.png" /><Relationship Id="rId49" Type="http://schemas.openxmlformats.org/officeDocument/2006/relationships/image" Target="media/image23.emf" /><Relationship Id="rId114" Type="http://schemas.openxmlformats.org/officeDocument/2006/relationships/oleObject" Target="embeddings/oleObject37.bin" /><Relationship Id="rId275" Type="http://schemas.openxmlformats.org/officeDocument/2006/relationships/image" Target="media/image147.emf" /><Relationship Id="rId296" Type="http://schemas.openxmlformats.org/officeDocument/2006/relationships/oleObject" Target="embeddings/oleObject119.bin" /><Relationship Id="rId300" Type="http://schemas.openxmlformats.org/officeDocument/2006/relationships/oleObject" Target="embeddings/oleObject121.bin" /><Relationship Id="rId60" Type="http://schemas.openxmlformats.org/officeDocument/2006/relationships/oleObject" Target="embeddings/oleObject16.bin" /><Relationship Id="rId81" Type="http://schemas.openxmlformats.org/officeDocument/2006/relationships/image" Target="media/image40.emf" /><Relationship Id="rId135" Type="http://schemas.openxmlformats.org/officeDocument/2006/relationships/oleObject" Target="embeddings/oleObject43.bin" /><Relationship Id="rId156" Type="http://schemas.openxmlformats.org/officeDocument/2006/relationships/image" Target="media/image85.emf" /><Relationship Id="rId177" Type="http://schemas.openxmlformats.org/officeDocument/2006/relationships/image" Target="media/image96.emf" /><Relationship Id="rId198" Type="http://schemas.openxmlformats.org/officeDocument/2006/relationships/image" Target="media/image107.emf" /><Relationship Id="rId321" Type="http://schemas.openxmlformats.org/officeDocument/2006/relationships/hyperlink" Target="https://www.bloomberg.com/news/articles/2019-05-16/tesla-fires-sound-alarms-about-safety-of-electric-car-batteries" TargetMode="External" /><Relationship Id="rId202" Type="http://schemas.openxmlformats.org/officeDocument/2006/relationships/image" Target="media/image109.emf" /><Relationship Id="rId223" Type="http://schemas.openxmlformats.org/officeDocument/2006/relationships/oleObject" Target="embeddings/oleObject85.bin" /><Relationship Id="rId244" Type="http://schemas.openxmlformats.org/officeDocument/2006/relationships/image" Target="media/image131.emf" /><Relationship Id="rId18" Type="http://schemas.openxmlformats.org/officeDocument/2006/relationships/oleObject" Target="embeddings/oleObject1.bin" /><Relationship Id="rId39" Type="http://schemas.openxmlformats.org/officeDocument/2006/relationships/image" Target="media/image18.emf" /><Relationship Id="rId265" Type="http://schemas.openxmlformats.org/officeDocument/2006/relationships/image" Target="media/image142.emf" /><Relationship Id="rId286" Type="http://schemas.openxmlformats.org/officeDocument/2006/relationships/image" Target="media/image153.emf" /><Relationship Id="rId50" Type="http://schemas.openxmlformats.org/officeDocument/2006/relationships/oleObject" Target="embeddings/oleObject14.bin" /><Relationship Id="rId104" Type="http://schemas.openxmlformats.org/officeDocument/2006/relationships/image" Target="media/image51.jpeg" /><Relationship Id="rId125" Type="http://schemas.openxmlformats.org/officeDocument/2006/relationships/image" Target="media/image67.emf" /><Relationship Id="rId146" Type="http://schemas.openxmlformats.org/officeDocument/2006/relationships/image" Target="media/image79.emf" /><Relationship Id="rId167" Type="http://schemas.openxmlformats.org/officeDocument/2006/relationships/oleObject" Target="embeddings/oleObject58.bin" /><Relationship Id="rId188" Type="http://schemas.openxmlformats.org/officeDocument/2006/relationships/oleObject" Target="embeddings/oleObject68.bin" /><Relationship Id="rId311" Type="http://schemas.openxmlformats.org/officeDocument/2006/relationships/image" Target="media/image166.emf" /><Relationship Id="rId71" Type="http://schemas.openxmlformats.org/officeDocument/2006/relationships/image" Target="media/image35.emf" /><Relationship Id="rId92" Type="http://schemas.openxmlformats.org/officeDocument/2006/relationships/oleObject" Target="embeddings/oleObject30.bin" /><Relationship Id="rId213" Type="http://schemas.openxmlformats.org/officeDocument/2006/relationships/oleObject" Target="embeddings/oleObject80.bin" /><Relationship Id="rId234" Type="http://schemas.openxmlformats.org/officeDocument/2006/relationships/image" Target="media/image126.emf" /><Relationship Id="rId2" Type="http://schemas.openxmlformats.org/officeDocument/2006/relationships/customXml" Target="../customXml/item2.xml" /><Relationship Id="rId29" Type="http://schemas.openxmlformats.org/officeDocument/2006/relationships/image" Target="media/image12.png" /><Relationship Id="rId255" Type="http://schemas.openxmlformats.org/officeDocument/2006/relationships/image" Target="media/image137.emf" /><Relationship Id="rId276" Type="http://schemas.openxmlformats.org/officeDocument/2006/relationships/oleObject" Target="embeddings/oleObject110.bin" /><Relationship Id="rId297" Type="http://schemas.openxmlformats.org/officeDocument/2006/relationships/image" Target="media/image159.emf" /><Relationship Id="rId40" Type="http://schemas.openxmlformats.org/officeDocument/2006/relationships/oleObject" Target="embeddings/oleObject9.bin" /><Relationship Id="rId115" Type="http://schemas.openxmlformats.org/officeDocument/2006/relationships/image" Target="media/image59.emf" /><Relationship Id="rId136" Type="http://schemas.openxmlformats.org/officeDocument/2006/relationships/image" Target="media/image74.emf" /><Relationship Id="rId157" Type="http://schemas.openxmlformats.org/officeDocument/2006/relationships/oleObject" Target="embeddings/oleObject53.bin" /><Relationship Id="rId178" Type="http://schemas.openxmlformats.org/officeDocument/2006/relationships/oleObject" Target="embeddings/oleObject63.bin" /><Relationship Id="rId301" Type="http://schemas.openxmlformats.org/officeDocument/2006/relationships/image" Target="media/image161.emf" /><Relationship Id="rId322" Type="http://schemas.openxmlformats.org/officeDocument/2006/relationships/hyperlink" Target="https://www.electrive.com/2021/01/25/guoxuan-high-tech-presents-lfp-new-battery-cell/" TargetMode="External" /><Relationship Id="rId61" Type="http://schemas.openxmlformats.org/officeDocument/2006/relationships/image" Target="media/image30.jpeg" /><Relationship Id="rId82" Type="http://schemas.openxmlformats.org/officeDocument/2006/relationships/oleObject" Target="embeddings/oleObject25.bin" /><Relationship Id="rId199" Type="http://schemas.openxmlformats.org/officeDocument/2006/relationships/oleObject" Target="embeddings/oleObject73.bin" /><Relationship Id="rId203" Type="http://schemas.openxmlformats.org/officeDocument/2006/relationships/oleObject" Target="embeddings/oleObject75.bin" /><Relationship Id="rId19" Type="http://schemas.openxmlformats.org/officeDocument/2006/relationships/image" Target="media/image6.emf" /><Relationship Id="rId224" Type="http://schemas.openxmlformats.org/officeDocument/2006/relationships/image" Target="media/image120.emf" /><Relationship Id="rId245" Type="http://schemas.openxmlformats.org/officeDocument/2006/relationships/oleObject" Target="embeddings/oleObject95.bin" /><Relationship Id="rId266" Type="http://schemas.openxmlformats.org/officeDocument/2006/relationships/oleObject" Target="embeddings/oleObject105.bin" /><Relationship Id="rId287" Type="http://schemas.openxmlformats.org/officeDocument/2006/relationships/image" Target="media/image154.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26DBDFE090B949AB00341B0343F8B0" ma:contentTypeVersion="7" ma:contentTypeDescription="Create a new document." ma:contentTypeScope="" ma:versionID="17d911fe8d25c0e82799451e78e60173">
  <xsd:schema xmlns:xsd="http://www.w3.org/2001/XMLSchema" xmlns:xs="http://www.w3.org/2001/XMLSchema" xmlns:p="http://schemas.microsoft.com/office/2006/metadata/properties" xmlns:ns3="41176412-5f80-4c5e-b487-eeda3562d8e4" xmlns:ns4="b2c5aeea-a814-4aa2-b7bd-1a4dbe07b54f" targetNamespace="http://schemas.microsoft.com/office/2006/metadata/properties" ma:root="true" ma:fieldsID="52c2a4afa83a456b7bc01ee410637987" ns3:_="" ns4:_="">
    <xsd:import namespace="41176412-5f80-4c5e-b487-eeda3562d8e4"/>
    <xsd:import namespace="b2c5aeea-a814-4aa2-b7bd-1a4dbe07b5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176412-5f80-4c5e-b487-eeda3562d8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c5aeea-a814-4aa2-b7bd-1a4dbe07b54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198324-39BF-4822-941F-6E83705B7E9A}">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AA266537-90E8-4A55-B555-6BA13E1D924E}">
  <ds:schemaRefs>
    <ds:schemaRef ds:uri="http://schemas.microsoft.com/sharepoint/v3/contenttype/forms"/>
  </ds:schemaRefs>
</ds:datastoreItem>
</file>

<file path=customXml/itemProps3.xml><?xml version="1.0" encoding="utf-8"?>
<ds:datastoreItem xmlns:ds="http://schemas.openxmlformats.org/officeDocument/2006/customXml" ds:itemID="{C6B06F4C-3337-4A31-BAF4-769547A7AE63}">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B59AC453-C51B-45B6-A618-BC27C72B35AB}">
  <ds:schemaRefs>
    <ds:schemaRef ds:uri="http://schemas.microsoft.com/office/2006/metadata/contentType"/>
    <ds:schemaRef ds:uri="http://schemas.microsoft.com/office/2006/metadata/properties/metaAttributes"/>
    <ds:schemaRef ds:uri="http://www.w3.org/2000/xmlns/"/>
    <ds:schemaRef ds:uri="http://www.w3.org/2001/XMLSchema"/>
    <ds:schemaRef ds:uri="41176412-5f80-4c5e-b487-eeda3562d8e4"/>
    <ds:schemaRef ds:uri="b2c5aeea-a814-4aa2-b7bd-1a4dbe07b54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99300</Words>
  <Characters>566014</Characters>
  <Application>Microsoft Office Word</Application>
  <DocSecurity>0</DocSecurity>
  <Lines>4716</Lines>
  <Paragraphs>1327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663987</CharactersWithSpaces>
  <SharedDoc>false</SharedDoc>
  <HLinks>
    <vt:vector size="702" baseType="variant">
      <vt:variant>
        <vt:i4>5832719</vt:i4>
      </vt:variant>
      <vt:variant>
        <vt:i4>3465</vt:i4>
      </vt:variant>
      <vt:variant>
        <vt:i4>0</vt:i4>
      </vt:variant>
      <vt:variant>
        <vt:i4>5</vt:i4>
      </vt:variant>
      <vt:variant>
        <vt:lpwstr>https://www.brukerafmprobes.com/p-3365-nchv.aspx</vt:lpwstr>
      </vt:variant>
      <vt:variant>
        <vt:lpwstr/>
      </vt:variant>
      <vt:variant>
        <vt:i4>8192113</vt:i4>
      </vt:variant>
      <vt:variant>
        <vt:i4>3462</vt:i4>
      </vt:variant>
      <vt:variant>
        <vt:i4>0</vt:i4>
      </vt:variant>
      <vt:variant>
        <vt:i4>5</vt:i4>
      </vt:variant>
      <vt:variant>
        <vt:lpwstr>https://www.bloomberg.com/news/articles/2019-05-16/tesla-fires-sound-alarms-about-safety-of-electric-car-batteries</vt:lpwstr>
      </vt:variant>
      <vt:variant>
        <vt:lpwstr/>
      </vt:variant>
      <vt:variant>
        <vt:i4>3539071</vt:i4>
      </vt:variant>
      <vt:variant>
        <vt:i4>3459</vt:i4>
      </vt:variant>
      <vt:variant>
        <vt:i4>0</vt:i4>
      </vt:variant>
      <vt:variant>
        <vt:i4>5</vt:i4>
      </vt:variant>
      <vt:variant>
        <vt:lpwstr>https://cleantechnica.com/2016/05/31/battery-lifetime-long-can-electric-vehicle-batteries-last/</vt:lpwstr>
      </vt:variant>
      <vt:variant>
        <vt:lpwstr/>
      </vt:variant>
      <vt:variant>
        <vt:i4>2097199</vt:i4>
      </vt:variant>
      <vt:variant>
        <vt:i4>3456</vt:i4>
      </vt:variant>
      <vt:variant>
        <vt:i4>0</vt:i4>
      </vt:variant>
      <vt:variant>
        <vt:i4>5</vt:i4>
      </vt:variant>
      <vt:variant>
        <vt:lpwstr>https://www.forbes.com/sites/uciliawang/2015/07/17/why-tesla-rolls-out-better-ev-batteries/</vt:lpwstr>
      </vt:variant>
      <vt:variant>
        <vt:lpwstr>65d09e981dca</vt:lpwstr>
      </vt:variant>
      <vt:variant>
        <vt:i4>3866673</vt:i4>
      </vt:variant>
      <vt:variant>
        <vt:i4>3453</vt:i4>
      </vt:variant>
      <vt:variant>
        <vt:i4>0</vt:i4>
      </vt:variant>
      <vt:variant>
        <vt:i4>5</vt:i4>
      </vt:variant>
      <vt:variant>
        <vt:lpwstr>https://www.nobelprize.org/prizes/chemistry/2019/press-release/</vt:lpwstr>
      </vt:variant>
      <vt:variant>
        <vt:lpwstr/>
      </vt:variant>
      <vt:variant>
        <vt:i4>1769527</vt:i4>
      </vt:variant>
      <vt:variant>
        <vt:i4>668</vt:i4>
      </vt:variant>
      <vt:variant>
        <vt:i4>0</vt:i4>
      </vt:variant>
      <vt:variant>
        <vt:i4>5</vt:i4>
      </vt:variant>
      <vt:variant>
        <vt:lpwstr/>
      </vt:variant>
      <vt:variant>
        <vt:lpwstr>_Toc43061821</vt:lpwstr>
      </vt:variant>
      <vt:variant>
        <vt:i4>1703991</vt:i4>
      </vt:variant>
      <vt:variant>
        <vt:i4>662</vt:i4>
      </vt:variant>
      <vt:variant>
        <vt:i4>0</vt:i4>
      </vt:variant>
      <vt:variant>
        <vt:i4>5</vt:i4>
      </vt:variant>
      <vt:variant>
        <vt:lpwstr/>
      </vt:variant>
      <vt:variant>
        <vt:lpwstr>_Toc43061820</vt:lpwstr>
      </vt:variant>
      <vt:variant>
        <vt:i4>1245236</vt:i4>
      </vt:variant>
      <vt:variant>
        <vt:i4>656</vt:i4>
      </vt:variant>
      <vt:variant>
        <vt:i4>0</vt:i4>
      </vt:variant>
      <vt:variant>
        <vt:i4>5</vt:i4>
      </vt:variant>
      <vt:variant>
        <vt:lpwstr/>
      </vt:variant>
      <vt:variant>
        <vt:lpwstr>_Toc43061819</vt:lpwstr>
      </vt:variant>
      <vt:variant>
        <vt:i4>1179700</vt:i4>
      </vt:variant>
      <vt:variant>
        <vt:i4>650</vt:i4>
      </vt:variant>
      <vt:variant>
        <vt:i4>0</vt:i4>
      </vt:variant>
      <vt:variant>
        <vt:i4>5</vt:i4>
      </vt:variant>
      <vt:variant>
        <vt:lpwstr/>
      </vt:variant>
      <vt:variant>
        <vt:lpwstr>_Toc43061818</vt:lpwstr>
      </vt:variant>
      <vt:variant>
        <vt:i4>1900596</vt:i4>
      </vt:variant>
      <vt:variant>
        <vt:i4>644</vt:i4>
      </vt:variant>
      <vt:variant>
        <vt:i4>0</vt:i4>
      </vt:variant>
      <vt:variant>
        <vt:i4>5</vt:i4>
      </vt:variant>
      <vt:variant>
        <vt:lpwstr/>
      </vt:variant>
      <vt:variant>
        <vt:lpwstr>_Toc43061817</vt:lpwstr>
      </vt:variant>
      <vt:variant>
        <vt:i4>1835060</vt:i4>
      </vt:variant>
      <vt:variant>
        <vt:i4>638</vt:i4>
      </vt:variant>
      <vt:variant>
        <vt:i4>0</vt:i4>
      </vt:variant>
      <vt:variant>
        <vt:i4>5</vt:i4>
      </vt:variant>
      <vt:variant>
        <vt:lpwstr/>
      </vt:variant>
      <vt:variant>
        <vt:lpwstr>_Toc43061816</vt:lpwstr>
      </vt:variant>
      <vt:variant>
        <vt:i4>2031668</vt:i4>
      </vt:variant>
      <vt:variant>
        <vt:i4>632</vt:i4>
      </vt:variant>
      <vt:variant>
        <vt:i4>0</vt:i4>
      </vt:variant>
      <vt:variant>
        <vt:i4>5</vt:i4>
      </vt:variant>
      <vt:variant>
        <vt:lpwstr/>
      </vt:variant>
      <vt:variant>
        <vt:lpwstr>_Toc43061815</vt:lpwstr>
      </vt:variant>
      <vt:variant>
        <vt:i4>1966132</vt:i4>
      </vt:variant>
      <vt:variant>
        <vt:i4>626</vt:i4>
      </vt:variant>
      <vt:variant>
        <vt:i4>0</vt:i4>
      </vt:variant>
      <vt:variant>
        <vt:i4>5</vt:i4>
      </vt:variant>
      <vt:variant>
        <vt:lpwstr/>
      </vt:variant>
      <vt:variant>
        <vt:lpwstr>_Toc43061814</vt:lpwstr>
      </vt:variant>
      <vt:variant>
        <vt:i4>1638452</vt:i4>
      </vt:variant>
      <vt:variant>
        <vt:i4>620</vt:i4>
      </vt:variant>
      <vt:variant>
        <vt:i4>0</vt:i4>
      </vt:variant>
      <vt:variant>
        <vt:i4>5</vt:i4>
      </vt:variant>
      <vt:variant>
        <vt:lpwstr/>
      </vt:variant>
      <vt:variant>
        <vt:lpwstr>_Toc43061813</vt:lpwstr>
      </vt:variant>
      <vt:variant>
        <vt:i4>1572916</vt:i4>
      </vt:variant>
      <vt:variant>
        <vt:i4>614</vt:i4>
      </vt:variant>
      <vt:variant>
        <vt:i4>0</vt:i4>
      </vt:variant>
      <vt:variant>
        <vt:i4>5</vt:i4>
      </vt:variant>
      <vt:variant>
        <vt:lpwstr/>
      </vt:variant>
      <vt:variant>
        <vt:lpwstr>_Toc43061812</vt:lpwstr>
      </vt:variant>
      <vt:variant>
        <vt:i4>1769524</vt:i4>
      </vt:variant>
      <vt:variant>
        <vt:i4>608</vt:i4>
      </vt:variant>
      <vt:variant>
        <vt:i4>0</vt:i4>
      </vt:variant>
      <vt:variant>
        <vt:i4>5</vt:i4>
      </vt:variant>
      <vt:variant>
        <vt:lpwstr/>
      </vt:variant>
      <vt:variant>
        <vt:lpwstr>_Toc43061811</vt:lpwstr>
      </vt:variant>
      <vt:variant>
        <vt:i4>1703988</vt:i4>
      </vt:variant>
      <vt:variant>
        <vt:i4>602</vt:i4>
      </vt:variant>
      <vt:variant>
        <vt:i4>0</vt:i4>
      </vt:variant>
      <vt:variant>
        <vt:i4>5</vt:i4>
      </vt:variant>
      <vt:variant>
        <vt:lpwstr/>
      </vt:variant>
      <vt:variant>
        <vt:lpwstr>_Toc43061810</vt:lpwstr>
      </vt:variant>
      <vt:variant>
        <vt:i4>1245237</vt:i4>
      </vt:variant>
      <vt:variant>
        <vt:i4>596</vt:i4>
      </vt:variant>
      <vt:variant>
        <vt:i4>0</vt:i4>
      </vt:variant>
      <vt:variant>
        <vt:i4>5</vt:i4>
      </vt:variant>
      <vt:variant>
        <vt:lpwstr/>
      </vt:variant>
      <vt:variant>
        <vt:lpwstr>_Toc43061809</vt:lpwstr>
      </vt:variant>
      <vt:variant>
        <vt:i4>1179701</vt:i4>
      </vt:variant>
      <vt:variant>
        <vt:i4>590</vt:i4>
      </vt:variant>
      <vt:variant>
        <vt:i4>0</vt:i4>
      </vt:variant>
      <vt:variant>
        <vt:i4>5</vt:i4>
      </vt:variant>
      <vt:variant>
        <vt:lpwstr/>
      </vt:variant>
      <vt:variant>
        <vt:lpwstr>_Toc43061808</vt:lpwstr>
      </vt:variant>
      <vt:variant>
        <vt:i4>1900597</vt:i4>
      </vt:variant>
      <vt:variant>
        <vt:i4>584</vt:i4>
      </vt:variant>
      <vt:variant>
        <vt:i4>0</vt:i4>
      </vt:variant>
      <vt:variant>
        <vt:i4>5</vt:i4>
      </vt:variant>
      <vt:variant>
        <vt:lpwstr/>
      </vt:variant>
      <vt:variant>
        <vt:lpwstr>_Toc43061807</vt:lpwstr>
      </vt:variant>
      <vt:variant>
        <vt:i4>1835061</vt:i4>
      </vt:variant>
      <vt:variant>
        <vt:i4>578</vt:i4>
      </vt:variant>
      <vt:variant>
        <vt:i4>0</vt:i4>
      </vt:variant>
      <vt:variant>
        <vt:i4>5</vt:i4>
      </vt:variant>
      <vt:variant>
        <vt:lpwstr/>
      </vt:variant>
      <vt:variant>
        <vt:lpwstr>_Toc43061806</vt:lpwstr>
      </vt:variant>
      <vt:variant>
        <vt:i4>2031669</vt:i4>
      </vt:variant>
      <vt:variant>
        <vt:i4>572</vt:i4>
      </vt:variant>
      <vt:variant>
        <vt:i4>0</vt:i4>
      </vt:variant>
      <vt:variant>
        <vt:i4>5</vt:i4>
      </vt:variant>
      <vt:variant>
        <vt:lpwstr/>
      </vt:variant>
      <vt:variant>
        <vt:lpwstr>_Toc43061805</vt:lpwstr>
      </vt:variant>
      <vt:variant>
        <vt:i4>1966133</vt:i4>
      </vt:variant>
      <vt:variant>
        <vt:i4>566</vt:i4>
      </vt:variant>
      <vt:variant>
        <vt:i4>0</vt:i4>
      </vt:variant>
      <vt:variant>
        <vt:i4>5</vt:i4>
      </vt:variant>
      <vt:variant>
        <vt:lpwstr/>
      </vt:variant>
      <vt:variant>
        <vt:lpwstr>_Toc43061804</vt:lpwstr>
      </vt:variant>
      <vt:variant>
        <vt:i4>1638453</vt:i4>
      </vt:variant>
      <vt:variant>
        <vt:i4>560</vt:i4>
      </vt:variant>
      <vt:variant>
        <vt:i4>0</vt:i4>
      </vt:variant>
      <vt:variant>
        <vt:i4>5</vt:i4>
      </vt:variant>
      <vt:variant>
        <vt:lpwstr/>
      </vt:variant>
      <vt:variant>
        <vt:lpwstr>_Toc43061803</vt:lpwstr>
      </vt:variant>
      <vt:variant>
        <vt:i4>1572917</vt:i4>
      </vt:variant>
      <vt:variant>
        <vt:i4>554</vt:i4>
      </vt:variant>
      <vt:variant>
        <vt:i4>0</vt:i4>
      </vt:variant>
      <vt:variant>
        <vt:i4>5</vt:i4>
      </vt:variant>
      <vt:variant>
        <vt:lpwstr/>
      </vt:variant>
      <vt:variant>
        <vt:lpwstr>_Toc43061802</vt:lpwstr>
      </vt:variant>
      <vt:variant>
        <vt:i4>1769525</vt:i4>
      </vt:variant>
      <vt:variant>
        <vt:i4>548</vt:i4>
      </vt:variant>
      <vt:variant>
        <vt:i4>0</vt:i4>
      </vt:variant>
      <vt:variant>
        <vt:i4>5</vt:i4>
      </vt:variant>
      <vt:variant>
        <vt:lpwstr/>
      </vt:variant>
      <vt:variant>
        <vt:lpwstr>_Toc43061801</vt:lpwstr>
      </vt:variant>
      <vt:variant>
        <vt:i4>1703989</vt:i4>
      </vt:variant>
      <vt:variant>
        <vt:i4>542</vt:i4>
      </vt:variant>
      <vt:variant>
        <vt:i4>0</vt:i4>
      </vt:variant>
      <vt:variant>
        <vt:i4>5</vt:i4>
      </vt:variant>
      <vt:variant>
        <vt:lpwstr/>
      </vt:variant>
      <vt:variant>
        <vt:lpwstr>_Toc43061800</vt:lpwstr>
      </vt:variant>
      <vt:variant>
        <vt:i4>1835068</vt:i4>
      </vt:variant>
      <vt:variant>
        <vt:i4>536</vt:i4>
      </vt:variant>
      <vt:variant>
        <vt:i4>0</vt:i4>
      </vt:variant>
      <vt:variant>
        <vt:i4>5</vt:i4>
      </vt:variant>
      <vt:variant>
        <vt:lpwstr/>
      </vt:variant>
      <vt:variant>
        <vt:lpwstr>_Toc43061799</vt:lpwstr>
      </vt:variant>
      <vt:variant>
        <vt:i4>1900604</vt:i4>
      </vt:variant>
      <vt:variant>
        <vt:i4>530</vt:i4>
      </vt:variant>
      <vt:variant>
        <vt:i4>0</vt:i4>
      </vt:variant>
      <vt:variant>
        <vt:i4>5</vt:i4>
      </vt:variant>
      <vt:variant>
        <vt:lpwstr/>
      </vt:variant>
      <vt:variant>
        <vt:lpwstr>_Toc43061798</vt:lpwstr>
      </vt:variant>
      <vt:variant>
        <vt:i4>1179708</vt:i4>
      </vt:variant>
      <vt:variant>
        <vt:i4>524</vt:i4>
      </vt:variant>
      <vt:variant>
        <vt:i4>0</vt:i4>
      </vt:variant>
      <vt:variant>
        <vt:i4>5</vt:i4>
      </vt:variant>
      <vt:variant>
        <vt:lpwstr/>
      </vt:variant>
      <vt:variant>
        <vt:lpwstr>_Toc43061797</vt:lpwstr>
      </vt:variant>
      <vt:variant>
        <vt:i4>1245244</vt:i4>
      </vt:variant>
      <vt:variant>
        <vt:i4>518</vt:i4>
      </vt:variant>
      <vt:variant>
        <vt:i4>0</vt:i4>
      </vt:variant>
      <vt:variant>
        <vt:i4>5</vt:i4>
      </vt:variant>
      <vt:variant>
        <vt:lpwstr/>
      </vt:variant>
      <vt:variant>
        <vt:lpwstr>_Toc43061796</vt:lpwstr>
      </vt:variant>
      <vt:variant>
        <vt:i4>1048636</vt:i4>
      </vt:variant>
      <vt:variant>
        <vt:i4>512</vt:i4>
      </vt:variant>
      <vt:variant>
        <vt:i4>0</vt:i4>
      </vt:variant>
      <vt:variant>
        <vt:i4>5</vt:i4>
      </vt:variant>
      <vt:variant>
        <vt:lpwstr/>
      </vt:variant>
      <vt:variant>
        <vt:lpwstr>_Toc43061795</vt:lpwstr>
      </vt:variant>
      <vt:variant>
        <vt:i4>1114172</vt:i4>
      </vt:variant>
      <vt:variant>
        <vt:i4>506</vt:i4>
      </vt:variant>
      <vt:variant>
        <vt:i4>0</vt:i4>
      </vt:variant>
      <vt:variant>
        <vt:i4>5</vt:i4>
      </vt:variant>
      <vt:variant>
        <vt:lpwstr/>
      </vt:variant>
      <vt:variant>
        <vt:lpwstr>_Toc43061794</vt:lpwstr>
      </vt:variant>
      <vt:variant>
        <vt:i4>1441852</vt:i4>
      </vt:variant>
      <vt:variant>
        <vt:i4>500</vt:i4>
      </vt:variant>
      <vt:variant>
        <vt:i4>0</vt:i4>
      </vt:variant>
      <vt:variant>
        <vt:i4>5</vt:i4>
      </vt:variant>
      <vt:variant>
        <vt:lpwstr/>
      </vt:variant>
      <vt:variant>
        <vt:lpwstr>_Toc43061793</vt:lpwstr>
      </vt:variant>
      <vt:variant>
        <vt:i4>1507388</vt:i4>
      </vt:variant>
      <vt:variant>
        <vt:i4>494</vt:i4>
      </vt:variant>
      <vt:variant>
        <vt:i4>0</vt:i4>
      </vt:variant>
      <vt:variant>
        <vt:i4>5</vt:i4>
      </vt:variant>
      <vt:variant>
        <vt:lpwstr/>
      </vt:variant>
      <vt:variant>
        <vt:lpwstr>_Toc43061792</vt:lpwstr>
      </vt:variant>
      <vt:variant>
        <vt:i4>1310780</vt:i4>
      </vt:variant>
      <vt:variant>
        <vt:i4>488</vt:i4>
      </vt:variant>
      <vt:variant>
        <vt:i4>0</vt:i4>
      </vt:variant>
      <vt:variant>
        <vt:i4>5</vt:i4>
      </vt:variant>
      <vt:variant>
        <vt:lpwstr/>
      </vt:variant>
      <vt:variant>
        <vt:lpwstr>_Toc43061791</vt:lpwstr>
      </vt:variant>
      <vt:variant>
        <vt:i4>1376316</vt:i4>
      </vt:variant>
      <vt:variant>
        <vt:i4>482</vt:i4>
      </vt:variant>
      <vt:variant>
        <vt:i4>0</vt:i4>
      </vt:variant>
      <vt:variant>
        <vt:i4>5</vt:i4>
      </vt:variant>
      <vt:variant>
        <vt:lpwstr/>
      </vt:variant>
      <vt:variant>
        <vt:lpwstr>_Toc43061790</vt:lpwstr>
      </vt:variant>
      <vt:variant>
        <vt:i4>1835069</vt:i4>
      </vt:variant>
      <vt:variant>
        <vt:i4>476</vt:i4>
      </vt:variant>
      <vt:variant>
        <vt:i4>0</vt:i4>
      </vt:variant>
      <vt:variant>
        <vt:i4>5</vt:i4>
      </vt:variant>
      <vt:variant>
        <vt:lpwstr/>
      </vt:variant>
      <vt:variant>
        <vt:lpwstr>_Toc43061789</vt:lpwstr>
      </vt:variant>
      <vt:variant>
        <vt:i4>1900605</vt:i4>
      </vt:variant>
      <vt:variant>
        <vt:i4>470</vt:i4>
      </vt:variant>
      <vt:variant>
        <vt:i4>0</vt:i4>
      </vt:variant>
      <vt:variant>
        <vt:i4>5</vt:i4>
      </vt:variant>
      <vt:variant>
        <vt:lpwstr/>
      </vt:variant>
      <vt:variant>
        <vt:lpwstr>_Toc43061788</vt:lpwstr>
      </vt:variant>
      <vt:variant>
        <vt:i4>1179709</vt:i4>
      </vt:variant>
      <vt:variant>
        <vt:i4>464</vt:i4>
      </vt:variant>
      <vt:variant>
        <vt:i4>0</vt:i4>
      </vt:variant>
      <vt:variant>
        <vt:i4>5</vt:i4>
      </vt:variant>
      <vt:variant>
        <vt:lpwstr/>
      </vt:variant>
      <vt:variant>
        <vt:lpwstr>_Toc43061787</vt:lpwstr>
      </vt:variant>
      <vt:variant>
        <vt:i4>1245245</vt:i4>
      </vt:variant>
      <vt:variant>
        <vt:i4>458</vt:i4>
      </vt:variant>
      <vt:variant>
        <vt:i4>0</vt:i4>
      </vt:variant>
      <vt:variant>
        <vt:i4>5</vt:i4>
      </vt:variant>
      <vt:variant>
        <vt:lpwstr/>
      </vt:variant>
      <vt:variant>
        <vt:lpwstr>_Toc43061786</vt:lpwstr>
      </vt:variant>
      <vt:variant>
        <vt:i4>1048637</vt:i4>
      </vt:variant>
      <vt:variant>
        <vt:i4>452</vt:i4>
      </vt:variant>
      <vt:variant>
        <vt:i4>0</vt:i4>
      </vt:variant>
      <vt:variant>
        <vt:i4>5</vt:i4>
      </vt:variant>
      <vt:variant>
        <vt:lpwstr/>
      </vt:variant>
      <vt:variant>
        <vt:lpwstr>_Toc43061785</vt:lpwstr>
      </vt:variant>
      <vt:variant>
        <vt:i4>1114173</vt:i4>
      </vt:variant>
      <vt:variant>
        <vt:i4>446</vt:i4>
      </vt:variant>
      <vt:variant>
        <vt:i4>0</vt:i4>
      </vt:variant>
      <vt:variant>
        <vt:i4>5</vt:i4>
      </vt:variant>
      <vt:variant>
        <vt:lpwstr/>
      </vt:variant>
      <vt:variant>
        <vt:lpwstr>_Toc43061784</vt:lpwstr>
      </vt:variant>
      <vt:variant>
        <vt:i4>1441853</vt:i4>
      </vt:variant>
      <vt:variant>
        <vt:i4>440</vt:i4>
      </vt:variant>
      <vt:variant>
        <vt:i4>0</vt:i4>
      </vt:variant>
      <vt:variant>
        <vt:i4>5</vt:i4>
      </vt:variant>
      <vt:variant>
        <vt:lpwstr/>
      </vt:variant>
      <vt:variant>
        <vt:lpwstr>_Toc43061783</vt:lpwstr>
      </vt:variant>
      <vt:variant>
        <vt:i4>1507389</vt:i4>
      </vt:variant>
      <vt:variant>
        <vt:i4>434</vt:i4>
      </vt:variant>
      <vt:variant>
        <vt:i4>0</vt:i4>
      </vt:variant>
      <vt:variant>
        <vt:i4>5</vt:i4>
      </vt:variant>
      <vt:variant>
        <vt:lpwstr/>
      </vt:variant>
      <vt:variant>
        <vt:lpwstr>_Toc43061782</vt:lpwstr>
      </vt:variant>
      <vt:variant>
        <vt:i4>1310781</vt:i4>
      </vt:variant>
      <vt:variant>
        <vt:i4>428</vt:i4>
      </vt:variant>
      <vt:variant>
        <vt:i4>0</vt:i4>
      </vt:variant>
      <vt:variant>
        <vt:i4>5</vt:i4>
      </vt:variant>
      <vt:variant>
        <vt:lpwstr/>
      </vt:variant>
      <vt:variant>
        <vt:lpwstr>_Toc43061781</vt:lpwstr>
      </vt:variant>
      <vt:variant>
        <vt:i4>1376317</vt:i4>
      </vt:variant>
      <vt:variant>
        <vt:i4>422</vt:i4>
      </vt:variant>
      <vt:variant>
        <vt:i4>0</vt:i4>
      </vt:variant>
      <vt:variant>
        <vt:i4>5</vt:i4>
      </vt:variant>
      <vt:variant>
        <vt:lpwstr/>
      </vt:variant>
      <vt:variant>
        <vt:lpwstr>_Toc43061780</vt:lpwstr>
      </vt:variant>
      <vt:variant>
        <vt:i4>1835058</vt:i4>
      </vt:variant>
      <vt:variant>
        <vt:i4>416</vt:i4>
      </vt:variant>
      <vt:variant>
        <vt:i4>0</vt:i4>
      </vt:variant>
      <vt:variant>
        <vt:i4>5</vt:i4>
      </vt:variant>
      <vt:variant>
        <vt:lpwstr/>
      </vt:variant>
      <vt:variant>
        <vt:lpwstr>_Toc43061779</vt:lpwstr>
      </vt:variant>
      <vt:variant>
        <vt:i4>1900594</vt:i4>
      </vt:variant>
      <vt:variant>
        <vt:i4>410</vt:i4>
      </vt:variant>
      <vt:variant>
        <vt:i4>0</vt:i4>
      </vt:variant>
      <vt:variant>
        <vt:i4>5</vt:i4>
      </vt:variant>
      <vt:variant>
        <vt:lpwstr/>
      </vt:variant>
      <vt:variant>
        <vt:lpwstr>_Toc43061778</vt:lpwstr>
      </vt:variant>
      <vt:variant>
        <vt:i4>1179698</vt:i4>
      </vt:variant>
      <vt:variant>
        <vt:i4>404</vt:i4>
      </vt:variant>
      <vt:variant>
        <vt:i4>0</vt:i4>
      </vt:variant>
      <vt:variant>
        <vt:i4>5</vt:i4>
      </vt:variant>
      <vt:variant>
        <vt:lpwstr/>
      </vt:variant>
      <vt:variant>
        <vt:lpwstr>_Toc43061777</vt:lpwstr>
      </vt:variant>
      <vt:variant>
        <vt:i4>1245234</vt:i4>
      </vt:variant>
      <vt:variant>
        <vt:i4>398</vt:i4>
      </vt:variant>
      <vt:variant>
        <vt:i4>0</vt:i4>
      </vt:variant>
      <vt:variant>
        <vt:i4>5</vt:i4>
      </vt:variant>
      <vt:variant>
        <vt:lpwstr/>
      </vt:variant>
      <vt:variant>
        <vt:lpwstr>_Toc43061776</vt:lpwstr>
      </vt:variant>
      <vt:variant>
        <vt:i4>1048626</vt:i4>
      </vt:variant>
      <vt:variant>
        <vt:i4>392</vt:i4>
      </vt:variant>
      <vt:variant>
        <vt:i4>0</vt:i4>
      </vt:variant>
      <vt:variant>
        <vt:i4>5</vt:i4>
      </vt:variant>
      <vt:variant>
        <vt:lpwstr/>
      </vt:variant>
      <vt:variant>
        <vt:lpwstr>_Toc43061775</vt:lpwstr>
      </vt:variant>
      <vt:variant>
        <vt:i4>1114162</vt:i4>
      </vt:variant>
      <vt:variant>
        <vt:i4>386</vt:i4>
      </vt:variant>
      <vt:variant>
        <vt:i4>0</vt:i4>
      </vt:variant>
      <vt:variant>
        <vt:i4>5</vt:i4>
      </vt:variant>
      <vt:variant>
        <vt:lpwstr/>
      </vt:variant>
      <vt:variant>
        <vt:lpwstr>_Toc43061774</vt:lpwstr>
      </vt:variant>
      <vt:variant>
        <vt:i4>1441842</vt:i4>
      </vt:variant>
      <vt:variant>
        <vt:i4>380</vt:i4>
      </vt:variant>
      <vt:variant>
        <vt:i4>0</vt:i4>
      </vt:variant>
      <vt:variant>
        <vt:i4>5</vt:i4>
      </vt:variant>
      <vt:variant>
        <vt:lpwstr/>
      </vt:variant>
      <vt:variant>
        <vt:lpwstr>_Toc43061773</vt:lpwstr>
      </vt:variant>
      <vt:variant>
        <vt:i4>1507378</vt:i4>
      </vt:variant>
      <vt:variant>
        <vt:i4>374</vt:i4>
      </vt:variant>
      <vt:variant>
        <vt:i4>0</vt:i4>
      </vt:variant>
      <vt:variant>
        <vt:i4>5</vt:i4>
      </vt:variant>
      <vt:variant>
        <vt:lpwstr/>
      </vt:variant>
      <vt:variant>
        <vt:lpwstr>_Toc43061772</vt:lpwstr>
      </vt:variant>
      <vt:variant>
        <vt:i4>1310770</vt:i4>
      </vt:variant>
      <vt:variant>
        <vt:i4>368</vt:i4>
      </vt:variant>
      <vt:variant>
        <vt:i4>0</vt:i4>
      </vt:variant>
      <vt:variant>
        <vt:i4>5</vt:i4>
      </vt:variant>
      <vt:variant>
        <vt:lpwstr/>
      </vt:variant>
      <vt:variant>
        <vt:lpwstr>_Toc43061771</vt:lpwstr>
      </vt:variant>
      <vt:variant>
        <vt:i4>1376306</vt:i4>
      </vt:variant>
      <vt:variant>
        <vt:i4>362</vt:i4>
      </vt:variant>
      <vt:variant>
        <vt:i4>0</vt:i4>
      </vt:variant>
      <vt:variant>
        <vt:i4>5</vt:i4>
      </vt:variant>
      <vt:variant>
        <vt:lpwstr/>
      </vt:variant>
      <vt:variant>
        <vt:lpwstr>_Toc43061770</vt:lpwstr>
      </vt:variant>
      <vt:variant>
        <vt:i4>1835059</vt:i4>
      </vt:variant>
      <vt:variant>
        <vt:i4>356</vt:i4>
      </vt:variant>
      <vt:variant>
        <vt:i4>0</vt:i4>
      </vt:variant>
      <vt:variant>
        <vt:i4>5</vt:i4>
      </vt:variant>
      <vt:variant>
        <vt:lpwstr/>
      </vt:variant>
      <vt:variant>
        <vt:lpwstr>_Toc43061769</vt:lpwstr>
      </vt:variant>
      <vt:variant>
        <vt:i4>1900595</vt:i4>
      </vt:variant>
      <vt:variant>
        <vt:i4>350</vt:i4>
      </vt:variant>
      <vt:variant>
        <vt:i4>0</vt:i4>
      </vt:variant>
      <vt:variant>
        <vt:i4>5</vt:i4>
      </vt:variant>
      <vt:variant>
        <vt:lpwstr/>
      </vt:variant>
      <vt:variant>
        <vt:lpwstr>_Toc43061768</vt:lpwstr>
      </vt:variant>
      <vt:variant>
        <vt:i4>1179699</vt:i4>
      </vt:variant>
      <vt:variant>
        <vt:i4>344</vt:i4>
      </vt:variant>
      <vt:variant>
        <vt:i4>0</vt:i4>
      </vt:variant>
      <vt:variant>
        <vt:i4>5</vt:i4>
      </vt:variant>
      <vt:variant>
        <vt:lpwstr/>
      </vt:variant>
      <vt:variant>
        <vt:lpwstr>_Toc43061767</vt:lpwstr>
      </vt:variant>
      <vt:variant>
        <vt:i4>1245235</vt:i4>
      </vt:variant>
      <vt:variant>
        <vt:i4>338</vt:i4>
      </vt:variant>
      <vt:variant>
        <vt:i4>0</vt:i4>
      </vt:variant>
      <vt:variant>
        <vt:i4>5</vt:i4>
      </vt:variant>
      <vt:variant>
        <vt:lpwstr/>
      </vt:variant>
      <vt:variant>
        <vt:lpwstr>_Toc43061766</vt:lpwstr>
      </vt:variant>
      <vt:variant>
        <vt:i4>1048627</vt:i4>
      </vt:variant>
      <vt:variant>
        <vt:i4>332</vt:i4>
      </vt:variant>
      <vt:variant>
        <vt:i4>0</vt:i4>
      </vt:variant>
      <vt:variant>
        <vt:i4>5</vt:i4>
      </vt:variant>
      <vt:variant>
        <vt:lpwstr/>
      </vt:variant>
      <vt:variant>
        <vt:lpwstr>_Toc43061765</vt:lpwstr>
      </vt:variant>
      <vt:variant>
        <vt:i4>1114163</vt:i4>
      </vt:variant>
      <vt:variant>
        <vt:i4>326</vt:i4>
      </vt:variant>
      <vt:variant>
        <vt:i4>0</vt:i4>
      </vt:variant>
      <vt:variant>
        <vt:i4>5</vt:i4>
      </vt:variant>
      <vt:variant>
        <vt:lpwstr/>
      </vt:variant>
      <vt:variant>
        <vt:lpwstr>_Toc43061764</vt:lpwstr>
      </vt:variant>
      <vt:variant>
        <vt:i4>1441843</vt:i4>
      </vt:variant>
      <vt:variant>
        <vt:i4>320</vt:i4>
      </vt:variant>
      <vt:variant>
        <vt:i4>0</vt:i4>
      </vt:variant>
      <vt:variant>
        <vt:i4>5</vt:i4>
      </vt:variant>
      <vt:variant>
        <vt:lpwstr/>
      </vt:variant>
      <vt:variant>
        <vt:lpwstr>_Toc43061763</vt:lpwstr>
      </vt:variant>
      <vt:variant>
        <vt:i4>1507379</vt:i4>
      </vt:variant>
      <vt:variant>
        <vt:i4>314</vt:i4>
      </vt:variant>
      <vt:variant>
        <vt:i4>0</vt:i4>
      </vt:variant>
      <vt:variant>
        <vt:i4>5</vt:i4>
      </vt:variant>
      <vt:variant>
        <vt:lpwstr/>
      </vt:variant>
      <vt:variant>
        <vt:lpwstr>_Toc43061762</vt:lpwstr>
      </vt:variant>
      <vt:variant>
        <vt:i4>1310771</vt:i4>
      </vt:variant>
      <vt:variant>
        <vt:i4>308</vt:i4>
      </vt:variant>
      <vt:variant>
        <vt:i4>0</vt:i4>
      </vt:variant>
      <vt:variant>
        <vt:i4>5</vt:i4>
      </vt:variant>
      <vt:variant>
        <vt:lpwstr/>
      </vt:variant>
      <vt:variant>
        <vt:lpwstr>_Toc43061761</vt:lpwstr>
      </vt:variant>
      <vt:variant>
        <vt:i4>1376307</vt:i4>
      </vt:variant>
      <vt:variant>
        <vt:i4>302</vt:i4>
      </vt:variant>
      <vt:variant>
        <vt:i4>0</vt:i4>
      </vt:variant>
      <vt:variant>
        <vt:i4>5</vt:i4>
      </vt:variant>
      <vt:variant>
        <vt:lpwstr/>
      </vt:variant>
      <vt:variant>
        <vt:lpwstr>_Toc43061760</vt:lpwstr>
      </vt:variant>
      <vt:variant>
        <vt:i4>1835056</vt:i4>
      </vt:variant>
      <vt:variant>
        <vt:i4>296</vt:i4>
      </vt:variant>
      <vt:variant>
        <vt:i4>0</vt:i4>
      </vt:variant>
      <vt:variant>
        <vt:i4>5</vt:i4>
      </vt:variant>
      <vt:variant>
        <vt:lpwstr/>
      </vt:variant>
      <vt:variant>
        <vt:lpwstr>_Toc43061759</vt:lpwstr>
      </vt:variant>
      <vt:variant>
        <vt:i4>1900592</vt:i4>
      </vt:variant>
      <vt:variant>
        <vt:i4>290</vt:i4>
      </vt:variant>
      <vt:variant>
        <vt:i4>0</vt:i4>
      </vt:variant>
      <vt:variant>
        <vt:i4>5</vt:i4>
      </vt:variant>
      <vt:variant>
        <vt:lpwstr/>
      </vt:variant>
      <vt:variant>
        <vt:lpwstr>_Toc43061758</vt:lpwstr>
      </vt:variant>
      <vt:variant>
        <vt:i4>1179696</vt:i4>
      </vt:variant>
      <vt:variant>
        <vt:i4>284</vt:i4>
      </vt:variant>
      <vt:variant>
        <vt:i4>0</vt:i4>
      </vt:variant>
      <vt:variant>
        <vt:i4>5</vt:i4>
      </vt:variant>
      <vt:variant>
        <vt:lpwstr/>
      </vt:variant>
      <vt:variant>
        <vt:lpwstr>_Toc43061757</vt:lpwstr>
      </vt:variant>
      <vt:variant>
        <vt:i4>1245232</vt:i4>
      </vt:variant>
      <vt:variant>
        <vt:i4>278</vt:i4>
      </vt:variant>
      <vt:variant>
        <vt:i4>0</vt:i4>
      </vt:variant>
      <vt:variant>
        <vt:i4>5</vt:i4>
      </vt:variant>
      <vt:variant>
        <vt:lpwstr/>
      </vt:variant>
      <vt:variant>
        <vt:lpwstr>_Toc43061756</vt:lpwstr>
      </vt:variant>
      <vt:variant>
        <vt:i4>1048624</vt:i4>
      </vt:variant>
      <vt:variant>
        <vt:i4>272</vt:i4>
      </vt:variant>
      <vt:variant>
        <vt:i4>0</vt:i4>
      </vt:variant>
      <vt:variant>
        <vt:i4>5</vt:i4>
      </vt:variant>
      <vt:variant>
        <vt:lpwstr/>
      </vt:variant>
      <vt:variant>
        <vt:lpwstr>_Toc43061755</vt:lpwstr>
      </vt:variant>
      <vt:variant>
        <vt:i4>1114160</vt:i4>
      </vt:variant>
      <vt:variant>
        <vt:i4>266</vt:i4>
      </vt:variant>
      <vt:variant>
        <vt:i4>0</vt:i4>
      </vt:variant>
      <vt:variant>
        <vt:i4>5</vt:i4>
      </vt:variant>
      <vt:variant>
        <vt:lpwstr/>
      </vt:variant>
      <vt:variant>
        <vt:lpwstr>_Toc43061754</vt:lpwstr>
      </vt:variant>
      <vt:variant>
        <vt:i4>1441840</vt:i4>
      </vt:variant>
      <vt:variant>
        <vt:i4>260</vt:i4>
      </vt:variant>
      <vt:variant>
        <vt:i4>0</vt:i4>
      </vt:variant>
      <vt:variant>
        <vt:i4>5</vt:i4>
      </vt:variant>
      <vt:variant>
        <vt:lpwstr/>
      </vt:variant>
      <vt:variant>
        <vt:lpwstr>_Toc43061753</vt:lpwstr>
      </vt:variant>
      <vt:variant>
        <vt:i4>1507376</vt:i4>
      </vt:variant>
      <vt:variant>
        <vt:i4>254</vt:i4>
      </vt:variant>
      <vt:variant>
        <vt:i4>0</vt:i4>
      </vt:variant>
      <vt:variant>
        <vt:i4>5</vt:i4>
      </vt:variant>
      <vt:variant>
        <vt:lpwstr/>
      </vt:variant>
      <vt:variant>
        <vt:lpwstr>_Toc43061752</vt:lpwstr>
      </vt:variant>
      <vt:variant>
        <vt:i4>1310768</vt:i4>
      </vt:variant>
      <vt:variant>
        <vt:i4>248</vt:i4>
      </vt:variant>
      <vt:variant>
        <vt:i4>0</vt:i4>
      </vt:variant>
      <vt:variant>
        <vt:i4>5</vt:i4>
      </vt:variant>
      <vt:variant>
        <vt:lpwstr/>
      </vt:variant>
      <vt:variant>
        <vt:lpwstr>_Toc43061751</vt:lpwstr>
      </vt:variant>
      <vt:variant>
        <vt:i4>1376304</vt:i4>
      </vt:variant>
      <vt:variant>
        <vt:i4>242</vt:i4>
      </vt:variant>
      <vt:variant>
        <vt:i4>0</vt:i4>
      </vt:variant>
      <vt:variant>
        <vt:i4>5</vt:i4>
      </vt:variant>
      <vt:variant>
        <vt:lpwstr/>
      </vt:variant>
      <vt:variant>
        <vt:lpwstr>_Toc43061750</vt:lpwstr>
      </vt:variant>
      <vt:variant>
        <vt:i4>1835057</vt:i4>
      </vt:variant>
      <vt:variant>
        <vt:i4>236</vt:i4>
      </vt:variant>
      <vt:variant>
        <vt:i4>0</vt:i4>
      </vt:variant>
      <vt:variant>
        <vt:i4>5</vt:i4>
      </vt:variant>
      <vt:variant>
        <vt:lpwstr/>
      </vt:variant>
      <vt:variant>
        <vt:lpwstr>_Toc43061749</vt:lpwstr>
      </vt:variant>
      <vt:variant>
        <vt:i4>1900593</vt:i4>
      </vt:variant>
      <vt:variant>
        <vt:i4>230</vt:i4>
      </vt:variant>
      <vt:variant>
        <vt:i4>0</vt:i4>
      </vt:variant>
      <vt:variant>
        <vt:i4>5</vt:i4>
      </vt:variant>
      <vt:variant>
        <vt:lpwstr/>
      </vt:variant>
      <vt:variant>
        <vt:lpwstr>_Toc43061748</vt:lpwstr>
      </vt:variant>
      <vt:variant>
        <vt:i4>1179697</vt:i4>
      </vt:variant>
      <vt:variant>
        <vt:i4>224</vt:i4>
      </vt:variant>
      <vt:variant>
        <vt:i4>0</vt:i4>
      </vt:variant>
      <vt:variant>
        <vt:i4>5</vt:i4>
      </vt:variant>
      <vt:variant>
        <vt:lpwstr/>
      </vt:variant>
      <vt:variant>
        <vt:lpwstr>_Toc43061747</vt:lpwstr>
      </vt:variant>
      <vt:variant>
        <vt:i4>1245233</vt:i4>
      </vt:variant>
      <vt:variant>
        <vt:i4>218</vt:i4>
      </vt:variant>
      <vt:variant>
        <vt:i4>0</vt:i4>
      </vt:variant>
      <vt:variant>
        <vt:i4>5</vt:i4>
      </vt:variant>
      <vt:variant>
        <vt:lpwstr/>
      </vt:variant>
      <vt:variant>
        <vt:lpwstr>_Toc43061746</vt:lpwstr>
      </vt:variant>
      <vt:variant>
        <vt:i4>1048625</vt:i4>
      </vt:variant>
      <vt:variant>
        <vt:i4>212</vt:i4>
      </vt:variant>
      <vt:variant>
        <vt:i4>0</vt:i4>
      </vt:variant>
      <vt:variant>
        <vt:i4>5</vt:i4>
      </vt:variant>
      <vt:variant>
        <vt:lpwstr/>
      </vt:variant>
      <vt:variant>
        <vt:lpwstr>_Toc43061745</vt:lpwstr>
      </vt:variant>
      <vt:variant>
        <vt:i4>1114161</vt:i4>
      </vt:variant>
      <vt:variant>
        <vt:i4>206</vt:i4>
      </vt:variant>
      <vt:variant>
        <vt:i4>0</vt:i4>
      </vt:variant>
      <vt:variant>
        <vt:i4>5</vt:i4>
      </vt:variant>
      <vt:variant>
        <vt:lpwstr/>
      </vt:variant>
      <vt:variant>
        <vt:lpwstr>_Toc43061744</vt:lpwstr>
      </vt:variant>
      <vt:variant>
        <vt:i4>1441841</vt:i4>
      </vt:variant>
      <vt:variant>
        <vt:i4>200</vt:i4>
      </vt:variant>
      <vt:variant>
        <vt:i4>0</vt:i4>
      </vt:variant>
      <vt:variant>
        <vt:i4>5</vt:i4>
      </vt:variant>
      <vt:variant>
        <vt:lpwstr/>
      </vt:variant>
      <vt:variant>
        <vt:lpwstr>_Toc43061743</vt:lpwstr>
      </vt:variant>
      <vt:variant>
        <vt:i4>1507377</vt:i4>
      </vt:variant>
      <vt:variant>
        <vt:i4>194</vt:i4>
      </vt:variant>
      <vt:variant>
        <vt:i4>0</vt:i4>
      </vt:variant>
      <vt:variant>
        <vt:i4>5</vt:i4>
      </vt:variant>
      <vt:variant>
        <vt:lpwstr/>
      </vt:variant>
      <vt:variant>
        <vt:lpwstr>_Toc43061742</vt:lpwstr>
      </vt:variant>
      <vt:variant>
        <vt:i4>1310769</vt:i4>
      </vt:variant>
      <vt:variant>
        <vt:i4>188</vt:i4>
      </vt:variant>
      <vt:variant>
        <vt:i4>0</vt:i4>
      </vt:variant>
      <vt:variant>
        <vt:i4>5</vt:i4>
      </vt:variant>
      <vt:variant>
        <vt:lpwstr/>
      </vt:variant>
      <vt:variant>
        <vt:lpwstr>_Toc43061741</vt:lpwstr>
      </vt:variant>
      <vt:variant>
        <vt:i4>1376305</vt:i4>
      </vt:variant>
      <vt:variant>
        <vt:i4>182</vt:i4>
      </vt:variant>
      <vt:variant>
        <vt:i4>0</vt:i4>
      </vt:variant>
      <vt:variant>
        <vt:i4>5</vt:i4>
      </vt:variant>
      <vt:variant>
        <vt:lpwstr/>
      </vt:variant>
      <vt:variant>
        <vt:lpwstr>_Toc43061740</vt:lpwstr>
      </vt:variant>
      <vt:variant>
        <vt:i4>1835062</vt:i4>
      </vt:variant>
      <vt:variant>
        <vt:i4>176</vt:i4>
      </vt:variant>
      <vt:variant>
        <vt:i4>0</vt:i4>
      </vt:variant>
      <vt:variant>
        <vt:i4>5</vt:i4>
      </vt:variant>
      <vt:variant>
        <vt:lpwstr/>
      </vt:variant>
      <vt:variant>
        <vt:lpwstr>_Toc43061739</vt:lpwstr>
      </vt:variant>
      <vt:variant>
        <vt:i4>1900598</vt:i4>
      </vt:variant>
      <vt:variant>
        <vt:i4>170</vt:i4>
      </vt:variant>
      <vt:variant>
        <vt:i4>0</vt:i4>
      </vt:variant>
      <vt:variant>
        <vt:i4>5</vt:i4>
      </vt:variant>
      <vt:variant>
        <vt:lpwstr/>
      </vt:variant>
      <vt:variant>
        <vt:lpwstr>_Toc43061738</vt:lpwstr>
      </vt:variant>
      <vt:variant>
        <vt:i4>1179702</vt:i4>
      </vt:variant>
      <vt:variant>
        <vt:i4>164</vt:i4>
      </vt:variant>
      <vt:variant>
        <vt:i4>0</vt:i4>
      </vt:variant>
      <vt:variant>
        <vt:i4>5</vt:i4>
      </vt:variant>
      <vt:variant>
        <vt:lpwstr/>
      </vt:variant>
      <vt:variant>
        <vt:lpwstr>_Toc43061737</vt:lpwstr>
      </vt:variant>
      <vt:variant>
        <vt:i4>1245238</vt:i4>
      </vt:variant>
      <vt:variant>
        <vt:i4>158</vt:i4>
      </vt:variant>
      <vt:variant>
        <vt:i4>0</vt:i4>
      </vt:variant>
      <vt:variant>
        <vt:i4>5</vt:i4>
      </vt:variant>
      <vt:variant>
        <vt:lpwstr/>
      </vt:variant>
      <vt:variant>
        <vt:lpwstr>_Toc43061736</vt:lpwstr>
      </vt:variant>
      <vt:variant>
        <vt:i4>1048630</vt:i4>
      </vt:variant>
      <vt:variant>
        <vt:i4>152</vt:i4>
      </vt:variant>
      <vt:variant>
        <vt:i4>0</vt:i4>
      </vt:variant>
      <vt:variant>
        <vt:i4>5</vt:i4>
      </vt:variant>
      <vt:variant>
        <vt:lpwstr/>
      </vt:variant>
      <vt:variant>
        <vt:lpwstr>_Toc43061735</vt:lpwstr>
      </vt:variant>
      <vt:variant>
        <vt:i4>1114166</vt:i4>
      </vt:variant>
      <vt:variant>
        <vt:i4>146</vt:i4>
      </vt:variant>
      <vt:variant>
        <vt:i4>0</vt:i4>
      </vt:variant>
      <vt:variant>
        <vt:i4>5</vt:i4>
      </vt:variant>
      <vt:variant>
        <vt:lpwstr/>
      </vt:variant>
      <vt:variant>
        <vt:lpwstr>_Toc43061734</vt:lpwstr>
      </vt:variant>
      <vt:variant>
        <vt:i4>1441846</vt:i4>
      </vt:variant>
      <vt:variant>
        <vt:i4>140</vt:i4>
      </vt:variant>
      <vt:variant>
        <vt:i4>0</vt:i4>
      </vt:variant>
      <vt:variant>
        <vt:i4>5</vt:i4>
      </vt:variant>
      <vt:variant>
        <vt:lpwstr/>
      </vt:variant>
      <vt:variant>
        <vt:lpwstr>_Toc43061733</vt:lpwstr>
      </vt:variant>
      <vt:variant>
        <vt:i4>1507382</vt:i4>
      </vt:variant>
      <vt:variant>
        <vt:i4>134</vt:i4>
      </vt:variant>
      <vt:variant>
        <vt:i4>0</vt:i4>
      </vt:variant>
      <vt:variant>
        <vt:i4>5</vt:i4>
      </vt:variant>
      <vt:variant>
        <vt:lpwstr/>
      </vt:variant>
      <vt:variant>
        <vt:lpwstr>_Toc43061732</vt:lpwstr>
      </vt:variant>
      <vt:variant>
        <vt:i4>1310774</vt:i4>
      </vt:variant>
      <vt:variant>
        <vt:i4>128</vt:i4>
      </vt:variant>
      <vt:variant>
        <vt:i4>0</vt:i4>
      </vt:variant>
      <vt:variant>
        <vt:i4>5</vt:i4>
      </vt:variant>
      <vt:variant>
        <vt:lpwstr/>
      </vt:variant>
      <vt:variant>
        <vt:lpwstr>_Toc43061731</vt:lpwstr>
      </vt:variant>
      <vt:variant>
        <vt:i4>1376310</vt:i4>
      </vt:variant>
      <vt:variant>
        <vt:i4>122</vt:i4>
      </vt:variant>
      <vt:variant>
        <vt:i4>0</vt:i4>
      </vt:variant>
      <vt:variant>
        <vt:i4>5</vt:i4>
      </vt:variant>
      <vt:variant>
        <vt:lpwstr/>
      </vt:variant>
      <vt:variant>
        <vt:lpwstr>_Toc43061730</vt:lpwstr>
      </vt:variant>
      <vt:variant>
        <vt:i4>1835063</vt:i4>
      </vt:variant>
      <vt:variant>
        <vt:i4>116</vt:i4>
      </vt:variant>
      <vt:variant>
        <vt:i4>0</vt:i4>
      </vt:variant>
      <vt:variant>
        <vt:i4>5</vt:i4>
      </vt:variant>
      <vt:variant>
        <vt:lpwstr/>
      </vt:variant>
      <vt:variant>
        <vt:lpwstr>_Toc43061729</vt:lpwstr>
      </vt:variant>
      <vt:variant>
        <vt:i4>1900599</vt:i4>
      </vt:variant>
      <vt:variant>
        <vt:i4>110</vt:i4>
      </vt:variant>
      <vt:variant>
        <vt:i4>0</vt:i4>
      </vt:variant>
      <vt:variant>
        <vt:i4>5</vt:i4>
      </vt:variant>
      <vt:variant>
        <vt:lpwstr/>
      </vt:variant>
      <vt:variant>
        <vt:lpwstr>_Toc43061728</vt:lpwstr>
      </vt:variant>
      <vt:variant>
        <vt:i4>1179703</vt:i4>
      </vt:variant>
      <vt:variant>
        <vt:i4>104</vt:i4>
      </vt:variant>
      <vt:variant>
        <vt:i4>0</vt:i4>
      </vt:variant>
      <vt:variant>
        <vt:i4>5</vt:i4>
      </vt:variant>
      <vt:variant>
        <vt:lpwstr/>
      </vt:variant>
      <vt:variant>
        <vt:lpwstr>_Toc43061727</vt:lpwstr>
      </vt:variant>
      <vt:variant>
        <vt:i4>1245239</vt:i4>
      </vt:variant>
      <vt:variant>
        <vt:i4>98</vt:i4>
      </vt:variant>
      <vt:variant>
        <vt:i4>0</vt:i4>
      </vt:variant>
      <vt:variant>
        <vt:i4>5</vt:i4>
      </vt:variant>
      <vt:variant>
        <vt:lpwstr/>
      </vt:variant>
      <vt:variant>
        <vt:lpwstr>_Toc43061726</vt:lpwstr>
      </vt:variant>
      <vt:variant>
        <vt:i4>1048631</vt:i4>
      </vt:variant>
      <vt:variant>
        <vt:i4>92</vt:i4>
      </vt:variant>
      <vt:variant>
        <vt:i4>0</vt:i4>
      </vt:variant>
      <vt:variant>
        <vt:i4>5</vt:i4>
      </vt:variant>
      <vt:variant>
        <vt:lpwstr/>
      </vt:variant>
      <vt:variant>
        <vt:lpwstr>_Toc43061725</vt:lpwstr>
      </vt:variant>
      <vt:variant>
        <vt:i4>1114167</vt:i4>
      </vt:variant>
      <vt:variant>
        <vt:i4>86</vt:i4>
      </vt:variant>
      <vt:variant>
        <vt:i4>0</vt:i4>
      </vt:variant>
      <vt:variant>
        <vt:i4>5</vt:i4>
      </vt:variant>
      <vt:variant>
        <vt:lpwstr/>
      </vt:variant>
      <vt:variant>
        <vt:lpwstr>_Toc43061724</vt:lpwstr>
      </vt:variant>
      <vt:variant>
        <vt:i4>1441847</vt:i4>
      </vt:variant>
      <vt:variant>
        <vt:i4>80</vt:i4>
      </vt:variant>
      <vt:variant>
        <vt:i4>0</vt:i4>
      </vt:variant>
      <vt:variant>
        <vt:i4>5</vt:i4>
      </vt:variant>
      <vt:variant>
        <vt:lpwstr/>
      </vt:variant>
      <vt:variant>
        <vt:lpwstr>_Toc43061723</vt:lpwstr>
      </vt:variant>
      <vt:variant>
        <vt:i4>1507383</vt:i4>
      </vt:variant>
      <vt:variant>
        <vt:i4>74</vt:i4>
      </vt:variant>
      <vt:variant>
        <vt:i4>0</vt:i4>
      </vt:variant>
      <vt:variant>
        <vt:i4>5</vt:i4>
      </vt:variant>
      <vt:variant>
        <vt:lpwstr/>
      </vt:variant>
      <vt:variant>
        <vt:lpwstr>_Toc43061722</vt:lpwstr>
      </vt:variant>
      <vt:variant>
        <vt:i4>1310775</vt:i4>
      </vt:variant>
      <vt:variant>
        <vt:i4>68</vt:i4>
      </vt:variant>
      <vt:variant>
        <vt:i4>0</vt:i4>
      </vt:variant>
      <vt:variant>
        <vt:i4>5</vt:i4>
      </vt:variant>
      <vt:variant>
        <vt:lpwstr/>
      </vt:variant>
      <vt:variant>
        <vt:lpwstr>_Toc43061721</vt:lpwstr>
      </vt:variant>
      <vt:variant>
        <vt:i4>1376311</vt:i4>
      </vt:variant>
      <vt:variant>
        <vt:i4>62</vt:i4>
      </vt:variant>
      <vt:variant>
        <vt:i4>0</vt:i4>
      </vt:variant>
      <vt:variant>
        <vt:i4>5</vt:i4>
      </vt:variant>
      <vt:variant>
        <vt:lpwstr/>
      </vt:variant>
      <vt:variant>
        <vt:lpwstr>_Toc43061720</vt:lpwstr>
      </vt:variant>
      <vt:variant>
        <vt:i4>1835060</vt:i4>
      </vt:variant>
      <vt:variant>
        <vt:i4>56</vt:i4>
      </vt:variant>
      <vt:variant>
        <vt:i4>0</vt:i4>
      </vt:variant>
      <vt:variant>
        <vt:i4>5</vt:i4>
      </vt:variant>
      <vt:variant>
        <vt:lpwstr/>
      </vt:variant>
      <vt:variant>
        <vt:lpwstr>_Toc43061719</vt:lpwstr>
      </vt:variant>
      <vt:variant>
        <vt:i4>1900596</vt:i4>
      </vt:variant>
      <vt:variant>
        <vt:i4>50</vt:i4>
      </vt:variant>
      <vt:variant>
        <vt:i4>0</vt:i4>
      </vt:variant>
      <vt:variant>
        <vt:i4>5</vt:i4>
      </vt:variant>
      <vt:variant>
        <vt:lpwstr/>
      </vt:variant>
      <vt:variant>
        <vt:lpwstr>_Toc43061718</vt:lpwstr>
      </vt:variant>
      <vt:variant>
        <vt:i4>1179700</vt:i4>
      </vt:variant>
      <vt:variant>
        <vt:i4>44</vt:i4>
      </vt:variant>
      <vt:variant>
        <vt:i4>0</vt:i4>
      </vt:variant>
      <vt:variant>
        <vt:i4>5</vt:i4>
      </vt:variant>
      <vt:variant>
        <vt:lpwstr/>
      </vt:variant>
      <vt:variant>
        <vt:lpwstr>_Toc43061717</vt:lpwstr>
      </vt:variant>
      <vt:variant>
        <vt:i4>1245236</vt:i4>
      </vt:variant>
      <vt:variant>
        <vt:i4>38</vt:i4>
      </vt:variant>
      <vt:variant>
        <vt:i4>0</vt:i4>
      </vt:variant>
      <vt:variant>
        <vt:i4>5</vt:i4>
      </vt:variant>
      <vt:variant>
        <vt:lpwstr/>
      </vt:variant>
      <vt:variant>
        <vt:lpwstr>_Toc43061716</vt:lpwstr>
      </vt:variant>
      <vt:variant>
        <vt:i4>1048628</vt:i4>
      </vt:variant>
      <vt:variant>
        <vt:i4>32</vt:i4>
      </vt:variant>
      <vt:variant>
        <vt:i4>0</vt:i4>
      </vt:variant>
      <vt:variant>
        <vt:i4>5</vt:i4>
      </vt:variant>
      <vt:variant>
        <vt:lpwstr/>
      </vt:variant>
      <vt:variant>
        <vt:lpwstr>_Toc43061715</vt:lpwstr>
      </vt:variant>
      <vt:variant>
        <vt:i4>1114164</vt:i4>
      </vt:variant>
      <vt:variant>
        <vt:i4>26</vt:i4>
      </vt:variant>
      <vt:variant>
        <vt:i4>0</vt:i4>
      </vt:variant>
      <vt:variant>
        <vt:i4>5</vt:i4>
      </vt:variant>
      <vt:variant>
        <vt:lpwstr/>
      </vt:variant>
      <vt:variant>
        <vt:lpwstr>_Toc43061714</vt:lpwstr>
      </vt:variant>
      <vt:variant>
        <vt:i4>1441844</vt:i4>
      </vt:variant>
      <vt:variant>
        <vt:i4>20</vt:i4>
      </vt:variant>
      <vt:variant>
        <vt:i4>0</vt:i4>
      </vt:variant>
      <vt:variant>
        <vt:i4>5</vt:i4>
      </vt:variant>
      <vt:variant>
        <vt:lpwstr/>
      </vt:variant>
      <vt:variant>
        <vt:lpwstr>_Toc43061713</vt:lpwstr>
      </vt:variant>
      <vt:variant>
        <vt:i4>1507380</vt:i4>
      </vt:variant>
      <vt:variant>
        <vt:i4>14</vt:i4>
      </vt:variant>
      <vt:variant>
        <vt:i4>0</vt:i4>
      </vt:variant>
      <vt:variant>
        <vt:i4>5</vt:i4>
      </vt:variant>
      <vt:variant>
        <vt:lpwstr/>
      </vt:variant>
      <vt:variant>
        <vt:lpwstr>_Toc43061712</vt:lpwstr>
      </vt:variant>
      <vt:variant>
        <vt:i4>1310772</vt:i4>
      </vt:variant>
      <vt:variant>
        <vt:i4>8</vt:i4>
      </vt:variant>
      <vt:variant>
        <vt:i4>0</vt:i4>
      </vt:variant>
      <vt:variant>
        <vt:i4>5</vt:i4>
      </vt:variant>
      <vt:variant>
        <vt:lpwstr/>
      </vt:variant>
      <vt:variant>
        <vt:lpwstr>_Toc43061711</vt:lpwstr>
      </vt:variant>
      <vt:variant>
        <vt:i4>1376308</vt:i4>
      </vt:variant>
      <vt:variant>
        <vt:i4>2</vt:i4>
      </vt:variant>
      <vt:variant>
        <vt:i4>0</vt:i4>
      </vt:variant>
      <vt:variant>
        <vt:i4>5</vt:i4>
      </vt:variant>
      <vt:variant>
        <vt:lpwstr/>
      </vt:variant>
      <vt:variant>
        <vt:lpwstr>_Toc43061710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atkinson</dc:creator>
  <cp:keywords/>
  <dc:description/>
  <cp:lastModifiedBy>Daniel Atkinson</cp:lastModifiedBy>
  <cp:revision>2</cp:revision>
  <cp:lastPrinted>2020-09-05T04:08:00Z</cp:lastPrinted>
  <dcterms:created xsi:type="dcterms:W3CDTF">2021-12-11T13:15:00Z</dcterms:created>
  <dcterms:modified xsi:type="dcterms:W3CDTF">2021-12-11T13:15:00Z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0x010100FD26DBDFE090B949AB00341B0343F8B0</vt:lpwstr>
  </property>
</Properties>
</file>